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pPr>
        <w:pStyle w:val="SourceNote"/>
      </w:pPr>
      <w:r>
        <w:t>Automatically collected research leads for “Let’s see”. These are NOT verified outcomes or final findings.</w:t>
      </w:r>
    </w:p>
    <w:p/>
    <w:p>
      <w:pPr>
        <w:pStyle w:val="Heading2"/>
      </w:pPr>
      <w:r>
        <w:t>1. Group suggestions — screened combinations</w:t>
      </w:r>
    </w:p>
    <w:p>
      <w:pPr/>
      <w:r>
        <w:t>Exact groups marked rejected by an LLM review are excluded here. Individual source leads further below are NOT proposed two-paper groups and remain available for other combinations.</w:t>
      </w:r>
    </w:p>
    <w:p>
      <w:pPr>
        <w:pStyle w:val="Heading2"/>
      </w:pPr>
      <w:r>
        <w:t>2. Claim + two later sources: Retirement timing in a future welfare state: a Finnish Delphi study</w:t>
      </w:r>
    </w:p>
    <w:p>
      <w:pPr>
        <w:pStyle w:val="SourceNote"/>
      </w:pPr>
      <w:r>
        <w:rPr>
          <w:b/>
        </w:rPr>
        <w:t>Group ID:</w:t>
      </w:r>
      <w:r>
        <w:t xml:space="preserve"> group-5e279e7ac69ecf132365</w:t>
      </w:r>
    </w:p>
    <w:p>
      <w:pPr>
        <w:pStyle w:val="SourceNote"/>
      </w:pPr>
      <w:r>
        <w:rPr>
          <w:b/>
        </w:rPr>
        <w:t>Original source:</w:t>
      </w:r>
      <w:r>
        <w:t xml:space="preserve"> https://doi.org/10.1108/ijssp-04-2018-0067</w:t>
      </w:r>
    </w:p>
    <w:p>
      <w:pPr/>
      <w:r>
        <w:rPr>
          <w:b/>
        </w:rPr>
        <w:t>Original future claim:</w:t>
      </w:r>
      <w:r>
        <w:t xml:space="preserve">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Later source:</w:t>
      </w:r>
      <w:r>
        <w:t xml:space="preserve"> Generalized Design Methodology for Dual-Arm Robotic Platforms: From Conceptualization to Experimental Validation Within the MANiBOT Framework — https://doi.org/10.3390/machines14010074</w:t>
      </w:r>
    </w:p>
    <w:p>
      <w:pPr/>
      <w:r>
        <w:rPr>
          <w:b/>
        </w:rPr>
        <w:t>Later source:</w:t>
      </w:r>
      <w:r>
        <w:t xml:space="preserve"> Consensus research priorities for cancer nursing in Europe: A Delphi study — https://doi.org/10.1016/j.ejon.2026.103102</w:t>
      </w:r>
    </w:p>
    <w:p>
      <w:pPr>
        <w:pStyle w:val="SourceNote"/>
      </w:pPr>
      <w:r>
        <w:rPr>
          <w:b/>
        </w:rPr>
        <w:t>Review status:</w:t>
      </w:r>
      <w:r>
        <w:t xml:space="preserve"> unchecked — possible relationship only</w:t>
      </w:r>
    </w:p>
    <w:p>
      <w:pPr>
        <w:pStyle w:val="Heading2"/>
      </w:pPr>
      <w:r>
        <w:t>3. Claim + two later sources: Population Projection Revisions and Their Impact on Economic Growth – The Case of Malta</w:t>
      </w:r>
    </w:p>
    <w:p>
      <w:pPr>
        <w:pStyle w:val="SourceNote"/>
      </w:pPr>
      <w:r>
        <w:rPr>
          <w:b/>
        </w:rPr>
        <w:t>Group ID:</w:t>
      </w:r>
      <w:r>
        <w:t xml:space="preserve"> group-152913120218f7951d99</w:t>
      </w:r>
    </w:p>
    <w:p>
      <w:pPr>
        <w:pStyle w:val="SourceNote"/>
      </w:pPr>
      <w:r>
        <w:rPr>
          <w:b/>
        </w:rPr>
        <w:t>Original source:</w:t>
      </w:r>
      <w:r>
        <w:t xml:space="preserve"> https://doi.org/10.5296/rae.v11i3.15285</w:t>
      </w:r>
    </w:p>
    <w:p>
      <w:pPr/>
      <w:r>
        <w:rPr>
          <w:b/>
        </w:rPr>
        <w:t>Original future claim:</w:t>
      </w:r>
      <w:r>
        <w:t xml:space="preserve">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Later source:</w:t>
      </w:r>
      <w:r>
        <w:t xml:space="preserve"> The impact of population ageing on temperature-related mortality projections in the Czech Republic — https://doi.org/10.1088/2752-5295/aea925</w:t>
      </w:r>
    </w:p>
    <w:p>
      <w:pPr/>
      <w:r>
        <w:rPr>
          <w:b/>
        </w:rPr>
        <w:t>Later source:</w:t>
      </w:r>
      <w:r>
        <w:t xml:space="preserve"> Spatiotemporal dynamics of leptospirosis in Europe: a retrospective observational study with prospective projections — https://doi.org/10.1016/j.lanepe.2026.101671</w:t>
      </w:r>
    </w:p>
    <w:p>
      <w:pPr>
        <w:pStyle w:val="SourceNote"/>
      </w:pPr>
      <w:r>
        <w:rPr>
          <w:b/>
        </w:rPr>
        <w:t>Review status:</w:t>
      </w:r>
      <w:r>
        <w:t xml:space="preserve"> unchecked — possible relationship only</w:t>
      </w:r>
    </w:p>
    <w:p>
      <w:pPr>
        <w:pStyle w:val="Heading2"/>
      </w:pPr>
      <w:r>
        <w:t>4. Claim + two later sources: Pathways to Decarbonise the European Car Fleet: A Scenario Analysis Using the Backcasting Approach</w:t>
      </w:r>
    </w:p>
    <w:p>
      <w:pPr>
        <w:pStyle w:val="SourceNote"/>
      </w:pPr>
      <w:r>
        <w:rPr>
          <w:b/>
        </w:rPr>
        <w:t>Group ID:</w:t>
      </w:r>
      <w:r>
        <w:t xml:space="preserve"> group-a45a9cbf63ddb8b48e22</w:t>
      </w:r>
    </w:p>
    <w:p>
      <w:pPr>
        <w:pStyle w:val="SourceNote"/>
      </w:pPr>
      <w:r>
        <w:rPr>
          <w:b/>
        </w:rPr>
        <w:t>Original source:</w:t>
      </w:r>
      <w:r>
        <w:t xml:space="preserve"> https://doi.org/10.3390/en11010020</w:t>
      </w:r>
    </w:p>
    <w:p>
      <w:pPr/>
      <w:r>
        <w:rPr>
          <w:b/>
        </w:rPr>
        <w:t>Original future claim:</w:t>
      </w:r>
      <w:r>
        <w:t xml:space="preserve">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Later source:</w:t>
      </w:r>
      <w:r>
        <w:t xml:space="preserve"> The Role and Significance of Rail Transport in the Decarbonisation of the EU Transport Sector — https://doi.org/10.3390/smartcities9040064</w:t>
      </w:r>
    </w:p>
    <w:p>
      <w:pPr/>
      <w:r>
        <w:rPr>
          <w:b/>
        </w:rPr>
        <w:t>Later source:</w:t>
      </w:r>
      <w:r>
        <w:t xml:space="preserve"> Slow but tangible progress: the economic dividends of decarbonisation in Cyprus — https://openalex.org/W7159555102</w:t>
      </w:r>
    </w:p>
    <w:p>
      <w:pPr>
        <w:pStyle w:val="SourceNote"/>
      </w:pPr>
      <w:r>
        <w:rPr>
          <w:b/>
        </w:rPr>
        <w:t>Review status:</w:t>
      </w:r>
      <w:r>
        <w:t xml:space="preserve"> unchecked — possible relationship only</w:t>
      </w:r>
    </w:p>
    <w:p>
      <w:pPr>
        <w:pStyle w:val="Heading2"/>
      </w:pPr>
      <w:r>
        <w:t>5. Claim + two later sources: THE CRITICAL ANALYSIS OF SCENARIO CONSTRUCTION IN THE POLISH FORESIGHT INITIATIVES</w:t>
      </w:r>
    </w:p>
    <w:p>
      <w:pPr>
        <w:pStyle w:val="SourceNote"/>
      </w:pPr>
      <w:r>
        <w:rPr>
          <w:b/>
        </w:rPr>
        <w:t>Group ID:</w:t>
      </w:r>
      <w:r>
        <w:t xml:space="preserve"> group-a5761afe2620bc6a90a2</w:t>
      </w:r>
    </w:p>
    <w:p>
      <w:pPr>
        <w:pStyle w:val="SourceNote"/>
      </w:pPr>
      <w:r>
        <w:rPr>
          <w:b/>
        </w:rPr>
        <w:t>Original source:</w:t>
      </w:r>
      <w:r>
        <w:t xml:space="preserve"> https://doi.org/10.3846/20294913.2013.809030</w:t>
      </w:r>
    </w:p>
    <w:p>
      <w:pPr/>
      <w:r>
        <w:rPr>
          <w:b/>
        </w:rPr>
        <w:t>Original future claim:</w:t>
      </w:r>
      <w:r>
        <w:t xml:space="preserve">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Later source:</w:t>
      </w:r>
      <w:r>
        <w:t xml:space="preserve"> The making of a funding call text: How funding professionals craft interdisciplinary research opportunities for Social Sciences and Humanities — https://doi.org/10.1016/j.respol.2026.105418</w:t>
      </w:r>
    </w:p>
    <w:p>
      <w:pPr/>
      <w:r>
        <w:rPr>
          <w:b/>
        </w:rPr>
        <w:t>Later source:</w:t>
      </w:r>
      <w:r>
        <w:t xml:space="preserve"> Models of science financing in the context of European integration: analysis of European practices and prospects for Ukraine — https://doi.org/10.15407/etet2026.02.089</w:t>
      </w:r>
    </w:p>
    <w:p>
      <w:pPr>
        <w:pStyle w:val="SourceNote"/>
      </w:pPr>
      <w:r>
        <w:rPr>
          <w:b/>
        </w:rPr>
        <w:t>Review status:</w:t>
      </w:r>
      <w:r>
        <w:t xml:space="preserve"> unchecked — possible relationship only</w:t>
      </w:r>
    </w:p>
    <w:p>
      <w:pPr>
        <w:pStyle w:val="Heading2"/>
      </w:pPr>
      <w:r>
        <w:t>6. Claim + two later sources: Record dry summer in 2015 challenges precipitation projections in Central Europe</w:t>
      </w:r>
    </w:p>
    <w:p>
      <w:pPr>
        <w:pStyle w:val="SourceNote"/>
      </w:pPr>
      <w:r>
        <w:rPr>
          <w:b/>
        </w:rPr>
        <w:t>Group ID:</w:t>
      </w:r>
      <w:r>
        <w:t xml:space="preserve"> group-4316fa6c61e835956ddc</w:t>
      </w:r>
    </w:p>
    <w:p>
      <w:pPr>
        <w:pStyle w:val="SourceNote"/>
      </w:pPr>
      <w:r>
        <w:rPr>
          <w:b/>
        </w:rPr>
        <w:t>Original source:</w:t>
      </w:r>
      <w:r>
        <w:t xml:space="preserve"> https://doi.org/10.1038/srep28334</w:t>
      </w:r>
    </w:p>
    <w:p>
      <w:pPr/>
      <w:r>
        <w:rPr>
          <w:b/>
        </w:rPr>
        <w:t>Original future claim:</w:t>
      </w:r>
      <w:r>
        <w:t xml:space="preserve">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Later source:</w:t>
      </w:r>
      <w:r>
        <w:t xml:space="preserve"> Agrometeorological risk of Epitrix papa in Europe under climate change using ERA5-land and EURO-CORDEX projections — https://doi.org/10.1016/j.scitotenv.2026.181366</w:t>
      </w:r>
    </w:p>
    <w:p>
      <w:pPr/>
      <w:r>
        <w:rPr>
          <w:b/>
        </w:rPr>
        <w:t>Later source:</w:t>
      </w:r>
      <w:r>
        <w:t xml:space="preserve"> New ensemble of regional climate projections for Europe — https://doi.org/10.5281/zenodo.20340839</w:t>
      </w:r>
    </w:p>
    <w:p>
      <w:pPr>
        <w:pStyle w:val="SourceNote"/>
      </w:pPr>
      <w:r>
        <w:rPr>
          <w:b/>
        </w:rPr>
        <w:t>Review status:</w:t>
      </w:r>
      <w:r>
        <w:t xml:space="preserve"> unchecked — possible relationship only</w:t>
      </w:r>
    </w:p>
    <w:p>
      <w:pPr>
        <w:pStyle w:val="Heading2"/>
      </w:pPr>
      <w:r>
        <w:t>7. Claim + two later sources: Policy-based Population Projections for the European Union: A Complementary Approach</w:t>
      </w:r>
    </w:p>
    <w:p>
      <w:pPr>
        <w:pStyle w:val="SourceNote"/>
      </w:pPr>
      <w:r>
        <w:rPr>
          <w:b/>
        </w:rPr>
        <w:t>Group ID:</w:t>
      </w:r>
      <w:r>
        <w:t xml:space="preserve"> group-815840852148aeec8701</w:t>
      </w:r>
    </w:p>
    <w:p>
      <w:pPr>
        <w:pStyle w:val="SourceNote"/>
      </w:pPr>
      <w:r>
        <w:rPr>
          <w:b/>
        </w:rPr>
        <w:t>Original source:</w:t>
      </w:r>
      <w:r>
        <w:t xml:space="preserve"> https://doi.org/10.12765/cpos-2019-14</w:t>
      </w:r>
    </w:p>
    <w:p>
      <w:pPr/>
      <w:r>
        <w:rPr>
          <w:b/>
        </w:rPr>
        <w:t>Original future claim:</w:t>
      </w:r>
      <w:r>
        <w:t xml:space="preserve">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Later source:</w:t>
      </w:r>
      <w:r>
        <w:t xml:space="preserve"> Engagement in early childhood education: A systematic review of Gypsy, Roma and Traveller populations in Europe — https://doi.org/10.1002/rev3.70180</w:t>
      </w:r>
    </w:p>
    <w:p>
      <w:pPr/>
      <w:r>
        <w:rPr>
          <w:b/>
        </w:rPr>
        <w:t>Later source:</w:t>
      </w:r>
      <w:r>
        <w:t xml:space="preserve"> Old wine in new bottles: A pan-European regional dataset of population and GDP since 1960 — https://doi.org/10.7163/gpol.0330</w:t>
      </w:r>
    </w:p>
    <w:p>
      <w:pPr>
        <w:pStyle w:val="SourceNote"/>
      </w:pPr>
      <w:r>
        <w:rPr>
          <w:b/>
        </w:rPr>
        <w:t>Review status:</w:t>
      </w:r>
      <w:r>
        <w:t xml:space="preserve"> unchecked — possible relationship only</w:t>
      </w:r>
    </w:p>
    <w:p>
      <w:pPr>
        <w:pStyle w:val="Heading2"/>
      </w:pPr>
      <w:r>
        <w:t>8. Claim + two later sources: Life cycle assessment integration into energy system models: An application for Power-to-Methane in the EU</w:t>
      </w:r>
    </w:p>
    <w:p>
      <w:pPr>
        <w:pStyle w:val="SourceNote"/>
      </w:pPr>
      <w:r>
        <w:rPr>
          <w:b/>
        </w:rPr>
        <w:t>Group ID:</w:t>
      </w:r>
      <w:r>
        <w:t xml:space="preserve"> group-8019ef4bcfd462de0e34</w:t>
      </w:r>
    </w:p>
    <w:p>
      <w:pPr>
        <w:pStyle w:val="SourceNote"/>
      </w:pPr>
      <w:r>
        <w:rPr>
          <w:b/>
        </w:rPr>
        <w:t>Original source:</w:t>
      </w:r>
      <w:r>
        <w:t xml:space="preserve"> https://doi.org/10.1016/j.apenergy.2019.114160</w:t>
      </w:r>
    </w:p>
    <w:p>
      <w:pPr/>
      <w:r>
        <w:rPr>
          <w:b/>
        </w:rPr>
        <w:t>Original future claim:</w:t>
      </w:r>
      <w:r>
        <w:t xml:space="preserve"> This study does an ex-post LCA analysis of results from JRC-EU-TIMES and estimates the environmental impact indicators across 18 categories in scenarios that achieve 80–95% CO2 emission reduction by 2050.</w:t>
      </w:r>
    </w:p>
    <w:p>
      <w:pPr/>
      <w:r>
        <w:rPr>
          <w:b/>
        </w:rPr>
        <w:t>Later source:</w:t>
      </w:r>
      <w:r>
        <w:t xml:space="preserve"> Carbon leakage in emissions trading systems : a systematic review and meta-analysis of ex-ante and ex-post evidence — https://openalex.org/W7128126192</w:t>
      </w:r>
    </w:p>
    <w:p>
      <w:pPr/>
      <w:r>
        <w:rPr>
          <w:b/>
        </w:rPr>
        <w:t>Later source:</w:t>
      </w:r>
      <w:r>
        <w:t xml:space="preserve"> Carbon leakage in emissions trading systems: a systematic review and meta-analysis of ex-ante and ex-post evidence — https://doi.org/10.1080/14693062.2026.2627750</w:t>
      </w:r>
    </w:p>
    <w:p>
      <w:pPr>
        <w:pStyle w:val="SourceNote"/>
      </w:pPr>
      <w:r>
        <w:rPr>
          <w:b/>
        </w:rPr>
        <w:t>Review status:</w:t>
      </w:r>
      <w:r>
        <w:t xml:space="preserve"> unchecked — possible relationship only</w:t>
      </w:r>
    </w:p>
    <w:p>
      <w:pPr>
        <w:pStyle w:val="Heading2"/>
      </w:pPr>
      <w:r>
        <w:t>9. Claim + two later sources: A vibrant European labor market with full employment</w:t>
      </w:r>
    </w:p>
    <w:p>
      <w:pPr>
        <w:pStyle w:val="SourceNote"/>
      </w:pPr>
      <w:r>
        <w:rPr>
          <w:b/>
        </w:rPr>
        <w:t>Group ID:</w:t>
      </w:r>
      <w:r>
        <w:t xml:space="preserve"> group-8a39506e8079616f3245</w:t>
      </w:r>
    </w:p>
    <w:p>
      <w:pPr>
        <w:pStyle w:val="SourceNote"/>
      </w:pPr>
      <w:r>
        <w:rPr>
          <w:b/>
        </w:rPr>
        <w:t>Original source:</w:t>
      </w:r>
      <w:r>
        <w:t xml:space="preserve"> https://doi.org/10.1186/2193-9012-3-10</w:t>
      </w:r>
    </w:p>
    <w:p>
      <w:pPr/>
      <w:r>
        <w:rPr>
          <w:b/>
        </w:rPr>
        <w:t>Original future claim:</w:t>
      </w:r>
      <w:r>
        <w:t xml:space="preserve"> We hope these proposals will affect the debate about the future of the European Union, also with regard to the pivotal role and responsibility of the European Parliament and European Commission.</w:t>
      </w:r>
    </w:p>
    <w:p>
      <w:pPr/>
      <w:r>
        <w:rPr>
          <w:b/>
        </w:rPr>
        <w:t>Later source:</w:t>
      </w:r>
      <w:r>
        <w:t xml:space="preserve"> Britain and the European Union — https://doi.org/10.4324/9781003563365</w:t>
      </w:r>
    </w:p>
    <w:p>
      <w:pPr/>
      <w:r>
        <w:rPr>
          <w:b/>
        </w:rPr>
        <w:t>Later source:</w:t>
      </w:r>
      <w:r>
        <w:t xml:space="preserve"> A Critical Assessment of the EU’s Digital Omnibus Regulation Proposal and its Impact on the GDPR — https://doi.org/10.1163/15718093-bja10181</w:t>
      </w:r>
    </w:p>
    <w:p>
      <w:pPr>
        <w:pStyle w:val="SourceNote"/>
      </w:pPr>
      <w:r>
        <w:rPr>
          <w:b/>
        </w:rPr>
        <w:t>Review status:</w:t>
      </w:r>
      <w:r>
        <w:t xml:space="preserve"> unchecked — possible relationship only</w:t>
      </w:r>
    </w:p>
    <w:p>
      <w:pPr>
        <w:pStyle w:val="Heading2"/>
      </w:pPr>
      <w:r>
        <w:t>10. Claim + two later sources: Warming increases plant biomass and reduces diversity across continents, latitudes, and species migration scenarios in experimental wetland communities</w:t>
      </w:r>
    </w:p>
    <w:p>
      <w:pPr>
        <w:pStyle w:val="SourceNote"/>
      </w:pPr>
      <w:r>
        <w:rPr>
          <w:b/>
        </w:rPr>
        <w:t>Group ID:</w:t>
      </w:r>
      <w:r>
        <w:t xml:space="preserve"> group-14c442c3a3c65a345320</w:t>
      </w:r>
    </w:p>
    <w:p>
      <w:pPr>
        <w:pStyle w:val="SourceNote"/>
      </w:pPr>
      <w:r>
        <w:rPr>
          <w:b/>
        </w:rPr>
        <w:t>Original source:</w:t>
      </w:r>
      <w:r>
        <w:t xml:space="preserve"> https://doi.org/10.1111/gcb.12378</w:t>
      </w:r>
    </w:p>
    <w:p>
      <w:pPr/>
      <w:r>
        <w:rPr>
          <w:b/>
        </w:rPr>
        <w:t>Original future claim:</w:t>
      </w:r>
      <w:r>
        <w:t xml:space="preserve">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Later source:</w:t>
      </w:r>
      <w:r>
        <w:t xml:space="preserve"> Attainment of Steady State Algebraically: How Constant Coefficients in First and Second Order Differential Equations Reveal the Time Constant — https://doi.org/10.18260/1-2-510-57870</w:t>
      </w:r>
    </w:p>
    <w:p>
      <w:pPr/>
      <w:r>
        <w:rPr>
          <w:b/>
        </w:rPr>
        <w:t>Later source:</w:t>
      </w:r>
      <w:r>
        <w:t xml:space="preserve"> Virome analysis reveals ORF7 sequences of type 2 porcine respiratory and reproductive syndrome virus (PRRSV) for the first time in a rodent host (Microtus pennsylvanicus) — https://doi.org/10.1016/j.onehlt.2026.101345</w:t>
      </w:r>
    </w:p>
    <w:p>
      <w:pPr>
        <w:pStyle w:val="SourceNote"/>
      </w:pPr>
      <w:r>
        <w:rPr>
          <w:b/>
        </w:rPr>
        <w:t>Review status:</w:t>
      </w:r>
      <w:r>
        <w:t xml:space="preserve"> unchecked — possible relationship only</w:t>
      </w:r>
    </w:p>
    <w:p>
      <w:pPr>
        <w:pStyle w:val="Heading2"/>
      </w:pPr>
      <w:r>
        <w:t>11. Claim + two later sources: Surveillance and Foresight Process of the Sustainable City Context: Innovation Potential Niches and Trends at the European Level</w:t>
      </w:r>
    </w:p>
    <w:p>
      <w:pPr>
        <w:pStyle w:val="SourceNote"/>
      </w:pPr>
      <w:r>
        <w:rPr>
          <w:b/>
        </w:rPr>
        <w:t>Group ID:</w:t>
      </w:r>
      <w:r>
        <w:t xml:space="preserve"> group-66b7d513ad4fc1692533</w:t>
      </w:r>
    </w:p>
    <w:p>
      <w:pPr>
        <w:pStyle w:val="SourceNote"/>
      </w:pPr>
      <w:r>
        <w:rPr>
          <w:b/>
        </w:rPr>
        <w:t>Original source:</w:t>
      </w:r>
      <w:r>
        <w:t xml:space="preserve"> https://doi.org/10.3390/su14148795</w:t>
      </w:r>
    </w:p>
    <w:p>
      <w:pPr/>
      <w:r>
        <w:rPr>
          <w:b/>
        </w:rPr>
        <w:t>Original future claim:</w:t>
      </w:r>
      <w:r>
        <w:t xml:space="preserve">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Later source:</w:t>
      </w:r>
      <w:r>
        <w:t xml:space="preserve"> Prioritizing light-vehicle electrification cities through real-world pollution-based GIS assessment — https://doi.org/10.1016/j.trd.2026.105242</w:t>
      </w:r>
    </w:p>
    <w:p>
      <w:pPr/>
      <w:r>
        <w:rPr>
          <w:b/>
        </w:rPr>
        <w:t>Later source:</w:t>
      </w:r>
      <w:r>
        <w:t xml:space="preserve"> Air pollution and greenspace exposure disparities revealed by hyperlocal exposure metrics across European cities — https://doi.org/10.1038/s44458-026-00046-6</w:t>
      </w:r>
    </w:p>
    <w:p>
      <w:pPr>
        <w:pStyle w:val="SourceNote"/>
      </w:pPr>
      <w:r>
        <w:rPr>
          <w:b/>
        </w:rPr>
        <w:t>Review status:</w:t>
      </w:r>
      <w:r>
        <w:t xml:space="preserve"> unchecked — possible relationship only</w:t>
      </w:r>
    </w:p>
    <w:p>
      <w:pPr>
        <w:pStyle w:val="Heading2"/>
      </w:pPr>
      <w:r>
        <w:t>12. Claim + two later sources: ENERGY: DEVELOPMENT FORECASTS, BIFURCATION POINTS (OVERVIEW)</w:t>
      </w:r>
    </w:p>
    <w:p>
      <w:pPr>
        <w:pStyle w:val="SourceNote"/>
      </w:pPr>
      <w:r>
        <w:rPr>
          <w:b/>
        </w:rPr>
        <w:t>Group ID:</w:t>
      </w:r>
      <w:r>
        <w:t xml:space="preserve"> group-a4d46d515816672f0acf</w:t>
      </w:r>
    </w:p>
    <w:p>
      <w:pPr>
        <w:pStyle w:val="SourceNote"/>
      </w:pPr>
      <w:r>
        <w:rPr>
          <w:b/>
        </w:rPr>
        <w:t>Original source:</w:t>
      </w:r>
      <w:r>
        <w:t xml:space="preserve"> https://doi.org/10.31472/ttpe.4.2020.7</w:t>
      </w:r>
    </w:p>
    <w:p>
      <w:pPr/>
      <w:r>
        <w:rPr>
          <w:b/>
        </w:rPr>
        <w:t>Original future claim:</w:t>
      </w:r>
      <w:r>
        <w:t xml:space="preserve">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Later source:</w:t>
      </w:r>
      <w:r>
        <w:t xml:space="preserve"> Defining the World: International Political Communication in the Platform Era — https://doi.org/10.1007/978-3-032-13937-5_2</w:t>
      </w:r>
    </w:p>
    <w:p>
      <w:pPr/>
      <w:r>
        <w:rPr>
          <w:b/>
        </w:rPr>
        <w:t>Later source:</w:t>
      </w:r>
      <w:r>
        <w:t xml:space="preserve"> Women's Political Engagement and Empowerment in a Globalized World: The Indian Experience — https://doi.org/10.5281/zenodo.18943598</w:t>
      </w:r>
    </w:p>
    <w:p>
      <w:pPr>
        <w:pStyle w:val="SourceNote"/>
      </w:pPr>
      <w:r>
        <w:rPr>
          <w:b/>
        </w:rPr>
        <w:t>Review status:</w:t>
      </w:r>
      <w:r>
        <w:t xml:space="preserve"> unchecked — possible relationship only</w:t>
      </w:r>
    </w:p>
    <w:p>
      <w:pPr>
        <w:pStyle w:val="Heading2"/>
      </w:pPr>
      <w:r>
        <w:t>13. Claim + two later sources: Foresight Research as а Strategic Planning Component</w:t>
      </w:r>
    </w:p>
    <w:p>
      <w:pPr>
        <w:pStyle w:val="SourceNote"/>
      </w:pPr>
      <w:r>
        <w:rPr>
          <w:b/>
        </w:rPr>
        <w:t>Group ID:</w:t>
      </w:r>
      <w:r>
        <w:t xml:space="preserve"> group-a6d617a3312cae84a351</w:t>
      </w:r>
    </w:p>
    <w:p>
      <w:pPr>
        <w:pStyle w:val="SourceNote"/>
      </w:pPr>
      <w:r>
        <w:rPr>
          <w:b/>
        </w:rPr>
        <w:t>Original source:</w:t>
      </w:r>
      <w:r>
        <w:t xml:space="preserve"> https://doi.org/10.37491/unz.85-86.15</w:t>
      </w:r>
    </w:p>
    <w:p>
      <w:pPr/>
      <w:r>
        <w:rPr>
          <w:b/>
        </w:rPr>
        <w:t>Original future claim:</w:t>
      </w:r>
      <w:r>
        <w:t xml:space="preserve"> While forecasting tries to predict a single «correct» version of the future, Forsythe uses several alternative plausible futures based on their usefulness to develop sound, forward-looking policies.</w:t>
      </w:r>
    </w:p>
    <w:p>
      <w:pPr/>
      <w:r>
        <w:rPr>
          <w:b/>
        </w:rPr>
        <w:t>Later source:</w:t>
      </w:r>
      <w:r>
        <w:t xml:space="preserve"> Challenges and Opportunities in Single-Sample Network Modeling — https://doi.org/10.64898/2026.02.27.708608</w:t>
      </w:r>
    </w:p>
    <w:p>
      <w:pPr/>
      <w:r>
        <w:rPr>
          <w:b/>
        </w:rPr>
        <w:t>Later source:</w:t>
      </w:r>
      <w:r>
        <w:t xml:space="preserve"> A tissue time machine to forward-predict single-timepoint data applied to tuberculosis granulomas — https://doi.org/10.64898/2026.10.09.758083</w:t>
      </w:r>
    </w:p>
    <w:p>
      <w:pPr>
        <w:pStyle w:val="SourceNote"/>
      </w:pPr>
      <w:r>
        <w:rPr>
          <w:b/>
        </w:rPr>
        <w:t>Review status:</w:t>
      </w:r>
      <w:r>
        <w:t xml:space="preserve"> unchecked — possible relationship only</w:t>
      </w:r>
    </w:p>
    <w:p>
      <w:pPr>
        <w:pStyle w:val="Heading2"/>
      </w:pPr>
      <w:r>
        <w:t>14. Claim + two later sources: Scenarios for Chemistry Teacher Training and Practice in Romania in 2030: Views of Chemistry Students</w:t>
      </w:r>
    </w:p>
    <w:p>
      <w:pPr>
        <w:pStyle w:val="SourceNote"/>
      </w:pPr>
      <w:r>
        <w:rPr>
          <w:b/>
        </w:rPr>
        <w:t>Group ID:</w:t>
      </w:r>
      <w:r>
        <w:t xml:space="preserve"> group-9422e337a23c671de31d</w:t>
      </w:r>
    </w:p>
    <w:p>
      <w:pPr>
        <w:pStyle w:val="SourceNote"/>
      </w:pPr>
      <w:r>
        <w:rPr>
          <w:b/>
        </w:rPr>
        <w:t>Original source:</w:t>
      </w:r>
      <w:r>
        <w:t xml:space="preserve"> https://doi.org/10.13187/ejced.2017.4.797</w:t>
      </w:r>
    </w:p>
    <w:p>
      <w:pPr/>
      <w:r>
        <w:rPr>
          <w:b/>
        </w:rPr>
        <w:t>Original future claim:</w:t>
      </w:r>
      <w:r>
        <w:t xml:space="preserve">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Later source:</w:t>
      </w:r>
      <w:r>
        <w:t xml:space="preserve"> Placebo and nocebo in clinical practice: An online cross-sectional survey of healthcare professionals from European countries on views, practices and training needs — https://doi.org/10.1371/journal.pone.0338905</w:t>
      </w:r>
    </w:p>
    <w:p>
      <w:pPr/>
      <w:r>
        <w:rPr>
          <w:b/>
        </w:rPr>
        <w:t>Later source:</w:t>
      </w:r>
      <w:r>
        <w:t xml:space="preserve"> Education and training of home hemodialysis patients in Europe: a scoping review — https://doi.org/10.33393/gcnd.2026.3589</w:t>
      </w:r>
    </w:p>
    <w:p>
      <w:pPr>
        <w:pStyle w:val="SourceNote"/>
      </w:pPr>
      <w:r>
        <w:rPr>
          <w:b/>
        </w:rPr>
        <w:t>Review status:</w:t>
      </w:r>
      <w:r>
        <w:t xml:space="preserve"> unchecked — possible relationship only</w:t>
      </w:r>
    </w:p>
    <w:p>
      <w:pPr>
        <w:pStyle w:val="Heading2"/>
      </w:pPr>
      <w:r>
        <w:t>15. Claim + two later sources: Global food security: assessing trends in view of guiding future EU policies</w:t>
      </w:r>
    </w:p>
    <w:p>
      <w:pPr>
        <w:pStyle w:val="SourceNote"/>
      </w:pPr>
      <w:r>
        <w:rPr>
          <w:b/>
        </w:rPr>
        <w:t>Group ID:</w:t>
      </w:r>
      <w:r>
        <w:t xml:space="preserve"> group-7221952170cae140aa3f</w:t>
      </w:r>
    </w:p>
    <w:p>
      <w:pPr>
        <w:pStyle w:val="SourceNote"/>
      </w:pPr>
      <w:r>
        <w:rPr>
          <w:b/>
        </w:rPr>
        <w:t>Original source:</w:t>
      </w:r>
      <w:r>
        <w:t xml:space="preserve"> https://doi.org/10.1108/fs-07-2015-0040</w:t>
      </w:r>
    </w:p>
    <w:p>
      <w:pPr/>
      <w:r>
        <w:rPr>
          <w:b/>
        </w:rPr>
        <w:t>Original future claim:</w:t>
      </w:r>
      <w:r>
        <w:t xml:space="preserve">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Need for Synergy in Foresight Research for Healthcare and Medical Sciences — https://doi.org/10.36401/iddb-25-1</w:t>
      </w:r>
    </w:p>
    <w:p>
      <w:pPr>
        <w:pStyle w:val="SourceNote"/>
      </w:pPr>
      <w:r>
        <w:rPr>
          <w:b/>
        </w:rPr>
        <w:t>Review status:</w:t>
      </w:r>
      <w:r>
        <w:t xml:space="preserve"> unchecked — possible relationship only</w:t>
      </w:r>
    </w:p>
    <w:p>
      <w:pPr>
        <w:pStyle w:val="Heading2"/>
      </w:pPr>
      <w:r>
        <w:t>16. Claim + two later sources: Transition pathways for a UK low-carbon electricity system: Comparing scenarios and technology implications</w:t>
      </w:r>
    </w:p>
    <w:p>
      <w:pPr>
        <w:pStyle w:val="SourceNote"/>
      </w:pPr>
      <w:r>
        <w:rPr>
          <w:b/>
        </w:rPr>
        <w:t>Group ID:</w:t>
      </w:r>
      <w:r>
        <w:t xml:space="preserve"> group-a9c10c954e3df27afe99</w:t>
      </w:r>
    </w:p>
    <w:p>
      <w:pPr>
        <w:pStyle w:val="SourceNote"/>
      </w:pPr>
      <w:r>
        <w:rPr>
          <w:b/>
        </w:rPr>
        <w:t>Original source:</w:t>
      </w:r>
      <w:r>
        <w:t xml:space="preserve"> https://doi.org/10.1016/j.rser.2017.10.007</w:t>
      </w:r>
    </w:p>
    <w:p>
      <w:pPr/>
      <w:r>
        <w:rPr>
          <w:b/>
        </w:rPr>
        <w:t>Original future claim:</w:t>
      </w:r>
      <w:r>
        <w:t xml:space="preserve">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Later source:</w:t>
      </w:r>
      <w:r>
        <w:t xml:space="preserve"> Feasibility and Outcomes of Social Enterprise Models to Enhance Financial Sustainability in Kenyan Health Systems: A Systematic Review — https://doi.org/10.5281/zenodo.19565505</w:t>
      </w:r>
    </w:p>
    <w:p>
      <w:pPr/>
      <w:r>
        <w:rPr>
          <w:b/>
        </w:rPr>
        <w:t>Later source:</w:t>
      </w:r>
      <w:r>
        <w:t xml:space="preserve"> Updated International Patient Decision Aid Standards (IPDAS version 5.0): modified Delphi, evidence informed consensus process — https://doi.org/10.1136/bmj-2025-088116</w:t>
      </w:r>
    </w:p>
    <w:p>
      <w:pPr>
        <w:pStyle w:val="SourceNote"/>
      </w:pPr>
      <w:r>
        <w:rPr>
          <w:b/>
        </w:rPr>
        <w:t>Review status:</w:t>
      </w:r>
      <w:r>
        <w:t xml:space="preserve"> unchecked — possible relationship only</w:t>
      </w:r>
    </w:p>
    <w:p>
      <w:pPr>
        <w:pStyle w:val="Heading2"/>
      </w:pPr>
      <w:r>
        <w:t>17. Claim + two later sources: Alternative scenarios investigation of 1990..2016 CO 2 emission from Public Electricity and Heat Production sectors in Europe</w:t>
      </w:r>
    </w:p>
    <w:p>
      <w:pPr>
        <w:pStyle w:val="SourceNote"/>
      </w:pPr>
      <w:r>
        <w:rPr>
          <w:b/>
        </w:rPr>
        <w:t>Group ID:</w:t>
      </w:r>
      <w:r>
        <w:t xml:space="preserve"> group-8798e3eeac521858f027</w:t>
      </w:r>
    </w:p>
    <w:p>
      <w:pPr>
        <w:pStyle w:val="SourceNote"/>
      </w:pPr>
      <w:r>
        <w:rPr>
          <w:b/>
        </w:rPr>
        <w:t>Original source:</w:t>
      </w:r>
      <w:r>
        <w:t xml:space="preserve"> https://doi.org/10.1051/e3sconf/201911600053</w:t>
      </w:r>
    </w:p>
    <w:p>
      <w:pPr/>
      <w:r>
        <w:rPr>
          <w:b/>
        </w:rPr>
        <w:t>Original future claim:</w:t>
      </w:r>
      <w:r>
        <w:t xml:space="preserve"> Graphical overview of 108 prepared (real and alternatives) emission pathways allow assessing CO 2 emission factors impact, pathways grouping and indicating the dominant pathway of 1990..2016 decarbonisation in EU national PEHP sectors.</w:t>
      </w:r>
    </w:p>
    <w:p>
      <w:pPr/>
      <w:r>
        <w:rPr>
          <w:b/>
        </w:rPr>
        <w:t>Later source:</w:t>
      </w:r>
      <w:r>
        <w:t xml:space="preserve"> Emission Scenarios for Europe under the CATALYSE Project: Beyond the Green Deal — https://openalex.org/W7125621332</w:t>
      </w:r>
    </w:p>
    <w:p>
      <w:pPr/>
      <w:r>
        <w:rPr>
          <w:b/>
        </w:rPr>
        <w:t>Later source:</w:t>
      </w:r>
      <w:r>
        <w:t xml:space="preserve"> The European Dilemma—Energy Security or Green Transition — https://doi.org/10.3390/en16093849</w:t>
      </w:r>
    </w:p>
    <w:p>
      <w:pPr>
        <w:pStyle w:val="SourceNote"/>
      </w:pPr>
      <w:r>
        <w:rPr>
          <w:b/>
        </w:rPr>
        <w:t>Review status:</w:t>
      </w:r>
      <w:r>
        <w:t xml:space="preserve"> unchecked — possible relationship only</w:t>
      </w:r>
    </w:p>
    <w:p>
      <w:pPr>
        <w:pStyle w:val="Heading2"/>
      </w:pPr>
      <w:r>
        <w:t>18. Claim + two later sources: Pathways for Low-Carbon Transition of the Steel Industry—A Swedish Case Study</w:t>
      </w:r>
    </w:p>
    <w:p>
      <w:pPr>
        <w:pStyle w:val="SourceNote"/>
      </w:pPr>
      <w:r>
        <w:rPr>
          <w:b/>
        </w:rPr>
        <w:t>Group ID:</w:t>
      </w:r>
      <w:r>
        <w:t xml:space="preserve"> group-27353ef042d38892edb2</w:t>
      </w:r>
    </w:p>
    <w:p>
      <w:pPr>
        <w:pStyle w:val="SourceNote"/>
      </w:pPr>
      <w:r>
        <w:rPr>
          <w:b/>
        </w:rPr>
        <w:t>Original source:</w:t>
      </w:r>
      <w:r>
        <w:t xml:space="preserve"> https://doi.org/10.3390/en13153840</w:t>
      </w:r>
    </w:p>
    <w:p>
      <w:pPr/>
      <w:r>
        <w:rPr>
          <w:b/>
        </w:rPr>
        <w:t>Original future claim:</w:t>
      </w:r>
      <w:r>
        <w:t xml:space="preserve">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Later source:</w:t>
      </w:r>
      <w:r>
        <w:t xml:space="preserve"> Circular futures of the cement and concrete industry in the European Union: enriching prospective life cycle assessment with participatory foresight — https://doi.org/10.1007/s11367-026-02699-w</w:t>
      </w:r>
    </w:p>
    <w:p>
      <w:pPr/>
      <w:r>
        <w:rPr>
          <w:b/>
        </w:rPr>
        <w:t>Later source:</w:t>
      </w:r>
      <w:r>
        <w:t xml:space="preserve"> An Econometric Analysis of CO2 Emission Intensity in Poland’s Blast Furnace–Basic Oxygen Furnace Steelmaking Process — https://doi.org/10.3390/su17094045</w:t>
      </w:r>
    </w:p>
    <w:p>
      <w:pPr>
        <w:pStyle w:val="SourceNote"/>
      </w:pPr>
      <w:r>
        <w:rPr>
          <w:b/>
        </w:rPr>
        <w:t>Review status:</w:t>
      </w:r>
      <w:r>
        <w:t xml:space="preserve"> unchecked — possible relationship only</w:t>
      </w:r>
    </w:p>
    <w:p>
      <w:pPr>
        <w:pStyle w:val="Heading2"/>
      </w:pPr>
      <w:r>
        <w:t>19. Claim + two later sources: Alternative future energy pathways: Assessment of the potential of innovative decentralised energy systems in the UK</w:t>
      </w:r>
    </w:p>
    <w:p>
      <w:pPr>
        <w:pStyle w:val="SourceNote"/>
      </w:pPr>
      <w:r>
        <w:rPr>
          <w:b/>
        </w:rPr>
        <w:t>Group ID:</w:t>
      </w:r>
      <w:r>
        <w:t xml:space="preserve"> group-03e565fcba278780486b</w:t>
      </w:r>
    </w:p>
    <w:p>
      <w:pPr>
        <w:pStyle w:val="SourceNote"/>
      </w:pPr>
      <w:r>
        <w:rPr>
          <w:b/>
        </w:rPr>
        <w:t>Original source:</w:t>
      </w:r>
      <w:r>
        <w:t xml:space="preserve"> https://doi.org/10.1016/j.enpol.2013.10.080</w:t>
      </w:r>
    </w:p>
    <w:p>
      <w:pPr/>
      <w:r>
        <w:rPr>
          <w:b/>
        </w:rPr>
        <w:t>Original future claim:</w:t>
      </w:r>
      <w:r>
        <w:t xml:space="preserve">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Later source:</w:t>
      </w:r>
      <w:r>
        <w:t xml:space="preserve"> Value-Engineered Design Optimization of a Recycled Plastic Bracket to Meet Natural Frequency Targets in Passenger Vehicles — https://doi.org/10.4271/2026-26-0355</w:t>
      </w:r>
    </w:p>
    <w:p>
      <w:pPr/>
      <w:r>
        <w:rPr>
          <w:b/>
        </w:rPr>
        <w:t>Later source:</w:t>
      </w:r>
      <w:r>
        <w:t xml:space="preserve"> Fleet renewal and retrofit for emission reductions in offshore logistics — https://doi.org/10.1016/j.martra.2026.100150</w:t>
      </w:r>
    </w:p>
    <w:p>
      <w:pPr>
        <w:pStyle w:val="SourceNote"/>
      </w:pPr>
      <w:r>
        <w:rPr>
          <w:b/>
        </w:rPr>
        <w:t>Review status:</w:t>
      </w:r>
      <w:r>
        <w:t xml:space="preserve"> unchecked — possible relationship only</w:t>
      </w:r>
    </w:p>
    <w:p>
      <w:pPr>
        <w:pStyle w:val="Heading2"/>
      </w:pPr>
      <w:r>
        <w:t>20. Claim + two later sources: Scenario Forecasting of Agriculture Institutional Transformation on Sustainable Development Base</w:t>
      </w:r>
    </w:p>
    <w:p>
      <w:pPr>
        <w:pStyle w:val="SourceNote"/>
      </w:pPr>
      <w:r>
        <w:rPr>
          <w:b/>
        </w:rPr>
        <w:t>Group ID:</w:t>
      </w:r>
      <w:r>
        <w:t xml:space="preserve"> group-2ae19a6a95c3444dd982</w:t>
      </w:r>
    </w:p>
    <w:p>
      <w:pPr>
        <w:pStyle w:val="SourceNote"/>
      </w:pPr>
      <w:r>
        <w:rPr>
          <w:b/>
        </w:rPr>
        <w:t>Original source:</w:t>
      </w:r>
      <w:r>
        <w:t xml:space="preserve"> https://doi.org/10.37394/232015.2021.17.55</w:t>
      </w:r>
    </w:p>
    <w:p>
      <w:pPr/>
      <w:r>
        <w:rPr>
          <w:b/>
        </w:rPr>
        <w:t>Original future claim:</w:t>
      </w:r>
      <w:r>
        <w:t xml:space="preserve"> Three scenarios of the forecast development of agricultural sector of Ukraine economy (pessimistic, realistic, and optimistic) are outlined in the article.</w:t>
      </w:r>
    </w:p>
    <w:p>
      <w:pPr/>
      <w:r>
        <w:rPr>
          <w:b/>
        </w:rPr>
        <w:t>Later source:</w:t>
      </w:r>
      <w:r>
        <w:t xml:space="preserve"> IT SECTOR AS A FACTOR OF ECONOMIC STABILITY AND RECOVERY OF THE NATIONAL ECONOMY OF UKRAINE — https://doi.org/10.31732/2663-2209-2026-81-78-87</w:t>
      </w:r>
    </w:p>
    <w:p>
      <w:pPr/>
      <w:r>
        <w:rPr>
          <w:b/>
        </w:rPr>
        <w:t>Later source:</w:t>
      </w:r>
      <w:r>
        <w:t xml:space="preserve"> Agricultural Development and Industrialisation in South Korea: A Three-level Analysis of Productivity, Inter-sectoral Linkages, and GHGs Emissions — https://doi.org/10.25501/soas.01025535</w:t>
      </w:r>
    </w:p>
    <w:p>
      <w:pPr>
        <w:pStyle w:val="SourceNote"/>
      </w:pPr>
      <w:r>
        <w:rPr>
          <w:b/>
        </w:rPr>
        <w:t>Review status:</w:t>
      </w:r>
      <w:r>
        <w:t xml:space="preserve"> unchecked — possible relationship only</w:t>
      </w:r>
    </w:p>
    <w:p>
      <w:pPr>
        <w:pStyle w:val="Heading2"/>
      </w:pPr>
      <w:r>
        <w:t>21. Claim + two later sources: Reform of experimental structures in animal science in France: From exploratory foresight to operational set-up</w:t>
      </w:r>
    </w:p>
    <w:p>
      <w:pPr>
        <w:pStyle w:val="SourceNote"/>
      </w:pPr>
      <w:r>
        <w:rPr>
          <w:b/>
        </w:rPr>
        <w:t>Group ID:</w:t>
      </w:r>
      <w:r>
        <w:t xml:space="preserve"> group-07f960d9ab5f2366afbb</w:t>
      </w:r>
    </w:p>
    <w:p>
      <w:pPr>
        <w:pStyle w:val="SourceNote"/>
      </w:pPr>
      <w:r>
        <w:rPr>
          <w:b/>
        </w:rPr>
        <w:t>Original source:</w:t>
      </w:r>
      <w:r>
        <w:t xml:space="preserve"> https://doi.org/10.1684/agr.2014.0698</w:t>
      </w:r>
    </w:p>
    <w:p>
      <w:pPr/>
      <w:r>
        <w:rPr>
          <w:b/>
        </w:rPr>
        <w:t>Original future claim:</w:t>
      </w:r>
      <w:r>
        <w:t xml:space="preserve">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Later source:</w:t>
      </w:r>
      <w:r>
        <w:t xml:space="preserve"> DATA PROTECTION IN A COMPARATIVE PERSPECTIVE: BRAZILIAN GENERAL DATA PROTECTION LAW – LGPD AND EUROPEAN GENERAL DATA PROTECTION REGULATION – GDPR — https://doi.org/10.56238/arev8n8-065</w:t>
      </w:r>
    </w:p>
    <w:p>
      <w:pPr/>
      <w:r>
        <w:rPr>
          <w:b/>
        </w:rPr>
        <w:t>Later source:</w:t>
      </w:r>
      <w:r>
        <w:t xml:space="preserve"> FORMS AND METHODS OF INNOVATIVE ACTIVITY IN THE EDUCATIONAL ENVIRONMENT OF GENERAL SECONDARY SCHOOLS IN EUROPEAN COUNTRIES — https://doi.org/10.36550/2415-7988-2026-1-224-291-295</w:t>
      </w:r>
    </w:p>
    <w:p>
      <w:pPr>
        <w:pStyle w:val="SourceNote"/>
      </w:pPr>
      <w:r>
        <w:rPr>
          <w:b/>
        </w:rPr>
        <w:t>Review status:</w:t>
      </w:r>
      <w:r>
        <w:t xml:space="preserve"> unchecked — possible relationship only</w:t>
      </w:r>
    </w:p>
    <w:p>
      <w:pPr>
        <w:pStyle w:val="Heading2"/>
      </w:pPr>
      <w:r>
        <w:t>22. Claim + two later sources: First-mover advantages of the European Union's climate change mitigation strategy</w:t>
      </w:r>
    </w:p>
    <w:p>
      <w:pPr>
        <w:pStyle w:val="SourceNote"/>
      </w:pPr>
      <w:r>
        <w:rPr>
          <w:b/>
        </w:rPr>
        <w:t>Group ID:</w:t>
      </w:r>
      <w:r>
        <w:t xml:space="preserve"> group-8d4d3be98118eb72e7d5</w:t>
      </w:r>
    </w:p>
    <w:p>
      <w:pPr>
        <w:pStyle w:val="SourceNote"/>
      </w:pPr>
      <w:r>
        <w:rPr>
          <w:b/>
        </w:rPr>
        <w:t>Original source:</w:t>
      </w:r>
      <w:r>
        <w:t xml:space="preserve"> https://doi.org/10.1002/er.3487</w:t>
      </w:r>
    </w:p>
    <w:p>
      <w:pPr/>
      <w:r>
        <w:rPr>
          <w:b/>
        </w:rPr>
        <w:t>Original future claim:</w:t>
      </w:r>
      <w:r>
        <w:t xml:space="preserve">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Climate change will increase forest disturbances in Europe throughout the 21st century — https://doi.org/10.1126/science.adx6329</w:t>
      </w:r>
    </w:p>
    <w:p>
      <w:pPr>
        <w:pStyle w:val="SourceNote"/>
      </w:pPr>
      <w:r>
        <w:rPr>
          <w:b/>
        </w:rPr>
        <w:t>Review status:</w:t>
      </w:r>
      <w:r>
        <w:t xml:space="preserve"> unchecked — possible relationship only</w:t>
      </w:r>
    </w:p>
    <w:p>
      <w:pPr>
        <w:pStyle w:val="Heading2"/>
      </w:pPr>
      <w:r>
        <w:t>23. Claim + two later sources: Decarbonizing Sweden’s energy and transportation system by 2050</w:t>
      </w:r>
    </w:p>
    <w:p>
      <w:pPr>
        <w:pStyle w:val="SourceNote"/>
      </w:pPr>
      <w:r>
        <w:rPr>
          <w:b/>
        </w:rPr>
        <w:t>Group ID:</w:t>
      </w:r>
      <w:r>
        <w:t xml:space="preserve"> group-19d46632548a73b75e2a</w:t>
      </w:r>
    </w:p>
    <w:p>
      <w:pPr>
        <w:pStyle w:val="SourceNote"/>
      </w:pPr>
      <w:r>
        <w:rPr>
          <w:b/>
        </w:rPr>
        <w:t>Original source:</w:t>
      </w:r>
      <w:r>
        <w:t xml:space="preserve"> https://doi.org/10.5278/ijsepm.2017.14.2</w:t>
      </w:r>
    </w:p>
    <w:p>
      <w:pPr/>
      <w:r>
        <w:rPr>
          <w:b/>
        </w:rPr>
        <w:t>Original future claim:</w:t>
      </w:r>
      <w:r>
        <w:t xml:space="preserve">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Later source:</w:t>
      </w:r>
      <w:r>
        <w:t xml:space="preserve"> Research on the applicability of alternative decarbonization methods for cruise ships — https://doi.org/10.63662/dissertations/petrova-2025</w:t>
      </w:r>
    </w:p>
    <w:p>
      <w:pPr/>
      <w:r>
        <w:rPr>
          <w:b/>
        </w:rPr>
        <w:t>Later source:</w:t>
      </w:r>
      <w:r>
        <w:t xml:space="preserve"> Decarbonization Pathways in the European Union: Sectoral Contributions to CO2 Emissions Reductions (2000–2022) — https://doi.org/10.3390/environments13030163</w:t>
      </w:r>
    </w:p>
    <w:p>
      <w:pPr>
        <w:pStyle w:val="SourceNote"/>
      </w:pPr>
      <w:r>
        <w:rPr>
          <w:b/>
        </w:rPr>
        <w:t>Review status:</w:t>
      </w:r>
      <w:r>
        <w:t xml:space="preserve"> unchecked — possible relationship only</w:t>
      </w:r>
    </w:p>
    <w:p>
      <w:pPr>
        <w:pStyle w:val="Heading2"/>
      </w:pPr>
      <w:r>
        <w:t>24. Claim + two later sources: Boosting the EU forest-based bioeconomy: Market, climate, and employment impacts</w:t>
      </w:r>
    </w:p>
    <w:p>
      <w:pPr>
        <w:pStyle w:val="SourceNote"/>
      </w:pPr>
      <w:r>
        <w:rPr>
          <w:b/>
        </w:rPr>
        <w:t>Group ID:</w:t>
      </w:r>
      <w:r>
        <w:t xml:space="preserve"> group-90403a95049e086a1a85</w:t>
      </w:r>
    </w:p>
    <w:p>
      <w:pPr>
        <w:pStyle w:val="SourceNote"/>
      </w:pPr>
      <w:r>
        <w:rPr>
          <w:b/>
        </w:rPr>
        <w:t>Original source:</w:t>
      </w:r>
      <w:r>
        <w:t xml:space="preserve"> https://doi.org/10.1016/j.techfore.2020.120478</w:t>
      </w:r>
    </w:p>
    <w:p>
      <w:pPr/>
      <w:r>
        <w:rPr>
          <w:b/>
        </w:rPr>
        <w:t>Original future claim:</w:t>
      </w:r>
      <w:r>
        <w:t xml:space="preserve">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CHANGES IN FRUIT PRODUCTION AND IMPORTS FROM TURKEY TO EUROPEAN UNION COUNTRIES — https://doi.org/10.5604/01.3001.0055.6187</w:t>
      </w:r>
    </w:p>
    <w:p>
      <w:pPr>
        <w:pStyle w:val="SourceNote"/>
      </w:pPr>
      <w:r>
        <w:rPr>
          <w:b/>
        </w:rPr>
        <w:t>Review status:</w:t>
      </w:r>
      <w:r>
        <w:t xml:space="preserve"> unchecked — possible relationship only</w:t>
      </w:r>
    </w:p>
    <w:p>
      <w:pPr>
        <w:pStyle w:val="Heading2"/>
      </w:pPr>
      <w:r>
        <w:t>25. Claim + two later sources: The Great Future Debate and the Struggle for the World</w:t>
      </w:r>
    </w:p>
    <w:p>
      <w:pPr>
        <w:pStyle w:val="SourceNote"/>
      </w:pPr>
      <w:r>
        <w:rPr>
          <w:b/>
        </w:rPr>
        <w:t>Group ID:</w:t>
      </w:r>
      <w:r>
        <w:t xml:space="preserve"> group-ce477d8ac1dc8600e920</w:t>
      </w:r>
    </w:p>
    <w:p>
      <w:pPr>
        <w:pStyle w:val="SourceNote"/>
      </w:pPr>
      <w:r>
        <w:rPr>
          <w:b/>
        </w:rPr>
        <w:t>Original source:</w:t>
      </w:r>
      <w:r>
        <w:t xml:space="preserve"> https://doi.org/10.1093/ahr/117.5.1411</w:t>
      </w:r>
    </w:p>
    <w:p>
      <w:pPr/>
      <w:r>
        <w:rPr>
          <w:b/>
        </w:rPr>
        <w:t>Original future claim:</w:t>
      </w:r>
      <w:r>
        <w:t xml:space="preserve">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Later source:</w:t>
      </w:r>
      <w:r>
        <w:t xml:space="preserve"> The Revolution Inside Wells’s War — https://doi.org/10.1093/9780191993800.003.0015</w:t>
      </w:r>
    </w:p>
    <w:p>
      <w:pPr/>
      <w:r>
        <w:rPr>
          <w:b/>
        </w:rPr>
        <w:t>Later source:</w:t>
      </w:r>
      <w:r>
        <w:t xml:space="preserve"> “The Ultimate Hustlers”: Markets, Single Mothers, and Radical Care Praxis in Kampala, Uganda — https://doi.org/10.1080/24694452.2026.2659159</w:t>
      </w:r>
    </w:p>
    <w:p>
      <w:pPr>
        <w:pStyle w:val="SourceNote"/>
      </w:pPr>
      <w:r>
        <w:rPr>
          <w:b/>
        </w:rPr>
        <w:t>Review status:</w:t>
      </w:r>
      <w:r>
        <w:t xml:space="preserve"> unchecked — possible relationship only</w:t>
      </w:r>
    </w:p>
    <w:p>
      <w:pPr>
        <w:pStyle w:val="Heading2"/>
      </w:pPr>
      <w:r>
        <w:t>26. Claim + two later sources: Clean Disruption for Abundant Futures - Neo-Carbon Energy Futures Clinique III</w:t>
      </w:r>
    </w:p>
    <w:p>
      <w:pPr>
        <w:pStyle w:val="SourceNote"/>
      </w:pPr>
      <w:r>
        <w:rPr>
          <w:b/>
        </w:rPr>
        <w:t>Group ID:</w:t>
      </w:r>
      <w:r>
        <w:t xml:space="preserve"> group-8aa96360dd06055d89af</w:t>
      </w:r>
    </w:p>
    <w:p>
      <w:pPr>
        <w:pStyle w:val="SourceNote"/>
      </w:pPr>
      <w:r>
        <w:rPr>
          <w:b/>
        </w:rPr>
        <w:t>Original source:</w:t>
      </w:r>
      <w:r>
        <w:t xml:space="preserve"> https://doi.org/10.13140/rg.2.2.25471.87200</w:t>
      </w:r>
    </w:p>
    <w:p>
      <w:pPr/>
      <w:r>
        <w:rPr>
          <w:b/>
        </w:rPr>
        <w:t>Original future claim:</w:t>
      </w:r>
      <w:r>
        <w:t xml:space="preserve"> The four transformational scenarios of the Neo-Carbon Energy project were used as material for the groups’ foresight work.</w:t>
      </w:r>
    </w:p>
    <w:p>
      <w:pPr/>
      <w:r>
        <w:rPr>
          <w:b/>
        </w:rPr>
        <w:t>Later source:</w:t>
      </w:r>
      <w:r>
        <w:t xml:space="preserve"> Final report: Project 2.4.2 Accelerating Food Transformation — https://doi.org/10.5204/eprints.264226</w:t>
      </w:r>
    </w:p>
    <w:p>
      <w:pPr/>
      <w:r>
        <w:rPr>
          <w:b/>
        </w:rPr>
        <w:t>Later source:</w:t>
      </w:r>
      <w:r>
        <w:t xml:space="preserve"> Globalization and digital transformation: are impacts on skills and inequality in four future scenarios converging? — https://doi.org/10.1080/13511610.2026.2656886</w:t>
      </w:r>
    </w:p>
    <w:p>
      <w:pPr>
        <w:pStyle w:val="SourceNote"/>
      </w:pPr>
      <w:r>
        <w:rPr>
          <w:b/>
        </w:rPr>
        <w:t>Review status:</w:t>
      </w:r>
      <w:r>
        <w:t xml:space="preserve"> unchecked — possible relationship only</w:t>
      </w:r>
    </w:p>
    <w:p>
      <w:pPr>
        <w:pStyle w:val="Heading2"/>
      </w:pPr>
      <w:r>
        <w:t>27. Claim + two later sources: Pressures on soil functions from soil management in Germany. A foresight review</w:t>
      </w:r>
    </w:p>
    <w:p>
      <w:pPr>
        <w:pStyle w:val="SourceNote"/>
      </w:pPr>
      <w:r>
        <w:rPr>
          <w:b/>
        </w:rPr>
        <w:t>Group ID:</w:t>
      </w:r>
      <w:r>
        <w:t xml:space="preserve"> group-f060f62a674a2adb6678</w:t>
      </w:r>
    </w:p>
    <w:p>
      <w:pPr>
        <w:pStyle w:val="SourceNote"/>
      </w:pPr>
      <w:r>
        <w:rPr>
          <w:b/>
        </w:rPr>
        <w:t>Original source:</w:t>
      </w:r>
      <w:r>
        <w:t xml:space="preserve"> https://doi.org/10.1007/s13593-017-0473-3</w:t>
      </w:r>
    </w:p>
    <w:p>
      <w:pPr/>
      <w:r>
        <w:rPr>
          <w:b/>
        </w:rPr>
        <w:t>Original future claim:</w:t>
      </w:r>
      <w:r>
        <w:t xml:space="preserve">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Later source:</w:t>
      </w:r>
      <w:r>
        <w:t xml:space="preserve"> CYBER THREATS TO NATIONAL ECONOMIC SECURITY: DRIVERS AND RESPONSE MECHANISMS — https://doi.org/10.32750/2026-0309</w:t>
      </w:r>
    </w:p>
    <w:p>
      <w:pPr/>
      <w:r>
        <w:rPr>
          <w:b/>
        </w:rPr>
        <w:t>Later source:</w:t>
      </w:r>
      <w:r>
        <w:t xml:space="preserve"> Assessment of Socio-Economic Impacts of Hyperloop Technology on European Trade Routes — https://doi.org/10.3390/economies13030065</w:t>
      </w:r>
    </w:p>
    <w:p>
      <w:pPr>
        <w:pStyle w:val="SourceNote"/>
      </w:pPr>
      <w:r>
        <w:rPr>
          <w:b/>
        </w:rPr>
        <w:t>Review status:</w:t>
      </w:r>
      <w:r>
        <w:t xml:space="preserve"> unchecked — possible relationship only</w:t>
      </w:r>
    </w:p>
    <w:p>
      <w:pPr>
        <w:pStyle w:val="Heading2"/>
      </w:pPr>
      <w:r>
        <w:t>28. Claim + two later sources: Energy Vision Strategies for the EU Green New Deal: A Case Study of European Cities</w:t>
      </w:r>
    </w:p>
    <w:p>
      <w:pPr>
        <w:pStyle w:val="SourceNote"/>
      </w:pPr>
      <w:r>
        <w:rPr>
          <w:b/>
        </w:rPr>
        <w:t>Group ID:</w:t>
      </w:r>
      <w:r>
        <w:t xml:space="preserve"> group-2cf48b358865fda211a8</w:t>
      </w:r>
    </w:p>
    <w:p>
      <w:pPr>
        <w:pStyle w:val="SourceNote"/>
      </w:pPr>
      <w:r>
        <w:rPr>
          <w:b/>
        </w:rPr>
        <w:t>Original source:</w:t>
      </w:r>
      <w:r>
        <w:t xml:space="preserve"> https://doi.org/10.3390/en13092194</w:t>
      </w:r>
    </w:p>
    <w:p>
      <w:pPr/>
      <w:r>
        <w:rPr>
          <w:b/>
        </w:rPr>
        <w:t>Original future claim:</w:t>
      </w:r>
      <w:r>
        <w:t xml:space="preserve">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Later source:</w:t>
      </w:r>
      <w:r>
        <w:t xml:space="preserve"> Strategic autonomy: A ‘quantum leap forward on’ European total defence? — https://doi.org/10.1017/eis.2025.10034</w:t>
      </w:r>
    </w:p>
    <w:p>
      <w:pPr/>
      <w:r>
        <w:rPr>
          <w:b/>
        </w:rPr>
        <w:t>Later source:</w:t>
      </w:r>
      <w:r>
        <w:t xml:space="preserve"> Reassessing the benefits of European integration and the European Union's ability to achieve strategic autonomy — https://openalex.org/W7130901115</w:t>
      </w:r>
    </w:p>
    <w:p>
      <w:pPr>
        <w:pStyle w:val="SourceNote"/>
      </w:pPr>
      <w:r>
        <w:rPr>
          <w:b/>
        </w:rPr>
        <w:t>Review status:</w:t>
      </w:r>
      <w:r>
        <w:t xml:space="preserve"> unchecked — possible relationship only</w:t>
      </w:r>
    </w:p>
    <w:p>
      <w:pPr>
        <w:pStyle w:val="Heading2"/>
      </w:pPr>
      <w:r>
        <w:t>29. Claim + two later sources: Developed Foresight for Borders Model Predicts the Amount of Borders Traffic in Finland</w:t>
      </w:r>
    </w:p>
    <w:p>
      <w:pPr>
        <w:pStyle w:val="SourceNote"/>
      </w:pPr>
      <w:r>
        <w:rPr>
          <w:b/>
        </w:rPr>
        <w:t>Group ID:</w:t>
      </w:r>
      <w:r>
        <w:t xml:space="preserve"> group-13163fd37c71ede7336e</w:t>
      </w:r>
    </w:p>
    <w:p>
      <w:pPr>
        <w:pStyle w:val="SourceNote"/>
      </w:pPr>
      <w:r>
        <w:rPr>
          <w:b/>
        </w:rPr>
        <w:t>Original source:</w:t>
      </w:r>
      <w:r>
        <w:t xml:space="preserve"> https://doi.org/10.30958/ajt.3-2-3</w:t>
      </w:r>
    </w:p>
    <w:p>
      <w:pPr/>
      <w:r>
        <w:rPr>
          <w:b/>
        </w:rPr>
        <w:t>Original future claim:</w:t>
      </w:r>
      <w:r>
        <w:t xml:space="preserve">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Later source:</w:t>
      </w:r>
      <w:r>
        <w:t xml:space="preserve"> RESEARCH ON FACTORS INFLUENCING THE STATE BUDGET AND ECONOMIC GROWTH IN THE EUROPEAN UNION — https://doi.org/10.65631/jes.2.2026.6</w:t>
      </w:r>
    </w:p>
    <w:p>
      <w:pPr/>
      <w:r>
        <w:rPr>
          <w:b/>
        </w:rPr>
        <w:t>Later source:</w:t>
      </w:r>
      <w:r>
        <w:t xml:space="preserve"> RESEARCH ON FACTORS INFLUENCING THE STATE BUDGET AND ECONOMIC GROWTH IN THE EUROPEAN UNION — https://doi.org/10.65631/jes.1.2026.9</w:t>
      </w:r>
    </w:p>
    <w:p>
      <w:pPr>
        <w:pStyle w:val="SourceNote"/>
      </w:pPr>
      <w:r>
        <w:rPr>
          <w:b/>
        </w:rPr>
        <w:t>Review status:</w:t>
      </w:r>
      <w:r>
        <w:t xml:space="preserve"> unchecked — possible relationship only</w:t>
      </w:r>
    </w:p>
    <w:p>
      <w:pPr>
        <w:pStyle w:val="Heading2"/>
      </w:pPr>
      <w:r>
        <w:t>30. Claim + two later sources: Integrated energy planning to meet 2050 European targets: A Southern Italian region case study</w:t>
      </w:r>
    </w:p>
    <w:p>
      <w:pPr>
        <w:pStyle w:val="SourceNote"/>
      </w:pPr>
      <w:r>
        <w:rPr>
          <w:b/>
        </w:rPr>
        <w:t>Group ID:</w:t>
      </w:r>
      <w:r>
        <w:t xml:space="preserve"> group-b8156ce1af1ba94cc5f9</w:t>
      </w:r>
    </w:p>
    <w:p>
      <w:pPr>
        <w:pStyle w:val="SourceNote"/>
      </w:pPr>
      <w:r>
        <w:rPr>
          <w:b/>
        </w:rPr>
        <w:t>Original source:</w:t>
      </w:r>
      <w:r>
        <w:t xml:space="preserve"> https://doi.org/10.1016/j.esr.2022.100844</w:t>
      </w:r>
    </w:p>
    <w:p>
      <w:pPr/>
      <w:r>
        <w:rPr>
          <w:b/>
        </w:rPr>
        <w:t>Original future claim:</w:t>
      </w:r>
      <w:r>
        <w:t xml:space="preserve"> The 2030 ‘transition scenario’ is characterized by a reduction in GHG emissions. The results obtained show that the 2030 ‘transition’ scenario is characterized by a reduction in the “1990 CO2 emissions” of approximately 45%.</w:t>
      </w:r>
    </w:p>
    <w:p>
      <w:pPr/>
      <w:r>
        <w:rPr>
          <w:b/>
        </w:rPr>
        <w:t>Later source:</w:t>
      </w:r>
      <w:r>
        <w:t xml:space="preserve"> Regional Energy Transition: Decoupling CO2 Emissions and Policy Perspectives — https://doi.org/10.3390/su18020652</w:t>
      </w:r>
    </w:p>
    <w:p>
      <w:pPr/>
      <w:r>
        <w:rPr>
          <w:b/>
        </w:rPr>
        <w:t>Later source:</w:t>
      </w:r>
      <w:r>
        <w:t xml:space="preserve"> Spatial Analysis of the Progress of Energy Transition in Europe — https://doi.org/10.3390/en19020353</w:t>
      </w:r>
    </w:p>
    <w:p>
      <w:pPr>
        <w:pStyle w:val="SourceNote"/>
      </w:pPr>
      <w:r>
        <w:rPr>
          <w:b/>
        </w:rPr>
        <w:t>Review status:</w:t>
      </w:r>
      <w:r>
        <w:t xml:space="preserve"> unchecked — possible relationship only</w:t>
      </w:r>
    </w:p>
    <w:p>
      <w:pPr>
        <w:pStyle w:val="Heading2"/>
      </w:pPr>
      <w:r>
        <w:t>31. Claim + two later sources: Implementing exogenous scenarios in a global MRIO model for the estimation of future environmental footprints</w:t>
      </w:r>
    </w:p>
    <w:p>
      <w:pPr>
        <w:pStyle w:val="SourceNote"/>
      </w:pPr>
      <w:r>
        <w:rPr>
          <w:b/>
        </w:rPr>
        <w:t>Group ID:</w:t>
      </w:r>
      <w:r>
        <w:t xml:space="preserve"> group-dd6aea3bfa4170e6d0db</w:t>
      </w:r>
    </w:p>
    <w:p>
      <w:pPr>
        <w:pStyle w:val="SourceNote"/>
      </w:pPr>
      <w:r>
        <w:rPr>
          <w:b/>
        </w:rPr>
        <w:t>Original source:</w:t>
      </w:r>
      <w:r>
        <w:t xml:space="preserve"> https://doi.org/10.1186/s40008-018-0118-y</w:t>
      </w:r>
    </w:p>
    <w:p>
      <w:pPr/>
      <w:r>
        <w:rPr>
          <w:b/>
        </w:rPr>
        <w:t>Original future claim:</w:t>
      </w:r>
      <w:r>
        <w:t xml:space="preserve">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Later source:</w:t>
      </w:r>
      <w:r>
        <w:t xml:space="preserve"> Climate matters: Differences in trends and drivers of summer humid heat in Europe and the Southeast United States — https://doi.org/10.5194/egusphere-egu26-1886</w:t>
      </w:r>
    </w:p>
    <w:p>
      <w:pPr/>
      <w:r>
        <w:rPr>
          <w:b/>
        </w:rPr>
        <w:t>Later source:</w:t>
      </w:r>
      <w:r>
        <w:t xml:space="preserve"> Challenges in digitalization in outdoor recreation: The example of the European pond turtle — https://doi.org/10.1016/j.jort.2026.101095</w:t>
      </w:r>
    </w:p>
    <w:p>
      <w:pPr>
        <w:pStyle w:val="SourceNote"/>
      </w:pPr>
      <w:r>
        <w:rPr>
          <w:b/>
        </w:rPr>
        <w:t>Review status:</w:t>
      </w:r>
      <w:r>
        <w:t xml:space="preserve"> unchecked — possible relationship only</w:t>
      </w:r>
    </w:p>
    <w:p>
      <w:pPr>
        <w:pStyle w:val="Heading2"/>
      </w:pPr>
      <w:r>
        <w:t>32. Claim + two later sources: Assessing the impact of the 2011 EU Transport White Paper - a rail freight demand forecast up to 2050 for the EU27</w:t>
      </w:r>
    </w:p>
    <w:p>
      <w:pPr>
        <w:pStyle w:val="SourceNote"/>
      </w:pPr>
      <w:r>
        <w:rPr>
          <w:b/>
        </w:rPr>
        <w:t>Group ID:</w:t>
      </w:r>
      <w:r>
        <w:t xml:space="preserve"> group-7fe689dea6cab7c6f375</w:t>
      </w:r>
    </w:p>
    <w:p>
      <w:pPr>
        <w:pStyle w:val="SourceNote"/>
      </w:pPr>
      <w:r>
        <w:rPr>
          <w:b/>
        </w:rPr>
        <w:t>Original source:</w:t>
      </w:r>
      <w:r>
        <w:t xml:space="preserve"> https://doi.org/10.1007/s12544-015-0171-7</w:t>
      </w:r>
    </w:p>
    <w:p>
      <w:pPr/>
      <w:r>
        <w:rPr>
          <w:b/>
        </w:rPr>
        <w:t>Original future claim:</w:t>
      </w:r>
      <w:r>
        <w:t xml:space="preserve">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Later source:</w:t>
      </w:r>
      <w:r>
        <w:t xml:space="preserve"> Burden of intracerebral haemorrhage in Europe: forecasting incidence and mortality between 2019 and 2050 — https://doi.org/10.1016/j.lanepe.2024.100842</w:t>
      </w:r>
    </w:p>
    <w:p>
      <w:pPr/>
      <w:r>
        <w:rPr>
          <w:b/>
        </w:rPr>
        <w:t>Later source:</w:t>
      </w:r>
      <w:r>
        <w:t xml:space="preserve"> Comparative Analysis of the Views of Rodney Stark and Bryan Wilson in the Context of Secularisation Paradigms — https://doi.org/10.35415/sirnakifd.1538315</w:t>
      </w:r>
    </w:p>
    <w:p>
      <w:pPr>
        <w:pStyle w:val="SourceNote"/>
      </w:pPr>
      <w:r>
        <w:rPr>
          <w:b/>
        </w:rPr>
        <w:t>Review status:</w:t>
      </w:r>
      <w:r>
        <w:t xml:space="preserve"> unchecked — possible relationship only</w:t>
      </w:r>
    </w:p>
    <w:p>
      <w:pPr>
        <w:pStyle w:val="Heading2"/>
      </w:pPr>
      <w:r>
        <w:t>33. Claim + two later sources: Investigating syndromes of agricultural land degradation through past trajectories and future scenarios</w:t>
      </w:r>
    </w:p>
    <w:p>
      <w:pPr>
        <w:pStyle w:val="SourceNote"/>
      </w:pPr>
      <w:r>
        <w:rPr>
          <w:b/>
        </w:rPr>
        <w:t>Group ID:</w:t>
      </w:r>
      <w:r>
        <w:t xml:space="preserve"> group-a01b29cf495ddab19b27</w:t>
      </w:r>
    </w:p>
    <w:p>
      <w:pPr>
        <w:pStyle w:val="SourceNote"/>
      </w:pPr>
      <w:r>
        <w:rPr>
          <w:b/>
        </w:rPr>
        <w:t>Original source:</w:t>
      </w:r>
      <w:r>
        <w:t xml:space="preserve"> https://doi.org/10.1080/00380768.2013.843438</w:t>
      </w:r>
    </w:p>
    <w:p>
      <w:pPr/>
      <w:r>
        <w:rPr>
          <w:b/>
        </w:rPr>
        <w:t>Original future claim:</w:t>
      </w:r>
      <w:r>
        <w:t xml:space="preserve">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Later source:</w:t>
      </w:r>
      <w:r>
        <w:t xml:space="preserve"> Earth, property, territory : the birth of an economic concept of land — https://doi.org/10.82444/warw.33822415</w:t>
      </w:r>
    </w:p>
    <w:p>
      <w:pPr/>
      <w:r>
        <w:rPr>
          <w:b/>
        </w:rPr>
        <w:t>Later source:</w:t>
      </w:r>
      <w:r>
        <w:t xml:space="preserve"> Performance Evaluation of Concrete with Recycled Waste Polypropylene — https://doi.org/10.6084/m9.figshare.31871653</w:t>
      </w:r>
    </w:p>
    <w:p>
      <w:pPr>
        <w:pStyle w:val="SourceNote"/>
      </w:pPr>
      <w:r>
        <w:rPr>
          <w:b/>
        </w:rPr>
        <w:t>Review status:</w:t>
      </w:r>
      <w:r>
        <w:t xml:space="preserve"> unchecked — possible relationship only</w:t>
      </w:r>
    </w:p>
    <w:p>
      <w:pPr>
        <w:pStyle w:val="Heading2"/>
      </w:pPr>
      <w:r>
        <w:t>34. Claim + two later sources: Making the EU Carbon Border Adjustment Mechanism acceptable and climate friendly for least developed countries</w:t>
      </w:r>
    </w:p>
    <w:p>
      <w:pPr>
        <w:pStyle w:val="SourceNote"/>
      </w:pPr>
      <w:r>
        <w:rPr>
          <w:b/>
        </w:rPr>
        <w:t>Group ID:</w:t>
      </w:r>
      <w:r>
        <w:t xml:space="preserve"> group-b9b760c22bd8f3617377</w:t>
      </w:r>
    </w:p>
    <w:p>
      <w:pPr>
        <w:pStyle w:val="SourceNote"/>
      </w:pPr>
      <w:r>
        <w:rPr>
          <w:b/>
        </w:rPr>
        <w:t>Original source:</w:t>
      </w:r>
      <w:r>
        <w:t xml:space="preserve"> https://doi.org/10.1016/j.enpol.2022.113245</w:t>
      </w:r>
    </w:p>
    <w:p>
      <w:pPr/>
      <w:r>
        <w:rPr>
          <w:b/>
        </w:rPr>
        <w:t>Original future claim:</w:t>
      </w:r>
      <w:r>
        <w:t xml:space="preserve"> A more stringent climate target results in carbon leakage, and implementing CBAM will reduce the rate by one-third by 2040. Implementation of CBAM to support EU climate neutrality by 2050 has raised several concerns.</w:t>
      </w:r>
    </w:p>
    <w:p>
      <w:pPr/>
      <w:r>
        <w:rPr>
          <w:b/>
        </w:rPr>
        <w:t>Later source:</w:t>
      </w:r>
      <w:r>
        <w:t xml:space="preserve"> Climate change is a human problem: Finding the voices of climate resilience — https://doi.org/10.62372/rlas1190</w:t>
      </w:r>
    </w:p>
    <w:p>
      <w:pPr/>
      <w:r>
        <w:rPr>
          <w:b/>
        </w:rPr>
        <w:t>Later source:</w:t>
      </w:r>
      <w:r>
        <w:t xml:space="preserve"> The Carbon Border Adjustment Mechanism: a new european tax to address carbon leakage — https://doi.org/10.4013/rechtd.2025.173.03</w:t>
      </w:r>
    </w:p>
    <w:p>
      <w:pPr>
        <w:pStyle w:val="SourceNote"/>
      </w:pPr>
      <w:r>
        <w:rPr>
          <w:b/>
        </w:rPr>
        <w:t>Review status:</w:t>
      </w:r>
      <w:r>
        <w:t xml:space="preserve"> unchecked — possible relationship only</w:t>
      </w:r>
    </w:p>
    <w:p>
      <w:pPr>
        <w:pStyle w:val="Heading2"/>
      </w:pPr>
      <w:r>
        <w:t>35. Claim + two later sources: After crisis scenarios for Europe: alternative evolutions of structural adjustments</w:t>
      </w:r>
    </w:p>
    <w:p>
      <w:pPr>
        <w:pStyle w:val="SourceNote"/>
      </w:pPr>
      <w:r>
        <w:rPr>
          <w:b/>
        </w:rPr>
        <w:t>Group ID:</w:t>
      </w:r>
      <w:r>
        <w:t xml:space="preserve"> group-c73a1058490499675468</w:t>
      </w:r>
    </w:p>
    <w:p>
      <w:pPr>
        <w:pStyle w:val="SourceNote"/>
      </w:pPr>
      <w:r>
        <w:rPr>
          <w:b/>
        </w:rPr>
        <w:t>Original source:</w:t>
      </w:r>
      <w:r>
        <w:t xml:space="preserve"> https://doi.org/10.1093/cjres/rsv023</w:t>
      </w:r>
    </w:p>
    <w:p>
      <w:pPr/>
      <w:r>
        <w:rPr>
          <w:b/>
        </w:rPr>
        <w:t>Original future claim:</w:t>
      </w:r>
      <w:r>
        <w:t xml:space="preserve"> The effects that these structural changes will generate are difficult to be foreseen. This article builds after-crisis scenarios for Europe on the basis of alternative evolutions of these structural changes.</w:t>
      </w:r>
    </w:p>
    <w:p>
      <w:pPr/>
      <w:r>
        <w:rPr>
          <w:b/>
        </w:rPr>
        <w:t>Later source:</w:t>
      </w:r>
      <w:r>
        <w:t xml:space="preserve"> Structural and Productivity Changes in the European Countries During COVID-19 Pandemic — https://doi.org/10.35808/ersj/2529</w:t>
      </w:r>
    </w:p>
    <w:p>
      <w:pPr/>
      <w:r>
        <w:rPr>
          <w:b/>
        </w:rPr>
        <w:t>Later source:</w:t>
      </w:r>
      <w:r>
        <w:t xml:space="preserve"> Structural Changes in Agricultural Cooperatives Following Bulgaria’s European Union Integration — https://doi.org/10.37075/isa.2020.4.05</w:t>
      </w:r>
    </w:p>
    <w:p>
      <w:pPr>
        <w:pStyle w:val="SourceNote"/>
      </w:pPr>
      <w:r>
        <w:rPr>
          <w:b/>
        </w:rPr>
        <w:t>Review status:</w:t>
      </w:r>
      <w:r>
        <w:t xml:space="preserve"> unchecked — possible relationship only</w:t>
      </w:r>
    </w:p>
    <w:p>
      <w:pPr>
        <w:pStyle w:val="Heading2"/>
      </w:pPr>
      <w:r>
        <w:t>36. Claim + two later sources: Two futures: EU-Russia relations in the context of Ukraine.</w:t>
      </w:r>
    </w:p>
    <w:p>
      <w:pPr>
        <w:pStyle w:val="SourceNote"/>
      </w:pPr>
      <w:r>
        <w:rPr>
          <w:b/>
        </w:rPr>
        <w:t>Group ID:</w:t>
      </w:r>
      <w:r>
        <w:t xml:space="preserve"> group-37fe92b0ee2c27393187</w:t>
      </w:r>
    </w:p>
    <w:p>
      <w:pPr>
        <w:pStyle w:val="SourceNote"/>
      </w:pPr>
      <w:r>
        <w:rPr>
          <w:b/>
        </w:rPr>
        <w:t>Original source:</w:t>
      </w:r>
      <w:r>
        <w:t xml:space="preserve"> https://doi.org/10.1007/s40309-014-0052-7</w:t>
      </w:r>
    </w:p>
    <w:p>
      <w:pPr/>
      <w:r>
        <w:rPr>
          <w:b/>
        </w:rPr>
        <w:t>Original future claim:</w:t>
      </w:r>
      <w:r>
        <w:t xml:space="preserve"> Or should it rather continue to tighten the screws on the Putin regime, in the hope that doing so will concurrently compel the Russian Federation to moderate its behaviour?</w:t>
      </w:r>
    </w:p>
    <w:p>
      <w:pPr/>
      <w:r>
        <w:rPr>
          <w:b/>
        </w:rPr>
        <w:t>Later source:</w:t>
      </w:r>
      <w:r>
        <w:t xml:space="preserve"> PRESIDENT OF THE RUSSIAN FEDERATION – V.V. PUTIN, IS MOVING FORWARD — https://doi.org/10.56082/annalsarscimilit.2025.3.18</w:t>
      </w:r>
    </w:p>
    <w:p>
      <w:pPr/>
      <w:r>
        <w:rPr>
          <w:b/>
        </w:rPr>
        <w:t>Later source:</w:t>
      </w:r>
      <w:r>
        <w:t xml:space="preserve"> Putin, Finland, and NATO in Far North in 2024–2025 — https://doi.org/10.18485/fb_ijcss.2025.1.2.14</w:t>
      </w:r>
    </w:p>
    <w:p>
      <w:pPr>
        <w:pStyle w:val="SourceNote"/>
      </w:pPr>
      <w:r>
        <w:rPr>
          <w:b/>
        </w:rPr>
        <w:t>Review status:</w:t>
      </w:r>
      <w:r>
        <w:t xml:space="preserve"> unchecked — possible relationship only</w:t>
      </w:r>
    </w:p>
    <w:p>
      <w:pPr>
        <w:pStyle w:val="Heading2"/>
      </w:pPr>
      <w:r>
        <w:t>37. Claim + two later sources: Post-normal times: re-thinking the futures of the EU-Africa relationship</w:t>
      </w:r>
    </w:p>
    <w:p>
      <w:pPr>
        <w:pStyle w:val="SourceNote"/>
      </w:pPr>
      <w:r>
        <w:rPr>
          <w:b/>
        </w:rPr>
        <w:t>Group ID:</w:t>
      </w:r>
      <w:r>
        <w:t xml:space="preserve"> group-6084d742cef3e76e93b2</w:t>
      </w:r>
    </w:p>
    <w:p>
      <w:pPr>
        <w:pStyle w:val="SourceNote"/>
      </w:pPr>
      <w:r>
        <w:rPr>
          <w:b/>
        </w:rPr>
        <w:t>Original source:</w:t>
      </w:r>
      <w:r>
        <w:t xml:space="preserve"> https://doi.org/10.1186/s40309-020-00167-8</w:t>
      </w:r>
    </w:p>
    <w:p>
      <w:pPr/>
      <w:r>
        <w:rPr>
          <w:b/>
        </w:rPr>
        <w:t>Original future claim:</w:t>
      </w:r>
      <w:r>
        <w:t xml:space="preserve">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Later source:</w:t>
      </w:r>
      <w:r>
        <w:t xml:space="preserve"> African Perspectives on Decolonising Linguistics — https://doi.org/10.1111/josl.70017</w:t>
      </w:r>
    </w:p>
    <w:p>
      <w:pPr/>
      <w:r>
        <w:rPr>
          <w:b/>
        </w:rPr>
        <w:t>Later source:</w:t>
      </w:r>
      <w:r>
        <w:t xml:space="preserve"> The Place of the European Union in the Global System of Powers and its Practical Challenges — https://doi.org/10.46340/eppd.2026.13.2.5</w:t>
      </w:r>
    </w:p>
    <w:p>
      <w:pPr>
        <w:pStyle w:val="SourceNote"/>
      </w:pPr>
      <w:r>
        <w:rPr>
          <w:b/>
        </w:rPr>
        <w:t>Review status:</w:t>
      </w:r>
      <w:r>
        <w:t xml:space="preserve"> unchecked — possible relationship only</w:t>
      </w:r>
    </w:p>
    <w:p>
      <w:pPr>
        <w:pStyle w:val="Heading2"/>
      </w:pPr>
      <w:r>
        <w:t>38. Claim + two later sources: Problem of “Dinosauring” of European Union and Mapping of Its Future</w:t>
      </w:r>
    </w:p>
    <w:p>
      <w:pPr>
        <w:pStyle w:val="SourceNote"/>
      </w:pPr>
      <w:r>
        <w:rPr>
          <w:b/>
        </w:rPr>
        <w:t>Group ID:</w:t>
      </w:r>
      <w:r>
        <w:t xml:space="preserve"> group-db5a35209ff54ef96e06</w:t>
      </w:r>
    </w:p>
    <w:p>
      <w:pPr>
        <w:pStyle w:val="SourceNote"/>
      </w:pPr>
      <w:r>
        <w:rPr>
          <w:b/>
        </w:rPr>
        <w:t>Original source:</w:t>
      </w:r>
      <w:r>
        <w:t xml:space="preserve"> https://doi.org/10.11114/smc.v4i1.1617</w:t>
      </w:r>
    </w:p>
    <w:p>
      <w:pPr/>
      <w:r>
        <w:rPr>
          <w:b/>
        </w:rPr>
        <w:t>Original future claim:</w:t>
      </w:r>
      <w:r>
        <w:t xml:space="preserve"> The popular European vision of its future can be called The Davos World - simple scenario based of the economic benefits, predicting that the driving force for ruling the world will be the endless economic interest.</w:t>
      </w:r>
    </w:p>
    <w:p>
      <w:pPr/>
      <w:r>
        <w:rPr>
          <w:b/>
        </w:rPr>
        <w:t>Later source:</w:t>
      </w:r>
      <w:r>
        <w:t xml:space="preserve"> Filbert’s Vision | La visión de Filiberto — https://doi.org/10.25740/rn519df7423</w:t>
      </w:r>
    </w:p>
    <w:p>
      <w:pPr/>
      <w:r>
        <w:rPr>
          <w:b/>
        </w:rPr>
        <w:t>Later source:</w:t>
      </w:r>
      <w:r>
        <w:t xml:space="preserve"> Transnational Solidarities and Competing Visions of Europe: Vienna's Vote on the Russo‐Japanese War — https://doi.org/10.1111/1468-229x.13327</w:t>
      </w:r>
    </w:p>
    <w:p>
      <w:pPr>
        <w:pStyle w:val="SourceNote"/>
      </w:pPr>
      <w:r>
        <w:rPr>
          <w:b/>
        </w:rPr>
        <w:t>Review status:</w:t>
      </w:r>
      <w:r>
        <w:t xml:space="preserve"> unchecked — possible relationship only</w:t>
      </w:r>
    </w:p>
    <w:p>
      <w:pPr>
        <w:pStyle w:val="Heading2"/>
      </w:pPr>
      <w:r>
        <w:t>39. Claim + two later sources: Comparison of temperature indices for three IPCC SRES scenarios based on RegCM simulations for Poland in 2011–2030 period</w:t>
      </w:r>
    </w:p>
    <w:p>
      <w:pPr>
        <w:pStyle w:val="SourceNote"/>
      </w:pPr>
      <w:r>
        <w:rPr>
          <w:b/>
        </w:rPr>
        <w:t>Group ID:</w:t>
      </w:r>
      <w:r>
        <w:t xml:space="preserve"> group-15f5b6cdc7988fb77e3c</w:t>
      </w:r>
    </w:p>
    <w:p>
      <w:pPr>
        <w:pStyle w:val="SourceNote"/>
      </w:pPr>
      <w:r>
        <w:rPr>
          <w:b/>
        </w:rPr>
        <w:t>Original source:</w:t>
      </w:r>
      <w:r>
        <w:t xml:space="preserve"> https://doi.org/10.1127/metz/2014/0457</w:t>
      </w:r>
    </w:p>
    <w:p>
      <w:pPr/>
      <w:r>
        <w:rPr>
          <w:b/>
        </w:rPr>
        <w:t>Original future claim:</w:t>
      </w:r>
      <w:r>
        <w:t xml:space="preserve"> The regional climate model RegCM3 is used to investigate potential future changes of temperature indices in Poland for the period 2011–2030.</w:t>
      </w:r>
    </w:p>
    <w:p>
      <w:pPr/>
      <w:r>
        <w:rPr>
          <w:b/>
        </w:rPr>
        <w:t>Later source:</w:t>
      </w:r>
      <w:r>
        <w:t xml:space="preserve"> Implementation and validation of the RegCM5 regional climate model on a Central European domain for extreme precipitation conditions — https://doi.org/10.5194/egusphere-egu26-648</w:t>
      </w:r>
    </w:p>
    <w:p>
      <w:pPr/>
      <w:r>
        <w:rPr>
          <w:b/>
        </w:rPr>
        <w:t>Later source:</w:t>
      </w:r>
      <w:r>
        <w:t xml:space="preserve"> Intercomparison of a Regional Climate Model Ensemble for Selected European Catchments — https://doi.org/10.1002/joc.70554</w:t>
      </w:r>
    </w:p>
    <w:p>
      <w:pPr>
        <w:pStyle w:val="SourceNote"/>
      </w:pPr>
      <w:r>
        <w:rPr>
          <w:b/>
        </w:rPr>
        <w:t>Review status:</w:t>
      </w:r>
      <w:r>
        <w:t xml:space="preserve"> unchecked — possible relationship only</w:t>
      </w:r>
    </w:p>
    <w:p>
      <w:pPr>
        <w:pStyle w:val="Heading2"/>
      </w:pPr>
      <w:r>
        <w:t>40. Claim + two later sources: Use and perception of weather forecast information across Europe</w:t>
      </w:r>
    </w:p>
    <w:p>
      <w:pPr>
        <w:pStyle w:val="SourceNote"/>
      </w:pPr>
      <w:r>
        <w:rPr>
          <w:b/>
        </w:rPr>
        <w:t>Group ID:</w:t>
      </w:r>
      <w:r>
        <w:t xml:space="preserve"> group-e6b44defbb104958ef96</w:t>
      </w:r>
    </w:p>
    <w:p>
      <w:pPr>
        <w:pStyle w:val="SourceNote"/>
      </w:pPr>
      <w:r>
        <w:rPr>
          <w:b/>
        </w:rPr>
        <w:t>Original source:</w:t>
      </w:r>
      <w:r>
        <w:t xml:space="preserve"> https://doi.org/10.1002/met.2053</w:t>
      </w:r>
    </w:p>
    <w:p>
      <w:pPr/>
      <w:r>
        <w:rPr>
          <w:b/>
        </w:rPr>
        <w:t>Original future claim:</w:t>
      </w:r>
      <w:r>
        <w:t xml:space="preserve"> The two surveys indicate that there might be benefits of increased collaboration and sharing of data between European NMHSs to be able to offer their users more training, and to learn from each other in areas where insight already exists.</w:t>
      </w:r>
    </w:p>
    <w:p>
      <w:pPr/>
      <w:r>
        <w:rPr>
          <w:b/>
        </w:rPr>
        <w:t>Later source:</w:t>
      </w:r>
      <w:r>
        <w:t xml:space="preserve"> Soil Organic Carbon Changes in Agricultural Areas of Europe—Synthesis of Repeated Regional Soil Surveys — https://doi.org/10.1111/ejss.70263</w:t>
      </w:r>
    </w:p>
    <w:p>
      <w:pPr/>
      <w:r>
        <w:rPr>
          <w:b/>
        </w:rPr>
        <w:t>Later source:</w:t>
      </w:r>
      <w:r>
        <w:t xml:space="preserve"> Skill gaps between natives and immigrants in Europe: evidence from two cycles of PIAAC survey — https://openalex.org/W7127775532</w:t>
      </w:r>
    </w:p>
    <w:p>
      <w:pPr>
        <w:pStyle w:val="SourceNote"/>
      </w:pPr>
      <w:r>
        <w:rPr>
          <w:b/>
        </w:rPr>
        <w:t>Review status:</w:t>
      </w:r>
      <w:r>
        <w:t xml:space="preserve"> unchecked — possible relationship only</w:t>
      </w:r>
    </w:p>
    <w:p>
      <w:pPr>
        <w:pStyle w:val="Heading2"/>
      </w:pPr>
      <w:r>
        <w:t>41. Claim + two later sources: EU climate and energy governance in times of crisis: towards a new agenda</w:t>
      </w:r>
    </w:p>
    <w:p>
      <w:pPr>
        <w:pStyle w:val="SourceNote"/>
      </w:pPr>
      <w:r>
        <w:rPr>
          <w:b/>
        </w:rPr>
        <w:t>Group ID:</w:t>
      </w:r>
      <w:r>
        <w:t xml:space="preserve"> group-b44e07bc64b1c67b11fa</w:t>
      </w:r>
    </w:p>
    <w:p>
      <w:pPr>
        <w:pStyle w:val="SourceNote"/>
      </w:pPr>
      <w:r>
        <w:rPr>
          <w:b/>
        </w:rPr>
        <w:t>Original source:</w:t>
      </w:r>
      <w:r>
        <w:t xml:space="preserve"> https://doi.org/10.1080/13501763.2021.1918221</w:t>
      </w:r>
    </w:p>
    <w:p>
      <w:pPr/>
      <w:r>
        <w:rPr>
          <w:b/>
        </w:rPr>
        <w:t>Original future claim:</w:t>
      </w:r>
      <w:r>
        <w:t xml:space="preserve"> As the EU seeks to fully decarbonise itself by 2050, interactions with the crisis trends are likely to intensify in ways which future research could fruitfully investigate.</w:t>
      </w:r>
    </w:p>
    <w:p>
      <w:pPr/>
      <w:r>
        <w:rPr>
          <w:b/>
        </w:rPr>
        <w:t>Later source:</w:t>
      </w:r>
      <w:r>
        <w:t xml:space="preserve"> The eurosystem under siege: the crisis response of the European central bank — https://doi.org/10.82444/warw.33796888</w:t>
      </w:r>
    </w:p>
    <w:p>
      <w:pPr/>
      <w:r>
        <w:rPr>
          <w:b/>
        </w:rPr>
        <w:t>Later source:</w:t>
      </w:r>
      <w:r>
        <w:t xml:space="preserve"> Reframing the Refugee Rentier State: Turkey in the European Refugee ‘Crisis’ — https://doi.org/10.3390/socsci15070457</w:t>
      </w:r>
    </w:p>
    <w:p>
      <w:pPr>
        <w:pStyle w:val="SourceNote"/>
      </w:pPr>
      <w:r>
        <w:rPr>
          <w:b/>
        </w:rPr>
        <w:t>Review status:</w:t>
      </w:r>
      <w:r>
        <w:t xml:space="preserve"> unchecked — possible relationship only</w:t>
      </w:r>
    </w:p>
    <w:p>
      <w:pPr>
        <w:pStyle w:val="Heading2"/>
      </w:pPr>
      <w:r>
        <w:t>42. Claim + two later sources: Douglas‐fir plantations in Europe: a retrospective test of assisted migration to address climate change</w:t>
      </w:r>
    </w:p>
    <w:p>
      <w:pPr>
        <w:pStyle w:val="SourceNote"/>
      </w:pPr>
      <w:r>
        <w:rPr>
          <w:b/>
        </w:rPr>
        <w:t>Group ID:</w:t>
      </w:r>
      <w:r>
        <w:t xml:space="preserve"> group-c54682f48f6c4da649d1</w:t>
      </w:r>
    </w:p>
    <w:p>
      <w:pPr>
        <w:pStyle w:val="SourceNote"/>
      </w:pPr>
      <w:r>
        <w:rPr>
          <w:b/>
        </w:rPr>
        <w:t>Original source:</w:t>
      </w:r>
      <w:r>
        <w:t xml:space="preserve"> https://doi.org/10.1111/gcb.12604</w:t>
      </w:r>
    </w:p>
    <w:p>
      <w:pPr/>
      <w:r>
        <w:rPr>
          <w:b/>
        </w:rPr>
        <w:t>Original future claim:</w:t>
      </w:r>
      <w:r>
        <w:t xml:space="preserve">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Later source:</w:t>
      </w:r>
      <w:r>
        <w:t xml:space="preserve"> Combining different views on internal climate variability of temperature over Europe — https://doi.org/10.5194/egusphere-2026-1341</w:t>
      </w:r>
    </w:p>
    <w:p>
      <w:pPr/>
      <w:r>
        <w:rPr>
          <w:b/>
        </w:rPr>
        <w:t>Later source:</w:t>
      </w:r>
      <w:r>
        <w:t xml:space="preserve"> Climate change and energy: the development dimension in Greece and the European Union — https://doi.org/10.26258/heal.hua.537</w:t>
      </w:r>
    </w:p>
    <w:p>
      <w:pPr>
        <w:pStyle w:val="SourceNote"/>
      </w:pPr>
      <w:r>
        <w:rPr>
          <w:b/>
        </w:rPr>
        <w:t>Review status:</w:t>
      </w:r>
      <w:r>
        <w:t xml:space="preserve"> unchecked — possible relationship only</w:t>
      </w:r>
    </w:p>
    <w:p>
      <w:pPr>
        <w:pStyle w:val="Heading2"/>
      </w:pPr>
      <w:r>
        <w:t>43. Claim + two later sources: Alternative futures for shared mobility systems: impacts on transport planning tools and techniques</w:t>
      </w:r>
    </w:p>
    <w:p>
      <w:pPr>
        <w:pStyle w:val="SourceNote"/>
      </w:pPr>
      <w:r>
        <w:rPr>
          <w:b/>
        </w:rPr>
        <w:t>Group ID:</w:t>
      </w:r>
      <w:r>
        <w:t xml:space="preserve"> group-33e5cdbb4b59e2872e2f</w:t>
      </w:r>
    </w:p>
    <w:p>
      <w:pPr>
        <w:pStyle w:val="SourceNote"/>
      </w:pPr>
      <w:r>
        <w:rPr>
          <w:b/>
        </w:rPr>
        <w:t>Original source:</w:t>
      </w:r>
      <w:r>
        <w:t xml:space="preserve"> https://doi.org/10.1016/j.trpro.2021.11.032</w:t>
      </w:r>
    </w:p>
    <w:p>
      <w:pPr/>
      <w:r>
        <w:rPr>
          <w:b/>
        </w:rPr>
        <w:t>Original future claim:</w:t>
      </w:r>
      <w:r>
        <w:t xml:space="preserve">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Later source:</w:t>
      </w:r>
      <w:r>
        <w:t xml:space="preserve"> Non-stationary time series attribution for heatwaves over Europe — https://doi.org/10.5194/ascmo-12-243-2026</w:t>
      </w:r>
    </w:p>
    <w:p>
      <w:pPr/>
      <w:r>
        <w:rPr>
          <w:b/>
        </w:rPr>
        <w:t>Later source:</w:t>
      </w:r>
      <w:r>
        <w:t xml:space="preserve"> Autochthonous transmission of dengue in Europe, with special attention to the Spanish context — https://doi.org/10.1017/s095026882610123x</w:t>
      </w:r>
    </w:p>
    <w:p>
      <w:pPr>
        <w:pStyle w:val="SourceNote"/>
      </w:pPr>
      <w:r>
        <w:rPr>
          <w:b/>
        </w:rPr>
        <w:t>Review status:</w:t>
      </w:r>
      <w:r>
        <w:t xml:space="preserve"> unchecked — possible relationship only</w:t>
      </w:r>
    </w:p>
    <w:p>
      <w:pPr>
        <w:pStyle w:val="Heading2"/>
      </w:pPr>
      <w:r>
        <w:t>44. Claim + two later sources: Integrated assessment of the role of bioenergy within the EU energy transition targets to 2050</w:t>
      </w:r>
    </w:p>
    <w:p>
      <w:pPr>
        <w:pStyle w:val="SourceNote"/>
      </w:pPr>
      <w:r>
        <w:rPr>
          <w:b/>
        </w:rPr>
        <w:t>Group ID:</w:t>
      </w:r>
      <w:r>
        <w:t xml:space="preserve"> group-1d28146008b6784cc179</w:t>
      </w:r>
    </w:p>
    <w:p>
      <w:pPr>
        <w:pStyle w:val="SourceNote"/>
      </w:pPr>
      <w:r>
        <w:rPr>
          <w:b/>
        </w:rPr>
        <w:t>Original source:</w:t>
      </w:r>
      <w:r>
        <w:t xml:space="preserve"> https://doi.org/10.1111/gcbb.12908</w:t>
      </w:r>
    </w:p>
    <w:p>
      <w:pPr/>
      <w:r>
        <w:rPr>
          <w:b/>
        </w:rPr>
        <w:t>Original future claim:</w:t>
      </w:r>
      <w:r>
        <w:t xml:space="preserve">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Later source:</w:t>
      </w:r>
      <w:r>
        <w:t xml:space="preserve"> Bio-Based Carbon Capture and Utilization Opportunities in Poland: A Preliminary Assessment — https://doi.org/10.3390/en19020355</w:t>
      </w:r>
    </w:p>
    <w:p>
      <w:pPr/>
      <w:r>
        <w:rPr>
          <w:b/>
        </w:rPr>
        <w:t>Later source:</w:t>
      </w:r>
      <w:r>
        <w:t xml:space="preserve"> "Biomass crops for sustainable energy in Europe: contributions to bioenergy, environment, and energy security" — https://doi.org/10.1080/17429145.2025.2564839</w:t>
      </w:r>
    </w:p>
    <w:p>
      <w:pPr>
        <w:pStyle w:val="SourceNote"/>
      </w:pPr>
      <w:r>
        <w:rPr>
          <w:b/>
        </w:rPr>
        <w:t>Review status:</w:t>
      </w:r>
      <w:r>
        <w:t xml:space="preserve"> unchecked — possible relationship only</w:t>
      </w:r>
    </w:p>
    <w:p>
      <w:pPr>
        <w:pStyle w:val="Heading2"/>
      </w:pPr>
      <w:r>
        <w:t>45. Claim + two later sources: GHG emissions, trade balance, and carbon leakage: Insights from modeling thirty-one European decarbonization pathways towards 2050</w:t>
      </w:r>
    </w:p>
    <w:p>
      <w:pPr>
        <w:pStyle w:val="SourceNote"/>
      </w:pPr>
      <w:r>
        <w:rPr>
          <w:b/>
        </w:rPr>
        <w:t>Group ID:</w:t>
      </w:r>
      <w:r>
        <w:t xml:space="preserve"> group-4500af309de2d781dec8</w:t>
      </w:r>
    </w:p>
    <w:p>
      <w:pPr>
        <w:pStyle w:val="SourceNote"/>
      </w:pPr>
      <w:r>
        <w:rPr>
          <w:b/>
        </w:rPr>
        <w:t>Original source:</w:t>
      </w:r>
      <w:r>
        <w:t xml:space="preserve"> https://doi.org/10.1016/j.eneco.2022.106240</w:t>
      </w:r>
    </w:p>
    <w:p>
      <w:pPr/>
      <w:r>
        <w:rPr>
          <w:b/>
        </w:rPr>
        <w:t>Original future claim:</w:t>
      </w:r>
      <w:r>
        <w:t xml:space="preserve">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Information and misinformation on assisted human reproduction techniques in Europe: a normative analysis of the information provided on the websites of medically assisted reproduction clinics — https://doi.org/10.1186/s12910-026-01388-5</w:t>
      </w:r>
    </w:p>
    <w:p>
      <w:pPr>
        <w:pStyle w:val="SourceNote"/>
      </w:pPr>
      <w:r>
        <w:rPr>
          <w:b/>
        </w:rPr>
        <w:t>Review status:</w:t>
      </w:r>
      <w:r>
        <w:t xml:space="preserve"> unchecked — possible relationship only</w:t>
      </w:r>
    </w:p>
    <w:p>
      <w:pPr>
        <w:pStyle w:val="Heading2"/>
      </w:pPr>
      <w:r>
        <w:t>46. Claim + two later sources: Low-carbon energy scenarios 2050 in north-west European countries: Towards a more harmonised approach to achieve the EU targets</w:t>
      </w:r>
    </w:p>
    <w:p>
      <w:pPr>
        <w:pStyle w:val="SourceNote"/>
      </w:pPr>
      <w:r>
        <w:rPr>
          <w:b/>
        </w:rPr>
        <w:t>Group ID:</w:t>
      </w:r>
      <w:r>
        <w:t xml:space="preserve"> group-be5b23eec0f96542b0c9</w:t>
      </w:r>
    </w:p>
    <w:p>
      <w:pPr>
        <w:pStyle w:val="SourceNote"/>
      </w:pPr>
      <w:r>
        <w:rPr>
          <w:b/>
        </w:rPr>
        <w:t>Original source:</w:t>
      </w:r>
      <w:r>
        <w:t xml:space="preserve"> https://doi.org/10.1016/j.enpol.2019.03.047</w:t>
      </w:r>
    </w:p>
    <w:p>
      <w:pPr/>
      <w:r>
        <w:rPr>
          <w:b/>
        </w:rPr>
        <w:t>Original future claim:</w:t>
      </w:r>
      <w:r>
        <w:t xml:space="preserve">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Later source:</w:t>
      </w:r>
      <w:r>
        <w:t xml:space="preserve"> Potential of PGPR to Enhance Soybean Productivity in Europe — https://doi.org/10.3390/agriculture16050497</w:t>
      </w:r>
    </w:p>
    <w:p>
      <w:pPr/>
      <w:r>
        <w:rPr>
          <w:b/>
        </w:rPr>
        <w:t>Later source:</w:t>
      </w:r>
      <w:r>
        <w:t xml:space="preserve"> The development of Slovenian music in european discourse — https://doi.org/10.18690/pomurska-obzorja.13.24.1-32.2026</w:t>
      </w:r>
    </w:p>
    <w:p>
      <w:pPr>
        <w:pStyle w:val="SourceNote"/>
      </w:pPr>
      <w:r>
        <w:rPr>
          <w:b/>
        </w:rPr>
        <w:t>Review status:</w:t>
      </w:r>
      <w:r>
        <w:t xml:space="preserve"> unchecked — possible relationship only</w:t>
      </w:r>
    </w:p>
    <w:p>
      <w:pPr>
        <w:pStyle w:val="Heading2"/>
      </w:pPr>
      <w:r>
        <w:t>47. Claim + two later sources: Drivers, trends and scenarios for the future of health in Europe. Impressions from the FRESHER project</w:t>
      </w:r>
    </w:p>
    <w:p>
      <w:pPr>
        <w:pStyle w:val="SourceNote"/>
      </w:pPr>
      <w:r>
        <w:rPr>
          <w:b/>
        </w:rPr>
        <w:t>Group ID:</w:t>
      </w:r>
      <w:r>
        <w:t xml:space="preserve"> group-76b86c4400e30f05c581</w:t>
      </w:r>
    </w:p>
    <w:p>
      <w:pPr>
        <w:pStyle w:val="SourceNote"/>
      </w:pPr>
      <w:r>
        <w:rPr>
          <w:b/>
        </w:rPr>
        <w:t>Original source:</w:t>
      </w:r>
      <w:r>
        <w:t xml:space="preserve"> https://doi.org/10.1007/s40309-017-0118-4</w:t>
      </w:r>
    </w:p>
    <w:p>
      <w:pPr/>
      <w:r>
        <w:rPr>
          <w:b/>
        </w:rPr>
        <w:t>Original future claim:</w:t>
      </w:r>
      <w:r>
        <w:t xml:space="preserve">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Later source:</w:t>
      </w:r>
      <w:r>
        <w:t xml:space="preserve"> Foresight For Digital Health 2030: Scenarios, Barriers, And Enablers for A Sustainable Future — https://doi.org/10.47191/ijsshr/v8-i2-11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48. Claim + two later sources: Health impact assessment of waste management facilities in three European countries</w:t>
      </w:r>
    </w:p>
    <w:p>
      <w:pPr>
        <w:pStyle w:val="SourceNote"/>
      </w:pPr>
      <w:r>
        <w:rPr>
          <w:b/>
        </w:rPr>
        <w:t>Group ID:</w:t>
      </w:r>
      <w:r>
        <w:t xml:space="preserve"> group-789fe364893584c0205c</w:t>
      </w:r>
    </w:p>
    <w:p>
      <w:pPr>
        <w:pStyle w:val="SourceNote"/>
      </w:pPr>
      <w:r>
        <w:rPr>
          <w:b/>
        </w:rPr>
        <w:t>Original source:</w:t>
      </w:r>
      <w:r>
        <w:t xml:space="preserve"> https://doi.org/10.1186/1476-069x-10-53</w:t>
      </w:r>
    </w:p>
    <w:p>
      <w:pPr/>
      <w:r>
        <w:rPr>
          <w:b/>
        </w:rPr>
        <w:t>Original future claim:</w:t>
      </w:r>
      <w:r>
        <w:t xml:space="preserve">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Later source:</w:t>
      </w:r>
      <w:r>
        <w:t xml:space="preserve"> Comparing the climate impact of methanol production in Europe: Steam methane reforming vs. Plastic waste gasification processes — https://doi.org/10.1016/j.resconrec.2024.107653</w:t>
      </w:r>
    </w:p>
    <w:p>
      <w:pPr/>
      <w:r>
        <w:rPr>
          <w:b/>
        </w:rPr>
        <w:t>Later source:</w:t>
      </w:r>
      <w:r>
        <w:t xml:space="preserve"> The End of Life of PV Systems: Is Europe Ready for It? — https://doi.org/10.3390/su152316466</w:t>
      </w:r>
    </w:p>
    <w:p>
      <w:pPr>
        <w:pStyle w:val="SourceNote"/>
      </w:pPr>
      <w:r>
        <w:rPr>
          <w:b/>
        </w:rPr>
        <w:t>Review status:</w:t>
      </w:r>
      <w:r>
        <w:t xml:space="preserve"> unchecked — possible relationship only</w:t>
      </w:r>
    </w:p>
    <w:p>
      <w:pPr>
        <w:pStyle w:val="Heading2"/>
      </w:pPr>
      <w:r>
        <w:t>49. Claim + two later sources: Linking Local Food Systems and the Social Economy? Future Roles for Farmers' Markets in Alberta and British Columbia*</w:t>
      </w:r>
    </w:p>
    <w:p>
      <w:pPr>
        <w:pStyle w:val="SourceNote"/>
      </w:pPr>
      <w:r>
        <w:rPr>
          <w:b/>
        </w:rPr>
        <w:t>Group ID:</w:t>
      </w:r>
      <w:r>
        <w:t xml:space="preserve"> group-e9895190491017fa7317</w:t>
      </w:r>
    </w:p>
    <w:p>
      <w:pPr>
        <w:pStyle w:val="SourceNote"/>
      </w:pPr>
      <w:r>
        <w:rPr>
          <w:b/>
        </w:rPr>
        <w:t>Original source:</w:t>
      </w:r>
      <w:r>
        <w:t xml:space="preserve"> https://doi.org/10.1111/j.1549-0831.2011.00068.x</w:t>
      </w:r>
    </w:p>
    <w:p>
      <w:pPr/>
      <w:r>
        <w:rPr>
          <w:b/>
        </w:rPr>
        <w:t>Original future claim:</w:t>
      </w:r>
      <w:r>
        <w:t xml:space="preserve">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Later source:</w:t>
      </w:r>
      <w:r>
        <w:t xml:space="preserve"> Content Validation of the Prenatal Evaluation and Referral for Lactation (PEARL) Tool Using a Delphi Method — https://doi.org/10.3390/healthcare14172831</w:t>
      </w:r>
    </w:p>
    <w:p>
      <w:pPr/>
      <w:r>
        <w:rPr>
          <w:b/>
        </w:rPr>
        <w:t>Later source:</w:t>
      </w:r>
      <w:r>
        <w:t xml:space="preserve"> AI literacy for K–12 education: an international Delphi study — https://doi.org/10.1080/10494820.2026.2649553</w:t>
      </w:r>
    </w:p>
    <w:p>
      <w:pPr>
        <w:pStyle w:val="SourceNote"/>
      </w:pPr>
      <w:r>
        <w:rPr>
          <w:b/>
        </w:rPr>
        <w:t>Review status:</w:t>
      </w:r>
      <w:r>
        <w:t xml:space="preserve"> unchecked — possible relationship only</w:t>
      </w:r>
    </w:p>
    <w:p>
      <w:pPr>
        <w:pStyle w:val="Heading2"/>
      </w:pPr>
      <w:r>
        <w:t>50. Claim + two later sources: Legume dreams: The contested futures of sustainable plant-based food systems in Europe</w:t>
      </w:r>
    </w:p>
    <w:p>
      <w:pPr>
        <w:pStyle w:val="SourceNote"/>
      </w:pPr>
      <w:r>
        <w:rPr>
          <w:b/>
        </w:rPr>
        <w:t>Group ID:</w:t>
      </w:r>
      <w:r>
        <w:t xml:space="preserve"> group-60081e051c1879617871</w:t>
      </w:r>
    </w:p>
    <w:p>
      <w:pPr>
        <w:pStyle w:val="SourceNote"/>
      </w:pPr>
      <w:r>
        <w:rPr>
          <w:b/>
        </w:rPr>
        <w:t>Original source:</w:t>
      </w:r>
      <w:r>
        <w:t xml:space="preserve"> https://doi.org/10.1016/j.gloenvcha.2021.102321</w:t>
      </w:r>
    </w:p>
    <w:p>
      <w:pPr/>
      <w:r>
        <w:rPr>
          <w:b/>
        </w:rPr>
        <w:t>Original future claim:</w:t>
      </w:r>
      <w:r>
        <w:t xml:space="preserve">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Later source:</w:t>
      </w:r>
      <w:r>
        <w:t xml:space="preserve"> Rethinking food logistics outsourcing: exploring the impact of structural changes in the European supply chain environment — https://doi.org/10.1080/13675567.2026.2654011</w:t>
      </w:r>
    </w:p>
    <w:p>
      <w:pPr/>
      <w:r>
        <w:rPr>
          <w:b/>
        </w:rPr>
        <w:t>Later source:</w:t>
      </w:r>
      <w:r>
        <w:t xml:space="preserve"> Comparative analysis of digital ecosystems for agri-food sector governance in Russia and the European Union — https://doi.org/10.31442/0235-2494-2026-0-2-10-17</w:t>
      </w:r>
    </w:p>
    <w:p>
      <w:pPr>
        <w:pStyle w:val="SourceNote"/>
      </w:pPr>
      <w:r>
        <w:rPr>
          <w:b/>
        </w:rPr>
        <w:t>Review status:</w:t>
      </w:r>
      <w:r>
        <w:t xml:space="preserve"> unchecked — possible relationship only</w:t>
      </w:r>
    </w:p>
    <w:p>
      <w:pPr>
        <w:pStyle w:val="Heading2"/>
      </w:pPr>
      <w:r>
        <w:t>51. Claim + two later sources: Energy and Climate Change Scenarios in the Mediterranean: An opportunity for cooperation</w:t>
      </w:r>
    </w:p>
    <w:p>
      <w:pPr>
        <w:pStyle w:val="SourceNote"/>
      </w:pPr>
      <w:r>
        <w:rPr>
          <w:b/>
        </w:rPr>
        <w:t>Group ID:</w:t>
      </w:r>
      <w:r>
        <w:t xml:space="preserve"> group-5c6db31a0daf38c98dd3</w:t>
      </w:r>
    </w:p>
    <w:p>
      <w:pPr>
        <w:pStyle w:val="SourceNote"/>
      </w:pPr>
      <w:r>
        <w:rPr>
          <w:b/>
        </w:rPr>
        <w:t>Original source:</w:t>
      </w:r>
      <w:r>
        <w:t xml:space="preserve"> https://doi.org/10.1093/eurpub/ckaa165.298</w:t>
      </w:r>
    </w:p>
    <w:p>
      <w:pPr/>
      <w:r>
        <w:rPr>
          <w:b/>
        </w:rPr>
        <w:t>Original future claim:</w:t>
      </w:r>
      <w:r>
        <w:t xml:space="preserve">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Later source:</w:t>
      </w:r>
      <w:r>
        <w:t xml:space="preserve"> Tailoring the future for the environment, health and security through means of criminal law — https://doi.org/10.56398/ajacieda.00468</w:t>
      </w:r>
    </w:p>
    <w:p>
      <w:pPr/>
      <w:r>
        <w:rPr>
          <w:b/>
        </w:rPr>
        <w:t>Later source:</w:t>
      </w:r>
      <w:r>
        <w:t xml:space="preserve"> Soil Health in Europe: Policy perspectives — https://doi.org/10.5194/egusphere-egu26-12384</w:t>
      </w:r>
    </w:p>
    <w:p>
      <w:pPr>
        <w:pStyle w:val="SourceNote"/>
      </w:pPr>
      <w:r>
        <w:rPr>
          <w:b/>
        </w:rPr>
        <w:t>Review status:</w:t>
      </w:r>
      <w:r>
        <w:t xml:space="preserve"> unchecked — possible relationship only</w:t>
      </w:r>
    </w:p>
    <w:p>
      <w:pPr>
        <w:pStyle w:val="Heading2"/>
      </w:pPr>
      <w:r>
        <w:t>52. Claim + two later sources: Abandonment landscapes: user attitudes, alternative futures and land management in Castro Laboreiro, Portugal</w:t>
      </w:r>
    </w:p>
    <w:p>
      <w:pPr>
        <w:pStyle w:val="SourceNote"/>
      </w:pPr>
      <w:r>
        <w:rPr>
          <w:b/>
        </w:rPr>
        <w:t>Group ID:</w:t>
      </w:r>
      <w:r>
        <w:t xml:space="preserve"> group-573f00c5053576d9404e</w:t>
      </w:r>
    </w:p>
    <w:p>
      <w:pPr>
        <w:pStyle w:val="SourceNote"/>
      </w:pPr>
      <w:r>
        <w:rPr>
          <w:b/>
        </w:rPr>
        <w:t>Original source:</w:t>
      </w:r>
      <w:r>
        <w:t xml:space="preserve"> https://doi.org/10.1007/s10113-018-1294-x</w:t>
      </w:r>
    </w:p>
    <w:p>
      <w:pPr/>
      <w:r>
        <w:rPr>
          <w:b/>
        </w:rPr>
        <w:t>Original future claim:</w:t>
      </w:r>
      <w:r>
        <w:t xml:space="preserve">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Later source:</w:t>
      </w:r>
      <w:r>
        <w:t xml:space="preserve"> Is there space for regional identities in a centralized unitary state? Northern Portugal as case study — https://doi.org/10.1080/1070289x.2026.2614229</w:t>
      </w:r>
    </w:p>
    <w:p>
      <w:pPr/>
      <w:r>
        <w:rPr>
          <w:b/>
        </w:rPr>
        <w:t>Later source:</w:t>
      </w:r>
      <w:r>
        <w:t xml:space="preserve"> Spatial and temporal patterns of aquatic fungi inside and outside protected areas in Northern Portugal — https://doi.org/10.5194/wbf2026-731</w:t>
      </w:r>
    </w:p>
    <w:p>
      <w:pPr>
        <w:pStyle w:val="SourceNote"/>
      </w:pPr>
      <w:r>
        <w:rPr>
          <w:b/>
        </w:rPr>
        <w:t>Review status:</w:t>
      </w:r>
      <w:r>
        <w:t xml:space="preserve"> unchecked — possible relationship only</w:t>
      </w:r>
    </w:p>
    <w:p>
      <w:pPr>
        <w:pStyle w:val="Heading2"/>
      </w:pPr>
      <w:r>
        <w:t>53. Claim + two later sources: Is clean energy contested? Exploring which issues matter to stakeholders in the European Green Deal</w:t>
      </w:r>
    </w:p>
    <w:p>
      <w:pPr>
        <w:pStyle w:val="SourceNote"/>
      </w:pPr>
      <w:r>
        <w:rPr>
          <w:b/>
        </w:rPr>
        <w:t>Group ID:</w:t>
      </w:r>
      <w:r>
        <w:t xml:space="preserve"> group-2ca579853bf374e94286</w:t>
      </w:r>
    </w:p>
    <w:p>
      <w:pPr>
        <w:pStyle w:val="SourceNote"/>
      </w:pPr>
      <w:r>
        <w:rPr>
          <w:b/>
        </w:rPr>
        <w:t>Original source:</w:t>
      </w:r>
      <w:r>
        <w:t xml:space="preserve"> https://doi.org/10.1016/j.erss.2021.102083</w:t>
      </w:r>
    </w:p>
    <w:p>
      <w:pPr/>
      <w:r>
        <w:rPr>
          <w:b/>
        </w:rPr>
        <w:t>Original future claim:</w:t>
      </w:r>
      <w:r>
        <w:t xml:space="preserve"> The European Green Deal aims at decarbonizing the European Union’s economies by 2050.</w:t>
      </w:r>
    </w:p>
    <w:p>
      <w:pPr/>
      <w:r>
        <w:rPr>
          <w:b/>
        </w:rPr>
        <w:t>Later source:</w:t>
      </w:r>
      <w:r>
        <w:t xml:space="preserve"> The European Green Deal within the Scope of European Union Project Funds: The Role of Green Marketing and Green Advertising — https://doi.org/10.58830/ozgur.pub1165.c4874</w:t>
      </w:r>
    </w:p>
    <w:p>
      <w:pPr/>
      <w:r>
        <w:rPr>
          <w:b/>
        </w:rPr>
        <w:t>Later source:</w:t>
      </w:r>
      <w:r>
        <w:t xml:space="preserve"> IMPLEMENTASI EUROPEAN GREEN DEAL (EGD) TERKAIT KEBIJAKAN GREEN ECONOMY DI UNI EROPA TAHUN 2020-2024 — https://openalex.org/W7153397118</w:t>
      </w:r>
    </w:p>
    <w:p>
      <w:pPr>
        <w:pStyle w:val="SourceNote"/>
      </w:pPr>
      <w:r>
        <w:rPr>
          <w:b/>
        </w:rPr>
        <w:t>Review status:</w:t>
      </w:r>
      <w:r>
        <w:t xml:space="preserve"> unchecked — possible relationship only</w:t>
      </w:r>
    </w:p>
    <w:p>
      <w:pPr>
        <w:pStyle w:val="Heading2"/>
      </w:pPr>
      <w:r>
        <w:t>54. Claim + two later sources: Scenarios of the organic food market in Europe</w:t>
      </w:r>
    </w:p>
    <w:p>
      <w:pPr>
        <w:pStyle w:val="SourceNote"/>
      </w:pPr>
      <w:r>
        <w:rPr>
          <w:b/>
        </w:rPr>
        <w:t>Group ID:</w:t>
      </w:r>
      <w:r>
        <w:t xml:space="preserve"> group-5e4b0105e26d98992509</w:t>
      </w:r>
    </w:p>
    <w:p>
      <w:pPr>
        <w:pStyle w:val="SourceNote"/>
      </w:pPr>
      <w:r>
        <w:rPr>
          <w:b/>
        </w:rPr>
        <w:t>Original source:</w:t>
      </w:r>
      <w:r>
        <w:t xml:space="preserve"> https://doi.org/10.1016/j.foodpol.2011.10.003</w:t>
      </w:r>
    </w:p>
    <w:p>
      <w:pPr/>
      <w:r>
        <w:rPr>
          <w:b/>
        </w:rPr>
        <w:t>Original future claim:</w:t>
      </w:r>
      <w:r>
        <w:t xml:space="preserve">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Later source:</w:t>
      </w:r>
      <w:r>
        <w:t xml:space="preserve"> Strategic Development of Wheelchair Basketball in Europe and Türkiye: A Systematic Review and Comparative Framework for Sustainable Growth — https://doi.org/10.33438/ijdshs.1800363</w:t>
      </w:r>
    </w:p>
    <w:p>
      <w:pPr/>
      <w:r>
        <w:rPr>
          <w:b/>
        </w:rPr>
        <w:t>Later source:</w:t>
      </w:r>
      <w:r>
        <w:t xml:space="preserve"> Entrepreneurial Universities and Digital Maturity: Qualitative Evaluation of a Change-Ready Culture and Research Propositions — https://doi.org/10.3390/world7040055</w:t>
      </w:r>
    </w:p>
    <w:p>
      <w:pPr>
        <w:pStyle w:val="SourceNote"/>
      </w:pPr>
      <w:r>
        <w:rPr>
          <w:b/>
        </w:rPr>
        <w:t>Review status:</w:t>
      </w:r>
      <w:r>
        <w:t xml:space="preserve"> unchecked — possible relationship only</w:t>
      </w:r>
    </w:p>
    <w:p>
      <w:pPr>
        <w:pStyle w:val="Heading2"/>
      </w:pPr>
      <w:r>
        <w:t>55. Claim + two later sources: The Conference on the Future of Europe: possible scenarios of the forthcoming European Perestroika</w:t>
      </w:r>
    </w:p>
    <w:p>
      <w:pPr>
        <w:pStyle w:val="SourceNote"/>
      </w:pPr>
      <w:r>
        <w:rPr>
          <w:b/>
        </w:rPr>
        <w:t>Group ID:</w:t>
      </w:r>
      <w:r>
        <w:t xml:space="preserve"> group-d73e7d3ec8dc0def5444</w:t>
      </w:r>
    </w:p>
    <w:p>
      <w:pPr>
        <w:pStyle w:val="SourceNote"/>
      </w:pPr>
      <w:r>
        <w:rPr>
          <w:b/>
        </w:rPr>
        <w:t>Original source:</w:t>
      </w:r>
      <w:r>
        <w:t xml:space="preserve"> https://doi.org/10.21128/1812-7126-2022-1-14-42</w:t>
      </w:r>
    </w:p>
    <w:p>
      <w:pPr/>
      <w:r>
        <w:rPr>
          <w:b/>
        </w:rPr>
        <w:t>Original future claim:</w:t>
      </w:r>
      <w:r>
        <w:t xml:space="preserve">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Later source:</w:t>
      </w:r>
      <w:r>
        <w:t xml:space="preserve"> Development of Agriculture in Mountain Areas in Europe: Organisational and Economic Versus Environmental Aspects — https://doi.org/10.3390/agriculture16010127</w:t>
      </w:r>
    </w:p>
    <w:p>
      <w:pPr/>
      <w:r>
        <w:rPr>
          <w:b/>
        </w:rPr>
        <w:t>Later source:</w:t>
      </w:r>
      <w:r>
        <w:t xml:space="preserve"> Preventing Child Sexual Abuse and Exploitation: Current Efforts and Future Directions in the European Union — https://doi.org/10.1080/15564886.2025.2603478</w:t>
      </w:r>
    </w:p>
    <w:p>
      <w:pPr>
        <w:pStyle w:val="SourceNote"/>
      </w:pPr>
      <w:r>
        <w:rPr>
          <w:b/>
        </w:rPr>
        <w:t>Review status:</w:t>
      </w:r>
      <w:r>
        <w:t xml:space="preserve"> unchecked — possible relationship only</w:t>
      </w:r>
    </w:p>
    <w:p>
      <w:pPr>
        <w:pStyle w:val="Heading2"/>
      </w:pPr>
      <w:r>
        <w:t>56. Claim + two later sources: The convergence or divergence of labour resources in Poland?</w:t>
      </w:r>
    </w:p>
    <w:p>
      <w:pPr>
        <w:pStyle w:val="SourceNote"/>
      </w:pPr>
      <w:r>
        <w:rPr>
          <w:b/>
        </w:rPr>
        <w:t>Group ID:</w:t>
      </w:r>
      <w:r>
        <w:t xml:space="preserve"> group-f242df2b0d5e8f27cb4a</w:t>
      </w:r>
    </w:p>
    <w:p>
      <w:pPr>
        <w:pStyle w:val="SourceNote"/>
      </w:pPr>
      <w:r>
        <w:rPr>
          <w:b/>
        </w:rPr>
        <w:t>Original source:</w:t>
      </w:r>
      <w:r>
        <w:t xml:space="preserve"> https://doi.org/10.15611/pn.2020.4.07</w:t>
      </w:r>
    </w:p>
    <w:p>
      <w:pPr/>
      <w:r>
        <w:rPr>
          <w:b/>
        </w:rPr>
        <w:t>Original future claim:</w:t>
      </w:r>
      <w:r>
        <w:t xml:space="preserve"> Eurostat’s projections indicate that by 2050 Poland will see a significant reduction in and ageing of its labour resources.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Demographic Dependency and the Future of the European Workforce: A Spatial–Temporal Forecasting Approach — https://doi.org/10.3390/su18094468</w:t>
      </w:r>
    </w:p>
    <w:p>
      <w:pPr>
        <w:pStyle w:val="SourceNote"/>
      </w:pPr>
      <w:r>
        <w:rPr>
          <w:b/>
        </w:rPr>
        <w:t>Review status:</w:t>
      </w:r>
      <w:r>
        <w:t xml:space="preserve"> unchecked — possible relationship only</w:t>
      </w:r>
    </w:p>
    <w:p>
      <w:pPr>
        <w:pStyle w:val="Heading2"/>
      </w:pPr>
      <w:r>
        <w:t>57. Claim + two later sources: Current situation and future prospects for beef production in Europe — A review</w:t>
      </w:r>
    </w:p>
    <w:p>
      <w:pPr>
        <w:pStyle w:val="SourceNote"/>
      </w:pPr>
      <w:r>
        <w:rPr>
          <w:b/>
        </w:rPr>
        <w:t>Group ID:</w:t>
      </w:r>
      <w:r>
        <w:t xml:space="preserve"> group-8bcb0783beffdc04d19b</w:t>
      </w:r>
    </w:p>
    <w:p>
      <w:pPr>
        <w:pStyle w:val="SourceNote"/>
      </w:pPr>
      <w:r>
        <w:rPr>
          <w:b/>
        </w:rPr>
        <w:t>Original source:</w:t>
      </w:r>
      <w:r>
        <w:t xml:space="preserve"> https://doi.org/10.5713/ajas.18.0196</w:t>
      </w:r>
    </w:p>
    <w:p>
      <w:pPr/>
      <w:r>
        <w:rPr>
          <w:b/>
        </w:rPr>
        <w:t>Original future claim:</w:t>
      </w:r>
      <w:r>
        <w:t xml:space="preserve">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Later source:</w:t>
      </w:r>
      <w:r>
        <w:t xml:space="preserve"> Accounting for the systemic effects of anaerobic digestion on the practices of farmers — https://doi.org/10.1007/s13593-026-01128-4</w:t>
      </w:r>
    </w:p>
    <w:p>
      <w:pPr/>
      <w:r>
        <w:rPr>
          <w:b/>
        </w:rPr>
        <w:t>Later source:</w:t>
      </w:r>
      <w:r>
        <w:t xml:space="preserve"> Industry 5.0 in the European Union — https://doi.org/10.1201/9781003785590</w:t>
      </w:r>
    </w:p>
    <w:p>
      <w:pPr>
        <w:pStyle w:val="SourceNote"/>
      </w:pPr>
      <w:r>
        <w:rPr>
          <w:b/>
        </w:rPr>
        <w:t>Review status:</w:t>
      </w:r>
      <w:r>
        <w:t xml:space="preserve"> unchecked — possible relationship only</w:t>
      </w:r>
    </w:p>
    <w:p>
      <w:pPr>
        <w:pStyle w:val="Heading2"/>
      </w:pPr>
      <w:r>
        <w:t>58. Claim + two later sources: EU land use futures: modelling food, bioenergy and carbon dynamics</w:t>
      </w:r>
    </w:p>
    <w:p>
      <w:pPr>
        <w:pStyle w:val="SourceNote"/>
      </w:pPr>
      <w:r>
        <w:rPr>
          <w:b/>
        </w:rPr>
        <w:t>Group ID:</w:t>
      </w:r>
      <w:r>
        <w:t xml:space="preserve"> group-6c0326502c0df59ffee1</w:t>
      </w:r>
    </w:p>
    <w:p>
      <w:pPr>
        <w:pStyle w:val="SourceNote"/>
      </w:pPr>
      <w:r>
        <w:rPr>
          <w:b/>
        </w:rPr>
        <w:t>Original source:</w:t>
      </w:r>
      <w:r>
        <w:t xml:space="preserve"> https://doi.org/10.1016/j.esr.2020.100545</w:t>
      </w:r>
    </w:p>
    <w:p>
      <w:pPr/>
      <w:r>
        <w:rPr>
          <w:b/>
        </w:rPr>
        <w:t>Original future claim:</w:t>
      </w:r>
      <w:r>
        <w:t xml:space="preserve">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Later source:</w:t>
      </w:r>
      <w:r>
        <w:t xml:space="preserve"> Understanding biases and changes in European heavy precipitation using dynamical flow precursors — https://doi.org/10.5194/wcd-7-633-2026</w:t>
      </w:r>
    </w:p>
    <w:p>
      <w:pPr/>
      <w:r>
        <w:rPr>
          <w:b/>
        </w:rPr>
        <w:t>Later source:</w:t>
      </w:r>
      <w:r>
        <w:t xml:space="preserve"> Sowing the seeds of change: unveiling farmer types to promote climate-smart agriculture adoption in Europe — https://doi.org/10.1016/j.jrurstud.2026.104043</w:t>
      </w:r>
    </w:p>
    <w:p>
      <w:pPr>
        <w:pStyle w:val="SourceNote"/>
      </w:pPr>
      <w:r>
        <w:rPr>
          <w:b/>
        </w:rPr>
        <w:t>Review status:</w:t>
      </w:r>
      <w:r>
        <w:t xml:space="preserve"> unchecked — possible relationship only</w:t>
      </w:r>
    </w:p>
    <w:p>
      <w:pPr>
        <w:pStyle w:val="Heading2"/>
      </w:pPr>
      <w:r>
        <w:t>59. Claim + two later sources: Exploring scenario guided pathways for food assistance in Tuscany</w:t>
      </w:r>
    </w:p>
    <w:p>
      <w:pPr>
        <w:pStyle w:val="SourceNote"/>
      </w:pPr>
      <w:r>
        <w:rPr>
          <w:b/>
        </w:rPr>
        <w:t>Group ID:</w:t>
      </w:r>
      <w:r>
        <w:t xml:space="preserve"> group-14fcf29842dc5c8b6520</w:t>
      </w:r>
    </w:p>
    <w:p>
      <w:pPr>
        <w:pStyle w:val="SourceNote"/>
      </w:pPr>
      <w:r>
        <w:rPr>
          <w:b/>
        </w:rPr>
        <w:t>Original source:</w:t>
      </w:r>
      <w:r>
        <w:t xml:space="preserve"> https://doi.org/10.13128/bae-18520</w:t>
      </w:r>
    </w:p>
    <w:p>
      <w:pPr/>
      <w:r>
        <w:rPr>
          <w:b/>
        </w:rPr>
        <w:t>Original future claim:</w:t>
      </w:r>
      <w:r>
        <w:t xml:space="preserve"> We combine the strengths of back-casted planning, which develops desirable pathways for the future, and explorative scenarios that describe plausible future contexts.</w:t>
      </w:r>
    </w:p>
    <w:p>
      <w:pPr/>
      <w:r>
        <w:rPr>
          <w:b/>
        </w:rPr>
        <w:t>Later source:</w:t>
      </w:r>
      <w:r>
        <w:t xml:space="preserve"> Evaluating Energy Transition Winners and Losers: Are Algae Biofuels Desirable, Feasible, and Viable? — https://doi.org/10.26076/1de1-5a58</w:t>
      </w:r>
    </w:p>
    <w:p>
      <w:pPr/>
      <w:r>
        <w:rPr>
          <w:b/>
        </w:rPr>
        <w:t>Later source:</w:t>
      </w:r>
      <w:r>
        <w:t xml:space="preserve"> Experimental measurement of the residual strength of particulate materials — https://doi.org/10.1201/9780203743317-22</w:t>
      </w:r>
    </w:p>
    <w:p>
      <w:pPr>
        <w:pStyle w:val="SourceNote"/>
      </w:pPr>
      <w:r>
        <w:rPr>
          <w:b/>
        </w:rPr>
        <w:t>Review status:</w:t>
      </w:r>
      <w:r>
        <w:t xml:space="preserve"> unchecked — possible relationship only</w:t>
      </w:r>
    </w:p>
    <w:p>
      <w:pPr>
        <w:pStyle w:val="Heading2"/>
      </w:pPr>
      <w:r>
        <w:t>60. Claim + two later sources: Forecasting the Diffusion of Gigabit Home Networking In Europe</w:t>
      </w:r>
    </w:p>
    <w:p>
      <w:pPr>
        <w:pStyle w:val="SourceNote"/>
      </w:pPr>
      <w:r>
        <w:rPr>
          <w:b/>
        </w:rPr>
        <w:t>Group ID:</w:t>
      </w:r>
      <w:r>
        <w:t xml:space="preserve"> group-02c56059361e9e6f1c5b</w:t>
      </w:r>
    </w:p>
    <w:p>
      <w:pPr>
        <w:pStyle w:val="SourceNote"/>
      </w:pPr>
      <w:r>
        <w:rPr>
          <w:b/>
        </w:rPr>
        <w:t>Original source:</w:t>
      </w:r>
      <w:r>
        <w:t xml:space="preserve"> https://doi.org/10.4018/ijtd.2014070103</w:t>
      </w:r>
    </w:p>
    <w:p>
      <w:pPr/>
      <w:r>
        <w:rPr>
          <w:b/>
        </w:rPr>
        <w:t>Original future claim:</w:t>
      </w:r>
      <w:r>
        <w:t xml:space="preserve">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Later source:</w:t>
      </w:r>
      <w:r>
        <w:t xml:space="preserve"> Stakeholder engagement in hubs for circularity in Europe — https://doi.org/10.1051/mattech/2026012</w:t>
      </w:r>
    </w:p>
    <w:p>
      <w:pPr/>
      <w:r>
        <w:rPr>
          <w:b/>
        </w:rPr>
        <w:t>Later source:</w:t>
      </w:r>
      <w:r>
        <w:t xml:space="preserve"> Del 2.2 Stakeholder analysis for the European natural fibre value chain for textiles from flax and hemp : Stakeholders identification and current European policy landscape — https://doi.org/10.18174/716478</w:t>
      </w:r>
    </w:p>
    <w:p>
      <w:pPr>
        <w:pStyle w:val="SourceNote"/>
      </w:pPr>
      <w:r>
        <w:rPr>
          <w:b/>
        </w:rPr>
        <w:t>Review status:</w:t>
      </w:r>
      <w:r>
        <w:t xml:space="preserve"> unchecked — possible relationship only</w:t>
      </w:r>
    </w:p>
    <w:p>
      <w:pPr>
        <w:pStyle w:val="Heading2"/>
      </w:pPr>
      <w:r>
        <w:t>61. Claim + two later sources: Using scenarios to assess the future supply of NHS nursing staff in England</w:t>
      </w:r>
    </w:p>
    <w:p>
      <w:pPr>
        <w:pStyle w:val="SourceNote"/>
      </w:pPr>
      <w:r>
        <w:rPr>
          <w:b/>
        </w:rPr>
        <w:t>Group ID:</w:t>
      </w:r>
      <w:r>
        <w:t xml:space="preserve"> group-0da9b8e31123af83999c</w:t>
      </w:r>
    </w:p>
    <w:p>
      <w:pPr>
        <w:pStyle w:val="SourceNote"/>
      </w:pPr>
      <w:r>
        <w:rPr>
          <w:b/>
        </w:rPr>
        <w:t>Original source:</w:t>
      </w:r>
      <w:r>
        <w:t xml:space="preserve"> https://doi.org/10.1186/1478-4491-10-16</w:t>
      </w:r>
    </w:p>
    <w:p>
      <w:pPr/>
      <w:r>
        <w:rPr>
          <w:b/>
        </w:rPr>
        <w:t>Original future claim:</w:t>
      </w:r>
      <w:r>
        <w:t xml:space="preserve">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Later source:</w:t>
      </w:r>
      <w:r>
        <w:t xml:space="preserve"> Isolation of Biotechnologically Important Exopolysaccharide Producing Bacteria from Different Environments — https://doi.org/10.3329/ptcb.v35i2.86592</w:t>
      </w:r>
    </w:p>
    <w:p>
      <w:pPr/>
      <w:r>
        <w:rPr>
          <w:b/>
        </w:rPr>
        <w:t>Later source:</w:t>
      </w:r>
      <w:r>
        <w:t xml:space="preserve"> Cladodes of Opuntia ficus-indica (L.) Mill. Possess Important Beneficial Properties Dependent on Their Different Stages of Maturity — https://doi.org/10.3390/plants13101365</w:t>
      </w:r>
    </w:p>
    <w:p>
      <w:pPr>
        <w:pStyle w:val="SourceNote"/>
      </w:pPr>
      <w:r>
        <w:rPr>
          <w:b/>
        </w:rPr>
        <w:t>Review status:</w:t>
      </w:r>
      <w:r>
        <w:t xml:space="preserve"> unchecked — possible relationship only</w:t>
      </w:r>
    </w:p>
    <w:p>
      <w:pPr>
        <w:pStyle w:val="Heading2"/>
      </w:pPr>
      <w:r>
        <w:t>62. Claim + two later sources: New system of employment forecasting in Poland</w:t>
      </w:r>
    </w:p>
    <w:p>
      <w:pPr>
        <w:pStyle w:val="SourceNote"/>
      </w:pPr>
      <w:r>
        <w:rPr>
          <w:b/>
        </w:rPr>
        <w:t>Group ID:</w:t>
      </w:r>
      <w:r>
        <w:t xml:space="preserve"> group-2848bdde97fde11388c0</w:t>
      </w:r>
    </w:p>
    <w:p>
      <w:pPr>
        <w:pStyle w:val="SourceNote"/>
      </w:pPr>
      <w:r>
        <w:rPr>
          <w:b/>
        </w:rPr>
        <w:t>Original source:</w:t>
      </w:r>
      <w:r>
        <w:t xml:space="preserve"> https://doi.org/10.2478/eam-2014-0018</w:t>
      </w:r>
    </w:p>
    <w:p>
      <w:pPr/>
      <w:r>
        <w:rPr>
          <w:b/>
        </w:rPr>
        <w:t>Original future claim:</w:t>
      </w:r>
      <w:r>
        <w:t xml:space="preserve">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Later source:</w:t>
      </w:r>
      <w:r>
        <w:t xml:space="preserve"> A collaborative analytics framework for artificial intelligence-based demand forecasting in supply chains — https://doi.org/10.1016/j.sca.2026.100235</w:t>
      </w:r>
    </w:p>
    <w:p>
      <w:pPr/>
      <w:r>
        <w:rPr>
          <w:b/>
        </w:rPr>
        <w:t>Later source:</w:t>
      </w:r>
      <w:r>
        <w:t xml:space="preserve"> Improving Subseasonal Wind Speed Forecasts in Europe with a Nonlinear Model — https://doi.org/10.1175/mwr-d-24-0248.1</w:t>
      </w:r>
    </w:p>
    <w:p>
      <w:pPr>
        <w:pStyle w:val="SourceNote"/>
      </w:pPr>
      <w:r>
        <w:rPr>
          <w:b/>
        </w:rPr>
        <w:t>Review status:</w:t>
      </w:r>
      <w:r>
        <w:t xml:space="preserve"> unchecked — possible relationship only</w:t>
      </w:r>
    </w:p>
    <w:p>
      <w:pPr>
        <w:pStyle w:val="Heading2"/>
      </w:pPr>
      <w:r>
        <w:t>63. Claim + two later sources: On European Green Deal and Sustainable Development Policy (the Case of Romania)</w:t>
      </w:r>
    </w:p>
    <w:p>
      <w:pPr>
        <w:pStyle w:val="SourceNote"/>
      </w:pPr>
      <w:r>
        <w:rPr>
          <w:b/>
        </w:rPr>
        <w:t>Group ID:</w:t>
      </w:r>
      <w:r>
        <w:t xml:space="preserve"> group-c858aeeb5429ae58fe87</w:t>
      </w:r>
    </w:p>
    <w:p>
      <w:pPr>
        <w:pStyle w:val="SourceNote"/>
      </w:pPr>
      <w:r>
        <w:rPr>
          <w:b/>
        </w:rPr>
        <w:t>Original source:</w:t>
      </w:r>
      <w:r>
        <w:t xml:space="preserve"> https://doi.org/10.3390/su132112233</w:t>
      </w:r>
    </w:p>
    <w:p>
      <w:pPr/>
      <w:r>
        <w:rPr>
          <w:b/>
        </w:rPr>
        <w:t>Original future claim:</w:t>
      </w:r>
      <w:r>
        <w:t xml:space="preserve"> Reaching the EU climate-neutrality objective in 2050 is very ambitious, especially for the Member States from Central-Eastern Europe.</w:t>
      </w:r>
    </w:p>
    <w:p>
      <w:pPr/>
      <w:r>
        <w:rPr>
          <w:b/>
        </w:rPr>
        <w:t>Later source:</w:t>
      </w:r>
      <w:r>
        <w:t xml:space="preserve"> Cluster Analysis of the Transition to Climate Neutrality in the European Union — https://doi.org/10.1002/sd.70064</w:t>
      </w:r>
    </w:p>
    <w:p>
      <w:pPr/>
      <w:r>
        <w:rPr>
          <w:b/>
        </w:rPr>
        <w:t>Later source:</w:t>
      </w:r>
      <w:r>
        <w:t xml:space="preserve"> Assessment of the Potential of European Union Member States to Achieve Climate Neutrality — https://doi.org/10.3390/su16031311</w:t>
      </w:r>
    </w:p>
    <w:p>
      <w:pPr>
        <w:pStyle w:val="SourceNote"/>
      </w:pPr>
      <w:r>
        <w:rPr>
          <w:b/>
        </w:rPr>
        <w:t>Review status:</w:t>
      </w:r>
      <w:r>
        <w:t xml:space="preserve"> unchecked — possible relationship only</w:t>
      </w:r>
    </w:p>
    <w:p>
      <w:pPr>
        <w:pStyle w:val="Heading2"/>
      </w:pPr>
      <w:r>
        <w:t>64. Claim + two later sources: Modeling the climatic suitability of leishmaniasis vector species in Europe</w:t>
      </w:r>
    </w:p>
    <w:p>
      <w:pPr>
        <w:pStyle w:val="SourceNote"/>
      </w:pPr>
      <w:r>
        <w:rPr>
          <w:b/>
        </w:rPr>
        <w:t>Group ID:</w:t>
      </w:r>
      <w:r>
        <w:t xml:space="preserve"> group-874fd8d3b6f2665ac264</w:t>
      </w:r>
    </w:p>
    <w:p>
      <w:pPr>
        <w:pStyle w:val="SourceNote"/>
      </w:pPr>
      <w:r>
        <w:rPr>
          <w:b/>
        </w:rPr>
        <w:t>Original source:</w:t>
      </w:r>
      <w:r>
        <w:t xml:space="preserve"> https://doi.org/10.1038/s41598-017-13822-1</w:t>
      </w:r>
    </w:p>
    <w:p>
      <w:pPr/>
      <w:r>
        <w:rPr>
          <w:b/>
        </w:rPr>
        <w:t>Original future claim:</w:t>
      </w:r>
      <w:r>
        <w:t xml:space="preserve">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Later source:</w:t>
      </w:r>
      <w:r>
        <w:t xml:space="preserve"> Climate envelope models (CEMs) identify key factors determining the future distribution of European vertebrates in a changing climate — https://doi.org/10.1007/s10531-026-03373-1</w:t>
      </w:r>
    </w:p>
    <w:p>
      <w:pPr/>
      <w:r>
        <w:rPr>
          <w:b/>
        </w:rPr>
        <w:t>Later source:</w:t>
      </w:r>
      <w:r>
        <w:t xml:space="preserve"> Rising dust pollution across Europe in a changing climate — https://doi.org/10.1038/s41586-026-10743-w</w:t>
      </w:r>
    </w:p>
    <w:p>
      <w:pPr>
        <w:pStyle w:val="SourceNote"/>
      </w:pPr>
      <w:r>
        <w:rPr>
          <w:b/>
        </w:rPr>
        <w:t>Review status:</w:t>
      </w:r>
      <w:r>
        <w:t xml:space="preserve"> unchecked — possible relationship only</w:t>
      </w:r>
    </w:p>
    <w:p>
      <w:pPr>
        <w:pStyle w:val="Heading2"/>
      </w:pPr>
      <w:r>
        <w:t>65. Claim + two later sources: Beyond Futures: Designing Futures by Educating Future Designers</w:t>
      </w:r>
    </w:p>
    <w:p>
      <w:pPr>
        <w:pStyle w:val="SourceNote"/>
      </w:pPr>
      <w:r>
        <w:rPr>
          <w:b/>
        </w:rPr>
        <w:t>Group ID:</w:t>
      </w:r>
      <w:r>
        <w:t xml:space="preserve"> group-823ba617a61346303cfe</w:t>
      </w:r>
    </w:p>
    <w:p>
      <w:pPr>
        <w:pStyle w:val="SourceNote"/>
      </w:pPr>
      <w:r>
        <w:rPr>
          <w:b/>
        </w:rPr>
        <w:t>Original source:</w:t>
      </w:r>
      <w:r>
        <w:t xml:space="preserve"> https://doi.org/10.1177/1946756718790758</w:t>
      </w:r>
    </w:p>
    <w:p>
      <w:pPr/>
      <w:r>
        <w:rPr>
          <w:b/>
        </w:rPr>
        <w:t>Original future claim:</w:t>
      </w:r>
      <w:r>
        <w:t xml:space="preserve"> It may increase designers’ sensitivity of the impact their work may have in the future and push their creativity by broadening their view looking at different future scenarios.</w:t>
      </w:r>
    </w:p>
    <w:p>
      <w:pPr/>
      <w:r>
        <w:rPr>
          <w:b/>
        </w:rPr>
        <w:t>Later source:</w:t>
      </w:r>
      <w:r>
        <w:t xml:space="preserve"> Manifestos and manifestations: The role of a solar designer — https://doi.org/10.1016/j.yjoc.2026.100131</w:t>
      </w:r>
    </w:p>
    <w:p>
      <w:pPr/>
      <w:r>
        <w:rPr>
          <w:b/>
        </w:rPr>
        <w:t>Later source:</w:t>
      </w:r>
      <w:r>
        <w:t xml:space="preserve"> The Designers’ Perspective on Autonomous Mining Systems and Sociotechnology — https://doi.org/10.1007/s42461-024-00952-0</w:t>
      </w:r>
    </w:p>
    <w:p>
      <w:pPr>
        <w:pStyle w:val="SourceNote"/>
      </w:pPr>
      <w:r>
        <w:rPr>
          <w:b/>
        </w:rPr>
        <w:t>Review status:</w:t>
      </w:r>
      <w:r>
        <w:t xml:space="preserve"> unchecked — possible relationship only</w:t>
      </w:r>
    </w:p>
    <w:p>
      <w:pPr>
        <w:pStyle w:val="Heading2"/>
      </w:pPr>
      <w:r>
        <w:t>66. Claim + two later sources: Baltic herring for food: Shades of grey in how backcasting recommendations work across exploratory scenarios</w:t>
      </w:r>
    </w:p>
    <w:p>
      <w:pPr>
        <w:pStyle w:val="SourceNote"/>
      </w:pPr>
      <w:r>
        <w:rPr>
          <w:b/>
        </w:rPr>
        <w:t>Group ID:</w:t>
      </w:r>
      <w:r>
        <w:t xml:space="preserve"> group-9a3c5aa030838ea13326</w:t>
      </w:r>
    </w:p>
    <w:p>
      <w:pPr>
        <w:pStyle w:val="SourceNote"/>
      </w:pPr>
      <w:r>
        <w:rPr>
          <w:b/>
        </w:rPr>
        <w:t>Original source:</w:t>
      </w:r>
      <w:r>
        <w:t xml:space="preserve"> https://doi.org/10.1016/j.techfore.2018.11.001</w:t>
      </w:r>
    </w:p>
    <w:p>
      <w:pPr/>
      <w:r>
        <w:rPr>
          <w:b/>
        </w:rPr>
        <w:t>Original future claim:</w:t>
      </w:r>
      <w:r>
        <w:t xml:space="preserve">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Later source:</w:t>
      </w:r>
      <w:r>
        <w:t xml:space="preserve"> Reducing grey seal numbers will not help Baltic fish stocks — https://openalex.org/W7135163608</w:t>
      </w:r>
    </w:p>
    <w:p>
      <w:pPr/>
      <w:r>
        <w:rPr>
          <w:b/>
        </w:rPr>
        <w:t>Later source:</w:t>
      </w:r>
      <w:r>
        <w:t xml:space="preserve"> Case Study: The BBC's Recommendations Team — https://doi.org/10.6084/m9.figshare.31869499</w:t>
      </w:r>
    </w:p>
    <w:p>
      <w:pPr>
        <w:pStyle w:val="SourceNote"/>
      </w:pPr>
      <w:r>
        <w:rPr>
          <w:b/>
        </w:rPr>
        <w:t>Review status:</w:t>
      </w:r>
      <w:r>
        <w:t xml:space="preserve"> unchecked — possible relationship only</w:t>
      </w:r>
    </w:p>
    <w:p>
      <w:pPr>
        <w:pStyle w:val="Heading2"/>
      </w:pPr>
      <w:r>
        <w:t>67. Claim + two later sources: The EU climate and energy policy: what about the new targets for 2030?</w:t>
      </w:r>
    </w:p>
    <w:p>
      <w:pPr>
        <w:pStyle w:val="SourceNote"/>
      </w:pPr>
      <w:r>
        <w:rPr>
          <w:b/>
        </w:rPr>
        <w:t>Group ID:</w:t>
      </w:r>
      <w:r>
        <w:t xml:space="preserve"> group-fb9d96b3b03dd34c2b5c</w:t>
      </w:r>
    </w:p>
    <w:p>
      <w:pPr>
        <w:pStyle w:val="SourceNote"/>
      </w:pPr>
      <w:r>
        <w:rPr>
          <w:b/>
        </w:rPr>
        <w:t>Original source:</w:t>
      </w:r>
      <w:r>
        <w:t xml:space="preserve"> https://doi.org/10.3280/efe2014-001002</w:t>
      </w:r>
    </w:p>
    <w:p>
      <w:pPr/>
      <w:r>
        <w:rPr>
          <w:b/>
        </w:rPr>
        <w:t>Original future claim:</w:t>
      </w:r>
      <w:r>
        <w:t xml:space="preserve">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Short-term renewable energy forecast errors in Europe: Spatial dependence and smoothing potential — https://doi.org/10.1016/j.renene.2026.126047</w:t>
      </w:r>
    </w:p>
    <w:p>
      <w:pPr>
        <w:pStyle w:val="SourceNote"/>
      </w:pPr>
      <w:r>
        <w:rPr>
          <w:b/>
        </w:rPr>
        <w:t>Review status:</w:t>
      </w:r>
      <w:r>
        <w:t xml:space="preserve"> unchecked — possible relationship only</w:t>
      </w:r>
    </w:p>
    <w:p>
      <w:pPr>
        <w:pStyle w:val="Heading2"/>
      </w:pPr>
      <w:r>
        <w:t>68. Claim + two later sources: Facing the future: Scanning, synthesizing and sense-making in horizon scanning</w:t>
      </w:r>
    </w:p>
    <w:p>
      <w:pPr>
        <w:pStyle w:val="SourceNote"/>
      </w:pPr>
      <w:r>
        <w:rPr>
          <w:b/>
        </w:rPr>
        <w:t>Group ID:</w:t>
      </w:r>
      <w:r>
        <w:t xml:space="preserve"> group-c6e9e9cbcb1237be181c</w:t>
      </w:r>
    </w:p>
    <w:p>
      <w:pPr>
        <w:pStyle w:val="SourceNote"/>
      </w:pPr>
      <w:r>
        <w:rPr>
          <w:b/>
        </w:rPr>
        <w:t>Original source:</w:t>
      </w:r>
      <w:r>
        <w:t xml:space="preserve"> https://doi.org/10.1093/scipol/scs021</w:t>
      </w:r>
    </w:p>
    <w:p>
      <w:pPr/>
      <w:r>
        <w:rPr>
          <w:b/>
        </w:rPr>
        <w:t>Original future claim:</w:t>
      </w:r>
      <w:r>
        <w:t xml:space="preserve">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69. Claim + two later sources: A strategic policy scenario analysis framework for the sustainable tourist development of peripheral small island areas – the case of Lefkada-Greece Island</w:t>
      </w:r>
    </w:p>
    <w:p>
      <w:pPr>
        <w:pStyle w:val="SourceNote"/>
      </w:pPr>
      <w:r>
        <w:rPr>
          <w:b/>
        </w:rPr>
        <w:t>Group ID:</w:t>
      </w:r>
      <w:r>
        <w:t xml:space="preserve"> group-cb151734780b63cfa7b2</w:t>
      </w:r>
    </w:p>
    <w:p>
      <w:pPr>
        <w:pStyle w:val="SourceNote"/>
      </w:pPr>
      <w:r>
        <w:rPr>
          <w:b/>
        </w:rPr>
        <w:t>Original source:</w:t>
      </w:r>
      <w:r>
        <w:t xml:space="preserve"> https://doi.org/10.1007/s40309-015-0063-z</w:t>
      </w:r>
    </w:p>
    <w:p>
      <w:pPr/>
      <w:r>
        <w:rPr>
          <w:b/>
        </w:rPr>
        <w:t>Original future claim:</w:t>
      </w:r>
      <w:r>
        <w:t xml:space="preserve">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Later source:</w:t>
      </w:r>
      <w:r>
        <w:t xml:space="preserve"> Cost competitiveness of green ammonia via solid oxide electrolysis in Europe: A region-specific analysis — https://doi.org/10.1016/j.jclepro.2026.148079</w:t>
      </w:r>
    </w:p>
    <w:p>
      <w:pPr/>
      <w:r>
        <w:rPr>
          <w:b/>
        </w:rPr>
        <w:t>Later source:</w:t>
      </w:r>
      <w:r>
        <w:t xml:space="preserve"> Agrarian Structure in a Small Island Region: A Typological and Spatial Analysis of Agricultural Systems in Madeira Island — https://doi.org/10.3390/su18073545</w:t>
      </w:r>
    </w:p>
    <w:p>
      <w:pPr>
        <w:pStyle w:val="SourceNote"/>
      </w:pPr>
      <w:r>
        <w:rPr>
          <w:b/>
        </w:rPr>
        <w:t>Review status:</w:t>
      </w:r>
      <w:r>
        <w:t xml:space="preserve"> unchecked — possible relationship only</w:t>
      </w:r>
    </w:p>
    <w:p>
      <w:pPr>
        <w:pStyle w:val="Heading2"/>
      </w:pPr>
      <w:r>
        <w:t>70. Claim + two later sources: Ensemble flood risk assessment in Europe under high end climate scenarios</w:t>
      </w:r>
    </w:p>
    <w:p>
      <w:pPr>
        <w:pStyle w:val="SourceNote"/>
      </w:pPr>
      <w:r>
        <w:rPr>
          <w:b/>
        </w:rPr>
        <w:t>Group ID:</w:t>
      </w:r>
      <w:r>
        <w:t xml:space="preserve"> group-ab7a182b8d1bf8c9864b</w:t>
      </w:r>
    </w:p>
    <w:p>
      <w:pPr>
        <w:pStyle w:val="SourceNote"/>
      </w:pPr>
      <w:r>
        <w:rPr>
          <w:b/>
        </w:rPr>
        <w:t>Original source:</w:t>
      </w:r>
      <w:r>
        <w:t xml:space="preserve"> https://doi.org/10.1016/j.gloenvcha.2015.09.004</w:t>
      </w:r>
    </w:p>
    <w:p>
      <w:pPr/>
      <w:r>
        <w:rPr>
          <w:b/>
        </w:rPr>
        <w:t>Original future claim:</w:t>
      </w:r>
      <w:r>
        <w:t xml:space="preserve">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Later source:</w:t>
      </w:r>
      <w:r>
        <w:t xml:space="preserve"> Uncertainty-aware forecasting of economic and socio-economic inputs for environmental and sustainability indicator assessment — https://doi.org/10.1016/j.indic.2026.101471</w:t>
      </w:r>
    </w:p>
    <w:p>
      <w:pPr/>
      <w:r>
        <w:rPr>
          <w:b/>
        </w:rPr>
        <w:t>Later source:</w:t>
      </w:r>
      <w:r>
        <w:t xml:space="preserve"> A Socio-Economic Decision-Support Tool for Sustainable Agricultural Policy — https://openalex.org/W7208511840</w:t>
      </w:r>
    </w:p>
    <w:p>
      <w:pPr>
        <w:pStyle w:val="SourceNote"/>
      </w:pPr>
      <w:r>
        <w:rPr>
          <w:b/>
        </w:rPr>
        <w:t>Review status:</w:t>
      </w:r>
      <w:r>
        <w:t xml:space="preserve"> unchecked — possible relationship only</w:t>
      </w:r>
    </w:p>
    <w:p>
      <w:pPr>
        <w:pStyle w:val="Heading2"/>
      </w:pPr>
      <w:r>
        <w:t>71. Claim + two later sources: Environmental impacts of household appliances in Europe and scenarios for their impact reduction</w:t>
      </w:r>
    </w:p>
    <w:p>
      <w:pPr>
        <w:pStyle w:val="SourceNote"/>
      </w:pPr>
      <w:r>
        <w:rPr>
          <w:b/>
        </w:rPr>
        <w:t>Group ID:</w:t>
      </w:r>
      <w:r>
        <w:t xml:space="preserve"> group-4abb7e598e494829afbe</w:t>
      </w:r>
    </w:p>
    <w:p>
      <w:pPr>
        <w:pStyle w:val="SourceNote"/>
      </w:pPr>
      <w:r>
        <w:rPr>
          <w:b/>
        </w:rPr>
        <w:t>Original source:</w:t>
      </w:r>
      <w:r>
        <w:t xml:space="preserve"> https://doi.org/10.1016/j.jclepro.2020.121952</w:t>
      </w:r>
    </w:p>
    <w:p>
      <w:pPr/>
      <w:r>
        <w:rPr>
          <w:b/>
        </w:rPr>
        <w:t>Original future claim:</w:t>
      </w:r>
      <w:r>
        <w:t xml:space="preserve">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Later source:</w:t>
      </w:r>
      <w:r>
        <w:t xml:space="preserve"> European Lepidoptera–Plant Associations: A Species‐Level Interaction Matrix — https://doi.org/10.1002/ece3.73004</w:t>
      </w:r>
    </w:p>
    <w:p>
      <w:pPr/>
      <w:r>
        <w:rPr>
          <w:b/>
        </w:rPr>
        <w:t>Later source:</w:t>
      </w:r>
      <w:r>
        <w:t xml:space="preserve"> The 2026 Europe Cities Report of the Lancet Countdown on health and climate change: cities at the forefront of climate change action — https://doi.org/10.1016/s2468-2667(26)00100-3</w:t>
      </w:r>
    </w:p>
    <w:p>
      <w:pPr>
        <w:pStyle w:val="SourceNote"/>
      </w:pPr>
      <w:r>
        <w:rPr>
          <w:b/>
        </w:rPr>
        <w:t>Review status:</w:t>
      </w:r>
      <w:r>
        <w:t xml:space="preserve"> unchecked — possible relationship only</w:t>
      </w:r>
    </w:p>
    <w:p>
      <w:pPr>
        <w:pStyle w:val="Heading2"/>
      </w:pPr>
      <w:r>
        <w:t>72. Claim + two later sources: Future export markets of industrial wood construction – A qualitative backcasting study</w:t>
      </w:r>
    </w:p>
    <w:p>
      <w:pPr>
        <w:pStyle w:val="SourceNote"/>
      </w:pPr>
      <w:r>
        <w:rPr>
          <w:b/>
        </w:rPr>
        <w:t>Group ID:</w:t>
      </w:r>
      <w:r>
        <w:t xml:space="preserve"> group-5a56107ad27443804f10</w:t>
      </w:r>
    </w:p>
    <w:p>
      <w:pPr>
        <w:pStyle w:val="SourceNote"/>
      </w:pPr>
      <w:r>
        <w:rPr>
          <w:b/>
        </w:rPr>
        <w:t>Original source:</w:t>
      </w:r>
      <w:r>
        <w:t xml:space="preserve"> https://doi.org/10.1016/j.forpol.2021.102480</w:t>
      </w:r>
    </w:p>
    <w:p>
      <w:pPr/>
      <w:r>
        <w:rPr>
          <w:b/>
        </w:rPr>
        <w:t>Original future claim:</w:t>
      </w:r>
      <w:r>
        <w:t xml:space="preserve">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Later source:</w:t>
      </w:r>
      <w:r>
        <w:t xml:space="preserve"> Selecting Promising Soil Quality Indicators for Monitoring Soil Management Effects Based on 10 European Long‐Term Field Experiments — https://doi.org/10.1002/jpln.70068</w:t>
      </w:r>
    </w:p>
    <w:p>
      <w:pPr/>
      <w:r>
        <w:rPr>
          <w:b/>
        </w:rPr>
        <w:t>Later source:</w:t>
      </w:r>
      <w:r>
        <w:t xml:space="preserve"> European Spruce Bark Beetle Damage Prevention : A comparison between Central Europe and Finland — https://openalex.org/W7149878051</w:t>
      </w:r>
    </w:p>
    <w:p>
      <w:pPr>
        <w:pStyle w:val="SourceNote"/>
      </w:pPr>
      <w:r>
        <w:rPr>
          <w:b/>
        </w:rPr>
        <w:t>Review status:</w:t>
      </w:r>
      <w:r>
        <w:t xml:space="preserve"> unchecked — possible relationship only</w:t>
      </w:r>
    </w:p>
    <w:p>
      <w:pPr>
        <w:pStyle w:val="Heading2"/>
      </w:pPr>
      <w:r>
        <w:t>73. Claim + two later sources: The implications of demographic and economic projections on public pension spending in the European Union</w:t>
      </w:r>
    </w:p>
    <w:p>
      <w:pPr>
        <w:pStyle w:val="SourceNote"/>
      </w:pPr>
      <w:r>
        <w:rPr>
          <w:b/>
        </w:rPr>
        <w:t>Group ID:</w:t>
      </w:r>
      <w:r>
        <w:t xml:space="preserve"> group-9bf5a6a33da7b7f296c5</w:t>
      </w:r>
    </w:p>
    <w:p>
      <w:pPr>
        <w:pStyle w:val="SourceNote"/>
      </w:pPr>
      <w:r>
        <w:rPr>
          <w:b/>
        </w:rPr>
        <w:t>Original source:</w:t>
      </w:r>
      <w:r>
        <w:t xml:space="preserve"> https://doi.org/10.1080/21699763.2017.1411288</w:t>
      </w:r>
    </w:p>
    <w:p>
      <w:pPr/>
      <w:r>
        <w:rPr>
          <w:b/>
        </w:rPr>
        <w:t>Original future claim:</w:t>
      </w:r>
      <w:r>
        <w:t xml:space="preserve">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Later source:</w:t>
      </w:r>
      <w:r>
        <w:t xml:space="preserve"> Ageing Europe: Demographic Change, Active Ageing, and EU Legislative Strategies — https://doi.org/10.5281/zenodo.20000812</w:t>
      </w:r>
    </w:p>
    <w:p>
      <w:pPr/>
      <w:r>
        <w:rPr>
          <w:b/>
        </w:rPr>
        <w:t>Later source:</w:t>
      </w:r>
      <w:r>
        <w:t xml:space="preserve"> Demographic Transformation and Sustainable Workforce Challenges in the European Union — https://doi.org/10.14207/ejsd.2026.v15n2p121</w:t>
      </w:r>
    </w:p>
    <w:p>
      <w:pPr>
        <w:pStyle w:val="SourceNote"/>
      </w:pPr>
      <w:r>
        <w:rPr>
          <w:b/>
        </w:rPr>
        <w:t>Review status:</w:t>
      </w:r>
      <w:r>
        <w:t xml:space="preserve"> unchecked — possible relationship only</w:t>
      </w:r>
    </w:p>
    <w:p>
      <w:pPr>
        <w:pStyle w:val="Heading2"/>
      </w:pPr>
      <w:r>
        <w:t>74. Claim + two later sources: Actual and potential development of consumer demand on the organic food market in Europe</w:t>
      </w:r>
    </w:p>
    <w:p>
      <w:pPr>
        <w:pStyle w:val="SourceNote"/>
      </w:pPr>
      <w:r>
        <w:rPr>
          <w:b/>
        </w:rPr>
        <w:t>Group ID:</w:t>
      </w:r>
      <w:r>
        <w:t xml:space="preserve"> group-0f443f5c23f8771e44be</w:t>
      </w:r>
    </w:p>
    <w:p>
      <w:pPr>
        <w:pStyle w:val="SourceNote"/>
      </w:pPr>
      <w:r>
        <w:rPr>
          <w:b/>
        </w:rPr>
        <w:t>Original source:</w:t>
      </w:r>
      <w:r>
        <w:t xml:space="preserve"> https://doi.org/10.1016/j.njas.2011.01.005</w:t>
      </w:r>
    </w:p>
    <w:p>
      <w:pPr/>
      <w:r>
        <w:rPr>
          <w:b/>
        </w:rPr>
        <w:t>Original future claim:</w:t>
      </w:r>
      <w:r>
        <w:t xml:space="preserve">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Later source:</w:t>
      </w:r>
      <w:r>
        <w:t xml:space="preserve"> Range expansion of the golden jackal (Canis aureus) in Europe — https://doi.org/10.53452/tu3112</w:t>
      </w:r>
    </w:p>
    <w:p>
      <w:pPr/>
      <w:r>
        <w:rPr>
          <w:b/>
        </w:rPr>
        <w:t>Later source:</w:t>
      </w:r>
      <w:r>
        <w:t xml:space="preserve"> Economic incentives for conifers may limit broadleaf expansion in climate-adaptive European forests — https://doi.org/10.1038/s43247-026-04087-6</w:t>
      </w:r>
    </w:p>
    <w:p>
      <w:pPr>
        <w:pStyle w:val="SourceNote"/>
      </w:pPr>
      <w:r>
        <w:rPr>
          <w:b/>
        </w:rPr>
        <w:t>Review status:</w:t>
      </w:r>
      <w:r>
        <w:t xml:space="preserve"> unchecked — possible relationship only</w:t>
      </w:r>
    </w:p>
    <w:p>
      <w:pPr>
        <w:pStyle w:val="Heading2"/>
      </w:pPr>
      <w:r>
        <w:t>75. Claim + two later sources: Advancing tools to promote health equity across European Union regions: the EURO-HEALTHY project</w:t>
      </w:r>
    </w:p>
    <w:p>
      <w:pPr>
        <w:pStyle w:val="SourceNote"/>
      </w:pPr>
      <w:r>
        <w:rPr>
          <w:b/>
        </w:rPr>
        <w:t>Group ID:</w:t>
      </w:r>
      <w:r>
        <w:t xml:space="preserve"> group-20d978d60783c88a2e24</w:t>
      </w:r>
    </w:p>
    <w:p>
      <w:pPr>
        <w:pStyle w:val="SourceNote"/>
      </w:pPr>
      <w:r>
        <w:rPr>
          <w:b/>
        </w:rPr>
        <w:t>Original source:</w:t>
      </w:r>
      <w:r>
        <w:t xml:space="preserve"> https://doi.org/10.1186/s12961-020-0526-y</w:t>
      </w:r>
    </w:p>
    <w:p>
      <w:pPr/>
      <w:r>
        <w:rPr>
          <w:b/>
        </w:rPr>
        <w:t>Original future claim:</w:t>
      </w:r>
      <w:r>
        <w:t xml:space="preserve">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Later source:</w:t>
      </w:r>
      <w:r>
        <w:t xml:space="preserve"> POLISH POPULISM AND THE COUNCIL OF EUROPE: HOW POLAND IS FAILING TO ADHERE TO ITS CORE OBLIGATIONS AND WHAT IT MEANS — https://doi.org/10.52340/gjes.2022.01.06</w:t>
      </w:r>
    </w:p>
    <w:p>
      <w:pPr/>
      <w:r>
        <w:rPr>
          <w:b/>
        </w:rPr>
        <w:t>Later source:</w:t>
      </w:r>
      <w:r>
        <w:t xml:space="preserve"> Racial logics of irregular migration in Europe — https://doi.org/10.5281/zenodo.18693464</w:t>
      </w:r>
    </w:p>
    <w:p>
      <w:pPr>
        <w:pStyle w:val="SourceNote"/>
      </w:pPr>
      <w:r>
        <w:rPr>
          <w:b/>
        </w:rPr>
        <w:t>Review status:</w:t>
      </w:r>
      <w:r>
        <w:t xml:space="preserve"> unchecked — possible relationship only</w:t>
      </w:r>
    </w:p>
    <w:p>
      <w:pPr>
        <w:pStyle w:val="Heading2"/>
      </w:pPr>
      <w:r>
        <w:t>76. Claim + two later sources: The Current Picture of the Transition to a Green Economy in the EU—Trends in Climate and Energy Policy versus State Security</w:t>
      </w:r>
    </w:p>
    <w:p>
      <w:pPr>
        <w:pStyle w:val="SourceNote"/>
      </w:pPr>
      <w:r>
        <w:rPr>
          <w:b/>
        </w:rPr>
        <w:t>Group ID:</w:t>
      </w:r>
      <w:r>
        <w:t xml:space="preserve"> group-5b832032053860c3c606</w:t>
      </w:r>
    </w:p>
    <w:p>
      <w:pPr>
        <w:pStyle w:val="SourceNote"/>
      </w:pPr>
      <w:r>
        <w:rPr>
          <w:b/>
        </w:rPr>
        <w:t>Original source:</w:t>
      </w:r>
      <w:r>
        <w:t xml:space="preserve"> https://doi.org/10.3390/en14238181</w:t>
      </w:r>
    </w:p>
    <w:p>
      <w:pPr/>
      <w:r>
        <w:rPr>
          <w:b/>
        </w:rPr>
        <w:t>Original future claim:</w:t>
      </w:r>
      <w:r>
        <w:t xml:space="preserve"> The aim of the article is to present the main quantitative challenges for the development of the green economy in the EU, which are analyzed from the perspective of the year 2030.</w:t>
      </w:r>
    </w:p>
    <w:p>
      <w:pPr/>
      <w:r>
        <w:rPr>
          <w:b/>
        </w:rPr>
        <w:t>Later source:</w:t>
      </w:r>
      <w:r>
        <w:t xml:space="preserve"> Cartography of the Use of Artificial Intelligence Against Disinformation in Europe: Trends, Stakeholders, and Emerging Challenges — https://doi.org/10.3390/socsci15020071</w:t>
      </w:r>
    </w:p>
    <w:p>
      <w:pPr/>
      <w:r>
        <w:rPr>
          <w:b/>
        </w:rPr>
        <w:t>Later source:</w:t>
      </w:r>
      <w:r>
        <w:t xml:space="preserve"> Default recognition under Article 178 CRR: challenges and implications for standardised approach banks — https://doi.org/10.1108/jfrc-07-2025-0194</w:t>
      </w:r>
    </w:p>
    <w:p>
      <w:pPr>
        <w:pStyle w:val="SourceNote"/>
      </w:pPr>
      <w:r>
        <w:rPr>
          <w:b/>
        </w:rPr>
        <w:t>Review status:</w:t>
      </w:r>
      <w:r>
        <w:t xml:space="preserve"> unchecked — possible relationship only</w:t>
      </w:r>
    </w:p>
    <w:p>
      <w:pPr>
        <w:pStyle w:val="Heading2"/>
      </w:pPr>
      <w:r>
        <w:t>77. Claim + two later sources: The European Union and Africa towards 2030: perspectives from transnational civil society organisations</w:t>
      </w:r>
    </w:p>
    <w:p>
      <w:pPr>
        <w:pStyle w:val="SourceNote"/>
      </w:pPr>
      <w:r>
        <w:rPr>
          <w:b/>
        </w:rPr>
        <w:t>Group ID:</w:t>
      </w:r>
      <w:r>
        <w:t xml:space="preserve"> group-8f4339650e6d90c83eb1</w:t>
      </w:r>
    </w:p>
    <w:p>
      <w:pPr>
        <w:pStyle w:val="SourceNote"/>
      </w:pPr>
      <w:r>
        <w:rPr>
          <w:b/>
        </w:rPr>
        <w:t>Original source:</w:t>
      </w:r>
      <w:r>
        <w:t xml:space="preserve"> https://doi.org/10.4000/151gv</w:t>
      </w:r>
    </w:p>
    <w:p>
      <w:pPr/>
      <w:r>
        <w:rPr>
          <w:b/>
        </w:rPr>
        <w:t>Original future claim:</w:t>
      </w:r>
      <w:r>
        <w:t xml:space="preserve">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Later source:</w:t>
      </w:r>
      <w:r>
        <w:t xml:space="preserve"> The Role of Corporate Responsibility and Quality Legislation in Achieving the Sustainable Development Goals: Legal and Practical Interconnections and Hungarian Legislation — https://doi.org/10.71100/studia.2025.2.3</w:t>
      </w:r>
    </w:p>
    <w:p>
      <w:pPr/>
      <w:r>
        <w:rPr>
          <w:b/>
        </w:rPr>
        <w:t>Later source:</w:t>
      </w:r>
      <w:r>
        <w:t xml:space="preserve"> Ranking our future: University students' prioritization of Sustainable Development Goals and their connection to nature — https://doi.org/10.1002/sd.3278</w:t>
      </w:r>
    </w:p>
    <w:p>
      <w:pPr>
        <w:pStyle w:val="SourceNote"/>
      </w:pPr>
      <w:r>
        <w:rPr>
          <w:b/>
        </w:rPr>
        <w:t>Review status:</w:t>
      </w:r>
      <w:r>
        <w:t xml:space="preserve"> unchecked — possible relationship only</w:t>
      </w:r>
    </w:p>
    <w:p>
      <w:pPr>
        <w:pStyle w:val="Heading2"/>
      </w:pPr>
      <w:r>
        <w:t>78. Claim + two later sources: European cephalopods distribution under climate-change scenarios</w:t>
      </w:r>
    </w:p>
    <w:p>
      <w:pPr>
        <w:pStyle w:val="SourceNote"/>
      </w:pPr>
      <w:r>
        <w:rPr>
          <w:b/>
        </w:rPr>
        <w:t>Group ID:</w:t>
      </w:r>
      <w:r>
        <w:t xml:space="preserve"> group-9ab124f24377ad3177aa</w:t>
      </w:r>
    </w:p>
    <w:p>
      <w:pPr>
        <w:pStyle w:val="SourceNote"/>
      </w:pPr>
      <w:r>
        <w:rPr>
          <w:b/>
        </w:rPr>
        <w:t>Original source:</w:t>
      </w:r>
      <w:r>
        <w:t xml:space="preserve"> https://doi.org/10.1038/s41598-021-83457-w</w:t>
      </w:r>
    </w:p>
    <w:p>
      <w:pPr/>
      <w:r>
        <w:rPr>
          <w:b/>
        </w:rPr>
        <w:t>Original future claim:</w:t>
      </w:r>
      <w:r>
        <w:t xml:space="preserve">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Later source:</w:t>
      </w:r>
      <w:r>
        <w:t xml:space="preserve"> Agro-ecological forecasting of rapeseed (Brassica napus) suitability in Ukraine under climate change scenarios — https://doi.org/10.32819/202521</w:t>
      </w:r>
    </w:p>
    <w:p>
      <w:pPr/>
      <w:r>
        <w:rPr>
          <w:b/>
        </w:rPr>
        <w:t>Later source:</w:t>
      </w:r>
      <w:r>
        <w:t xml:space="preserve"> Spatial resilience and population replacement in Europe during MIS 3: a comparative study of Neanderthals and H. sapiens — https://doi.org/10.1016/j.quascirev.2026.109850</w:t>
      </w:r>
    </w:p>
    <w:p>
      <w:pPr>
        <w:pStyle w:val="SourceNote"/>
      </w:pPr>
      <w:r>
        <w:rPr>
          <w:b/>
        </w:rPr>
        <w:t>Review status:</w:t>
      </w:r>
      <w:r>
        <w:t xml:space="preserve"> unchecked — possible relationship only</w:t>
      </w:r>
    </w:p>
    <w:p>
      <w:pPr>
        <w:pStyle w:val="Heading2"/>
      </w:pPr>
      <w:r>
        <w:t>79. Claim + two later sources: A forecast of international migration flows into EU countries until 2050</w:t>
      </w:r>
    </w:p>
    <w:p>
      <w:pPr>
        <w:pStyle w:val="SourceNote"/>
      </w:pPr>
      <w:r>
        <w:rPr>
          <w:b/>
        </w:rPr>
        <w:t>Group ID:</w:t>
      </w:r>
      <w:r>
        <w:t xml:space="preserve"> group-0f16b9589a6995b869af</w:t>
      </w:r>
    </w:p>
    <w:p>
      <w:pPr>
        <w:pStyle w:val="SourceNote"/>
      </w:pPr>
      <w:r>
        <w:rPr>
          <w:b/>
        </w:rPr>
        <w:t>Original source:</w:t>
      </w:r>
      <w:r>
        <w:t xml:space="preserve"> https://doi.org/10.14746/pp.2018.23.4.6</w:t>
      </w:r>
    </w:p>
    <w:p>
      <w:pPr/>
      <w:r>
        <w:rPr>
          <w:b/>
        </w:rPr>
        <w:t>Original future claim:</w:t>
      </w:r>
      <w:r>
        <w:t xml:space="preserve">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Data Sources for International Migration in Europe: Categories, Definitions and Policy Uses — https://openalex.org/W7123388283</w:t>
      </w:r>
    </w:p>
    <w:p>
      <w:pPr>
        <w:pStyle w:val="SourceNote"/>
      </w:pPr>
      <w:r>
        <w:rPr>
          <w:b/>
        </w:rPr>
        <w:t>Review status:</w:t>
      </w:r>
      <w:r>
        <w:t xml:space="preserve"> unchecked — possible relationship only</w:t>
      </w:r>
    </w:p>
    <w:p>
      <w:pPr>
        <w:pStyle w:val="Heading2"/>
      </w:pPr>
      <w:r>
        <w:t>80. Claim + two later sources: How much can societal turning points affect forecasts’ accuracy in Europe? Case of post-communistic transformation in Slovakia and the Czech Republic</w:t>
      </w:r>
    </w:p>
    <w:p>
      <w:pPr>
        <w:pStyle w:val="SourceNote"/>
      </w:pPr>
      <w:r>
        <w:rPr>
          <w:b/>
        </w:rPr>
        <w:t>Group ID:</w:t>
      </w:r>
      <w:r>
        <w:t xml:space="preserve"> group-421d9dde5c5f1e657f7c</w:t>
      </w:r>
    </w:p>
    <w:p>
      <w:pPr>
        <w:pStyle w:val="SourceNote"/>
      </w:pPr>
      <w:r>
        <w:rPr>
          <w:b/>
        </w:rPr>
        <w:t>Original source:</w:t>
      </w:r>
      <w:r>
        <w:t xml:space="preserve"> https://doi.org/10.1186/s40309-019-0158-z</w:t>
      </w:r>
    </w:p>
    <w:p>
      <w:pPr/>
      <w:r>
        <w:rPr>
          <w:b/>
        </w:rPr>
        <w:t>Original future claim:</w:t>
      </w:r>
      <w:r>
        <w:t xml:space="preserve"> Here, the alternative future is built and simulated in terms of what the populations would have looked like if the socialist system had not collapsed.</w:t>
      </w:r>
    </w:p>
    <w:p>
      <w:pPr/>
      <w:r>
        <w:rPr>
          <w:b/>
        </w:rPr>
        <w:t>Later source:</w:t>
      </w:r>
      <w:r>
        <w:t xml:space="preserve"> Unveiling the environmental impact of earthquakes in Europe — https://doi.org/10.1038/s41467-025-68120-6</w:t>
      </w:r>
    </w:p>
    <w:p>
      <w:pPr/>
      <w:r>
        <w:rPr>
          <w:b/>
        </w:rPr>
        <w:t>Later source:</w:t>
      </w:r>
      <w:r>
        <w:t xml:space="preserve"> Resource requirements and consequences of large-scale hydrogen use in Europe — https://doi.org/10.1038/s41893-026-01771-5</w:t>
      </w:r>
    </w:p>
    <w:p>
      <w:pPr>
        <w:pStyle w:val="SourceNote"/>
      </w:pPr>
      <w:r>
        <w:rPr>
          <w:b/>
        </w:rPr>
        <w:t>Review status:</w:t>
      </w:r>
      <w:r>
        <w:t xml:space="preserve"> unchecked — possible relationship only</w:t>
      </w:r>
    </w:p>
    <w:p>
      <w:pPr>
        <w:pStyle w:val="Heading2"/>
      </w:pPr>
      <w:r>
        <w:t>81. Claim + two later sources: Macro Study of Global Electric Vehicle Expansion</w:t>
      </w:r>
    </w:p>
    <w:p>
      <w:pPr>
        <w:pStyle w:val="SourceNote"/>
      </w:pPr>
      <w:r>
        <w:rPr>
          <w:b/>
        </w:rPr>
        <w:t>Group ID:</w:t>
      </w:r>
      <w:r>
        <w:t xml:space="preserve"> group-74ce03097ef3bdf856ec</w:t>
      </w:r>
    </w:p>
    <w:p>
      <w:pPr>
        <w:pStyle w:val="SourceNote"/>
      </w:pPr>
      <w:r>
        <w:rPr>
          <w:b/>
        </w:rPr>
        <w:t>Original source:</w:t>
      </w:r>
      <w:r>
        <w:t xml:space="preserve"> https://doi.org/10.17323/2500-2597.2021.1.67.73</w:t>
      </w:r>
    </w:p>
    <w:p>
      <w:pPr/>
      <w:r>
        <w:rPr>
          <w:b/>
        </w:rPr>
        <w:t>Original future claim:</w:t>
      </w:r>
      <w:r>
        <w:t xml:space="preserve">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Later source:</w:t>
      </w:r>
      <w:r>
        <w:t xml:space="preserve"> Task Technology Fit and Financial Technology Adoption: A Systematic Literature Review on E-Money Contexts (2020-2025) — https://doi.org/10.56211/factory.v4i2.1349</w:t>
      </w:r>
    </w:p>
    <w:p>
      <w:pPr/>
      <w:r>
        <w:rPr>
          <w:b/>
        </w:rPr>
        <w:t>Later source:</w:t>
      </w:r>
      <w:r>
        <w:t xml:space="preserve"> Fiscal and regulatory incentives for electric vehicle adoption in Polish micro-enterprises: economic analysis and policy recommendations — https://doi.org/10.22306/al.v13i1.712</w:t>
      </w:r>
    </w:p>
    <w:p>
      <w:pPr>
        <w:pStyle w:val="SourceNote"/>
      </w:pPr>
      <w:r>
        <w:rPr>
          <w:b/>
        </w:rPr>
        <w:t>Review status:</w:t>
      </w:r>
      <w:r>
        <w:t xml:space="preserve"> unchecked — possible relationship only</w:t>
      </w:r>
    </w:p>
    <w:p>
      <w:pPr>
        <w:pStyle w:val="Heading2"/>
      </w:pPr>
      <w:r>
        <w:t>82. Claim + two later sources: From Kyoto to Paris: the European Union's contribution to a new world climate order</w:t>
      </w:r>
    </w:p>
    <w:p>
      <w:pPr>
        <w:pStyle w:val="SourceNote"/>
      </w:pPr>
      <w:r>
        <w:rPr>
          <w:b/>
        </w:rPr>
        <w:t>Group ID:</w:t>
      </w:r>
      <w:r>
        <w:t xml:space="preserve"> group-d16db8e6d5d6e8fc5194</w:t>
      </w:r>
    </w:p>
    <w:p>
      <w:pPr>
        <w:pStyle w:val="SourceNote"/>
      </w:pPr>
      <w:r>
        <w:rPr>
          <w:b/>
        </w:rPr>
        <w:t>Original source:</w:t>
      </w:r>
      <w:r>
        <w:t xml:space="preserve"> https://doi.org/10.17345/rcda1935</w:t>
      </w:r>
    </w:p>
    <w:p>
      <w:pPr/>
      <w:r>
        <w:rPr>
          <w:b/>
        </w:rPr>
        <w:t>Original future claim:</w:t>
      </w:r>
      <w:r>
        <w:t xml:space="preserve"> While implementing this binding framework, the EU is giving legal contents to the 2030 climate-energy package as a major contribution to the new international climate regime under the Paris Agreement, in whose design and adoption the Union also played a key role. Recent policies and other proposals now in prospect are intended to transform the EU into a competitive and sustainable economy by 2050.</w:t>
      </w:r>
    </w:p>
    <w:p>
      <w:pPr/>
      <w:r>
        <w:rPr>
          <w:b/>
        </w:rPr>
        <w:t>Later source:</w:t>
      </w:r>
      <w:r>
        <w:t xml:space="preserve"> The European media Freedom Act: Regulatory development and implementation challenges — https://doi.org/10.5937/zrpfno-64210</w:t>
      </w:r>
    </w:p>
    <w:p>
      <w:pPr/>
      <w:r>
        <w:rPr>
          <w:b/>
        </w:rPr>
        <w:t>Later source:</w:t>
      </w:r>
      <w:r>
        <w:t xml:space="preserve"> European Banking Authority: A Study of the EBA’s Legitimacy and Accountability Framework — https://openalex.org/W7164236776</w:t>
      </w:r>
    </w:p>
    <w:p>
      <w:pPr>
        <w:pStyle w:val="SourceNote"/>
      </w:pPr>
      <w:r>
        <w:rPr>
          <w:b/>
        </w:rPr>
        <w:t>Review status:</w:t>
      </w:r>
      <w:r>
        <w:t xml:space="preserve"> unchecked — possible relationship only</w:t>
      </w:r>
    </w:p>
    <w:p>
      <w:pPr>
        <w:pStyle w:val="Heading2"/>
      </w:pPr>
      <w:r>
        <w:t>83. Claim + two later sources: The future of direct payments system in the EU agriculture; European Commission scenarios</w:t>
      </w:r>
    </w:p>
    <w:p>
      <w:pPr>
        <w:pStyle w:val="SourceNote"/>
      </w:pPr>
      <w:r>
        <w:rPr>
          <w:b/>
        </w:rPr>
        <w:t>Group ID:</w:t>
      </w:r>
      <w:r>
        <w:t xml:space="preserve"> group-47170a33693ede0f210b</w:t>
      </w:r>
    </w:p>
    <w:p>
      <w:pPr>
        <w:pStyle w:val="SourceNote"/>
      </w:pPr>
      <w:r>
        <w:rPr>
          <w:b/>
        </w:rPr>
        <w:t>Original source:</w:t>
      </w:r>
      <w:r>
        <w:t xml:space="preserve"> https://doi.org/10.22630/prs.2012.12.3.38</w:t>
      </w:r>
    </w:p>
    <w:p>
      <w:pPr/>
      <w:r>
        <w:rPr>
          <w:b/>
        </w:rPr>
        <w:t>Original future claim:</w:t>
      </w:r>
      <w:r>
        <w:t xml:space="preserve"> Different scenarios of the current system adjustments, as proposed by the European Commission, are presented.</w:t>
      </w:r>
    </w:p>
    <w:p>
      <w:pPr/>
      <w:r>
        <w:rPr>
          <w:b/>
        </w:rPr>
        <w:t>Later source:</w:t>
      </w:r>
      <w:r>
        <w:t xml:space="preserve"> Recommendations of the European Commission on the efficiency of justice and their impact on improving enforcement proceedings in Ukraine — https://doi.org/10.24144/2788-6018.2025.04.3.65</w:t>
      </w:r>
    </w:p>
    <w:p>
      <w:pPr/>
      <w:r>
        <w:rPr>
          <w:b/>
        </w:rPr>
        <w:t>Later source:</w:t>
      </w:r>
      <w:r>
        <w:t xml:space="preserve"> The Effect of Different Point Systems on European League Positions — https://doi.org/10.18178/ijssh.2024.14.1.1189</w:t>
      </w:r>
    </w:p>
    <w:p>
      <w:pPr>
        <w:pStyle w:val="SourceNote"/>
      </w:pPr>
      <w:r>
        <w:rPr>
          <w:b/>
        </w:rPr>
        <w:t>Review status:</w:t>
      </w:r>
      <w:r>
        <w:t xml:space="preserve"> unchecked — possible relationship only</w:t>
      </w:r>
    </w:p>
    <w:p>
      <w:pPr>
        <w:pStyle w:val="Heading2"/>
      </w:pPr>
      <w:r>
        <w:t>84. Claim + two later sources: Impacts of Scaling up Agroecology on the Sustainability of European Agriculture in 2050</w:t>
      </w:r>
    </w:p>
    <w:p>
      <w:pPr>
        <w:pStyle w:val="SourceNote"/>
      </w:pPr>
      <w:r>
        <w:rPr>
          <w:b/>
        </w:rPr>
        <w:t>Group ID:</w:t>
      </w:r>
      <w:r>
        <w:t xml:space="preserve"> group-19752233bba98e21d532</w:t>
      </w:r>
    </w:p>
    <w:p>
      <w:pPr>
        <w:pStyle w:val="SourceNote"/>
      </w:pPr>
      <w:r>
        <w:rPr>
          <w:b/>
        </w:rPr>
        <w:t>Original source:</w:t>
      </w:r>
      <w:r>
        <w:t xml:space="preserve"> https://doi.org/10.1111/1746-692x.12373</w:t>
      </w:r>
    </w:p>
    <w:p>
      <w:pPr/>
      <w:r>
        <w:rPr>
          <w:b/>
        </w:rPr>
        <w:t>Original future claim:</w:t>
      </w:r>
      <w:r>
        <w:t xml:space="preserve"> We here assess socio‐economic and environmental implications of multiple agroecological futures in the European Union in 2050, based on a novel diagnostic scenario approach, i.e. the biomass balancing model BioBaM‐GHG 2.0.</w:t>
      </w:r>
    </w:p>
    <w:p>
      <w:pPr/>
      <w:r>
        <w:rPr>
          <w:b/>
        </w:rPr>
        <w:t>Later source:</w:t>
      </w:r>
      <w:r>
        <w:t xml:space="preserve"> Assessing urban green roofs for CO2 removal via enhanced rock weathering in Europe — https://doi.org/10.1016/j.envadv.2026.100708</w:t>
      </w:r>
    </w:p>
    <w:p>
      <w:pPr/>
      <w:r>
        <w:rPr>
          <w:b/>
        </w:rPr>
        <w:t>Later source:</w:t>
      </w:r>
      <w:r>
        <w:t xml:space="preserve"> Insufficient environmental protection by the European regulatory framework for pesticides — https://doi.org/10.32942/x24q1g</w:t>
      </w:r>
    </w:p>
    <w:p>
      <w:pPr>
        <w:pStyle w:val="SourceNote"/>
      </w:pPr>
      <w:r>
        <w:rPr>
          <w:b/>
        </w:rPr>
        <w:t>Review status:</w:t>
      </w:r>
      <w:r>
        <w:t xml:space="preserve"> unchecked — possible relationship only</w:t>
      </w:r>
    </w:p>
    <w:p>
      <w:pPr>
        <w:pStyle w:val="Heading2"/>
      </w:pPr>
      <w:r>
        <w:t>85. Claim + two later sources: How to Achieve a Healthier and More Sustainable Europe by 2040 According to the Public? Results of a Five-Country Questionnaire Survey</w:t>
      </w:r>
    </w:p>
    <w:p>
      <w:pPr>
        <w:pStyle w:val="SourceNote"/>
      </w:pPr>
      <w:r>
        <w:rPr>
          <w:b/>
        </w:rPr>
        <w:t>Group ID:</w:t>
      </w:r>
      <w:r>
        <w:t xml:space="preserve"> group-1b39d997f69efb391268</w:t>
      </w:r>
    </w:p>
    <w:p>
      <w:pPr>
        <w:pStyle w:val="SourceNote"/>
      </w:pPr>
      <w:r>
        <w:rPr>
          <w:b/>
        </w:rPr>
        <w:t>Original source:</w:t>
      </w:r>
      <w:r>
        <w:t xml:space="preserve"> https://doi.org/10.3390/ijerph17176071</w:t>
      </w:r>
    </w:p>
    <w:p>
      <w:pPr/>
      <w:r>
        <w:rPr>
          <w:b/>
        </w:rPr>
        <w:t>Original future claim:</w:t>
      </w:r>
      <w:r>
        <w:t xml:space="preserve">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Later source:</w:t>
      </w:r>
      <w:r>
        <w:t xml:space="preserve"> A critical realism approach to public health interventions that aim to prevent obesity in selected European countries — https://doi.org/10.82444/warw.33704749</w:t>
      </w:r>
    </w:p>
    <w:p>
      <w:pPr/>
      <w:r>
        <w:rPr>
          <w:b/>
        </w:rPr>
        <w:t>Later source:</w:t>
      </w:r>
      <w:r>
        <w:t xml:space="preserve"> European Workers Job Perceptions Survey — https://doi.org/10.17605/osf.io/dswb6</w:t>
      </w:r>
    </w:p>
    <w:p>
      <w:pPr>
        <w:pStyle w:val="SourceNote"/>
      </w:pPr>
      <w:r>
        <w:rPr>
          <w:b/>
        </w:rPr>
        <w:t>Review status:</w:t>
      </w:r>
      <w:r>
        <w:t xml:space="preserve"> unchecked — possible relationship only</w:t>
      </w:r>
    </w:p>
    <w:p>
      <w:pPr>
        <w:pStyle w:val="Heading2"/>
      </w:pPr>
      <w:r>
        <w:t>86. Claim + two later sources: Environmental water quantity projections under market-driven and sustainability-driven future scenarios in the Narew basin, Poland</w:t>
      </w:r>
    </w:p>
    <w:p>
      <w:pPr>
        <w:pStyle w:val="SourceNote"/>
      </w:pPr>
      <w:r>
        <w:rPr>
          <w:b/>
        </w:rPr>
        <w:t>Group ID:</w:t>
      </w:r>
      <w:r>
        <w:t xml:space="preserve"> group-c5b96d8442d14919625f</w:t>
      </w:r>
    </w:p>
    <w:p>
      <w:pPr>
        <w:pStyle w:val="SourceNote"/>
      </w:pPr>
      <w:r>
        <w:rPr>
          <w:b/>
        </w:rPr>
        <w:t>Original source:</w:t>
      </w:r>
      <w:r>
        <w:t xml:space="preserve"> https://doi.org/10.1080/02626667.2014.888068</w:t>
      </w:r>
    </w:p>
    <w:p>
      <w:pPr/>
      <w:r>
        <w:rPr>
          <w:b/>
        </w:rPr>
        <w:t>Original future claim:</w:t>
      </w:r>
      <w:r>
        <w:t xml:space="preserve">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Later source:</w:t>
      </w:r>
      <w:r>
        <w:t xml:space="preserve"> Finalisation of the European Approach to Assess the Fire Performance of Facades—Brief Information on the Outcome of the Project — https://doi.org/10.1002/fam.70042</w:t>
      </w:r>
    </w:p>
    <w:p>
      <w:pPr/>
      <w:r>
        <w:rPr>
          <w:b/>
        </w:rPr>
        <w:t>Later source:</w:t>
      </w:r>
      <w:r>
        <w:t xml:space="preserve"> Assessing the quality of life in Central and Eastern Europe: a comparative analysis — https://doi.org/10.34659/eis.2026.96.1.1083</w:t>
      </w:r>
    </w:p>
    <w:p>
      <w:pPr>
        <w:pStyle w:val="SourceNote"/>
      </w:pPr>
      <w:r>
        <w:rPr>
          <w:b/>
        </w:rPr>
        <w:t>Review status:</w:t>
      </w:r>
      <w:r>
        <w:t xml:space="preserve"> unchecked — possible relationship only</w:t>
      </w:r>
    </w:p>
    <w:p>
      <w:pPr>
        <w:pStyle w:val="Heading2"/>
      </w:pPr>
      <w:r>
        <w:t>87. Claim + two later sources: The geography of megatrends affecting European agriculture</w:t>
      </w:r>
    </w:p>
    <w:p>
      <w:pPr>
        <w:pStyle w:val="SourceNote"/>
      </w:pPr>
      <w:r>
        <w:rPr>
          <w:b/>
        </w:rPr>
        <w:t>Group ID:</w:t>
      </w:r>
      <w:r>
        <w:t xml:space="preserve"> group-7a08973c2e9683822bf5</w:t>
      </w:r>
    </w:p>
    <w:p>
      <w:pPr>
        <w:pStyle w:val="SourceNote"/>
      </w:pPr>
      <w:r>
        <w:rPr>
          <w:b/>
        </w:rPr>
        <w:t>Original source:</w:t>
      </w:r>
      <w:r>
        <w:t xml:space="preserve"> https://doi.org/10.1016/j.gloenvcha.2022.102551</w:t>
      </w:r>
    </w:p>
    <w:p>
      <w:pPr/>
      <w:r>
        <w:rPr>
          <w:b/>
        </w:rPr>
        <w:t>Original future claim:</w:t>
      </w:r>
      <w:r>
        <w:t xml:space="preserve"> Megatrends are long-term driving forces which are observable today and will likely have transformational potential in the future. In a minority of regions megatrends may drive marginalization as the current system becomes increasingly unviable.</w:t>
      </w:r>
    </w:p>
    <w:p>
      <w:pPr/>
      <w:r>
        <w:rPr>
          <w:b/>
        </w:rPr>
        <w:t>Later source:</w:t>
      </w:r>
      <w:r>
        <w:t xml:space="preserve"> Blockchain and Megatrends in Agri-Food Systems: A Multi-Source Evidence Approach — https://doi.org/10.3390/foods15030447</w:t>
      </w:r>
    </w:p>
    <w:p>
      <w:pPr/>
      <w:r>
        <w:rPr>
          <w:b/>
        </w:rPr>
        <w:t>Later source:</w:t>
      </w:r>
      <w:r>
        <w:t xml:space="preserve"> How regional characteristics drive various human mobility types across Europe — https://doi.org/10.1038/s41467-026-73288-6</w:t>
      </w:r>
    </w:p>
    <w:p>
      <w:pPr>
        <w:pStyle w:val="SourceNote"/>
      </w:pPr>
      <w:r>
        <w:rPr>
          <w:b/>
        </w:rPr>
        <w:t>Review status:</w:t>
      </w:r>
      <w:r>
        <w:t xml:space="preserve"> unchecked — possible relationship only</w:t>
      </w:r>
    </w:p>
    <w:p>
      <w:pPr>
        <w:pStyle w:val="Heading2"/>
      </w:pPr>
      <w:r>
        <w:t>88. Claim + two later sources: Towards a sustainable European energy system: Linking optimization models with multi-regional input-output analysis</w:t>
      </w:r>
    </w:p>
    <w:p>
      <w:pPr>
        <w:pStyle w:val="SourceNote"/>
      </w:pPr>
      <w:r>
        <w:rPr>
          <w:b/>
        </w:rPr>
        <w:t>Group ID:</w:t>
      </w:r>
      <w:r>
        <w:t xml:space="preserve"> group-997c39b26dba994939f7</w:t>
      </w:r>
    </w:p>
    <w:p>
      <w:pPr>
        <w:pStyle w:val="SourceNote"/>
      </w:pPr>
      <w:r>
        <w:rPr>
          <w:b/>
        </w:rPr>
        <w:t>Original source:</w:t>
      </w:r>
      <w:r>
        <w:t xml:space="preserve"> https://doi.org/10.1016/j.esr.2019.100391</w:t>
      </w:r>
    </w:p>
    <w:p>
      <w:pPr/>
      <w:r>
        <w:rPr>
          <w:b/>
        </w:rPr>
        <w:t>Original future claim:</w:t>
      </w:r>
      <w:r>
        <w:t xml:space="preserve">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Later source:</w:t>
      </w:r>
      <w:r>
        <w:t xml:space="preserve"> The implications of unification for Germany's role in the European Union. — https://doi.org/10.82444/warw.33741772</w:t>
      </w:r>
    </w:p>
    <w:p>
      <w:pPr/>
      <w:r>
        <w:rPr>
          <w:b/>
        </w:rPr>
        <w:t>Later source:</w:t>
      </w:r>
      <w:r>
        <w:t xml:space="preserve"> Mapping where biodiversity goals meet local values in European land use futures — https://doi.org/10.5194/wbf2026-660</w:t>
      </w:r>
    </w:p>
    <w:p>
      <w:pPr>
        <w:pStyle w:val="SourceNote"/>
      </w:pPr>
      <w:r>
        <w:rPr>
          <w:b/>
        </w:rPr>
        <w:t>Review status:</w:t>
      </w:r>
      <w:r>
        <w:t xml:space="preserve"> unchecked — possible relationship only</w:t>
      </w:r>
    </w:p>
    <w:p>
      <w:pPr>
        <w:pStyle w:val="Heading2"/>
      </w:pPr>
      <w:r>
        <w:t>89. Claim + two later sources: Regulating the Use of Bisphenol A in Baby and Children's Products in the European Union: Current Developments and Scenarios for the Regulatory Future</w:t>
      </w:r>
    </w:p>
    <w:p>
      <w:pPr>
        <w:pStyle w:val="SourceNote"/>
      </w:pPr>
      <w:r>
        <w:rPr>
          <w:b/>
        </w:rPr>
        <w:t>Group ID:</w:t>
      </w:r>
      <w:r>
        <w:t xml:space="preserve"> group-01a94a0360819a8a865a</w:t>
      </w:r>
    </w:p>
    <w:p>
      <w:pPr>
        <w:pStyle w:val="SourceNote"/>
      </w:pPr>
      <w:r>
        <w:rPr>
          <w:b/>
        </w:rPr>
        <w:t>Original source:</w:t>
      </w:r>
      <w:r>
        <w:t xml:space="preserve"> https://doi.org/10.1017/s1867299x00000593</w:t>
      </w:r>
    </w:p>
    <w:p>
      <w:pPr/>
      <w:r>
        <w:rPr>
          <w:b/>
        </w:rPr>
        <w:t>Original future claim:</w:t>
      </w:r>
      <w:r>
        <w:t xml:space="preserve">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Later source:</w:t>
      </w:r>
      <w:r>
        <w:t xml:space="preserve"> Legal regulatory frameworks of radon spas in central Europe — https://doi.org/10.1007/s00411-026-01203-0</w:t>
      </w:r>
    </w:p>
    <w:p>
      <w:pPr/>
      <w:r>
        <w:rPr>
          <w:b/>
        </w:rPr>
        <w:t>Later source:</w:t>
      </w:r>
      <w:r>
        <w:t xml:space="preserve"> Regional Varieties of Regulatory Capitalism and Predatory Lending — https://doi.org/10.1017/s0003975626100393</w:t>
      </w:r>
    </w:p>
    <w:p>
      <w:pPr>
        <w:pStyle w:val="SourceNote"/>
      </w:pPr>
      <w:r>
        <w:rPr>
          <w:b/>
        </w:rPr>
        <w:t>Review status:</w:t>
      </w:r>
      <w:r>
        <w:t xml:space="preserve"> unchecked — possible relationship only</w:t>
      </w:r>
    </w:p>
    <w:p>
      <w:pPr>
        <w:pStyle w:val="Heading2"/>
      </w:pPr>
      <w:r>
        <w:t>90. Claim + two later sources: The feasibility of a European‐wide integrated CO 2 transport network</w:t>
      </w:r>
    </w:p>
    <w:p>
      <w:pPr>
        <w:pStyle w:val="SourceNote"/>
      </w:pPr>
      <w:r>
        <w:rPr>
          <w:b/>
        </w:rPr>
        <w:t>Group ID:</w:t>
      </w:r>
      <w:r>
        <w:t xml:space="preserve"> group-8a37cd8ad1c75325be4b</w:t>
      </w:r>
    </w:p>
    <w:p>
      <w:pPr>
        <w:pStyle w:val="SourceNote"/>
      </w:pPr>
      <w:r>
        <w:rPr>
          <w:b/>
        </w:rPr>
        <w:t>Original source:</w:t>
      </w:r>
      <w:r>
        <w:t xml:space="preserve"> https://doi.org/10.1002/ghg.1410</w:t>
      </w:r>
    </w:p>
    <w:p>
      <w:pPr/>
      <w:r>
        <w:rPr>
          <w:b/>
        </w:rPr>
        <w:t>Original future claim:</w:t>
      </w:r>
      <w:r>
        <w:t xml:space="preserve">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Later source:</w:t>
      </w:r>
      <w:r>
        <w:t xml:space="preserve"> COMMON OR DIVERGENT? A COMPARATIVE ANALYSIS OF SUSTAINABLE DEVELOPMENT POLICIES IN THE EUROPEAN UNION AND THE UNITED KINGDOM — https://doi.org/10.62140/cr530933322</w:t>
      </w:r>
    </w:p>
    <w:p>
      <w:pPr/>
      <w:r>
        <w:rPr>
          <w:b/>
        </w:rPr>
        <w:t>Later source:</w:t>
      </w:r>
      <w:r>
        <w:t xml:space="preserve"> A Scenario-Based Model of Energy Transition in Central and Eastern Europe: Implications for Energy Security and Decarbonization — https://doi.org/10.3390/en19143225</w:t>
      </w:r>
    </w:p>
    <w:p>
      <w:pPr>
        <w:pStyle w:val="SourceNote"/>
      </w:pPr>
      <w:r>
        <w:rPr>
          <w:b/>
        </w:rPr>
        <w:t>Review status:</w:t>
      </w:r>
      <w:r>
        <w:t xml:space="preserve"> unchecked — possible relationship only</w:t>
      </w:r>
    </w:p>
    <w:p>
      <w:pPr>
        <w:pStyle w:val="Heading2"/>
      </w:pPr>
      <w:r>
        <w:t>91. Claim + two later sources: The future of financial markets and regulation: what strategy for Europe?</w:t>
      </w:r>
    </w:p>
    <w:p>
      <w:pPr>
        <w:pStyle w:val="SourceNote"/>
      </w:pPr>
      <w:r>
        <w:rPr>
          <w:b/>
        </w:rPr>
        <w:t>Group ID:</w:t>
      </w:r>
      <w:r>
        <w:t xml:space="preserve"> group-ad1919c1f5d6efca363f</w:t>
      </w:r>
    </w:p>
    <w:p>
      <w:pPr>
        <w:pStyle w:val="SourceNote"/>
      </w:pPr>
      <w:r>
        <w:rPr>
          <w:b/>
        </w:rPr>
        <w:t>Original source:</w:t>
      </w:r>
      <w:r>
        <w:t xml:space="preserve"> https://doi.org/10.1108/fs-05-2012-0039</w:t>
      </w:r>
    </w:p>
    <w:p>
      <w:pPr/>
      <w:r>
        <w:rPr>
          <w:b/>
        </w:rPr>
        <w:t>Original future claim:</w:t>
      </w:r>
      <w:r>
        <w:t xml:space="preserve">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Later source:</w:t>
      </w:r>
      <w:r>
        <w:t xml:space="preserve"> Adapting MAIN to European Portuguese — https://doi.org/10.21248/zaspil.66.2025.887</w:t>
      </w:r>
    </w:p>
    <w:p>
      <w:pPr/>
      <w:r>
        <w:rPr>
          <w:b/>
        </w:rPr>
        <w:t>Later source:</w:t>
      </w:r>
      <w:r>
        <w:t xml:space="preserve"> The opportunities and potential of camelina in marginal land in Europe — https://doi.org/10.1016/j.indcrop.2024.118224</w:t>
      </w:r>
    </w:p>
    <w:p>
      <w:pPr>
        <w:pStyle w:val="SourceNote"/>
      </w:pPr>
      <w:r>
        <w:rPr>
          <w:b/>
        </w:rPr>
        <w:t>Review status:</w:t>
      </w:r>
      <w:r>
        <w:t xml:space="preserve"> unchecked — possible relationship only</w:t>
      </w:r>
    </w:p>
    <w:p>
      <w:pPr>
        <w:pStyle w:val="Heading2"/>
      </w:pPr>
      <w:r>
        <w:t>92. Claim + two later sources: Will the real security foresight expert please stand up?</w:t>
      </w:r>
    </w:p>
    <w:p>
      <w:pPr>
        <w:pStyle w:val="SourceNote"/>
      </w:pPr>
      <w:r>
        <w:rPr>
          <w:b/>
        </w:rPr>
        <w:t>Group ID:</w:t>
      </w:r>
      <w:r>
        <w:t xml:space="preserve"> group-f1d10799d5bc5a7f1ef1</w:t>
      </w:r>
    </w:p>
    <w:p>
      <w:pPr>
        <w:pStyle w:val="SourceNote"/>
      </w:pPr>
      <w:r>
        <w:rPr>
          <w:b/>
        </w:rPr>
        <w:t>Original source:</w:t>
      </w:r>
      <w:r>
        <w:t xml:space="preserve"> https://doi.org/10.1007/s40309-014-0037-6</w:t>
      </w:r>
    </w:p>
    <w:p>
      <w:pPr/>
      <w:r>
        <w:rPr>
          <w:b/>
        </w:rPr>
        <w:t>Original future claim:</w:t>
      </w:r>
      <w:r>
        <w:t xml:space="preserve">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Later source:</w:t>
      </w:r>
      <w:r>
        <w:t xml:space="preserve"> Critical theory and European labour law : insights from the past — https://openalex.org/W7114825387</w:t>
      </w:r>
    </w:p>
    <w:p>
      <w:pPr/>
      <w:r>
        <w:rPr>
          <w:b/>
        </w:rPr>
        <w:t>Later source:</w:t>
      </w:r>
      <w:r>
        <w:t xml:space="preserve"> A Comparative Review of Healthcare Systems in India, the Middle East, and Europe: Strengths, Weaknesses, and Lessons for Improvement — https://doi.org/10.25258/ijddt.16.38s.65</w:t>
      </w:r>
    </w:p>
    <w:p>
      <w:pPr>
        <w:pStyle w:val="SourceNote"/>
      </w:pPr>
      <w:r>
        <w:rPr>
          <w:b/>
        </w:rPr>
        <w:t>Review status:</w:t>
      </w:r>
      <w:r>
        <w:t xml:space="preserve"> unchecked — possible relationship only</w:t>
      </w:r>
    </w:p>
    <w:p>
      <w:pPr>
        <w:pStyle w:val="Heading2"/>
      </w:pPr>
      <w:r>
        <w:t>93. Claim + two later sources: The state of democracy in the European Union in scenarios: federation, empire and Europe à la carte</w:t>
      </w:r>
    </w:p>
    <w:p>
      <w:pPr>
        <w:pStyle w:val="SourceNote"/>
      </w:pPr>
      <w:r>
        <w:rPr>
          <w:b/>
        </w:rPr>
        <w:t>Group ID:</w:t>
      </w:r>
      <w:r>
        <w:t xml:space="preserve"> group-8365421b3c0462932d95</w:t>
      </w:r>
    </w:p>
    <w:p>
      <w:pPr>
        <w:pStyle w:val="SourceNote"/>
      </w:pPr>
      <w:r>
        <w:rPr>
          <w:b/>
        </w:rPr>
        <w:t>Original source:</w:t>
      </w:r>
      <w:r>
        <w:t xml:space="preserve"> https://doi.org/10.31338/1641-2478pe.4.15.5</w:t>
      </w:r>
    </w:p>
    <w:p>
      <w:pPr/>
      <w:r>
        <w:rPr>
          <w:b/>
        </w:rPr>
        <w:t>Original future claim:</w:t>
      </w:r>
      <w:r>
        <w:t xml:space="preserve">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Later source:</w:t>
      </w:r>
      <w:r>
        <w:t xml:space="preserve"> Sustainability in EU Competition Law : An Analysis of Article 102 TFEU in Light of the European Green Deal — https://openalex.org/W7131733282</w:t>
      </w:r>
    </w:p>
    <w:p>
      <w:pPr/>
      <w:r>
        <w:rPr>
          <w:b/>
        </w:rPr>
        <w:t>Later source:</w:t>
      </w:r>
      <w:r>
        <w:t xml:space="preserve"> Media, Populism and European Democracy — https://doi.org/10.3726/b23640</w:t>
      </w:r>
    </w:p>
    <w:p>
      <w:pPr>
        <w:pStyle w:val="SourceNote"/>
      </w:pPr>
      <w:r>
        <w:rPr>
          <w:b/>
        </w:rPr>
        <w:t>Review status:</w:t>
      </w:r>
      <w:r>
        <w:t xml:space="preserve"> unchecked — possible relationship only</w:t>
      </w:r>
    </w:p>
    <w:p>
      <w:pPr>
        <w:pStyle w:val="Heading2"/>
      </w:pPr>
      <w:r>
        <w:t>94. Claim + two later sources: Diverging hydrological drought traits over Europe with global warming</w:t>
      </w:r>
    </w:p>
    <w:p>
      <w:pPr>
        <w:pStyle w:val="SourceNote"/>
      </w:pPr>
      <w:r>
        <w:rPr>
          <w:b/>
        </w:rPr>
        <w:t>Group ID:</w:t>
      </w:r>
      <w:r>
        <w:t xml:space="preserve"> group-397956063d0e3346d305</w:t>
      </w:r>
    </w:p>
    <w:p>
      <w:pPr>
        <w:pStyle w:val="SourceNote"/>
      </w:pPr>
      <w:r>
        <w:rPr>
          <w:b/>
        </w:rPr>
        <w:t>Original source:</w:t>
      </w:r>
      <w:r>
        <w:t xml:space="preserve"> https://doi.org/10.5194/hess-24-5919-2020</w:t>
      </w:r>
    </w:p>
    <w:p>
      <w:pPr/>
      <w:r>
        <w:rPr>
          <w:b/>
        </w:rPr>
        <w:t>Original future claim:</w:t>
      </w:r>
      <w:r>
        <w:t xml:space="preserv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Later source:</w:t>
      </w:r>
      <w:r>
        <w:t xml:space="preserve"> Compounding hazards increase flood economic losses across Europe — https://doi.org/10.1038/s41467-026-73248-0</w:t>
      </w:r>
    </w:p>
    <w:p>
      <w:pPr/>
      <w:r>
        <w:rPr>
          <w:b/>
        </w:rPr>
        <w:t>Later source:</w:t>
      </w:r>
      <w:r>
        <w:t xml:space="preserve"> Sensitivities of mean and extreme streamflow to climate variability across Europe — https://doi.org/10.5194/hess-30-2667-2026</w:t>
      </w:r>
    </w:p>
    <w:p>
      <w:pPr>
        <w:pStyle w:val="SourceNote"/>
      </w:pPr>
      <w:r>
        <w:rPr>
          <w:b/>
        </w:rPr>
        <w:t>Review status:</w:t>
      </w:r>
      <w:r>
        <w:t xml:space="preserve"> unchecked — possible relationship only</w:t>
      </w:r>
    </w:p>
    <w:p>
      <w:pPr>
        <w:pStyle w:val="Heading2"/>
      </w:pPr>
      <w:r>
        <w:t>95. Claim + two later sources: Climate, Energy – and Environment? Reconciliation of EU Environmental Law with the Implementation Realities of EU Climate Law</w:t>
      </w:r>
    </w:p>
    <w:p>
      <w:pPr>
        <w:pStyle w:val="SourceNote"/>
      </w:pPr>
      <w:r>
        <w:rPr>
          <w:b/>
        </w:rPr>
        <w:t>Group ID:</w:t>
      </w:r>
      <w:r>
        <w:t xml:space="preserve"> group-419f4828f783f6ce8400</w:t>
      </w:r>
    </w:p>
    <w:p>
      <w:pPr>
        <w:pStyle w:val="SourceNote"/>
      </w:pPr>
      <w:r>
        <w:rPr>
          <w:b/>
        </w:rPr>
        <w:t>Original source:</w:t>
      </w:r>
      <w:r>
        <w:t xml:space="preserve"> https://doi.org/10.1163/18786561-12030003</w:t>
      </w:r>
    </w:p>
    <w:p>
      <w:pPr/>
      <w:r>
        <w:rPr>
          <w:b/>
        </w:rPr>
        <w:t>Original future claim:</w:t>
      </w:r>
      <w:r>
        <w:t xml:space="preserve">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Later source:</w:t>
      </w:r>
      <w:r>
        <w:t xml:space="preserve"> Understanding the (In)Governability of Environmental Protected Areas: The Case of Greece — https://doi.org/10.3390/land15010100</w:t>
      </w:r>
    </w:p>
    <w:p>
      <w:pPr/>
      <w:r>
        <w:rPr>
          <w:b/>
        </w:rPr>
        <w:t>Later source:</w:t>
      </w:r>
      <w:r>
        <w:t xml:space="preserve"> Imagining Climate and Environmental Transformation in the European Union — https://doi.org/10.1002/cep4.70031</w:t>
      </w:r>
    </w:p>
    <w:p>
      <w:pPr>
        <w:pStyle w:val="SourceNote"/>
      </w:pPr>
      <w:r>
        <w:rPr>
          <w:b/>
        </w:rPr>
        <w:t>Review status:</w:t>
      </w:r>
      <w:r>
        <w:t xml:space="preserve"> unchecked — possible relationship only</w:t>
      </w:r>
    </w:p>
    <w:p>
      <w:pPr>
        <w:pStyle w:val="Heading2"/>
      </w:pPr>
      <w:r>
        <w:t>96. Claim + two later sources: Population aging, migration, and productivity in Europe</w:t>
      </w:r>
    </w:p>
    <w:p>
      <w:pPr>
        <w:pStyle w:val="SourceNote"/>
      </w:pPr>
      <w:r>
        <w:rPr>
          <w:b/>
        </w:rPr>
        <w:t>Group ID:</w:t>
      </w:r>
      <w:r>
        <w:t xml:space="preserve"> group-b442be288e9334279c85</w:t>
      </w:r>
    </w:p>
    <w:p>
      <w:pPr>
        <w:pStyle w:val="SourceNote"/>
      </w:pPr>
      <w:r>
        <w:rPr>
          <w:b/>
        </w:rPr>
        <w:t>Original source:</w:t>
      </w:r>
      <w:r>
        <w:t xml:space="preserve"> https://doi.org/10.1073/pnas.1918988117</w:t>
      </w:r>
    </w:p>
    <w:p>
      <w:pPr/>
      <w:r>
        <w:rPr>
          <w:b/>
        </w:rPr>
        <w:t>Original future claim:</w:t>
      </w:r>
      <w:r>
        <w:t xml:space="preserve"> In terms of policy options, lifting labor-force participation among the general population as in Sweden, and education-selective migration if accompanied by high integration, could even improve economic dependency.</w:t>
      </w:r>
    </w:p>
    <w:p>
      <w:pPr/>
      <w:r>
        <w:rPr>
          <w:b/>
        </w:rPr>
        <w:t>Later source:</w:t>
      </w:r>
      <w:r>
        <w:t xml:space="preserve"> A social network analysis of the European science–policy–society interface on biodiversity — https://doi.org/10.1111/cobi.70023</w:t>
      </w:r>
    </w:p>
    <w:p>
      <w:pPr/>
      <w:r>
        <w:rPr>
          <w:b/>
        </w:rPr>
        <w:t>Later source:</w:t>
      </w:r>
      <w:r>
        <w:t xml:space="preserve"> Labor Policies and Immigrant Employment — https://doi.org/10.1111/joes.70010</w:t>
      </w:r>
    </w:p>
    <w:p>
      <w:pPr>
        <w:pStyle w:val="SourceNote"/>
      </w:pPr>
      <w:r>
        <w:rPr>
          <w:b/>
        </w:rPr>
        <w:t>Review status:</w:t>
      </w:r>
      <w:r>
        <w:t xml:space="preserve"> unchecked — possible relationship only</w:t>
      </w:r>
    </w:p>
    <w:p>
      <w:pPr>
        <w:pStyle w:val="Heading2"/>
      </w:pPr>
      <w:r>
        <w:t>97. Claim + two later sources: Future Scenarios of European Forests</w:t>
      </w:r>
    </w:p>
    <w:p>
      <w:pPr>
        <w:pStyle w:val="SourceNote"/>
      </w:pPr>
      <w:r>
        <w:rPr>
          <w:b/>
        </w:rPr>
        <w:t>Group ID:</w:t>
      </w:r>
      <w:r>
        <w:t xml:space="preserve"> group-f5ed58cd067816ec6887</w:t>
      </w:r>
    </w:p>
    <w:p>
      <w:pPr>
        <w:pStyle w:val="SourceNote"/>
      </w:pPr>
      <w:r>
        <w:rPr>
          <w:b/>
        </w:rPr>
        <w:t>Original source:</w:t>
      </w:r>
      <w:r>
        <w:t xml:space="preserve"> https://doi.org/10.2478/jlecol-2018-0020</w:t>
      </w:r>
    </w:p>
    <w:p>
      <w:pPr/>
      <w:r>
        <w:rPr>
          <w:b/>
        </w:rPr>
        <w:t>Original future claim:</w:t>
      </w:r>
      <w:r>
        <w:t xml:space="preserve">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Later source:</w:t>
      </w:r>
      <w:r>
        <w:t xml:space="preserve"> Worst-case European heat storylines generated using ensemble boosting — https://doi.org/10.1038/s43247-026-03699-2</w:t>
      </w:r>
    </w:p>
    <w:p>
      <w:pPr/>
      <w:r>
        <w:rPr>
          <w:b/>
        </w:rPr>
        <w:t>Later source:</w:t>
      </w:r>
      <w:r>
        <w:t xml:space="preserve"> Demonstrating the plausibility of worst-case month-long heatwave storylines in Western Europe — https://doi.org/10.5194/egusphere-egu26-3456</w:t>
      </w:r>
    </w:p>
    <w:p>
      <w:pPr>
        <w:pStyle w:val="SourceNote"/>
      </w:pPr>
      <w:r>
        <w:rPr>
          <w:b/>
        </w:rPr>
        <w:t>Review status:</w:t>
      </w:r>
      <w:r>
        <w:t xml:space="preserve"> unchecked — possible relationship only</w:t>
      </w:r>
    </w:p>
    <w:p>
      <w:pPr>
        <w:pStyle w:val="Heading2"/>
      </w:pPr>
      <w:r>
        <w:t>98. Claim + two later sources: Understanding and enhancing future infrastructure resiliency: a socio‐ecological approach</w:t>
      </w:r>
    </w:p>
    <w:p>
      <w:pPr>
        <w:pStyle w:val="SourceNote"/>
      </w:pPr>
      <w:r>
        <w:rPr>
          <w:b/>
        </w:rPr>
        <w:t>Group ID:</w:t>
      </w:r>
      <w:r>
        <w:t xml:space="preserve"> group-bfb385f48637e04327f8</w:t>
      </w:r>
    </w:p>
    <w:p>
      <w:pPr>
        <w:pStyle w:val="SourceNote"/>
      </w:pPr>
      <w:r>
        <w:rPr>
          <w:b/>
        </w:rPr>
        <w:t>Original source:</w:t>
      </w:r>
      <w:r>
        <w:t xml:space="preserve"> https://doi.org/10.1111/disa.12114</w:t>
      </w:r>
    </w:p>
    <w:p>
      <w:pPr/>
      <w:r>
        <w:rPr>
          <w:b/>
        </w:rPr>
        <w:t>Original future claim:</w:t>
      </w:r>
      <w:r>
        <w:t xml:space="preserve"> This paper seeks to identify and problematise this perspective, presenting research based on the development of a heuristic 'scenario-episode' tool to address, and challenge, it in the context of United Kingdom infrastructure resilience.</w:t>
      </w:r>
    </w:p>
    <w:p>
      <w:pPr/>
      <w:r>
        <w:rPr>
          <w:b/>
        </w:rPr>
        <w:t>Later source:</w:t>
      </w:r>
      <w:r>
        <w:t xml:space="preserve"> The architecture of crisis: problematising a global ban on the three-cueing system in reading education — https://doi.org/10.1007/s44020-026-00130-3</w:t>
      </w:r>
    </w:p>
    <w:p>
      <w:pPr/>
      <w:r>
        <w:rPr>
          <w:b/>
        </w:rPr>
        <w:t>Later source:</w:t>
      </w:r>
      <w:r>
        <w:t xml:space="preserve"> Access to Work for Those Seeking Asylum: Concerns Arising from British and Swedish Legal Strategies — https://doi.org/10.1093/indlaw/dwae004</w:t>
      </w:r>
    </w:p>
    <w:p>
      <w:pPr>
        <w:pStyle w:val="SourceNote"/>
      </w:pPr>
      <w:r>
        <w:rPr>
          <w:b/>
        </w:rPr>
        <w:t>Review status:</w:t>
      </w:r>
      <w:r>
        <w:t xml:space="preserve"> unchecked — possible relationship only</w:t>
      </w:r>
    </w:p>
    <w:p>
      <w:pPr>
        <w:pStyle w:val="Heading2"/>
      </w:pPr>
      <w:r>
        <w:t>99. Claim + two later sources: The development of a system of «green» skills in the strategizing of labor resources of industrial enterprises</w:t>
      </w:r>
    </w:p>
    <w:p>
      <w:pPr>
        <w:pStyle w:val="SourceNote"/>
      </w:pPr>
      <w:r>
        <w:rPr>
          <w:b/>
        </w:rPr>
        <w:t>Group ID:</w:t>
      </w:r>
      <w:r>
        <w:t xml:space="preserve"> group-103e18847c2d69e2d1c6</w:t>
      </w:r>
    </w:p>
    <w:p>
      <w:pPr>
        <w:pStyle w:val="SourceNote"/>
      </w:pPr>
      <w:r>
        <w:rPr>
          <w:b/>
        </w:rPr>
        <w:t>Original source:</w:t>
      </w:r>
      <w:r>
        <w:t xml:space="preserve"> https://doi.org/10.17073/2072-1633-2019-4-484-493</w:t>
      </w:r>
    </w:p>
    <w:p>
      <w:pPr/>
      <w:r>
        <w:rPr>
          <w:b/>
        </w:rPr>
        <w:t>Original future claim:</w:t>
      </w:r>
      <w:r>
        <w:t xml:space="preserve"> The article presents the forecasts of the International Labor Organization until 2030 of a change in the need for professions, professional fields and related skills of subordinates and managers.</w:t>
      </w:r>
    </w:p>
    <w:p>
      <w:pPr/>
      <w:r>
        <w:rPr>
          <w:b/>
        </w:rPr>
        <w:t>Later source:</w:t>
      </w:r>
      <w:r>
        <w:t xml:space="preserve"> Pattern Matching for Multivariate Time Series Forecasting — https://doi.org/10.1002/sam.70077</w:t>
      </w:r>
    </w:p>
    <w:p>
      <w:pPr/>
      <w:r>
        <w:rPr>
          <w:b/>
        </w:rPr>
        <w:t>Later source:</w:t>
      </w:r>
      <w:r>
        <w:t xml:space="preserve"> PREVENTING FORCED LABOR OF MINORS IN UZBEKISTAN — https://doi.org/10.5281/zenodo.18766762</w:t>
      </w:r>
    </w:p>
    <w:p>
      <w:pPr>
        <w:pStyle w:val="SourceNote"/>
      </w:pPr>
      <w:r>
        <w:rPr>
          <w:b/>
        </w:rPr>
        <w:t>Review status:</w:t>
      </w:r>
      <w:r>
        <w:t xml:space="preserve"> unchecked — possible relationship only</w:t>
      </w:r>
    </w:p>
    <w:p>
      <w:pPr>
        <w:pStyle w:val="Heading2"/>
      </w:pPr>
      <w:r>
        <w:t>100. Claim + two later sources: Carbon intensity of the Ukrainian industry: current state and foresight</w:t>
      </w:r>
    </w:p>
    <w:p>
      <w:pPr>
        <w:pStyle w:val="SourceNote"/>
      </w:pPr>
      <w:r>
        <w:rPr>
          <w:b/>
        </w:rPr>
        <w:t>Group ID:</w:t>
      </w:r>
      <w:r>
        <w:t xml:space="preserve"> group-f2c1520b4e3fa8aa0e6b</w:t>
      </w:r>
    </w:p>
    <w:p>
      <w:pPr>
        <w:pStyle w:val="SourceNote"/>
      </w:pPr>
      <w:r>
        <w:rPr>
          <w:b/>
        </w:rPr>
        <w:t>Original source:</w:t>
      </w:r>
      <w:r>
        <w:t xml:space="preserve"> https://doi.org/10.15407/econindustry2022.01.061</w:t>
      </w:r>
    </w:p>
    <w:p>
      <w:pPr/>
      <w:r>
        <w:rPr>
          <w:b/>
        </w:rPr>
        <w:t>Original future claim:</w:t>
      </w:r>
      <w:r>
        <w:t xml:space="preserve">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Later source:</w:t>
      </w:r>
      <w:r>
        <w:t xml:space="preserve"> Decarbonizing Energy-Intensive Steel Production: Dynamic Analysis of CO2 Emission Persistence in Poland’s Basic Oxygen Furnace Sector — https://doi.org/10.3390/en19020527</w:t>
      </w:r>
    </w:p>
    <w:p>
      <w:pPr/>
      <w:r>
        <w:rPr>
          <w:b/>
        </w:rPr>
        <w:t>Later source:</w:t>
      </w:r>
      <w:r>
        <w:t xml:space="preserve"> HOW CAN INNOVATION ECOSYSTEMS ACCELERATE DECARBONIZATION AND GREEN GROWTH? — https://doi.org/10.2478/eoik-2026-0008</w:t>
      </w:r>
    </w:p>
    <w:p>
      <w:pPr>
        <w:pStyle w:val="SourceNote"/>
      </w:pPr>
      <w:r>
        <w:rPr>
          <w:b/>
        </w:rPr>
        <w:t>Review status:</w:t>
      </w:r>
      <w:r>
        <w:t xml:space="preserve"> unchecked — possible relationship only</w:t>
      </w:r>
    </w:p>
    <w:p>
      <w:pPr>
        <w:pStyle w:val="Heading2"/>
      </w:pPr>
      <w:r>
        <w:t>101. Claim + two later sources: Future Trajectories of Renewable Energy Consumption in the European Union</w:t>
      </w:r>
    </w:p>
    <w:p>
      <w:pPr>
        <w:pStyle w:val="SourceNote"/>
      </w:pPr>
      <w:r>
        <w:rPr>
          <w:b/>
        </w:rPr>
        <w:t>Group ID:</w:t>
      </w:r>
      <w:r>
        <w:t xml:space="preserve"> group-b26488c047f92765ef84</w:t>
      </w:r>
    </w:p>
    <w:p>
      <w:pPr>
        <w:pStyle w:val="SourceNote"/>
      </w:pPr>
      <w:r>
        <w:rPr>
          <w:b/>
        </w:rPr>
        <w:t>Original source:</w:t>
      </w:r>
      <w:r>
        <w:t xml:space="preserve"> https://doi.org/10.3390/resources7010010</w:t>
      </w:r>
    </w:p>
    <w:p>
      <w:pPr/>
      <w:r>
        <w:rPr>
          <w:b/>
        </w:rPr>
        <w:t>Original future claim:</w:t>
      </w:r>
      <w:r>
        <w:t xml:space="preserve">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Later source:</w:t>
      </w:r>
      <w:r>
        <w:t xml:space="preserve"> A geospatial database of coastal characteristics for erosion assessment of Europe's coastal floodplains — https://doi.org/10.5194/nhess-26-1685-2026</w:t>
      </w:r>
    </w:p>
    <w:p>
      <w:pPr/>
      <w:r>
        <w:rPr>
          <w:b/>
        </w:rPr>
        <w:t>Later source:</w:t>
      </w:r>
      <w:r>
        <w:t xml:space="preserve"> Bayesian Indirect Estimation of Historical Fertility in Europe and US Using Online Genealogical Data — https://doi.org/10.1177/00491241261463559</w:t>
      </w:r>
    </w:p>
    <w:p>
      <w:pPr>
        <w:pStyle w:val="SourceNote"/>
      </w:pPr>
      <w:r>
        <w:rPr>
          <w:b/>
        </w:rPr>
        <w:t>Review status:</w:t>
      </w:r>
      <w:r>
        <w:t xml:space="preserve"> unchecked — possible relationship only</w:t>
      </w:r>
    </w:p>
    <w:p>
      <w:pPr>
        <w:pStyle w:val="Heading2"/>
      </w:pPr>
      <w:r>
        <w:t>102. Claim + two later sources: Polish and Ukrainian foresight into the directions for the innovation of power plants</w:t>
      </w:r>
    </w:p>
    <w:p>
      <w:pPr>
        <w:pStyle w:val="SourceNote"/>
      </w:pPr>
      <w:r>
        <w:rPr>
          <w:b/>
        </w:rPr>
        <w:t>Group ID:</w:t>
      </w:r>
      <w:r>
        <w:t xml:space="preserve"> group-bd4e99364ea8ed8d6e73</w:t>
      </w:r>
    </w:p>
    <w:p>
      <w:pPr>
        <w:pStyle w:val="SourceNote"/>
      </w:pPr>
      <w:r>
        <w:rPr>
          <w:b/>
        </w:rPr>
        <w:t>Original source:</w:t>
      </w:r>
      <w:r>
        <w:t xml:space="preserve"> https://doi.org/10.5277/ord180404</w:t>
      </w:r>
    </w:p>
    <w:p>
      <w:pPr/>
      <w:r>
        <w:rPr>
          <w:b/>
        </w:rPr>
        <w:t>Original future claim:</w:t>
      </w:r>
      <w:r>
        <w:t xml:space="preserve"> Such an approach could be used to establish a set of measures aimed at the continuous improvement of technical, technological, socioeconomic and environmental processes in power plants (e.g., the operation of Ukrainian hydroelectric power plants).</w:t>
      </w:r>
    </w:p>
    <w:p>
      <w:pPr/>
      <w:r>
        <w:rPr>
          <w:b/>
        </w:rPr>
        <w:t>Later source:</w:t>
      </w:r>
      <w:r>
        <w:t xml:space="preserve"> The Relationship between Organisational Life Cycle and the Use of Multiple Performance Measures: A Configuration Approach — https://doi.org/10.22452/ajap.vol18no2.4</w:t>
      </w:r>
    </w:p>
    <w:p>
      <w:pPr/>
      <w:r>
        <w:rPr>
          <w:b/>
        </w:rPr>
        <w:t>Later source:</w:t>
      </w:r>
      <w:r>
        <w:t xml:space="preserve"> A probabilistic approach to establishing the resistivity-lithology relationship using co-located tTEM data and lithological logs — https://doi.org/10.1016/j.jappgeo.2026.106245</w:t>
      </w:r>
    </w:p>
    <w:p>
      <w:pPr>
        <w:pStyle w:val="SourceNote"/>
      </w:pPr>
      <w:r>
        <w:rPr>
          <w:b/>
        </w:rPr>
        <w:t>Review status:</w:t>
      </w:r>
      <w:r>
        <w:t xml:space="preserve"> unchecked — possible relationship only</w:t>
      </w:r>
    </w:p>
    <w:p>
      <w:pPr>
        <w:pStyle w:val="Heading2"/>
      </w:pPr>
      <w:r>
        <w:t>103. Claim + two later sources: European Water Footprint Scenarios for 2050</w:t>
      </w:r>
    </w:p>
    <w:p>
      <w:pPr>
        <w:pStyle w:val="SourceNote"/>
      </w:pPr>
      <w:r>
        <w:rPr>
          <w:b/>
        </w:rPr>
        <w:t>Group ID:</w:t>
      </w:r>
      <w:r>
        <w:t xml:space="preserve"> group-eaccfa8a597ec7f7d431</w:t>
      </w:r>
    </w:p>
    <w:p>
      <w:pPr>
        <w:pStyle w:val="SourceNote"/>
      </w:pPr>
      <w:r>
        <w:rPr>
          <w:b/>
        </w:rPr>
        <w:t>Original source:</w:t>
      </w:r>
      <w:r>
        <w:t xml:space="preserve"> https://doi.org/10.3390/w8060226</w:t>
      </w:r>
    </w:p>
    <w:p>
      <w:pPr/>
      <w:r>
        <w:rPr>
          <w:b/>
        </w:rPr>
        <w:t>Original future claim:</w:t>
      </w:r>
      <w:r>
        <w:t xml:space="preserve">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Later source:</w:t>
      </w:r>
      <w:r>
        <w:t xml:space="preserve"> Assessing extreme total water levels across Europe for large-scale coastal flood analysis — https://doi.org/10.5194/nhess-26-1935-2026</w:t>
      </w:r>
    </w:p>
    <w:p>
      <w:pPr/>
      <w:r>
        <w:rPr>
          <w:b/>
        </w:rPr>
        <w:t>Later source:</w:t>
      </w:r>
      <w:r>
        <w:t xml:space="preserve"> Water Quality and Footprint in the European Union Driven by Free Movement of People and Tourism — https://doi.org/10.3390/w18091048</w:t>
      </w:r>
    </w:p>
    <w:p>
      <w:pPr>
        <w:pStyle w:val="SourceNote"/>
      </w:pPr>
      <w:r>
        <w:rPr>
          <w:b/>
        </w:rPr>
        <w:t>Review status:</w:t>
      </w:r>
      <w:r>
        <w:t xml:space="preserve"> unchecked — possible relationship only</w:t>
      </w:r>
    </w:p>
    <w:p>
      <w:pPr>
        <w:pStyle w:val="Heading2"/>
      </w:pPr>
      <w:r>
        <w:t>104. Claim + two later sources: Nutrient criteria for surface waters under the European Water Framework Directive: Current state-of-the-art, challenges and future outlook</w:t>
      </w:r>
    </w:p>
    <w:p>
      <w:pPr>
        <w:pStyle w:val="SourceNote"/>
      </w:pPr>
      <w:r>
        <w:rPr>
          <w:b/>
        </w:rPr>
        <w:t>Group ID:</w:t>
      </w:r>
      <w:r>
        <w:t xml:space="preserve"> group-9568ae4362e0c78ed658</w:t>
      </w:r>
    </w:p>
    <w:p>
      <w:pPr>
        <w:pStyle w:val="SourceNote"/>
      </w:pPr>
      <w:r>
        <w:rPr>
          <w:b/>
        </w:rPr>
        <w:t>Original source:</w:t>
      </w:r>
      <w:r>
        <w:t xml:space="preserve"> https://doi.org/10.1016/j.scitotenv.2019.133888</w:t>
      </w:r>
    </w:p>
    <w:p>
      <w:pPr/>
      <w:r>
        <w:rPr>
          <w:b/>
        </w:rPr>
        <w:t>Original future claim:</w:t>
      </w:r>
      <w:r>
        <w:t xml:space="preserve"> The aim of European water policy is to achieve good ecological status in all rivers, lakes, coastal and transitional waters by 2027.</w:t>
      </w:r>
    </w:p>
    <w:p>
      <w:pPr/>
      <w:r>
        <w:rPr>
          <w:b/>
        </w:rPr>
        <w:t>Later source:</w:t>
      </w:r>
      <w:r>
        <w:t xml:space="preserve"> Water Quality, Environmental Contaminants and Disease Burden in Europe: An Ecological Analysis of Associations with Disability-Adjusted Life Years — https://doi.org/10.3390/environments13010036</w:t>
      </w:r>
    </w:p>
    <w:p>
      <w:pPr/>
      <w:r>
        <w:rPr>
          <w:b/>
        </w:rPr>
        <w:t>Later source:</w:t>
      </w:r>
      <w:r>
        <w:t xml:space="preserve"> Achieve good ecological status of surface waters by 2027 and beyond - Policy brief - more4nature — https://doi.org/10.5281/zenodo.18505875</w:t>
      </w:r>
    </w:p>
    <w:p>
      <w:pPr>
        <w:pStyle w:val="SourceNote"/>
      </w:pPr>
      <w:r>
        <w:rPr>
          <w:b/>
        </w:rPr>
        <w:t>Review status:</w:t>
      </w:r>
      <w:r>
        <w:t xml:space="preserve"> unchecked — possible relationship only</w:t>
      </w:r>
    </w:p>
    <w:p>
      <w:pPr>
        <w:pStyle w:val="Heading2"/>
      </w:pPr>
      <w:r>
        <w:t>105. Claim + two later sources: Burden of Stroke in Europe</w:t>
      </w:r>
    </w:p>
    <w:p>
      <w:pPr>
        <w:pStyle w:val="SourceNote"/>
      </w:pPr>
      <w:r>
        <w:rPr>
          <w:b/>
        </w:rPr>
        <w:t>Group ID:</w:t>
      </w:r>
      <w:r>
        <w:t xml:space="preserve"> group-0eeefad256ba449a3ba0</w:t>
      </w:r>
    </w:p>
    <w:p>
      <w:pPr>
        <w:pStyle w:val="SourceNote"/>
      </w:pPr>
      <w:r>
        <w:rPr>
          <w:b/>
        </w:rPr>
        <w:t>Original source:</w:t>
      </w:r>
      <w:r>
        <w:t xml:space="preserve"> https://doi.org/10.1161/strokeaha.120.029606</w:t>
      </w:r>
    </w:p>
    <w:p>
      <w:pPr/>
      <w:r>
        <w:rPr>
          <w:b/>
        </w:rPr>
        <w:t>Original future claim:</w:t>
      </w:r>
      <w:r>
        <w:t xml:space="preserve"> By 2047, we estimated an additional 40 000 incident strokes (+3%) and 2.58 million prevalent cases (+27%).</w:t>
      </w:r>
    </w:p>
    <w:p>
      <w:pPr/>
      <w:r>
        <w:rPr>
          <w:b/>
        </w:rPr>
        <w:t>Later source:</w:t>
      </w:r>
      <w:r>
        <w:t xml:space="preserve"> Assessment of health risks from exposure to indoor volatile organic compounds in European educational buildings — https://doi.org/10.1038/s41598-026-37072-2</w:t>
      </w:r>
    </w:p>
    <w:p>
      <w:pPr/>
      <w:r>
        <w:rPr>
          <w:b/>
        </w:rPr>
        <w:t>Later source:</w:t>
      </w:r>
      <w:r>
        <w:t xml:space="preserve"> Postthrombotic syndrome: risk after deep vein thrombosis and estimates of its incidence and prevalence in Europe — https://doi.org/10.1016/j.jtha.2025.12.017</w:t>
      </w:r>
    </w:p>
    <w:p>
      <w:pPr>
        <w:pStyle w:val="SourceNote"/>
      </w:pPr>
      <w:r>
        <w:rPr>
          <w:b/>
        </w:rPr>
        <w:t>Review status:</w:t>
      </w:r>
      <w:r>
        <w:t xml:space="preserve"> unchecked — possible relationship only</w:t>
      </w:r>
    </w:p>
    <w:p>
      <w:pPr>
        <w:pStyle w:val="Heading2"/>
      </w:pPr>
      <w:r>
        <w:t>106. Claim + two later sources: Ukrainian Migration Aspirations towards Germany: Analysis and Development Scenarios</w:t>
      </w:r>
    </w:p>
    <w:p>
      <w:pPr>
        <w:pStyle w:val="SourceNote"/>
      </w:pPr>
      <w:r>
        <w:rPr>
          <w:b/>
        </w:rPr>
        <w:t>Group ID:</w:t>
      </w:r>
      <w:r>
        <w:t xml:space="preserve"> group-6e35c11e55ab1bc9a832</w:t>
      </w:r>
    </w:p>
    <w:p>
      <w:pPr>
        <w:pStyle w:val="SourceNote"/>
      </w:pPr>
      <w:r>
        <w:rPr>
          <w:b/>
        </w:rPr>
        <w:t>Original source:</w:t>
      </w:r>
      <w:r>
        <w:t xml:space="preserve"> https://doi.org/10.18778/1508-2008.24.04</w:t>
      </w:r>
    </w:p>
    <w:p>
      <w:pPr/>
      <w:r>
        <w:rPr>
          <w:b/>
        </w:rPr>
        <w:t>Original future claim:</w:t>
      </w:r>
      <w:r>
        <w:t xml:space="preserve">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Later source:</w:t>
      </w:r>
      <w:r>
        <w:t xml:space="preserve"> Information Support for Socio-Economic Policy in Ukraine: From Fragmented Data to Evidence-Based Decisions in the Context of European Approaches — https://doi.org/10.15407/dse2026.01.061</w:t>
      </w:r>
    </w:p>
    <w:p>
      <w:pPr/>
      <w:r>
        <w:rPr>
          <w:b/>
        </w:rPr>
        <w:t>Later source:</w:t>
      </w:r>
      <w:r>
        <w:t xml:space="preserve"> Particle Swarm Optimization based hybrid Deep Learning approach: Evidence from Europe for Predicting Air Quality Index — https://doi.org/10.53799/5gm39s77</w:t>
      </w:r>
    </w:p>
    <w:p>
      <w:pPr>
        <w:pStyle w:val="SourceNote"/>
      </w:pPr>
      <w:r>
        <w:rPr>
          <w:b/>
        </w:rPr>
        <w:t>Review status:</w:t>
      </w:r>
      <w:r>
        <w:t xml:space="preserve"> unchecked — possible relationship only</w:t>
      </w:r>
    </w:p>
    <w:p>
      <w:pPr>
        <w:pStyle w:val="Heading2"/>
      </w:pPr>
      <w:r>
        <w:t>107. Claim + two later sources: Forecasting the Volatility of European Union Allowance Futures with Climate Policy Uncertainty Using the EGARCH-MIDAS Model</w:t>
      </w:r>
    </w:p>
    <w:p>
      <w:pPr>
        <w:pStyle w:val="SourceNote"/>
      </w:pPr>
      <w:r>
        <w:rPr>
          <w:b/>
        </w:rPr>
        <w:t>Group ID:</w:t>
      </w:r>
      <w:r>
        <w:t xml:space="preserve"> group-6140ebbc661acaf7ffa0</w:t>
      </w:r>
    </w:p>
    <w:p>
      <w:pPr>
        <w:pStyle w:val="SourceNote"/>
      </w:pPr>
      <w:r>
        <w:rPr>
          <w:b/>
        </w:rPr>
        <w:t>Original source:</w:t>
      </w:r>
      <w:r>
        <w:t xml:space="preserve"> https://doi.org/10.3390/su14074306</w:t>
      </w:r>
    </w:p>
    <w:p>
      <w:pPr/>
      <w:r>
        <w:rPr>
          <w:b/>
        </w:rPr>
        <w:t>Original future claim:</w:t>
      </w:r>
      <w:r>
        <w:t xml:space="preserve"> There is room for further application of the model, such as this model could be applied to price carbon futures, so as to improve the liquidity of the carbon market and achieve carbon peak and carbon neutrality as soon as possible.</w:t>
      </w:r>
    </w:p>
    <w:p>
      <w:pPr/>
      <w:r>
        <w:rPr>
          <w:b/>
        </w:rPr>
        <w:t>Later source:</w:t>
      </w:r>
      <w:r>
        <w:t xml:space="preserve"> Why Grey Room — https://doi.org/10.1162/grey.e.11</w:t>
      </w:r>
    </w:p>
    <w:p>
      <w:pPr/>
      <w:r>
        <w:rPr>
          <w:b/>
        </w:rPr>
        <w:t>Later source:</w:t>
      </w:r>
      <w:r>
        <w:t xml:space="preserve"> European coastal flood hazards — https://doi.org/10.5194/egusphere-egu25-17323</w:t>
      </w:r>
    </w:p>
    <w:p>
      <w:pPr>
        <w:pStyle w:val="SourceNote"/>
      </w:pPr>
      <w:r>
        <w:rPr>
          <w:b/>
        </w:rPr>
        <w:t>Review status:</w:t>
      </w:r>
      <w:r>
        <w:t xml:space="preserve"> unchecked — possible relationship only</w:t>
      </w:r>
    </w:p>
    <w:p>
      <w:pPr>
        <w:pStyle w:val="Heading2"/>
      </w:pPr>
      <w:r>
        <w:t>108. Claim + two later sources: From flood science to flood policy: the Foresight Future Flooding project seven years on</w:t>
      </w:r>
    </w:p>
    <w:p>
      <w:pPr>
        <w:pStyle w:val="SourceNote"/>
      </w:pPr>
      <w:r>
        <w:rPr>
          <w:b/>
        </w:rPr>
        <w:t>Group ID:</w:t>
      </w:r>
      <w:r>
        <w:t xml:space="preserve"> group-f445a14fdeff399fd221</w:t>
      </w:r>
    </w:p>
    <w:p>
      <w:pPr>
        <w:pStyle w:val="SourceNote"/>
      </w:pPr>
      <w:r>
        <w:rPr>
          <w:b/>
        </w:rPr>
        <w:t>Original source:</w:t>
      </w:r>
      <w:r>
        <w:t xml:space="preserve"> https://doi.org/10.1108/fs-06-2012-0046</w:t>
      </w:r>
    </w:p>
    <w:p>
      <w:pPr/>
      <w:r>
        <w:rPr>
          <w:b/>
        </w:rPr>
        <w:t>Original future claim:</w:t>
      </w:r>
      <w:r>
        <w:t xml:space="preserve">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Later source:</w:t>
      </w:r>
      <w:r>
        <w:t xml:space="preserve"> Navigating the winds of change: strategic foresight and the power of weak signals — https://doi.org/10.1007/s11625-025-01786-5</w:t>
      </w:r>
    </w:p>
    <w:p>
      <w:pPr/>
      <w:r>
        <w:rPr>
          <w:b/>
        </w:rPr>
        <w:t>Later source:</w:t>
      </w:r>
      <w:r>
        <w:t xml:space="preserve"> The Impact of Climate Change and Floods in Pakistan: Challenges and Way Forward — https://doi.org/10.70670/sra.v4i1.1681</w:t>
      </w:r>
    </w:p>
    <w:p>
      <w:pPr>
        <w:pStyle w:val="SourceNote"/>
      </w:pPr>
      <w:r>
        <w:rPr>
          <w:b/>
        </w:rPr>
        <w:t>Review status:</w:t>
      </w:r>
      <w:r>
        <w:t xml:space="preserve"> unchecked — possible relationship only</w:t>
      </w:r>
    </w:p>
    <w:p>
      <w:pPr>
        <w:pStyle w:val="Heading2"/>
      </w:pPr>
      <w:r>
        <w:t>109. Claim + two later sources: Immigration and integration scenarios in global Europe: Forward-looking up to 2050</w:t>
      </w:r>
    </w:p>
    <w:p>
      <w:pPr>
        <w:pStyle w:val="SourceNote"/>
      </w:pPr>
      <w:r>
        <w:rPr>
          <w:b/>
        </w:rPr>
        <w:t>Group ID:</w:t>
      </w:r>
      <w:r>
        <w:t xml:space="preserve"> group-15eaf281fc29946419cb</w:t>
      </w:r>
    </w:p>
    <w:p>
      <w:pPr>
        <w:pStyle w:val="SourceNote"/>
      </w:pPr>
      <w:r>
        <w:rPr>
          <w:b/>
        </w:rPr>
        <w:t>Original source:</w:t>
      </w:r>
      <w:r>
        <w:t xml:space="preserve"> https://doi.org/10.2298/soc1302169a</w:t>
      </w:r>
    </w:p>
    <w:p>
      <w:pPr/>
      <w:r>
        <w:rPr>
          <w:b/>
        </w:rPr>
        <w:t>Original future claim:</w:t>
      </w:r>
      <w:r>
        <w:t xml:space="preserve"> She proposes addressing integration of immigrants scenarios alongside demographic projections and labour market needs for future assessments of needs for immigrants and for responsible governance.</w:t>
      </w:r>
    </w:p>
    <w:p>
      <w:pPr/>
      <w:r>
        <w:rPr>
          <w:b/>
        </w:rPr>
        <w:t>Later source:</w:t>
      </w:r>
      <w:r>
        <w:t xml:space="preserve"> The Labor Market Challenges and Coping Strategies of Highly Skilled Second-Generation Immigrants in Europe: A Scoping Review — https://doi.org/10.3390/soc15040093</w:t>
      </w:r>
    </w:p>
    <w:p>
      <w:pPr/>
      <w:r>
        <w:rPr>
          <w:b/>
        </w:rPr>
        <w:t>Later source:</w:t>
      </w:r>
      <w:r>
        <w:t xml:space="preserve"> The Evolution of Gender Monitoring and its Challenges: the Case of Research and Innovation in Europe — https://doi.org/10.1007/s11205-025-03698-4</w:t>
      </w:r>
    </w:p>
    <w:p>
      <w:pPr>
        <w:pStyle w:val="SourceNote"/>
      </w:pPr>
      <w:r>
        <w:rPr>
          <w:b/>
        </w:rPr>
        <w:t>Review status:</w:t>
      </w:r>
      <w:r>
        <w:t xml:space="preserve"> unchecked — possible relationship only</w:t>
      </w:r>
    </w:p>
    <w:p>
      <w:pPr>
        <w:pStyle w:val="Heading2"/>
      </w:pPr>
      <w:r>
        <w:t>110. Claim + two later sources: Materials for Sustainable Nuclear Energy: A European Strategic Research and Innovation Agenda for All Reactor Generations</w:t>
      </w:r>
    </w:p>
    <w:p>
      <w:pPr>
        <w:pStyle w:val="SourceNote"/>
      </w:pPr>
      <w:r>
        <w:rPr>
          <w:b/>
        </w:rPr>
        <w:t>Group ID:</w:t>
      </w:r>
      <w:r>
        <w:t xml:space="preserve"> group-6549b61d64ceef9a99b9</w:t>
      </w:r>
    </w:p>
    <w:p>
      <w:pPr>
        <w:pStyle w:val="SourceNote"/>
      </w:pPr>
      <w:r>
        <w:rPr>
          <w:b/>
        </w:rPr>
        <w:t>Original source:</w:t>
      </w:r>
      <w:r>
        <w:t xml:space="preserve"> https://doi.org/10.3390/en15051845</w:t>
      </w:r>
    </w:p>
    <w:p>
      <w:pPr/>
      <w:r>
        <w:rPr>
          <w:b/>
        </w:rPr>
        <w:t>Original future claim:</w:t>
      </w:r>
      <w:r>
        <w:t xml:space="preserve"> Nuclear energy is presently the single major low-carbon electricity source in Europe and is overall expected to maintain (perhaps eventually even increase) its current installed power from now to 2045.</w:t>
      </w:r>
    </w:p>
    <w:p>
      <w:pPr/>
      <w:r>
        <w:rPr>
          <w:b/>
        </w:rPr>
        <w:t>Later source:</w:t>
      </w:r>
      <w:r>
        <w:t xml:space="preserve"> Mind the gap: Mixed-methods approach to investigate transition bottlenecks to low-carbon energy futures — https://doi.org/10.1016/j.egyr.2025.108973</w:t>
      </w:r>
    </w:p>
    <w:p>
      <w:pPr/>
      <w:r>
        <w:rPr>
          <w:b/>
        </w:rPr>
        <w:t>Later source:</w:t>
      </w:r>
      <w:r>
        <w:t xml:space="preserve"> Enhancing Environmental Sustainability: The Role of Resource Productivity, Low‐Carbon Energy, and Energy Productivity — https://doi.org/10.1155/er/9919914</w:t>
      </w:r>
    </w:p>
    <w:p>
      <w:pPr>
        <w:pStyle w:val="SourceNote"/>
      </w:pPr>
      <w:r>
        <w:rPr>
          <w:b/>
        </w:rPr>
        <w:t>Review status:</w:t>
      </w:r>
      <w:r>
        <w:t xml:space="preserve"> unchecked — possible relationship only</w:t>
      </w:r>
    </w:p>
    <w:p>
      <w:pPr>
        <w:pStyle w:val="Heading2"/>
      </w:pPr>
      <w:r>
        <w:t>111. Claim + two later sources: Microgrids: Enhancing the Resilience of the European Megagrid</w:t>
      </w:r>
    </w:p>
    <w:p>
      <w:pPr>
        <w:pStyle w:val="SourceNote"/>
      </w:pPr>
      <w:r>
        <w:rPr>
          <w:b/>
        </w:rPr>
        <w:t>Group ID:</w:t>
      </w:r>
      <w:r>
        <w:t xml:space="preserve"> group-5138d1ed37ebbff24bd4</w:t>
      </w:r>
    </w:p>
    <w:p>
      <w:pPr>
        <w:pStyle w:val="SourceNote"/>
      </w:pPr>
      <w:r>
        <w:rPr>
          <w:b/>
        </w:rPr>
        <w:t>Original source:</w:t>
      </w:r>
      <w:r>
        <w:t xml:space="preserve"> https://doi.org/10.1109/mpe.2015.2397336</w:t>
      </w:r>
    </w:p>
    <w:p>
      <w:pPr/>
      <w:r>
        <w:rPr>
          <w:b/>
        </w:rPr>
        <w:t>Original future claim:</w:t>
      </w:r>
      <w:r>
        <w:t xml:space="preserve">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Later source:</w:t>
      </w:r>
      <w:r>
        <w:t xml:space="preserve"> The Distributional Politics of Electricity Pricing in Europe — https://openalex.org/W7140958256</w:t>
      </w:r>
    </w:p>
    <w:p>
      <w:pPr/>
      <w:r>
        <w:rPr>
          <w:b/>
        </w:rPr>
        <w:t>Later source:</w:t>
      </w:r>
      <w:r>
        <w:t xml:space="preserve"> Electricity Demand And Renewable Energy Analysis Using Opsd Data From Selected European Countries — https://doi.org/10.54365/adyumbd.1862489</w:t>
      </w:r>
    </w:p>
    <w:p>
      <w:pPr>
        <w:pStyle w:val="SourceNote"/>
      </w:pPr>
      <w:r>
        <w:rPr>
          <w:b/>
        </w:rPr>
        <w:t>Review status:</w:t>
      </w:r>
      <w:r>
        <w:t xml:space="preserve"> unchecked — possible relationship only</w:t>
      </w:r>
    </w:p>
    <w:p>
      <w:pPr>
        <w:pStyle w:val="Heading2"/>
      </w:pPr>
      <w:r>
        <w:t>112. Claim + two later sources: Argentinian Energy Landscapes - Case Study of the Neo-Carbon Energy Project</w:t>
      </w:r>
    </w:p>
    <w:p>
      <w:pPr>
        <w:pStyle w:val="SourceNote"/>
      </w:pPr>
      <w:r>
        <w:rPr>
          <w:b/>
        </w:rPr>
        <w:t>Group ID:</w:t>
      </w:r>
      <w:r>
        <w:t xml:space="preserve"> group-24b5654794be53d3897b</w:t>
      </w:r>
    </w:p>
    <w:p>
      <w:pPr>
        <w:pStyle w:val="SourceNote"/>
      </w:pPr>
      <w:r>
        <w:rPr>
          <w:b/>
        </w:rPr>
        <w:t>Original source:</w:t>
      </w:r>
      <w:r>
        <w:t xml:space="preserve"> https://doi.org/10.13140/rg.2.2.13727.82088</w:t>
      </w:r>
    </w:p>
    <w:p>
      <w:pPr/>
      <w:r>
        <w:rPr>
          <w:b/>
        </w:rPr>
        <w:t>Original future claim:</w:t>
      </w:r>
      <w:r>
        <w:t xml:space="preserve"> Therefore, it is important to explore different scenarios of how neo-carbon energy system can affect a society, businesses, individual’s lives and relationships.</w:t>
      </w:r>
    </w:p>
    <w:p>
      <w:pPr/>
      <w:r>
        <w:rPr>
          <w:b/>
        </w:rPr>
        <w:t>Later source:</w:t>
      </w:r>
      <w:r>
        <w:t xml:space="preserve"> Exploring huntington's disease from a neurodevelopmental perspective — https://doi.org/10.7150/ijbs.124552</w:t>
      </w:r>
    </w:p>
    <w:p>
      <w:pPr/>
      <w:r>
        <w:rPr>
          <w:b/>
        </w:rPr>
        <w:t>Later source:</w:t>
      </w:r>
      <w:r>
        <w:t xml:space="preserve"> Exploring learners — https://doi.org/10.4324/9781003588924-6</w:t>
      </w:r>
    </w:p>
    <w:p>
      <w:pPr>
        <w:pStyle w:val="SourceNote"/>
      </w:pPr>
      <w:r>
        <w:rPr>
          <w:b/>
        </w:rPr>
        <w:t>Review status:</w:t>
      </w:r>
      <w:r>
        <w:t xml:space="preserve"> unchecked — possible relationship only</w:t>
      </w:r>
    </w:p>
    <w:p>
      <w:pPr>
        <w:pStyle w:val="Heading2"/>
      </w:pPr>
      <w:r>
        <w:t>113. Claim + two later sources: Scenario analysis for nutrient emission reduction in the European inland waters</w:t>
      </w:r>
    </w:p>
    <w:p>
      <w:pPr>
        <w:pStyle w:val="SourceNote"/>
      </w:pPr>
      <w:r>
        <w:rPr>
          <w:b/>
        </w:rPr>
        <w:t>Group ID:</w:t>
      </w:r>
      <w:r>
        <w:t xml:space="preserve"> group-f205749898a032a8c97a</w:t>
      </w:r>
    </w:p>
    <w:p>
      <w:pPr>
        <w:pStyle w:val="SourceNote"/>
      </w:pPr>
      <w:r>
        <w:rPr>
          <w:b/>
        </w:rPr>
        <w:t>Original source:</w:t>
      </w:r>
      <w:r>
        <w:t xml:space="preserve"> https://doi.org/10.1088/1748-9326/9/12/125007</w:t>
      </w:r>
    </w:p>
    <w:p>
      <w:pPr/>
      <w:r>
        <w:rPr>
          <w:b/>
        </w:rPr>
        <w:t>Original future claim:</w:t>
      </w:r>
      <w:r>
        <w:t xml:space="preserve">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Later source:</w:t>
      </w:r>
      <w:r>
        <w:t xml:space="preserve"> Outlook on the knowledge gaps to reduce land degradation in Europe — https://doi.org/10.3897/soils4europe.e148999</w:t>
      </w:r>
    </w:p>
    <w:p>
      <w:pPr/>
      <w:r>
        <w:rPr>
          <w:b/>
        </w:rPr>
        <w:t>Later source:</w:t>
      </w:r>
      <w:r>
        <w:t xml:space="preserve"> Evaluating sustainability in Europe with composite indicators — https://doi.org/10.1007/s43621-025-02129-1</w:t>
      </w:r>
    </w:p>
    <w:p>
      <w:pPr>
        <w:pStyle w:val="SourceNote"/>
      </w:pPr>
      <w:r>
        <w:rPr>
          <w:b/>
        </w:rPr>
        <w:t>Review status:</w:t>
      </w:r>
      <w:r>
        <w:t xml:space="preserve"> unchecked — possible relationship only</w:t>
      </w:r>
    </w:p>
    <w:p>
      <w:pPr>
        <w:pStyle w:val="Heading2"/>
      </w:pPr>
      <w:r>
        <w:t>114. Claim + two later sources: Eliciting knowledge from stakeholders to identify critical issues of the transition to climate neutrality in Greece, the Nordic Region, and the European Union</w:t>
      </w:r>
    </w:p>
    <w:p>
      <w:pPr>
        <w:pStyle w:val="SourceNote"/>
      </w:pPr>
      <w:r>
        <w:rPr>
          <w:b/>
        </w:rPr>
        <w:t>Group ID:</w:t>
      </w:r>
      <w:r>
        <w:t xml:space="preserve"> group-54607233a5cb34b04a09</w:t>
      </w:r>
    </w:p>
    <w:p>
      <w:pPr>
        <w:pStyle w:val="SourceNote"/>
      </w:pPr>
      <w:r>
        <w:rPr>
          <w:b/>
        </w:rPr>
        <w:t>Original source:</w:t>
      </w:r>
      <w:r>
        <w:t xml:space="preserve"> https://doi.org/10.1016/j.erss.2022.102836</w:t>
      </w:r>
    </w:p>
    <w:p>
      <w:pPr/>
      <w:r>
        <w:rPr>
          <w:b/>
        </w:rPr>
        <w:t>Original future claim:</w:t>
      </w:r>
      <w:r>
        <w:t xml:space="preserve">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Later source:</w:t>
      </w:r>
      <w:r>
        <w:t xml:space="preserve"> Multidisciplinary challenges by ‘pure’ and hybrid Schistosoma species introduced into southwestern Europe — https://doi.org/10.1098/rstb.2025.0087</w:t>
      </w:r>
    </w:p>
    <w:p>
      <w:pPr/>
      <w:r>
        <w:rPr>
          <w:b/>
        </w:rPr>
        <w:t>Later source:</w:t>
      </w:r>
      <w:r>
        <w:t xml:space="preserve"> Mapping Hate Crime Research in Europe: Trends, Challenges, and Future Directions — https://doi.org/10.1080/01639625.2025.2612264</w:t>
      </w:r>
    </w:p>
    <w:p>
      <w:pPr>
        <w:pStyle w:val="SourceNote"/>
      </w:pPr>
      <w:r>
        <w:rPr>
          <w:b/>
        </w:rPr>
        <w:t>Review status:</w:t>
      </w:r>
      <w:r>
        <w:t xml:space="preserve"> unchecked — possible relationship only</w:t>
      </w:r>
    </w:p>
    <w:p>
      <w:pPr>
        <w:pStyle w:val="Heading2"/>
      </w:pPr>
      <w:r>
        <w:t>115. Claim + two later sources: A Foresight Study of European East-West Agrifood Trade Options</w:t>
      </w:r>
    </w:p>
    <w:p>
      <w:pPr>
        <w:pStyle w:val="SourceNote"/>
      </w:pPr>
      <w:r>
        <w:rPr>
          <w:b/>
        </w:rPr>
        <w:t>Group ID:</w:t>
      </w:r>
      <w:r>
        <w:t xml:space="preserve"> group-99b68bc21efce29c02dc</w:t>
      </w:r>
    </w:p>
    <w:p>
      <w:pPr>
        <w:pStyle w:val="SourceNote"/>
      </w:pPr>
      <w:r>
        <w:rPr>
          <w:b/>
        </w:rPr>
        <w:t>Original source:</w:t>
      </w:r>
      <w:r>
        <w:t xml:space="preserve"> https://doi.org/10.52825/gjae.v67i3.2099</w:t>
      </w:r>
    </w:p>
    <w:p>
      <w:pPr/>
      <w:r>
        <w:rPr>
          <w:b/>
        </w:rPr>
        <w:t>Original future claim:</w:t>
      </w:r>
      <w:r>
        <w:t xml:space="preserve">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Later source:</w:t>
      </w:r>
      <w:r>
        <w:t xml:space="preserve"> “Fairness” in Agrifood Systems as Marketing Strategy to Reduce Food Waste by 2027 — https://doi.org/10.54663/2182-9306.2026.specialissuecmth.56-77</w:t>
      </w:r>
    </w:p>
    <w:p>
      <w:pPr/>
      <w:r>
        <w:rPr>
          <w:b/>
        </w:rPr>
        <w:t>Later source:</w:t>
      </w:r>
      <w:r>
        <w:t xml:space="preserve"> Labour unrest in the context of multiple crises: a comparative perspective of Europe — https://doi.org/10.1080/14742837.2025.2562879</w:t>
      </w:r>
    </w:p>
    <w:p>
      <w:pPr>
        <w:pStyle w:val="SourceNote"/>
      </w:pPr>
      <w:r>
        <w:rPr>
          <w:b/>
        </w:rPr>
        <w:t>Review status:</w:t>
      </w:r>
      <w:r>
        <w:t xml:space="preserve"> unchecked — possible relationship only</w:t>
      </w:r>
    </w:p>
    <w:p>
      <w:pPr>
        <w:pStyle w:val="Heading2"/>
      </w:pPr>
      <w:r>
        <w:t>116. Claim + two later sources: Alpine Tundra Contraction under Future Warming Scenarios in Europe</w:t>
      </w:r>
    </w:p>
    <w:p>
      <w:pPr>
        <w:pStyle w:val="SourceNote"/>
      </w:pPr>
      <w:r>
        <w:rPr>
          <w:b/>
        </w:rPr>
        <w:t>Group ID:</w:t>
      </w:r>
      <w:r>
        <w:t xml:space="preserve"> group-37e71869ef93c82e1ba9</w:t>
      </w:r>
    </w:p>
    <w:p>
      <w:pPr>
        <w:pStyle w:val="SourceNote"/>
      </w:pPr>
      <w:r>
        <w:rPr>
          <w:b/>
        </w:rPr>
        <w:t>Original source:</w:t>
      </w:r>
      <w:r>
        <w:t xml:space="preserve"> https://doi.org/10.3390/atmos11070698</w:t>
      </w:r>
    </w:p>
    <w:p>
      <w:pPr/>
      <w:r>
        <w:rPr>
          <w:b/>
        </w:rPr>
        <w:t>Original future claim:</w:t>
      </w:r>
      <w:r>
        <w:t xml:space="preserve">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Later source:</w:t>
      </w:r>
      <w:r>
        <w:t xml:space="preserve"> Wave climate projections in the Western Black Sea using regional EURO-CORDEX wind forcing data — https://doi.org/10.1016/j.oceaneng.2025.124126</w:t>
      </w:r>
    </w:p>
    <w:p>
      <w:pPr/>
      <w:r>
        <w:rPr>
          <w:b/>
        </w:rPr>
        <w:t>Later source:</w:t>
      </w:r>
      <w:r>
        <w:t xml:space="preserve"> Evaluation of coupled and uncoupled ocean–ice–atmosphere simulations using icon-2024.07 and NEMOv4.2.0 for the EURO-CORDEX domain — https://doi.org/10.5194/gmd-19-543-2026</w:t>
      </w:r>
    </w:p>
    <w:p>
      <w:pPr>
        <w:pStyle w:val="SourceNote"/>
      </w:pPr>
      <w:r>
        <w:rPr>
          <w:b/>
        </w:rPr>
        <w:t>Review status:</w:t>
      </w:r>
      <w:r>
        <w:t xml:space="preserve"> unchecked — possible relationship only</w:t>
      </w:r>
    </w:p>
    <w:p>
      <w:pPr>
        <w:pStyle w:val="Heading2"/>
      </w:pPr>
      <w:r>
        <w:t>117. Claim + two later sources: Ocean energy development in Europe: Current status and future perspectives</w:t>
      </w:r>
    </w:p>
    <w:p>
      <w:pPr>
        <w:pStyle w:val="SourceNote"/>
      </w:pPr>
      <w:r>
        <w:rPr>
          <w:b/>
        </w:rPr>
        <w:t>Group ID:</w:t>
      </w:r>
      <w:r>
        <w:t xml:space="preserve"> group-5152a2fc1f80ba133b57</w:t>
      </w:r>
    </w:p>
    <w:p>
      <w:pPr>
        <w:pStyle w:val="SourceNote"/>
      </w:pPr>
      <w:r>
        <w:rPr>
          <w:b/>
        </w:rPr>
        <w:t>Original source:</w:t>
      </w:r>
      <w:r>
        <w:t xml:space="preserve"> https://doi.org/10.1016/j.ijome.2015.05.001</w:t>
      </w:r>
    </w:p>
    <w:p>
      <w:pPr/>
      <w:r>
        <w:rPr>
          <w:b/>
        </w:rPr>
        <w:t>Original future claim:</w:t>
      </w:r>
      <w:r>
        <w:t xml:space="preserve">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Later source:</w:t>
      </w:r>
      <w:r>
        <w:t xml:space="preserve"> Aligning Sustainability and Competitiveness: A Science-Policy Exploration of REACH Revision Debates — https://doi.org/10.5194/egusphere-egu25-4484</w:t>
      </w:r>
    </w:p>
    <w:p>
      <w:pPr/>
      <w:r>
        <w:rPr>
          <w:b/>
        </w:rPr>
        <w:t>Later source:</w:t>
      </w:r>
      <w:r>
        <w:t xml:space="preserve"> Assessing the Combined Impact of Land Surface Temperature and Droughts to Heatwaves over Europe Between 2003 and 2023 — https://doi.org/10.3390/rs17091655</w:t>
      </w:r>
    </w:p>
    <w:p>
      <w:pPr>
        <w:pStyle w:val="SourceNote"/>
      </w:pPr>
      <w:r>
        <w:rPr>
          <w:b/>
        </w:rPr>
        <w:t>Review status:</w:t>
      </w:r>
      <w:r>
        <w:t xml:space="preserve"> unchecked — possible relationship only</w:t>
      </w:r>
    </w:p>
    <w:p>
      <w:pPr>
        <w:pStyle w:val="Heading2"/>
      </w:pPr>
      <w:r>
        <w:t>118. Claim + two later sources: Connected and Automated Transport: Research and Innovation Capacity in Europe</w:t>
      </w:r>
    </w:p>
    <w:p>
      <w:pPr>
        <w:pStyle w:val="SourceNote"/>
      </w:pPr>
      <w:r>
        <w:rPr>
          <w:b/>
        </w:rPr>
        <w:t>Group ID:</w:t>
      </w:r>
      <w:r>
        <w:t xml:space="preserve"> group-73360c45a345d751f0be</w:t>
      </w:r>
    </w:p>
    <w:p>
      <w:pPr>
        <w:pStyle w:val="SourceNote"/>
      </w:pPr>
      <w:r>
        <w:rPr>
          <w:b/>
        </w:rPr>
        <w:t>Original source:</w:t>
      </w:r>
      <w:r>
        <w:t xml:space="preserve"> https://doi.org/10.1016/j.trpro.2020.08.213</w:t>
      </w:r>
    </w:p>
    <w:p>
      <w:pPr/>
      <w:r>
        <w:rPr>
          <w:b/>
        </w:rPr>
        <w:t>Original future claim:</w:t>
      </w:r>
      <w:r>
        <w:t xml:space="preserve"> We argue that this approach can aid policy makers to support the future development of CAT technologies and help researchers to forge collaborations and identify research gaps.</w:t>
      </w:r>
    </w:p>
    <w:p>
      <w:pPr/>
      <w:r>
        <w:rPr>
          <w:b/>
        </w:rPr>
        <w:t>Later source:</w:t>
      </w:r>
      <w:r>
        <w:t xml:space="preserve"> The Limits of European State Aid Law — https://doi.org/10.4324/9781003736141</w:t>
      </w:r>
    </w:p>
    <w:p>
      <w:pPr/>
      <w:r>
        <w:rPr>
          <w:b/>
        </w:rPr>
        <w:t>Later source:</w:t>
      </w:r>
      <w:r>
        <w:t xml:space="preserve"> Scaling Decision‐Support Tools to Promote Soil Health: Insights From Stakeholders in Europe and Turkey — https://doi.org/10.1111/ejss.70113</w:t>
      </w:r>
    </w:p>
    <w:p>
      <w:pPr>
        <w:pStyle w:val="SourceNote"/>
      </w:pPr>
      <w:r>
        <w:rPr>
          <w:b/>
        </w:rPr>
        <w:t>Review status:</w:t>
      </w:r>
      <w:r>
        <w:t xml:space="preserve"> unchecked — possible relationship only</w:t>
      </w:r>
    </w:p>
    <w:p>
      <w:pPr>
        <w:pStyle w:val="Heading2"/>
      </w:pPr>
      <w:r>
        <w:t>119. Claim + two later sources: Implications of sustainability constraints on UK bioenergy development: Assessing optimistic and precautionary approaches with UK MARKAL</w:t>
      </w:r>
    </w:p>
    <w:p>
      <w:pPr>
        <w:pStyle w:val="SourceNote"/>
      </w:pPr>
      <w:r>
        <w:rPr>
          <w:b/>
        </w:rPr>
        <w:t>Group ID:</w:t>
      </w:r>
      <w:r>
        <w:t xml:space="preserve"> group-16134ecc92eff33d6705</w:t>
      </w:r>
    </w:p>
    <w:p>
      <w:pPr>
        <w:pStyle w:val="SourceNote"/>
      </w:pPr>
      <w:r>
        <w:rPr>
          <w:b/>
        </w:rPr>
        <w:t>Original source:</w:t>
      </w:r>
      <w:r>
        <w:t xml:space="preserve"> https://doi.org/10.1016/j.enpol.2012.05.015</w:t>
      </w:r>
    </w:p>
    <w:p>
      <w:pPr/>
      <w:r>
        <w:rPr>
          <w:b/>
        </w:rPr>
        <w:t>Original future claim:</w:t>
      </w:r>
      <w:r>
        <w:t xml:space="preserve"> The paper then examines the implications of these scenarios using the energy systems model MARKAL, finding that a precautionary approach adds to the cost of decarbonisation, but does not significantly alter the optimal technology mix.</w:t>
      </w:r>
    </w:p>
    <w:p>
      <w:pPr/>
      <w:r>
        <w:rPr>
          <w:b/>
        </w:rPr>
        <w:t>Later source:</w:t>
      </w:r>
      <w:r>
        <w:t xml:space="preserve"> CRANIAL STRUCTURE OF †CHONDROSTEUS ACIPENSEROIDES RE-EXAMINED: IMPLICATIONS FOR UPPER JAW HOMOLOGIES IN ACIPENSERIFORM FISHES — https://doi.org/10.7302/28802</w:t>
      </w:r>
    </w:p>
    <w:p>
      <w:pPr/>
      <w:r>
        <w:rPr>
          <w:b/>
        </w:rPr>
        <w:t>Later source:</w:t>
      </w:r>
      <w:r>
        <w:t xml:space="preserve"> Tourism Dynamics at Meenakshi Amman Temple: Examining Implications for Micro-Enterprise Economic Performance — https://doi.org/10.34293/management.v13is1-i2-feb.10387</w:t>
      </w:r>
    </w:p>
    <w:p>
      <w:pPr>
        <w:pStyle w:val="SourceNote"/>
      </w:pPr>
      <w:r>
        <w:rPr>
          <w:b/>
        </w:rPr>
        <w:t>Review status:</w:t>
      </w:r>
      <w:r>
        <w:t xml:space="preserve"> unchecked — possible relationship only</w:t>
      </w:r>
    </w:p>
    <w:p>
      <w:pPr>
        <w:pStyle w:val="Heading2"/>
      </w:pPr>
      <w:r>
        <w:t>120. Claim + two later sources: Testing Scenarios to Achieve Workplace Sustainability Goals Using Backcasting and Agent-Based Modeling</w:t>
      </w:r>
    </w:p>
    <w:p>
      <w:pPr>
        <w:pStyle w:val="SourceNote"/>
      </w:pPr>
      <w:r>
        <w:rPr>
          <w:b/>
        </w:rPr>
        <w:t>Group ID:</w:t>
      </w:r>
      <w:r>
        <w:t xml:space="preserve"> group-99fe92440abbe3a394fc</w:t>
      </w:r>
    </w:p>
    <w:p>
      <w:pPr>
        <w:pStyle w:val="SourceNote"/>
      </w:pPr>
      <w:r>
        <w:rPr>
          <w:b/>
        </w:rPr>
        <w:t>Original source:</w:t>
      </w:r>
      <w:r>
        <w:t xml:space="preserve"> https://doi.org/10.1177/0013916516673869</w:t>
      </w:r>
    </w:p>
    <w:p>
      <w:pPr/>
      <w:r>
        <w:rPr>
          <w:b/>
        </w:rPr>
        <w:t>Original future claim:</w:t>
      </w:r>
      <w:r>
        <w:t xml:space="preserve"> Future scenarios were developed using a participatory backcasting scenario development methodology, and policy tracks were derived.</w:t>
      </w:r>
    </w:p>
    <w:p>
      <w:pPr/>
      <w:r>
        <w:rPr>
          <w:b/>
        </w:rPr>
        <w:t>Later source:</w:t>
      </w:r>
      <w:r>
        <w:t xml:space="preserve"> From Scenarios toward Transformation: A Transdisciplinary Foresight Approach for Biodiversity Futures in Coffee-Dominated Landscapes in Ethiopia — https://doi.org/10.5194/wbf2026-754</w:t>
      </w:r>
    </w:p>
    <w:p>
      <w:pPr/>
      <w:r>
        <w:rPr>
          <w:b/>
        </w:rPr>
        <w:t>Later source:</w:t>
      </w:r>
      <w:r>
        <w:t xml:space="preserve"> Children Reimagining Mobility: A Participatory Toolbox for Schools, Cities and Policymakers — https://doi.org/10.5281/zenodo.22123052</w:t>
      </w:r>
    </w:p>
    <w:p>
      <w:pPr>
        <w:pStyle w:val="SourceNote"/>
      </w:pPr>
      <w:r>
        <w:rPr>
          <w:b/>
        </w:rPr>
        <w:t>Review status:</w:t>
      </w:r>
      <w:r>
        <w:t xml:space="preserve"> unchecked — possible relationship only</w:t>
      </w:r>
    </w:p>
    <w:p>
      <w:pPr>
        <w:pStyle w:val="Heading2"/>
      </w:pPr>
      <w:r>
        <w:t>121. Claim + two later sources: Changing knowledge, changing technology: implications for teacher education futures</w:t>
      </w:r>
    </w:p>
    <w:p>
      <w:pPr>
        <w:pStyle w:val="SourceNote"/>
      </w:pPr>
      <w:r>
        <w:rPr>
          <w:b/>
        </w:rPr>
        <w:t>Group ID:</w:t>
      </w:r>
      <w:r>
        <w:t xml:space="preserve"> group-90aab613a77ef6d8672f</w:t>
      </w:r>
    </w:p>
    <w:p>
      <w:pPr>
        <w:pStyle w:val="SourceNote"/>
      </w:pPr>
      <w:r>
        <w:rPr>
          <w:b/>
        </w:rPr>
        <w:t>Original source:</w:t>
      </w:r>
      <w:r>
        <w:t xml:space="preserve"> https://doi.org/10.1080/02607476.2015.1125432</w:t>
      </w:r>
    </w:p>
    <w:p>
      <w:pPr/>
      <w:r>
        <w:rPr>
          <w:b/>
        </w:rPr>
        <w:t>Original future claim:</w:t>
      </w:r>
      <w:r>
        <w:t xml:space="preserve"> Data from these interviews were analysed to stimulate the construction of four future teacher education scenarios.</w:t>
      </w:r>
    </w:p>
    <w:p>
      <w:pPr/>
      <w:r>
        <w:rPr>
          <w:b/>
        </w:rPr>
        <w:t>Later source:</w:t>
      </w:r>
      <w:r>
        <w:t xml:space="preserve"> Making Interview Multilingualism Visible: Transnational Chinese Language Teacher Identity Construction — https://doi.org/10.1111/ijal.70127</w:t>
      </w:r>
    </w:p>
    <w:p>
      <w:pPr/>
      <w:r>
        <w:rPr>
          <w:b/>
        </w:rPr>
        <w:t>Later source:</w:t>
      </w:r>
      <w:r>
        <w:t xml:space="preserve"> Digital Story 2. Visual timeline creation as a reflexive practice - an experiential approach to designing interview guides and analysing multimedia data — https://doi.org/10.6084/m9.figshare.31353376</w:t>
      </w:r>
    </w:p>
    <w:p>
      <w:pPr>
        <w:pStyle w:val="SourceNote"/>
      </w:pPr>
      <w:r>
        <w:rPr>
          <w:b/>
        </w:rPr>
        <w:t>Review status:</w:t>
      </w:r>
      <w:r>
        <w:t xml:space="preserve"> unchecked — possible relationship only</w:t>
      </w:r>
    </w:p>
    <w:p>
      <w:pPr>
        <w:pStyle w:val="Heading2"/>
      </w:pPr>
      <w:r>
        <w:t>122. Claim + two later sources: Technopolis, shared resources or controlled mobility? A net-based Delphi-study to explore visions of future urban daily mobility in Norway</w:t>
      </w:r>
    </w:p>
    <w:p>
      <w:pPr>
        <w:pStyle w:val="SourceNote"/>
      </w:pPr>
      <w:r>
        <w:rPr>
          <w:b/>
        </w:rPr>
        <w:t>Group ID:</w:t>
      </w:r>
      <w:r>
        <w:t xml:space="preserve"> group-90ab4618aed920697cd5</w:t>
      </w:r>
    </w:p>
    <w:p>
      <w:pPr>
        <w:pStyle w:val="SourceNote"/>
      </w:pPr>
      <w:r>
        <w:rPr>
          <w:b/>
        </w:rPr>
        <w:t>Original source:</w:t>
      </w:r>
      <w:r>
        <w:t xml:space="preserve"> https://doi.org/10.1007/s40309-015-0069-6</w:t>
      </w:r>
    </w:p>
    <w:p>
      <w:pPr/>
      <w:r>
        <w:rPr>
          <w:b/>
        </w:rPr>
        <w:t>Original future claim:</w:t>
      </w:r>
      <w:r>
        <w:t xml:space="preserve">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Later source:</w:t>
      </w:r>
      <w:r>
        <w:t xml:space="preserve"> Exploring asylum patterns in Europe: a focus on Italy — https://doi.org/10.71014/sieds.v80i1.522</w:t>
      </w:r>
    </w:p>
    <w:p>
      <w:pPr/>
      <w:r>
        <w:rPr>
          <w:b/>
        </w:rPr>
        <w:t>Later source:</w:t>
      </w:r>
      <w:r>
        <w:t xml:space="preserve"> High-resolution modelling of organic aerosol over Europe: exploring spatial and temporal variability and drivers — https://doi.org/10.1016/j.envint.2026.110143</w:t>
      </w:r>
    </w:p>
    <w:p>
      <w:pPr>
        <w:pStyle w:val="SourceNote"/>
      </w:pPr>
      <w:r>
        <w:rPr>
          <w:b/>
        </w:rPr>
        <w:t>Review status:</w:t>
      </w:r>
      <w:r>
        <w:t xml:space="preserve"> unchecked — possible relationship only</w:t>
      </w:r>
    </w:p>
    <w:p>
      <w:pPr>
        <w:pStyle w:val="Heading2"/>
      </w:pPr>
      <w:r>
        <w:t>123. Claim + two later sources: Hydrogen in the Strategies of the European Union Member States</w:t>
      </w:r>
    </w:p>
    <w:p>
      <w:pPr>
        <w:pStyle w:val="SourceNote"/>
      </w:pPr>
      <w:r>
        <w:rPr>
          <w:b/>
        </w:rPr>
        <w:t>Group ID:</w:t>
      </w:r>
      <w:r>
        <w:t xml:space="preserve"> group-00b06e8cd412b49b2d8a</w:t>
      </w:r>
    </w:p>
    <w:p>
      <w:pPr>
        <w:pStyle w:val="SourceNote"/>
      </w:pPr>
      <w:r>
        <w:rPr>
          <w:b/>
        </w:rPr>
        <w:t>Original source:</w:t>
      </w:r>
      <w:r>
        <w:t xml:space="preserve"> https://doi.org/10.24425/gsm.2021.138660</w:t>
      </w:r>
    </w:p>
    <w:p>
      <w:pPr/>
      <w:r>
        <w:rPr>
          <w:b/>
        </w:rPr>
        <w:t>Original future claim:</w:t>
      </w:r>
      <w:r>
        <w:t xml:space="preserve">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Later source:</w:t>
      </w:r>
      <w:r>
        <w:t xml:space="preserve"> Resource requirements and consequences of large-scale hydrogen use in Europe — https://doi.org/10.1038/s41893-026-01771-5</w:t>
      </w:r>
    </w:p>
    <w:p>
      <w:pPr/>
      <w:r>
        <w:rPr>
          <w:b/>
        </w:rPr>
        <w:t>Later source:</w:t>
      </w:r>
      <w:r>
        <w:t xml:space="preserve"> A review of expenditure, outcomes, access to oncology medicines and oncology health systems in ten European countries — https://doi.org/10.5603/ocp.110314</w:t>
      </w:r>
    </w:p>
    <w:p>
      <w:pPr>
        <w:pStyle w:val="SourceNote"/>
      </w:pPr>
      <w:r>
        <w:rPr>
          <w:b/>
        </w:rPr>
        <w:t>Review status:</w:t>
      </w:r>
      <w:r>
        <w:t xml:space="preserve"> unchecked — possible relationship only</w:t>
      </w:r>
    </w:p>
    <w:p>
      <w:pPr>
        <w:pStyle w:val="Heading2"/>
      </w:pPr>
      <w:r>
        <w:t>124. Claim + two later sources: Demographic projections of future pharmaceutical consumption in the Netherlands</w:t>
      </w:r>
    </w:p>
    <w:p>
      <w:pPr>
        <w:pStyle w:val="SourceNote"/>
      </w:pPr>
      <w:r>
        <w:rPr>
          <w:b/>
        </w:rPr>
        <w:t>Group ID:</w:t>
      </w:r>
      <w:r>
        <w:t xml:space="preserve"> group-c700f97edaf9deb42bde</w:t>
      </w:r>
    </w:p>
    <w:p>
      <w:pPr>
        <w:pStyle w:val="SourceNote"/>
      </w:pPr>
      <w:r>
        <w:rPr>
          <w:b/>
        </w:rPr>
        <w:t>Original source:</w:t>
      </w:r>
      <w:r>
        <w:t xml:space="preserve"> https://doi.org/10.2166/wst.2011.120</w:t>
      </w:r>
    </w:p>
    <w:p>
      <w:pPr/>
      <w:r>
        <w:rPr>
          <w:b/>
        </w:rPr>
        <w:t>Original future claim:</w:t>
      </w:r>
      <w:r>
        <w:t xml:space="preserve"> Over the next few decades, many Western European countries will undergo a large demographic transformation introduced by the retirement of the “baby boomers” and the possibility of striking increases in longevity.</w:t>
      </w:r>
    </w:p>
    <w:p>
      <w:pPr/>
      <w:r>
        <w:rPr>
          <w:b/>
        </w:rPr>
        <w:t>Later source:</w:t>
      </w:r>
      <w:r>
        <w:t xml:space="preserve"> On the economic prospects of non-Western migrants in Europe — https://doi.org/10.1007/s00148-026-01167-x</w:t>
      </w:r>
    </w:p>
    <w:p>
      <w:pPr/>
      <w:r>
        <w:rPr>
          <w:b/>
        </w:rPr>
        <w:t>Later source:</w:t>
      </w:r>
      <w:r>
        <w:t xml:space="preserve"> How Parliamentarism Developed in Western Europe — https://doi.org/10.1017/s0007123424000917</w:t>
      </w:r>
    </w:p>
    <w:p>
      <w:pPr>
        <w:pStyle w:val="SourceNote"/>
      </w:pPr>
      <w:r>
        <w:rPr>
          <w:b/>
        </w:rPr>
        <w:t>Review status:</w:t>
      </w:r>
      <w:r>
        <w:t xml:space="preserve"> unchecked — possible relationship only</w:t>
      </w:r>
    </w:p>
    <w:p>
      <w:pPr>
        <w:pStyle w:val="Heading2"/>
      </w:pPr>
      <w:r>
        <w:t>125. Claim + two later sources: Assessing the Future of Renewable Energy Consumption for United Kingdom, Turkey and Nigeria</w:t>
      </w:r>
    </w:p>
    <w:p>
      <w:pPr>
        <w:pStyle w:val="SourceNote"/>
      </w:pPr>
      <w:r>
        <w:rPr>
          <w:b/>
        </w:rPr>
        <w:t>Group ID:</w:t>
      </w:r>
      <w:r>
        <w:t xml:space="preserve"> group-569f7fa7602ca238a14b</w:t>
      </w:r>
    </w:p>
    <w:p>
      <w:pPr>
        <w:pStyle w:val="SourceNote"/>
      </w:pPr>
      <w:r>
        <w:rPr>
          <w:b/>
        </w:rPr>
        <w:t>Original source:</w:t>
      </w:r>
      <w:r>
        <w:t xml:space="preserve"> https://doi.org/10.17323/2500-2597.2018.4.62.77</w:t>
      </w:r>
    </w:p>
    <w:p>
      <w:pPr/>
      <w:r>
        <w:rPr>
          <w:b/>
        </w:rPr>
        <w:t>Original future claim:</w:t>
      </w:r>
      <w:r>
        <w:t xml:space="preserve">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Later source:</w:t>
      </w:r>
      <w:r>
        <w:t xml:space="preserve"> Finding Minimum‐Cost Explanations for Predictions Made by Tree Ensembles — https://doi.org/10.1002/spe.70061</w:t>
      </w:r>
    </w:p>
    <w:p>
      <w:pPr/>
      <w:r>
        <w:rPr>
          <w:b/>
        </w:rPr>
        <w:t>Later source:</w:t>
      </w:r>
      <w:r>
        <w:t xml:space="preserve"> A support vector regression-based prediction model for offshore broadcasting signal propagation — https://doi.org/10.3389/fmars.2026.1791191</w:t>
      </w:r>
    </w:p>
    <w:p>
      <w:pPr>
        <w:pStyle w:val="SourceNote"/>
      </w:pPr>
      <w:r>
        <w:rPr>
          <w:b/>
        </w:rPr>
        <w:t>Review status:</w:t>
      </w:r>
      <w:r>
        <w:t xml:space="preserve"> unchecked — possible relationship only</w:t>
      </w:r>
    </w:p>
    <w:p>
      <w:pPr>
        <w:pStyle w:val="Heading2"/>
      </w:pPr>
      <w:r>
        <w:t>126. Claim + two later sources: Projections of Future Precipitation Extremes Over Europe: A Multimodel Assessment of Climate Simulations</w:t>
      </w:r>
    </w:p>
    <w:p>
      <w:pPr>
        <w:pStyle w:val="SourceNote"/>
      </w:pPr>
      <w:r>
        <w:rPr>
          <w:b/>
        </w:rPr>
        <w:t>Group ID:</w:t>
      </w:r>
      <w:r>
        <w:t xml:space="preserve"> group-f0e64c89c78b20dc2dee</w:t>
      </w:r>
    </w:p>
    <w:p>
      <w:pPr>
        <w:pStyle w:val="SourceNote"/>
      </w:pPr>
      <w:r>
        <w:rPr>
          <w:b/>
        </w:rPr>
        <w:t>Original source:</w:t>
      </w:r>
      <w:r>
        <w:t xml:space="preserve"> https://doi.org/10.1002/2017jd027176</w:t>
      </w:r>
    </w:p>
    <w:p>
      <w:pPr/>
      <w:r>
        <w:rPr>
          <w:b/>
        </w:rPr>
        <w:t>Original future claim:</w:t>
      </w:r>
      <w:r>
        <w:t xml:space="preserve">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Later source:</w:t>
      </w:r>
      <w:r>
        <w:t xml:space="preserve"> Persisting Modulation of Interdecadal Pacific Oscillation on Near‐Future Winter Precipitation Projections in Northern Europe — https://doi.org/10.1029/2025gl119484</w:t>
      </w:r>
    </w:p>
    <w:p>
      <w:pPr/>
      <w:r>
        <w:rPr>
          <w:b/>
        </w:rPr>
        <w:t>Later source:</w:t>
      </w:r>
      <w:r>
        <w:t xml:space="preserve"> European summer precipitation — https://doi.org/10.5194/acp-26-2041-2026</w:t>
      </w:r>
    </w:p>
    <w:p>
      <w:pPr>
        <w:pStyle w:val="SourceNote"/>
      </w:pPr>
      <w:r>
        <w:rPr>
          <w:b/>
        </w:rPr>
        <w:t>Review status:</w:t>
      </w:r>
      <w:r>
        <w:t xml:space="preserve"> unchecked — possible relationship only</w:t>
      </w:r>
    </w:p>
    <w:p>
      <w:pPr>
        <w:pStyle w:val="Heading2"/>
      </w:pPr>
      <w:r>
        <w:t>127. Claim + two later sources: A strategic energy technology policy towards 2050: no-regret strategies for European technology push</w:t>
      </w:r>
    </w:p>
    <w:p>
      <w:pPr>
        <w:pStyle w:val="SourceNote"/>
      </w:pPr>
      <w:r>
        <w:rPr>
          <w:b/>
        </w:rPr>
        <w:t>Group ID:</w:t>
      </w:r>
      <w:r>
        <w:t xml:space="preserve"> group-2bad8d378a469f7b0c6f</w:t>
      </w:r>
    </w:p>
    <w:p>
      <w:pPr>
        <w:pStyle w:val="SourceNote"/>
      </w:pPr>
      <w:r>
        <w:rPr>
          <w:b/>
        </w:rPr>
        <w:t>Original source:</w:t>
      </w:r>
      <w:r>
        <w:t xml:space="preserve"> https://doi.org/10.1504/ijetp.2013.058143</w:t>
      </w:r>
    </w:p>
    <w:p>
      <w:pPr/>
      <w:r>
        <w:rPr>
          <w:b/>
        </w:rPr>
        <w:t>Original future claim:</w:t>
      </w:r>
      <w:r>
        <w:t xml:space="preserve">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Later source:</w:t>
      </w:r>
      <w:r>
        <w:t xml:space="preserve"> H2 and CO2 network strategies for the European energy system — https://doi.org/10.1038/s41560-025-01752-6</w:t>
      </w:r>
    </w:p>
    <w:p>
      <w:pPr/>
      <w:r>
        <w:rPr>
          <w:b/>
        </w:rPr>
        <w:t>Later source:</w:t>
      </w:r>
      <w:r>
        <w:t xml:space="preserve"> Economic and Environmental Limitations of Sustainable Energy Transition in Europe — https://doi.org/10.35784/preko.5574</w:t>
      </w:r>
    </w:p>
    <w:p>
      <w:pPr>
        <w:pStyle w:val="SourceNote"/>
      </w:pPr>
      <w:r>
        <w:rPr>
          <w:b/>
        </w:rPr>
        <w:t>Review status:</w:t>
      </w:r>
      <w:r>
        <w:t xml:space="preserve"> unchecked — possible relationship only</w:t>
      </w:r>
    </w:p>
    <w:p>
      <w:pPr>
        <w:pStyle w:val="Heading2"/>
      </w:pPr>
      <w:r>
        <w:t>128. Claim + two later sources: A Technological Scenario for a Healthier, More Equitable and Sustainable Europe in 2040: Citizen Perceptions and Policy Implications</w:t>
      </w:r>
    </w:p>
    <w:p>
      <w:pPr>
        <w:pStyle w:val="SourceNote"/>
      </w:pPr>
      <w:r>
        <w:rPr>
          <w:b/>
        </w:rPr>
        <w:t>Group ID:</w:t>
      </w:r>
      <w:r>
        <w:t xml:space="preserve"> group-8c1dff3f3337065058ea</w:t>
      </w:r>
    </w:p>
    <w:p>
      <w:pPr>
        <w:pStyle w:val="SourceNote"/>
      </w:pPr>
      <w:r>
        <w:rPr>
          <w:b/>
        </w:rPr>
        <w:t>Original source:</w:t>
      </w:r>
      <w:r>
        <w:t xml:space="preserve"> https://doi.org/10.3390/ijerph17010231</w:t>
      </w:r>
    </w:p>
    <w:p>
      <w:pPr/>
      <w:r>
        <w:rPr>
          <w:b/>
        </w:rPr>
        <w:t>Original future claim:</w:t>
      </w:r>
      <w:r>
        <w:t xml:space="preserve">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Later source:</w:t>
      </w:r>
      <w:r>
        <w:t xml:space="preserve"> The European Health Data Space: an opportunity to strengthen citizen rights and engage citizens in health data governance — https://doi.org/10.3389/fmed.2025.1699941</w:t>
      </w:r>
    </w:p>
    <w:p>
      <w:pPr/>
      <w:r>
        <w:rPr>
          <w:b/>
        </w:rPr>
        <w:t>Later source:</w:t>
      </w:r>
      <w:r>
        <w:t xml:space="preserve"> Exploring a Source to Sea approach for plastic pollution policy integration in the European Union: the case of tyre wear particles — https://doi.org/10.1080/1523908x.2026.2621724</w:t>
      </w:r>
    </w:p>
    <w:p>
      <w:pPr>
        <w:pStyle w:val="SourceNote"/>
      </w:pPr>
      <w:r>
        <w:rPr>
          <w:b/>
        </w:rPr>
        <w:t>Review status:</w:t>
      </w:r>
      <w:r>
        <w:t xml:space="preserve"> unchecked — possible relationship only</w:t>
      </w:r>
    </w:p>
    <w:p>
      <w:pPr>
        <w:pStyle w:val="Heading2"/>
      </w:pPr>
      <w:r>
        <w:t>129. Claim + two later sources: Current and Future Issues in BPM Research: A European Perspective from the ERCIS Meeting 2010</w:t>
      </w:r>
    </w:p>
    <w:p>
      <w:pPr>
        <w:pStyle w:val="SourceNote"/>
      </w:pPr>
      <w:r>
        <w:rPr>
          <w:b/>
        </w:rPr>
        <w:t>Group ID:</w:t>
      </w:r>
      <w:r>
        <w:t xml:space="preserve"> group-54d150f167e623d5d4e5</w:t>
      </w:r>
    </w:p>
    <w:p>
      <w:pPr>
        <w:pStyle w:val="SourceNote"/>
      </w:pPr>
      <w:r>
        <w:rPr>
          <w:b/>
        </w:rPr>
        <w:t>Original source:</w:t>
      </w:r>
      <w:r>
        <w:t xml:space="preserve"> https://doi.org/10.17705/1cais.02825</w:t>
      </w:r>
    </w:p>
    <w:p>
      <w:pPr/>
      <w:r>
        <w:rPr>
          <w:b/>
        </w:rPr>
        <w:t>Original future claim:</w:t>
      </w:r>
      <w:r>
        <w:t xml:space="preserve">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Later source:</w:t>
      </w:r>
      <w:r>
        <w:t xml:space="preserve"> Digital integration for sustainable competitiveness: the role of BPM, process mining and ERP in accounting automation — https://doi.org/10.52326/csd2025.38</w:t>
      </w:r>
    </w:p>
    <w:p>
      <w:pPr/>
      <w:r>
        <w:rPr>
          <w:b/>
        </w:rPr>
        <w:t>Later source:</w:t>
      </w:r>
      <w:r>
        <w:t xml:space="preserve"> The Role of European Equestrian Institutions in Training Professionals: Outcomes from a Workshop on Horse Welfare in Equestrian Education — https://doi.org/10.3390/ani15020183</w:t>
      </w:r>
    </w:p>
    <w:p>
      <w:pPr>
        <w:pStyle w:val="SourceNote"/>
      </w:pPr>
      <w:r>
        <w:rPr>
          <w:b/>
        </w:rPr>
        <w:t>Review status:</w:t>
      </w:r>
      <w:r>
        <w:t xml:space="preserve"> unchecked — possible relationship only</w:t>
      </w:r>
    </w:p>
    <w:p>
      <w:pPr>
        <w:pStyle w:val="Heading2"/>
      </w:pPr>
      <w:r>
        <w:t>130. Claim + two later sources: Comparison of Water Flows in Four European Lagoon Catchments under a Set of Future Climate Scenarios</w:t>
      </w:r>
    </w:p>
    <w:p>
      <w:pPr>
        <w:pStyle w:val="SourceNote"/>
      </w:pPr>
      <w:r>
        <w:rPr>
          <w:b/>
        </w:rPr>
        <w:t>Group ID:</w:t>
      </w:r>
      <w:r>
        <w:t xml:space="preserve"> group-3a26e00a145f326a1324</w:t>
      </w:r>
    </w:p>
    <w:p>
      <w:pPr>
        <w:pStyle w:val="SourceNote"/>
      </w:pPr>
      <w:r>
        <w:rPr>
          <w:b/>
        </w:rPr>
        <w:t>Original source:</w:t>
      </w:r>
      <w:r>
        <w:t xml:space="preserve"> https://doi.org/10.3390/w7020716</w:t>
      </w:r>
    </w:p>
    <w:p>
      <w:pPr/>
      <w:r>
        <w:rPr>
          <w:b/>
        </w:rPr>
        <w:t>Original future claim:</w:t>
      </w:r>
      <w:r>
        <w:t xml:space="preserve">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Later source:</w:t>
      </w:r>
      <w:r>
        <w:t xml:space="preserve"> Hydrochemical Resilience of Mountain Forest Catchments to Bark Beetle Disturbance: A Central European Study — https://doi.org/10.3390/f17010078</w:t>
      </w:r>
    </w:p>
    <w:p>
      <w:pPr/>
      <w:r>
        <w:rPr>
          <w:b/>
        </w:rPr>
        <w:t>Later source:</w:t>
      </w:r>
      <w:r>
        <w:t xml:space="preserve"> Hydrological Modeling-Based Assessment of the Impact of Urbanization on Runoff From Watercourse Catchments — https://doi.org/10.59440/ceer/224858</w:t>
      </w:r>
    </w:p>
    <w:p>
      <w:pPr>
        <w:pStyle w:val="SourceNote"/>
      </w:pPr>
      <w:r>
        <w:rPr>
          <w:b/>
        </w:rPr>
        <w:t>Review status:</w:t>
      </w:r>
      <w:r>
        <w:t xml:space="preserve"> unchecked — possible relationship only</w:t>
      </w:r>
    </w:p>
    <w:p>
      <w:pPr>
        <w:pStyle w:val="Heading2"/>
      </w:pPr>
      <w:r>
        <w:t>131. Claim + two later sources: The European pulp and paper industry in transition to a bio-economy: A Delphi study</w:t>
      </w:r>
    </w:p>
    <w:p>
      <w:pPr>
        <w:pStyle w:val="SourceNote"/>
      </w:pPr>
      <w:r>
        <w:rPr>
          <w:b/>
        </w:rPr>
        <w:t>Group ID:</w:t>
      </w:r>
      <w:r>
        <w:t xml:space="preserve"> group-06fbea4bfa51eb511a31</w:t>
      </w:r>
    </w:p>
    <w:p>
      <w:pPr>
        <w:pStyle w:val="SourceNote"/>
      </w:pPr>
      <w:r>
        <w:rPr>
          <w:b/>
        </w:rPr>
        <w:t>Original source:</w:t>
      </w:r>
      <w:r>
        <w:t xml:space="preserve"> https://doi.org/10.1016/j.futures.2017.02.002</w:t>
      </w:r>
    </w:p>
    <w:p>
      <w:pPr/>
      <w:r>
        <w:rPr>
          <w:b/>
        </w:rPr>
        <w:t>Original future claim:</w:t>
      </w:r>
      <w:r>
        <w:t xml:space="preserve">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Later source:</w:t>
      </w:r>
      <w:r>
        <w:t xml:space="preserve"> ‘Show me the money!’ - The Changing Dynamics of Economic Governance in the European Union — https://doi.org/10.1080/13501763.2026.2658000</w:t>
      </w:r>
    </w:p>
    <w:p>
      <w:pPr/>
      <w:r>
        <w:rPr>
          <w:b/>
        </w:rPr>
        <w:t>Later source:</w:t>
      </w:r>
      <w:r>
        <w:t xml:space="preserve"> European Integration of Ukraine: Testing Liberal Intergovernmentalism Approach [before doctoral defense] — https://openalex.org/W7213843321</w:t>
      </w:r>
    </w:p>
    <w:p>
      <w:pPr>
        <w:pStyle w:val="SourceNote"/>
      </w:pPr>
      <w:r>
        <w:rPr>
          <w:b/>
        </w:rPr>
        <w:t>Review status:</w:t>
      </w:r>
      <w:r>
        <w:t xml:space="preserve"> unchecked — possible relationship only</w:t>
      </w:r>
    </w:p>
    <w:p>
      <w:pPr>
        <w:pStyle w:val="Heading2"/>
      </w:pPr>
      <w:r>
        <w:t>132. Claim + two later sources: Technology roadmapping in security and defence foresight</w:t>
      </w:r>
    </w:p>
    <w:p>
      <w:pPr>
        <w:pStyle w:val="SourceNote"/>
      </w:pPr>
      <w:r>
        <w:rPr>
          <w:b/>
        </w:rPr>
        <w:t>Group ID:</w:t>
      </w:r>
      <w:r>
        <w:t xml:space="preserve"> group-c0cfe51de8574a69c124</w:t>
      </w:r>
    </w:p>
    <w:p>
      <w:pPr>
        <w:pStyle w:val="SourceNote"/>
      </w:pPr>
      <w:r>
        <w:rPr>
          <w:b/>
        </w:rPr>
        <w:t>Original source:</w:t>
      </w:r>
      <w:r>
        <w:t xml:space="preserve"> https://doi.org/10.1108/fs-12-2017-0074</w:t>
      </w:r>
    </w:p>
    <w:p>
      <w:pPr/>
      <w:r>
        <w:rPr>
          <w:b/>
        </w:rPr>
        <w:t>Original future claim:</w:t>
      </w:r>
      <w:r>
        <w:t xml:space="preserve">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Later source:</w:t>
      </w:r>
      <w:r>
        <w:t xml:space="preserve"> In This World: A Scalable Methodology for Scenic Design — https://openalex.org/W7157514354</w:t>
      </w:r>
    </w:p>
    <w:p>
      <w:pPr/>
      <w:r>
        <w:rPr>
          <w:b/>
        </w:rPr>
        <w:t>Later source:</w:t>
      </w:r>
      <w:r>
        <w:t xml:space="preserve"> AESTHETIC ANALYSIS OF THE PUBLIC BUILDING DESIGN COMPETITIONS IN TURKEY — https://doi.org/10.31796/ogummf.1777707</w:t>
      </w:r>
    </w:p>
    <w:p>
      <w:pPr>
        <w:pStyle w:val="SourceNote"/>
      </w:pPr>
      <w:r>
        <w:rPr>
          <w:b/>
        </w:rPr>
        <w:t>Review status:</w:t>
      </w:r>
      <w:r>
        <w:t xml:space="preserve"> unchecked — possible relationship only</w:t>
      </w:r>
    </w:p>
    <w:p>
      <w:pPr>
        <w:pStyle w:val="Heading2"/>
      </w:pPr>
      <w:r>
        <w:t>133. Claim + two later sources: Projecting Drivers of Human Vulnerability under the Shared Socioeconomic Pathways</w:t>
      </w:r>
    </w:p>
    <w:p>
      <w:pPr>
        <w:pStyle w:val="SourceNote"/>
      </w:pPr>
      <w:r>
        <w:rPr>
          <w:b/>
        </w:rPr>
        <w:t>Group ID:</w:t>
      </w:r>
      <w:r>
        <w:t xml:space="preserve"> group-b7399fc1c3c2a1000fa4</w:t>
      </w:r>
    </w:p>
    <w:p>
      <w:pPr>
        <w:pStyle w:val="SourceNote"/>
      </w:pPr>
      <w:r>
        <w:rPr>
          <w:b/>
        </w:rPr>
        <w:t>Original source:</w:t>
      </w:r>
      <w:r>
        <w:t xml:space="preserve"> https://doi.org/10.3390/ijerph15030554</w:t>
      </w:r>
    </w:p>
    <w:p>
      <w:pPr/>
      <w:r>
        <w:rPr>
          <w:b/>
        </w:rPr>
        <w:t>Original future claim:</w:t>
      </w:r>
      <w:r>
        <w:t xml:space="preserve">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Later source:</w:t>
      </w:r>
      <w:r>
        <w:t xml:space="preserve"> UK livestock futures: co-designing Shared Socioeconomic Pathways — https://doi.org/10.1007/s10113-026-02625-8</w:t>
      </w:r>
    </w:p>
    <w:p>
      <w:pPr/>
      <w:r>
        <w:rPr>
          <w:b/>
        </w:rPr>
        <w:t>Later source:</w:t>
      </w:r>
      <w:r>
        <w:t xml:space="preserve"> A new scenario architecture to capture granularity of governance within and across Shared Socioeconomic Pathways — https://doi.org/10.1016/j.landusepol.2026.107926</w:t>
      </w:r>
    </w:p>
    <w:p>
      <w:pPr>
        <w:pStyle w:val="SourceNote"/>
      </w:pPr>
      <w:r>
        <w:rPr>
          <w:b/>
        </w:rPr>
        <w:t>Review status:</w:t>
      </w:r>
      <w:r>
        <w:t xml:space="preserve"> unchecked — possible relationship only</w:t>
      </w:r>
    </w:p>
    <w:p>
      <w:pPr>
        <w:pStyle w:val="Heading2"/>
      </w:pPr>
      <w:r>
        <w:t>134. Claim + two later sources: Modelling Soil Organic Carbon Changes Under Different Maize Cropping Scenarios for Cellulosic Ethanol in Europe</w:t>
      </w:r>
    </w:p>
    <w:p>
      <w:pPr>
        <w:pStyle w:val="SourceNote"/>
      </w:pPr>
      <w:r>
        <w:rPr>
          <w:b/>
        </w:rPr>
        <w:t>Group ID:</w:t>
      </w:r>
      <w:r>
        <w:t xml:space="preserve"> group-3cfdfe3d05a589465267</w:t>
      </w:r>
    </w:p>
    <w:p>
      <w:pPr>
        <w:pStyle w:val="SourceNote"/>
      </w:pPr>
      <w:r>
        <w:rPr>
          <w:b/>
        </w:rPr>
        <w:t>Original source:</w:t>
      </w:r>
      <w:r>
        <w:t xml:space="preserve"> https://doi.org/10.1007/s12155-014-9529-2</w:t>
      </w:r>
    </w:p>
    <w:p>
      <w:pPr/>
      <w:r>
        <w:rPr>
          <w:b/>
        </w:rPr>
        <w:t>Original future claim:</w:t>
      </w:r>
      <w:r>
        <w:t xml:space="preserve">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Later source:</w:t>
      </w:r>
      <w:r>
        <w:t xml:space="preserve"> Coking coal – a critical raw material of Poland and the European Union — https://doi.org/10.7306/2025.26</w:t>
      </w:r>
    </w:p>
    <w:p>
      <w:pPr/>
      <w:r>
        <w:rPr>
          <w:b/>
        </w:rPr>
        <w:t>Later source:</w:t>
      </w:r>
      <w:r>
        <w:t xml:space="preserve"> Opportunity cost estimates for spatial conservation prioritisation across terrestrial Europe — https://doi.org/10.1038/s41597-025-05837-5</w:t>
      </w:r>
    </w:p>
    <w:p>
      <w:pPr>
        <w:pStyle w:val="SourceNote"/>
      </w:pPr>
      <w:r>
        <w:rPr>
          <w:b/>
        </w:rPr>
        <w:t>Review status:</w:t>
      </w:r>
      <w:r>
        <w:t xml:space="preserve"> unchecked — possible relationship only</w:t>
      </w:r>
    </w:p>
    <w:p>
      <w:pPr>
        <w:pStyle w:val="Heading2"/>
      </w:pPr>
      <w:r>
        <w:t>135. Claim + two later sources: PROGNOSTIC MODEL OF THE UKRAINE SYSTEM OF GENERAL SECONDARY EDUCATION DEVELOPMENT: FORECASTING SCENARIOS OF THE DEVELOPMENT</w:t>
      </w:r>
    </w:p>
    <w:p>
      <w:pPr>
        <w:pStyle w:val="SourceNote"/>
      </w:pPr>
      <w:r>
        <w:rPr>
          <w:b/>
        </w:rPr>
        <w:t>Group ID:</w:t>
      </w:r>
      <w:r>
        <w:t xml:space="preserve"> group-95c3b9340df9712e1a25</w:t>
      </w:r>
    </w:p>
    <w:p>
      <w:pPr>
        <w:pStyle w:val="SourceNote"/>
      </w:pPr>
      <w:r>
        <w:rPr>
          <w:b/>
        </w:rPr>
        <w:t>Original source:</w:t>
      </w:r>
      <w:r>
        <w:t xml:space="preserve"> https://doi.org/10.32405/2411-1317-2018-4-45-53</w:t>
      </w:r>
    </w:p>
    <w:p>
      <w:pPr/>
      <w:r>
        <w:rPr>
          <w:b/>
        </w:rPr>
        <w:t>Original future claim:</w:t>
      </w:r>
      <w:r>
        <w:t xml:space="preserve">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Later source:</w:t>
      </w:r>
      <w:r>
        <w:t xml:space="preserve"> Four Regulative Principles of ISKCON — https://doi.org/10.56975/jaafr.v4i3.505118</w:t>
      </w:r>
    </w:p>
    <w:p>
      <w:pPr/>
      <w:r>
        <w:rPr>
          <w:b/>
        </w:rPr>
        <w:t>Later source:</w:t>
      </w:r>
      <w:r>
        <w:t xml:space="preserve"> Data sources for article: Exciton coherence propagation measured with non-local four-wave mixing micro-spectroscopy — https://doi.org/10.58132/4qfgvy</w:t>
      </w:r>
    </w:p>
    <w:p>
      <w:pPr>
        <w:pStyle w:val="SourceNote"/>
      </w:pPr>
      <w:r>
        <w:rPr>
          <w:b/>
        </w:rPr>
        <w:t>Review status:</w:t>
      </w:r>
      <w:r>
        <w:t xml:space="preserve"> unchecked — possible relationship only</w:t>
      </w:r>
    </w:p>
    <w:p>
      <w:pPr>
        <w:pStyle w:val="Heading2"/>
      </w:pPr>
      <w:r>
        <w:t>136. Claim + two later sources: Using urban foresight techniques in city visioning: Lessons from the Reading 2050 vision</w:t>
      </w:r>
    </w:p>
    <w:p>
      <w:pPr>
        <w:pStyle w:val="SourceNote"/>
      </w:pPr>
      <w:r>
        <w:rPr>
          <w:b/>
        </w:rPr>
        <w:t>Group ID:</w:t>
      </w:r>
      <w:r>
        <w:t xml:space="preserve"> group-33f9b1f7a55ac3493257</w:t>
      </w:r>
    </w:p>
    <w:p>
      <w:pPr>
        <w:pStyle w:val="SourceNote"/>
      </w:pPr>
      <w:r>
        <w:rPr>
          <w:b/>
        </w:rPr>
        <w:t>Original source:</w:t>
      </w:r>
      <w:r>
        <w:t xml:space="preserve"> https://doi.org/10.1177/0269094218800677</w:t>
      </w:r>
    </w:p>
    <w:p>
      <w:pPr/>
      <w:r>
        <w:rPr>
          <w:b/>
        </w:rPr>
        <w:t>Original future claim:</w:t>
      </w:r>
      <w:r>
        <w:t xml:space="preserve">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Later source:</w:t>
      </w:r>
      <w:r>
        <w:t xml:space="preserve"> Urban historical analysis of the emergence and development of Bishkek — https://doi.org/10.63621/as./1.2025.22</w:t>
      </w:r>
    </w:p>
    <w:p>
      <w:pPr/>
      <w:r>
        <w:rPr>
          <w:b/>
        </w:rPr>
        <w:t>Later source:</w:t>
      </w:r>
      <w:r>
        <w:t xml:space="preserve"> Exploring the emergence of innovation districts as volumetric urban projects in Taipei City — https://doi.org/10.1080/12265934.2026.2637658</w:t>
      </w:r>
    </w:p>
    <w:p>
      <w:pPr>
        <w:pStyle w:val="SourceNote"/>
      </w:pPr>
      <w:r>
        <w:rPr>
          <w:b/>
        </w:rPr>
        <w:t>Review status:</w:t>
      </w:r>
      <w:r>
        <w:t xml:space="preserve"> unchecked — possible relationship only</w:t>
      </w:r>
    </w:p>
    <w:p>
      <w:pPr>
        <w:pStyle w:val="Heading2"/>
      </w:pPr>
      <w:r>
        <w:t>137. Claim + two later sources: Climate change signal of future climate projections for Aachen, Germany, in terms of temperature and precipitation</w:t>
      </w:r>
    </w:p>
    <w:p>
      <w:pPr>
        <w:pStyle w:val="SourceNote"/>
      </w:pPr>
      <w:r>
        <w:rPr>
          <w:b/>
        </w:rPr>
        <w:t>Group ID:</w:t>
      </w:r>
      <w:r>
        <w:t xml:space="preserve"> group-ee39fecd6f68a974fa55</w:t>
      </w:r>
    </w:p>
    <w:p>
      <w:pPr>
        <w:pStyle w:val="SourceNote"/>
      </w:pPr>
      <w:r>
        <w:rPr>
          <w:b/>
        </w:rPr>
        <w:t>Original source:</w:t>
      </w:r>
      <w:r>
        <w:t xml:space="preserve"> https://doi.org/10.1127/0941-2948/2014/0549</w:t>
      </w:r>
    </w:p>
    <w:p>
      <w:pPr/>
      <w:r>
        <w:rPr>
          <w:b/>
        </w:rPr>
        <w:t>Original future claim:</w:t>
      </w:r>
      <w:r>
        <w:t xml:space="preserve">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Later source:</w:t>
      </w:r>
      <w:r>
        <w:t xml:space="preserve"> me4soc: a multi-model ensemble interface for soil organic carbon predictions — https://doi.org/10.1016/j.ecolmodel.2026.111716</w:t>
      </w:r>
    </w:p>
    <w:p>
      <w:pPr/>
      <w:r>
        <w:rPr>
          <w:b/>
        </w:rPr>
        <w:t>Later source:</w:t>
      </w:r>
      <w:r>
        <w:t xml:space="preserve"> NUKLEUS – A First Kilometre Scale Multi-model Climate Ensemble for Germany: Evaluation — https://doi.org/10.5194/egusphere-2026-1024</w:t>
      </w:r>
    </w:p>
    <w:p>
      <w:pPr>
        <w:pStyle w:val="SourceNote"/>
      </w:pPr>
      <w:r>
        <w:rPr>
          <w:b/>
        </w:rPr>
        <w:t>Review status:</w:t>
      </w:r>
      <w:r>
        <w:t xml:space="preserve"> unchecked — possible relationship only</w:t>
      </w:r>
    </w:p>
    <w:p>
      <w:pPr>
        <w:pStyle w:val="Heading2"/>
      </w:pPr>
      <w:r>
        <w:t>138. Claim + two later sources: Environmental Implications of Dynamic Policies on Food Consumption and Waste Handling in the European Union</w:t>
      </w:r>
    </w:p>
    <w:p>
      <w:pPr>
        <w:pStyle w:val="SourceNote"/>
      </w:pPr>
      <w:r>
        <w:rPr>
          <w:b/>
        </w:rPr>
        <w:t>Group ID:</w:t>
      </w:r>
      <w:r>
        <w:t xml:space="preserve"> group-b680a51c63a579e76223</w:t>
      </w:r>
    </w:p>
    <w:p>
      <w:pPr>
        <w:pStyle w:val="SourceNote"/>
      </w:pPr>
      <w:r>
        <w:rPr>
          <w:b/>
        </w:rPr>
        <w:t>Original source:</w:t>
      </w:r>
      <w:r>
        <w:t xml:space="preserve"> https://doi.org/10.3390/su8030282</w:t>
      </w:r>
    </w:p>
    <w:p>
      <w:pPr/>
      <w:r>
        <w:rPr>
          <w:b/>
        </w:rPr>
        <w:t>Original future claim:</w:t>
      </w:r>
      <w:r>
        <w:t xml:space="preserve"> The implications are reviewed using a number of scenarios for the years 2030 and 2050 assuming policy instruments are fully effective.</w:t>
      </w:r>
    </w:p>
    <w:p>
      <w:pPr/>
      <w:r>
        <w:rPr>
          <w:b/>
        </w:rPr>
        <w:t>Later source:</w:t>
      </w:r>
      <w:r>
        <w:t xml:space="preserve"> Wildlife-vehicle collision liability in Europe: A review of existing approaches and their implications — https://doi.org/10.1016/j.jenvman.2025.124986</w:t>
      </w:r>
    </w:p>
    <w:p>
      <w:pPr/>
      <w:r>
        <w:rPr>
          <w:b/>
        </w:rPr>
        <w:t>Later source:</w:t>
      </w:r>
      <w:r>
        <w:t xml:space="preserve"> Estimating the reproductive number R0 of SARS-CoV-2 in the United States and eight European countries and implications for vaccination — https://doi.org/10.1016/j.jtbi.2021.110621</w:t>
      </w:r>
    </w:p>
    <w:p>
      <w:pPr>
        <w:pStyle w:val="SourceNote"/>
      </w:pPr>
      <w:r>
        <w:rPr>
          <w:b/>
        </w:rPr>
        <w:t>Review status:</w:t>
      </w:r>
      <w:r>
        <w:t xml:space="preserve"> unchecked — possible relationship only</w:t>
      </w:r>
    </w:p>
    <w:p>
      <w:pPr>
        <w:pStyle w:val="Heading2"/>
      </w:pPr>
      <w:r>
        <w:t>139. Claim + two later sources: The European Union as a long-term political actor: an overview</w:t>
      </w:r>
    </w:p>
    <w:p>
      <w:pPr>
        <w:pStyle w:val="SourceNote"/>
      </w:pPr>
      <w:r>
        <w:rPr>
          <w:b/>
        </w:rPr>
        <w:t>Group ID:</w:t>
      </w:r>
      <w:r>
        <w:t xml:space="preserve"> group-3924db5866ec454f3768</w:t>
      </w:r>
    </w:p>
    <w:p>
      <w:pPr>
        <w:pStyle w:val="SourceNote"/>
      </w:pPr>
      <w:r>
        <w:rPr>
          <w:b/>
        </w:rPr>
        <w:t>Original source:</w:t>
      </w:r>
      <w:r>
        <w:t xml:space="preserve"> https://doi.org/10.1080/2474736x.2022.2043725</w:t>
      </w:r>
    </w:p>
    <w:p>
      <w:pPr/>
      <w:r>
        <w:rPr>
          <w:b/>
        </w:rPr>
        <w:t>Original future claim:</w:t>
      </w:r>
      <w:r>
        <w:t xml:space="preserve"> We ask in which ways and to what extent is the Union able to employ long-term policy targets and considers the possible interests of future generations.</w:t>
      </w:r>
    </w:p>
    <w:p>
      <w:pPr/>
      <w:r>
        <w:rPr>
          <w:b/>
        </w:rPr>
        <w:t>Later source:</w:t>
      </w:r>
      <w:r>
        <w:t xml:space="preserve"> Democratic legitimacy and the European Citizens' Initiative: a recipe for disappointment and disaffection? — https://doi.org/10.82444/warw.33734965</w:t>
      </w:r>
    </w:p>
    <w:p>
      <w:pPr/>
      <w:r>
        <w:rPr>
          <w:b/>
        </w:rPr>
        <w:t>Later source:</w:t>
      </w:r>
      <w:r>
        <w:t xml:space="preserve"> The ‘European sovereignty’ narrative: More EU capacity, but less democracy? Citizens' perceptions in France and Belgium — https://doi.org/10.54195/plc.24877</w:t>
      </w:r>
    </w:p>
    <w:p>
      <w:pPr>
        <w:pStyle w:val="SourceNote"/>
      </w:pPr>
      <w:r>
        <w:rPr>
          <w:b/>
        </w:rPr>
        <w:t>Review status:</w:t>
      </w:r>
      <w:r>
        <w:t xml:space="preserve"> unchecked — possible relationship only</w:t>
      </w:r>
    </w:p>
    <w:p>
      <w:pPr>
        <w:pStyle w:val="Heading2"/>
      </w:pPr>
      <w:r>
        <w:t>140. Claim + two later sources: Scenarios of water resources development in Poland up to 2030</w:t>
      </w:r>
    </w:p>
    <w:p>
      <w:pPr>
        <w:pStyle w:val="SourceNote"/>
      </w:pPr>
      <w:r>
        <w:rPr>
          <w:b/>
        </w:rPr>
        <w:t>Group ID:</w:t>
      </w:r>
      <w:r>
        <w:t xml:space="preserve"> group-29f20c462d8d9c944b11</w:t>
      </w:r>
    </w:p>
    <w:p>
      <w:pPr>
        <w:pStyle w:val="SourceNote"/>
      </w:pPr>
      <w:r>
        <w:rPr>
          <w:b/>
        </w:rPr>
        <w:t>Original source:</w:t>
      </w:r>
      <w:r>
        <w:t xml:space="preserve"> https://doi.org/10.1134/s0097807814060219</w:t>
      </w:r>
    </w:p>
    <w:p>
      <w:pPr/>
      <w:r>
        <w:rPr>
          <w:b/>
        </w:rPr>
        <w:t>Original future claim:</w:t>
      </w:r>
      <w:r>
        <w:t xml:space="preserve"> Sensitivity of the results of the applied techniques of development scenarios shows a need for further research.</w:t>
      </w:r>
    </w:p>
    <w:p>
      <w:pPr/>
      <w:r>
        <w:rPr>
          <w:b/>
        </w:rPr>
        <w:t>Later source:</w:t>
      </w:r>
      <w:r>
        <w:t xml:space="preserve"> Assessment of the potential of combined geodetic-based drought indices for studying climate change in Europe — https://doi.org/10.5194/egusphere-egu26-21651</w:t>
      </w:r>
    </w:p>
    <w:p>
      <w:pPr/>
      <w:r>
        <w:rPr>
          <w:b/>
        </w:rPr>
        <w:t>Later source:</w:t>
      </w:r>
      <w:r>
        <w:t xml:space="preserve"> Modern Stochastic Techniques for Multifaceted Sensitivity Analysis — https://doi.org/10.3390/engproc2026150036</w:t>
      </w:r>
    </w:p>
    <w:p>
      <w:pPr>
        <w:pStyle w:val="SourceNote"/>
      </w:pPr>
      <w:r>
        <w:rPr>
          <w:b/>
        </w:rPr>
        <w:t>Review status:</w:t>
      </w:r>
      <w:r>
        <w:t xml:space="preserve"> unchecked — possible relationship only</w:t>
      </w:r>
    </w:p>
    <w:p>
      <w:pPr>
        <w:pStyle w:val="Heading2"/>
      </w:pPr>
      <w:r>
        <w:t>141. Claim + two later sources: EFFECTS OF HYDROGEN PRODUCTION ON ECONOMIC GROWTH IN THE EUROPEAN UNION</w:t>
      </w:r>
    </w:p>
    <w:p>
      <w:pPr>
        <w:pStyle w:val="SourceNote"/>
      </w:pPr>
      <w:r>
        <w:rPr>
          <w:b/>
        </w:rPr>
        <w:t>Group ID:</w:t>
      </w:r>
      <w:r>
        <w:t xml:space="preserve"> group-0bb448880ada6f1e200b</w:t>
      </w:r>
    </w:p>
    <w:p>
      <w:pPr>
        <w:pStyle w:val="SourceNote"/>
      </w:pPr>
      <w:r>
        <w:rPr>
          <w:b/>
        </w:rPr>
        <w:t>Original source:</w:t>
      </w:r>
      <w:r>
        <w:t xml:space="preserve"> https://doi.org/10.47535/1991auoes30(2)003</w:t>
      </w:r>
    </w:p>
    <w:p>
      <w:pPr/>
      <w:r>
        <w:rPr>
          <w:b/>
        </w:rPr>
        <w:t>Original future claim:</w:t>
      </w:r>
      <w:r>
        <w:t xml:space="preserve">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Later source:</w:t>
      </w:r>
      <w:r>
        <w:t xml:space="preserve"> Resource requirements and consequences of large-scale hydrogen use in Europe — https://doi.org/10.1038/s41893-026-01771-5</w:t>
      </w:r>
    </w:p>
    <w:p>
      <w:pPr/>
      <w:r>
        <w:rPr>
          <w:b/>
        </w:rPr>
        <w:t>Later source:</w:t>
      </w:r>
      <w:r>
        <w:t xml:space="preserve"> Sources of European Union competition law — https://doi.org/10.24144/2307-3322.2026.93.2.3</w:t>
      </w:r>
    </w:p>
    <w:p>
      <w:pPr>
        <w:pStyle w:val="SourceNote"/>
      </w:pPr>
      <w:r>
        <w:rPr>
          <w:b/>
        </w:rPr>
        <w:t>Review status:</w:t>
      </w:r>
      <w:r>
        <w:t xml:space="preserve"> unchecked — possible relationship only</w:t>
      </w:r>
    </w:p>
    <w:p>
      <w:pPr>
        <w:pStyle w:val="Heading2"/>
      </w:pPr>
      <w:r>
        <w:t>142. Claim + two later sources: Shaping science policy in Europe</w:t>
      </w:r>
    </w:p>
    <w:p>
      <w:pPr>
        <w:pStyle w:val="SourceNote"/>
      </w:pPr>
      <w:r>
        <w:rPr>
          <w:b/>
        </w:rPr>
        <w:t>Group ID:</w:t>
      </w:r>
      <w:r>
        <w:t xml:space="preserve"> group-32f56041088fbc1f9b72</w:t>
      </w:r>
    </w:p>
    <w:p>
      <w:pPr>
        <w:pStyle w:val="SourceNote"/>
      </w:pPr>
      <w:r>
        <w:rPr>
          <w:b/>
        </w:rPr>
        <w:t>Original source:</w:t>
      </w:r>
      <w:r>
        <w:t xml:space="preserve"> https://doi.org/10.1016/j.molonc.2014.03.013</w:t>
      </w:r>
    </w:p>
    <w:p>
      <w:pPr/>
      <w:r>
        <w:rPr>
          <w:b/>
        </w:rPr>
        <w:t>Original future claim:</w:t>
      </w:r>
      <w:r>
        <w:t xml:space="preserve">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Later source:</w:t>
      </w:r>
      <w:r>
        <w:t xml:space="preserve"> The scientific contributions of the first modern Colombian astronomer — https://doi.org/10.22201/ia.14052059p.2026.60.34</w:t>
      </w:r>
    </w:p>
    <w:p>
      <w:pPr/>
      <w:r>
        <w:rPr>
          <w:b/>
        </w:rPr>
        <w:t>Later source:</w:t>
      </w:r>
      <w:r>
        <w:t xml:space="preserve"> Assessing the Role of Renewable Energy in the Sustainable Economic Growth of the European Union — https://doi.org/10.3390/en18040760</w:t>
      </w:r>
    </w:p>
    <w:p>
      <w:pPr>
        <w:pStyle w:val="SourceNote"/>
      </w:pPr>
      <w:r>
        <w:rPr>
          <w:b/>
        </w:rPr>
        <w:t>Review status:</w:t>
      </w:r>
      <w:r>
        <w:t xml:space="preserve"> unchecked — possible relationship only</w:t>
      </w:r>
    </w:p>
    <w:p>
      <w:pPr>
        <w:pStyle w:val="Heading2"/>
      </w:pPr>
      <w:r>
        <w:t>143. Claim + two later sources: Predicting Future European Breeding Distributions of British Seabird Species under Climate Change and Unlimited/No Dispersal Scenarios</w:t>
      </w:r>
    </w:p>
    <w:p>
      <w:pPr>
        <w:pStyle w:val="SourceNote"/>
      </w:pPr>
      <w:r>
        <w:rPr>
          <w:b/>
        </w:rPr>
        <w:t>Group ID:</w:t>
      </w:r>
      <w:r>
        <w:t xml:space="preserve"> group-ec94343f98faee0700eb</w:t>
      </w:r>
    </w:p>
    <w:p>
      <w:pPr>
        <w:pStyle w:val="SourceNote"/>
      </w:pPr>
      <w:r>
        <w:rPr>
          <w:b/>
        </w:rPr>
        <w:t>Original source:</w:t>
      </w:r>
      <w:r>
        <w:t xml:space="preserve"> https://doi.org/10.3390/d7040342</w:t>
      </w:r>
    </w:p>
    <w:p>
      <w:pPr/>
      <w:r>
        <w:rPr>
          <w:b/>
        </w:rPr>
        <w:t>Original future claim:</w:t>
      </w:r>
      <w:r>
        <w:t xml:space="preserve">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Later source:</w:t>
      </w:r>
      <w:r>
        <w:t xml:space="preserve"> Combining different views on internal climate variability of temperature over Europe — https://doi.org/10.5194/egusphere-egu26-5489</w:t>
      </w:r>
    </w:p>
    <w:p>
      <w:pPr/>
      <w:r>
        <w:rPr>
          <w:b/>
        </w:rPr>
        <w:t>Later source:</w:t>
      </w:r>
      <w:r>
        <w:t xml:space="preserve"> Quantifying AMOC Uncertainty in European Climate Damage Projections — https://doi.org/10.5194/egusphere-egu26-8370</w:t>
      </w:r>
    </w:p>
    <w:p>
      <w:pPr>
        <w:pStyle w:val="SourceNote"/>
      </w:pPr>
      <w:r>
        <w:rPr>
          <w:b/>
        </w:rPr>
        <w:t>Review status:</w:t>
      </w:r>
      <w:r>
        <w:t xml:space="preserve"> unchecked — possible relationship only</w:t>
      </w:r>
    </w:p>
    <w:p>
      <w:pPr>
        <w:pStyle w:val="Heading2"/>
      </w:pPr>
      <w:r>
        <w:t>144. Claim + two later sources: PROBLEM OF PROFESSIONAL TRAINING OF FUTURE ECONOMISTS FOR DEVELOPMENT OF NATIONAL ECONOMY UNDER CONDITIONS OF EUROPEAN INTEGRATION</w:t>
      </w:r>
    </w:p>
    <w:p>
      <w:pPr>
        <w:pStyle w:val="SourceNote"/>
      </w:pPr>
      <w:r>
        <w:rPr>
          <w:b/>
        </w:rPr>
        <w:t>Group ID:</w:t>
      </w:r>
      <w:r>
        <w:t xml:space="preserve"> group-3d8d96f5d56431e0abf5</w:t>
      </w:r>
    </w:p>
    <w:p>
      <w:pPr>
        <w:pStyle w:val="SourceNote"/>
      </w:pPr>
      <w:r>
        <w:rPr>
          <w:b/>
        </w:rPr>
        <w:t>Original source:</w:t>
      </w:r>
      <w:r>
        <w:t xml:space="preserve"> https://doi.org/10.30525/2256-0742/2020-6-5-148-154</w:t>
      </w:r>
    </w:p>
    <w:p>
      <w:pPr/>
      <w:r>
        <w:rPr>
          <w:b/>
        </w:rPr>
        <w:t>Original future claim:</w:t>
      </w:r>
      <w:r>
        <w:t xml:space="preserve">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Later source:</w:t>
      </w:r>
      <w:r>
        <w:t xml:space="preserve"> European training requirements in geriatric medicine 2025: driving competency-based education and harmonisation across Europe — https://doi.org/10.1007/s41999-025-01393-8</w:t>
      </w:r>
    </w:p>
    <w:p>
      <w:pPr/>
      <w:r>
        <w:rPr>
          <w:b/>
        </w:rPr>
        <w:t>Later source:</w:t>
      </w:r>
      <w:r>
        <w:t xml:space="preserve"> Competency-based European training requirements for the specialty of ophthalmology. Recommendations from the UEMS section of ophthalmology and the European Board of Ophthalmology — https://openalex.org/W7149229150</w:t>
      </w:r>
    </w:p>
    <w:p>
      <w:pPr>
        <w:pStyle w:val="SourceNote"/>
      </w:pPr>
      <w:r>
        <w:rPr>
          <w:b/>
        </w:rPr>
        <w:t>Review status:</w:t>
      </w:r>
      <w:r>
        <w:t xml:space="preserve"> unchecked — possible relationship only</w:t>
      </w:r>
    </w:p>
    <w:p>
      <w:pPr>
        <w:pStyle w:val="Heading2"/>
      </w:pPr>
      <w:r>
        <w:t>145. Claim + two later sources: The CIRCE Simulations: Regional Climate Change Projections with Realistic Representation of the Mediterranean Sea</w:t>
      </w:r>
    </w:p>
    <w:p>
      <w:pPr>
        <w:pStyle w:val="SourceNote"/>
      </w:pPr>
      <w:r>
        <w:rPr>
          <w:b/>
        </w:rPr>
        <w:t>Group ID:</w:t>
      </w:r>
      <w:r>
        <w:t xml:space="preserve"> group-a0ad951e34197717ab1d</w:t>
      </w:r>
    </w:p>
    <w:p>
      <w:pPr>
        <w:pStyle w:val="SourceNote"/>
      </w:pPr>
      <w:r>
        <w:rPr>
          <w:b/>
        </w:rPr>
        <w:t>Original source:</w:t>
      </w:r>
      <w:r>
        <w:t xml:space="preserve"> https://doi.org/10.1175/bams-d-11-00136.1</w:t>
      </w:r>
    </w:p>
    <w:p>
      <w:pPr/>
      <w:r>
        <w:rPr>
          <w:b/>
        </w:rPr>
        <w:t>Original future claim:</w:t>
      </w:r>
      <w:r>
        <w:t xml:space="preserve">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Later source:</w:t>
      </w:r>
      <w:r>
        <w:t xml:space="preserve"> Design and Performance Research of a Spindle-Integrated Rotational Piezoelectric Testing System for Upset Force Measurement During Welding Processes — https://doi.org/10.1109/jsen.2026.3671729</w:t>
      </w:r>
    </w:p>
    <w:p>
      <w:pPr/>
      <w:r>
        <w:rPr>
          <w:b/>
        </w:rPr>
        <w:t>Later source:</w:t>
      </w:r>
      <w:r>
        <w:t xml:space="preserve"> Development and Validation of a Novel Contact Force‐Integrated Pulsed Field Quantization Index for Pulmonary Vein Isolation in a Porcine Model — https://doi.org/10.1111/jce.70527</w:t>
      </w:r>
    </w:p>
    <w:p>
      <w:pPr>
        <w:pStyle w:val="SourceNote"/>
      </w:pPr>
      <w:r>
        <w:rPr>
          <w:b/>
        </w:rPr>
        <w:t>Review status:</w:t>
      </w:r>
      <w:r>
        <w:t xml:space="preserve"> unchecked — possible relationship only</w:t>
      </w:r>
    </w:p>
    <w:p>
      <w:pPr>
        <w:pStyle w:val="Heading2"/>
      </w:pPr>
      <w:r>
        <w:t>146. Claim + two later sources: Scenarios for the future of the European process industry - the case of the chemical industry</w:t>
      </w:r>
    </w:p>
    <w:p>
      <w:pPr>
        <w:pStyle w:val="SourceNote"/>
      </w:pPr>
      <w:r>
        <w:rPr>
          <w:b/>
        </w:rPr>
        <w:t>Group ID:</w:t>
      </w:r>
      <w:r>
        <w:t xml:space="preserve"> group-0efb2a0647d3df669032</w:t>
      </w:r>
    </w:p>
    <w:p>
      <w:pPr>
        <w:pStyle w:val="SourceNote"/>
      </w:pPr>
      <w:r>
        <w:rPr>
          <w:b/>
        </w:rPr>
        <w:t>Original source:</w:t>
      </w:r>
      <w:r>
        <w:t xml:space="preserve"> https://doi.org/10.1007/s40309-013-0010-9</w:t>
      </w:r>
    </w:p>
    <w:p>
      <w:pPr/>
      <w:r>
        <w:rPr>
          <w:b/>
        </w:rPr>
        <w:t>Original future claim:</w:t>
      </w:r>
      <w:r>
        <w:t xml:space="preserve"> We studied future challenges for the European chemical industry until the year 2030. Based on the 249 qualitative statements made by the participating experts, we derived four future scenarios.</w:t>
      </w:r>
    </w:p>
    <w:p>
      <w:pPr/>
      <w:r>
        <w:rPr>
          <w:b/>
        </w:rPr>
        <w:t>Later source:</w:t>
      </w:r>
      <w:r>
        <w:t xml:space="preserve"> Insect Pest Control from Chemical to Biotechnological Approach: Constrains and Challenges — https://doi.org/10.3390/insects16050528</w:t>
      </w:r>
    </w:p>
    <w:p>
      <w:pPr/>
      <w:r>
        <w:rPr>
          <w:b/>
        </w:rPr>
        <w:t>Later source:</w:t>
      </w:r>
      <w:r>
        <w:t xml:space="preserve"> Scientific and Regulatory Perspectives on Chemical Risk Assessment of Pesticides in the European Union — https://doi.org/10.3390/jox15050173</w:t>
      </w:r>
    </w:p>
    <w:p>
      <w:pPr>
        <w:pStyle w:val="SourceNote"/>
      </w:pPr>
      <w:r>
        <w:rPr>
          <w:b/>
        </w:rPr>
        <w:t>Review status:</w:t>
      </w:r>
      <w:r>
        <w:t xml:space="preserve"> unchecked — possible relationship only</w:t>
      </w:r>
    </w:p>
    <w:p>
      <w:pPr>
        <w:pStyle w:val="Heading2"/>
      </w:pPr>
      <w:r>
        <w:t>147. Claim + two later sources: The future of global trade and the WTO</w:t>
      </w:r>
    </w:p>
    <w:p>
      <w:pPr>
        <w:pStyle w:val="SourceNote"/>
      </w:pPr>
      <w:r>
        <w:rPr>
          <w:b/>
        </w:rPr>
        <w:t>Group ID:</w:t>
      </w:r>
      <w:r>
        <w:t xml:space="preserve"> group-cbcfa515998c6668e492</w:t>
      </w:r>
    </w:p>
    <w:p>
      <w:pPr>
        <w:pStyle w:val="SourceNote"/>
      </w:pPr>
      <w:r>
        <w:rPr>
          <w:b/>
        </w:rPr>
        <w:t>Original source:</w:t>
      </w:r>
      <w:r>
        <w:t xml:space="preserve"> https://doi.org/10.1108/fs-06-2012-0044</w:t>
      </w:r>
    </w:p>
    <w:p>
      <w:pPr/>
      <w:r>
        <w:rPr>
          <w:b/>
        </w:rPr>
        <w:t>Original future claim:</w:t>
      </w:r>
      <w:r>
        <w:t xml:space="preserve">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Later source:</w:t>
      </w:r>
      <w:r>
        <w:t xml:space="preserve"> On European Fragmentation and the Single Currency in an Uncertain World — https://doi.org/10.65644/eiie.079.01.0001</w:t>
      </w:r>
    </w:p>
    <w:p>
      <w:pPr/>
      <w:r>
        <w:rPr>
          <w:b/>
        </w:rPr>
        <w:t>Later source:</w:t>
      </w:r>
      <w:r>
        <w:t xml:space="preserve"> International survey in four European countries on diagnostic reference levels based on clinical indications in computed tomography — https://doi.org/10.1186/s13244-026-02241-4</w:t>
      </w:r>
    </w:p>
    <w:p>
      <w:pPr>
        <w:pStyle w:val="SourceNote"/>
      </w:pPr>
      <w:r>
        <w:rPr>
          <w:b/>
        </w:rPr>
        <w:t>Review status:</w:t>
      </w:r>
      <w:r>
        <w:t xml:space="preserve"> unchecked — possible relationship only</w:t>
      </w:r>
    </w:p>
    <w:p>
      <w:pPr>
        <w:pStyle w:val="Heading2"/>
      </w:pPr>
      <w:r>
        <w:t>148. Claim + two later sources: EU road vehicle energy consumption and CO2 emissions by 2050 – Expert-based scenarios</w:t>
      </w:r>
    </w:p>
    <w:p>
      <w:pPr>
        <w:pStyle w:val="SourceNote"/>
      </w:pPr>
      <w:r>
        <w:rPr>
          <w:b/>
        </w:rPr>
        <w:t>Group ID:</w:t>
      </w:r>
      <w:r>
        <w:t xml:space="preserve"> group-b99bb41138b4962a323a</w:t>
      </w:r>
    </w:p>
    <w:p>
      <w:pPr>
        <w:pStyle w:val="SourceNote"/>
      </w:pPr>
      <w:r>
        <w:rPr>
          <w:b/>
        </w:rPr>
        <w:t>Original source:</w:t>
      </w:r>
      <w:r>
        <w:t xml:space="preserve"> https://doi.org/10.1016/j.enpol.2019.111224</w:t>
      </w:r>
    </w:p>
    <w:p>
      <w:pPr/>
      <w:r>
        <w:rPr>
          <w:b/>
        </w:rPr>
        <w:t>Original future claim:</w:t>
      </w:r>
      <w:r>
        <w:t xml:space="preserve">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Later source:</w:t>
      </w:r>
      <w:r>
        <w:t xml:space="preserve"> The Impact of Digitization Transport Documents on the Competitiveness of Road Freight Transport Companies — https://doi.org/10.3390/logistics10010020</w:t>
      </w:r>
    </w:p>
    <w:p>
      <w:pPr/>
      <w:r>
        <w:rPr>
          <w:b/>
        </w:rPr>
        <w:t>Later source:</w:t>
      </w:r>
      <w:r>
        <w:t xml:space="preserve"> Sustainability initiatives in the Spanish road freight transport companies — https://doi.org/10.3926/jiem.9245</w:t>
      </w:r>
    </w:p>
    <w:p>
      <w:pPr>
        <w:pStyle w:val="SourceNote"/>
      </w:pPr>
      <w:r>
        <w:rPr>
          <w:b/>
        </w:rPr>
        <w:t>Review status:</w:t>
      </w:r>
      <w:r>
        <w:t xml:space="preserve"> unchecked — possible relationship only</w:t>
      </w:r>
    </w:p>
    <w:p>
      <w:pPr>
        <w:pStyle w:val="Heading2"/>
      </w:pPr>
      <w:r>
        <w:t>149. Claim + two later sources: Foresight as a tool of public administration in the field of science, technology and innovation</w:t>
      </w:r>
    </w:p>
    <w:p>
      <w:pPr>
        <w:pStyle w:val="SourceNote"/>
      </w:pPr>
      <w:r>
        <w:rPr>
          <w:b/>
        </w:rPr>
        <w:t>Group ID:</w:t>
      </w:r>
      <w:r>
        <w:t xml:space="preserve"> group-8ea09e43862111bcdc68</w:t>
      </w:r>
    </w:p>
    <w:p>
      <w:pPr>
        <w:pStyle w:val="SourceNote"/>
      </w:pPr>
      <w:r>
        <w:rPr>
          <w:b/>
        </w:rPr>
        <w:t>Original source:</w:t>
      </w:r>
      <w:r>
        <w:t xml:space="preserve"> https://doi.org/10.23939/eem2021.01.090</w:t>
      </w:r>
    </w:p>
    <w:p>
      <w:pPr/>
      <w:r>
        <w:rPr>
          <w:b/>
        </w:rPr>
        <w:t>Original future claim:</w:t>
      </w:r>
      <w:r>
        <w:t xml:space="preserve">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Later source:</w:t>
      </w:r>
      <w:r>
        <w:t xml:space="preserve"> Growing futures: The Role of Agri-Entrepreneurship in rural transformation — https://doi.org/10.55248/gengpi.07.0126.0122</w:t>
      </w:r>
    </w:p>
    <w:p>
      <w:pPr/>
      <w:r>
        <w:rPr>
          <w:b/>
        </w:rPr>
        <w:t>Later source:</w:t>
      </w:r>
      <w:r>
        <w:t xml:space="preserve"> Space Economy Research Trends for Foresight Analysis — https://doi.org/10.1590/jatm.v18.1416</w:t>
      </w:r>
    </w:p>
    <w:p>
      <w:pPr>
        <w:pStyle w:val="SourceNote"/>
      </w:pPr>
      <w:r>
        <w:rPr>
          <w:b/>
        </w:rPr>
        <w:t>Review status:</w:t>
      </w:r>
      <w:r>
        <w:t xml:space="preserve"> unchecked — possible relationship only</w:t>
      </w:r>
    </w:p>
    <w:p>
      <w:pPr>
        <w:pStyle w:val="Heading2"/>
      </w:pPr>
      <w:r>
        <w:t>150. Claim + two later sources: Foresight of teachers’ professional challenges</w:t>
      </w:r>
    </w:p>
    <w:p>
      <w:pPr>
        <w:pStyle w:val="SourceNote"/>
      </w:pPr>
      <w:r>
        <w:rPr>
          <w:b/>
        </w:rPr>
        <w:t>Group ID:</w:t>
      </w:r>
      <w:r>
        <w:t xml:space="preserve"> group-815c9b2703d58673149d</w:t>
      </w:r>
    </w:p>
    <w:p>
      <w:pPr>
        <w:pStyle w:val="SourceNote"/>
      </w:pPr>
      <w:r>
        <w:rPr>
          <w:b/>
        </w:rPr>
        <w:t>Original source:</w:t>
      </w:r>
      <w:r>
        <w:t xml:space="preserve"> https://doi.org/10.17853/1994-5639-2022-6-60-83</w:t>
      </w:r>
    </w:p>
    <w:p>
      <w:pPr/>
      <w:r>
        <w:rPr>
          <w:b/>
        </w:rPr>
        <w:t>Original future claim:</w:t>
      </w:r>
      <w:r>
        <w:t xml:space="preserve">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Later source:</w:t>
      </w:r>
      <w:r>
        <w:t xml:space="preserve"> IMPLEMENTATION OF 12 CORE COMPETENCY TRAINING, PRECEPTORSHIP METHOD FOR NEW NURSES IN IMPROVING THE 12 CORE COMPETENCIES OF NEW NURSES AT PRIMAYA PGI CIKINI HOSPITAL, CENTRAL JAKARTA — https://doi.org/10.58439/hnp.v4i1.474</w:t>
      </w:r>
    </w:p>
    <w:p>
      <w:pPr/>
      <w:r>
        <w:rPr>
          <w:b/>
        </w:rPr>
        <w:t>Later source:</w:t>
      </w:r>
      <w:r>
        <w:t xml:space="preserve"> ANALYSIS OF COMPETENCY DEVELOPMENT POLICY IN IMPROVING EMPLOYEE PERFORMANCE AT THE SIROMBU DISTRICT OFFICE — https://doi.org/10.47652/metadata.v8i1.980</w:t>
      </w:r>
    </w:p>
    <w:p>
      <w:pPr>
        <w:pStyle w:val="SourceNote"/>
      </w:pPr>
      <w:r>
        <w:rPr>
          <w:b/>
        </w:rPr>
        <w:t>Review status:</w:t>
      </w:r>
      <w:r>
        <w:t xml:space="preserve"> unchecked — possible relationship only</w:t>
      </w:r>
    </w:p>
    <w:p>
      <w:pPr>
        <w:pStyle w:val="Heading2"/>
      </w:pPr>
      <w:r>
        <w:t>151. Claim + two later sources: Scenarios for population health inequalities in 2030 in Europe</w:t>
      </w:r>
    </w:p>
    <w:p>
      <w:pPr>
        <w:pStyle w:val="SourceNote"/>
      </w:pPr>
      <w:r>
        <w:rPr>
          <w:b/>
        </w:rPr>
        <w:t>Group ID:</w:t>
      </w:r>
      <w:r>
        <w:t xml:space="preserve"> group-76e96f4d170e6c1cd865</w:t>
      </w:r>
    </w:p>
    <w:p>
      <w:pPr>
        <w:pStyle w:val="SourceNote"/>
      </w:pPr>
      <w:r>
        <w:rPr>
          <w:b/>
        </w:rPr>
        <w:t>Original source:</w:t>
      </w:r>
      <w:r>
        <w:t xml:space="preserve"> https://doi.org/10.1093/eurpub/ckaa165.1288</w:t>
      </w:r>
    </w:p>
    <w:p>
      <w:pPr/>
      <w:r>
        <w:rPr>
          <w:b/>
        </w:rPr>
        <w:t>Original future claim:</w:t>
      </w:r>
      <w:r>
        <w:t xml:space="preserve">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Later source:</w:t>
      </w:r>
      <w:r>
        <w:t xml:space="preserve"> Dietary assessment and dietary guidelines across 11 European Union countries: a review from the PLAN’EAT project — https://doi.org/10.3389/fnut.2025.1699036</w:t>
      </w:r>
    </w:p>
    <w:p>
      <w:pPr/>
      <w:r>
        <w:rPr>
          <w:b/>
        </w:rPr>
        <w:t>Later source:</w:t>
      </w:r>
      <w:r>
        <w:t xml:space="preserve"> Emission Scenarios for Europe under the CATALYSE Project: Beyond the Green Deal — https://openalex.org/W7125621332</w:t>
      </w:r>
    </w:p>
    <w:p>
      <w:pPr>
        <w:pStyle w:val="SourceNote"/>
      </w:pPr>
      <w:r>
        <w:rPr>
          <w:b/>
        </w:rPr>
        <w:t>Review status:</w:t>
      </w:r>
      <w:r>
        <w:t xml:space="preserve"> unchecked — possible relationship only</w:t>
      </w:r>
    </w:p>
    <w:p>
      <w:pPr>
        <w:pStyle w:val="Heading2"/>
      </w:pPr>
      <w:r>
        <w:t>152. Claim + two later sources: REMIND-D: A Hybrid Energy-Economy Model of Germany</w:t>
      </w:r>
    </w:p>
    <w:p>
      <w:pPr>
        <w:pStyle w:val="SourceNote"/>
      </w:pPr>
      <w:r>
        <w:rPr>
          <w:b/>
        </w:rPr>
        <w:t>Group ID:</w:t>
      </w:r>
      <w:r>
        <w:t xml:space="preserve"> group-d4fa8c4b209e9f6834f1</w:t>
      </w:r>
    </w:p>
    <w:p>
      <w:pPr>
        <w:pStyle w:val="SourceNote"/>
      </w:pPr>
      <w:r>
        <w:rPr>
          <w:b/>
        </w:rPr>
        <w:t>Original source:</w:t>
      </w:r>
      <w:r>
        <w:t xml:space="preserve"> https://doi.org/10.22004/ag.econ.121911</w:t>
      </w:r>
    </w:p>
    <w:p>
      <w:pPr/>
      <w:r>
        <w:rPr>
          <w:b/>
        </w:rPr>
        <w:t>Original future claim:</w:t>
      </w:r>
      <w:r>
        <w:t xml:space="preserve"> The model provides a quantitative framework for analyzing long-term domestic CO2 emission reduction scenarios.</w:t>
      </w:r>
    </w:p>
    <w:p>
      <w:pPr/>
      <w:r>
        <w:rPr>
          <w:b/>
        </w:rPr>
        <w:t>Later source:</w:t>
      </w:r>
      <w:r>
        <w:t xml:space="preserve"> Sector-specific adoption patterns of AI in Europe: a quantitative analysis using Eurostat and OECD Data — https://doi.org/10.1080/09537325.2026.2632912</w:t>
      </w:r>
    </w:p>
    <w:p>
      <w:pPr/>
      <w:r>
        <w:rPr>
          <w:b/>
        </w:rPr>
        <w:t>Later source:</w:t>
      </w:r>
      <w:r>
        <w:t xml:space="preserve"> Forecasting human tick-borne encephalitis risk across Europe through quantitative models integrating environmental and exposure drivers — https://openalex.org/W7154437128</w:t>
      </w:r>
    </w:p>
    <w:p>
      <w:pPr>
        <w:pStyle w:val="SourceNote"/>
      </w:pPr>
      <w:r>
        <w:rPr>
          <w:b/>
        </w:rPr>
        <w:t>Review status:</w:t>
      </w:r>
      <w:r>
        <w:t xml:space="preserve"> unchecked — possible relationship only</w:t>
      </w:r>
    </w:p>
    <w:p>
      <w:pPr>
        <w:pStyle w:val="Heading2"/>
      </w:pPr>
      <w:r>
        <w:t>153. Claim + two later sources: Pathway Analysis of a Zero-Emission Transition in the Nordic-Baltic Region</w:t>
      </w:r>
    </w:p>
    <w:p>
      <w:pPr>
        <w:pStyle w:val="SourceNote"/>
      </w:pPr>
      <w:r>
        <w:rPr>
          <w:b/>
        </w:rPr>
        <w:t>Group ID:</w:t>
      </w:r>
      <w:r>
        <w:t xml:space="preserve"> group-62f4c4f1d5a9ac377353</w:t>
      </w:r>
    </w:p>
    <w:p>
      <w:pPr>
        <w:pStyle w:val="SourceNote"/>
      </w:pPr>
      <w:r>
        <w:rPr>
          <w:b/>
        </w:rPr>
        <w:t>Original source:</w:t>
      </w:r>
      <w:r>
        <w:t xml:space="preserve"> https://doi.org/10.3390/en12173337</w:t>
      </w:r>
    </w:p>
    <w:p>
      <w:pPr/>
      <w:r>
        <w:rPr>
          <w:b/>
        </w:rPr>
        <w:t>Original future claim:</w:t>
      </w:r>
      <w:r>
        <w:t xml:space="preserve">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Later source:</w:t>
      </w:r>
      <w:r>
        <w:t xml:space="preserve"> Holistic design &amp; optimization of renewable energy systems - an african-european case study — https://doi.org/10.18154/rwth-2026-03350</w:t>
      </w:r>
    </w:p>
    <w:p>
      <w:pPr/>
      <w:r>
        <w:rPr>
          <w:b/>
        </w:rPr>
        <w:t>Later source:</w:t>
      </w:r>
      <w:r>
        <w:t xml:space="preserve"> Analyzing the impact of the Ostend declaration stated offshore wind targets on the European energy system — https://doi.org/10.1088/2753-3751/ae69e4</w:t>
      </w:r>
    </w:p>
    <w:p>
      <w:pPr>
        <w:pStyle w:val="SourceNote"/>
      </w:pPr>
      <w:r>
        <w:rPr>
          <w:b/>
        </w:rPr>
        <w:t>Review status:</w:t>
      </w:r>
      <w:r>
        <w:t xml:space="preserve"> unchecked — possible relationship only</w:t>
      </w:r>
    </w:p>
    <w:p>
      <w:pPr>
        <w:pStyle w:val="Heading2"/>
      </w:pPr>
      <w:r>
        <w:t>154. Claim + two later sources: Bioenergy futures in Sweden – Modeling integration scenarios for biofuel production</w:t>
      </w:r>
    </w:p>
    <w:p>
      <w:pPr>
        <w:pStyle w:val="SourceNote"/>
      </w:pPr>
      <w:r>
        <w:rPr>
          <w:b/>
        </w:rPr>
        <w:t>Group ID:</w:t>
      </w:r>
      <w:r>
        <w:t xml:space="preserve"> group-634df0f885862bff7e25</w:t>
      </w:r>
    </w:p>
    <w:p>
      <w:pPr>
        <w:pStyle w:val="SourceNote"/>
      </w:pPr>
      <w:r>
        <w:rPr>
          <w:b/>
        </w:rPr>
        <w:t>Original source:</w:t>
      </w:r>
      <w:r>
        <w:t xml:space="preserve"> https://doi.org/10.1016/j.energy.2016.04.044</w:t>
      </w:r>
    </w:p>
    <w:p>
      <w:pPr/>
      <w:r>
        <w:rPr>
          <w:b/>
        </w:rPr>
        <w:t>Original future claim:</w:t>
      </w:r>
      <w:r>
        <w:t xml:space="preserve"> However, even though biomass is a renewable resource, the potential is limited, and efficient use of available biomass resources will become increasingly important.</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Keep All the Flawed Options on the Table: Europe’s Nuclear Future — https://doi.org/10.1515/sirius-2025-2008</w:t>
      </w:r>
    </w:p>
    <w:p>
      <w:pPr>
        <w:pStyle w:val="SourceNote"/>
      </w:pPr>
      <w:r>
        <w:rPr>
          <w:b/>
        </w:rPr>
        <w:t>Review status:</w:t>
      </w:r>
      <w:r>
        <w:t xml:space="preserve"> unchecked — possible relationship only</w:t>
      </w:r>
    </w:p>
    <w:p>
      <w:pPr>
        <w:pStyle w:val="Heading2"/>
      </w:pPr>
      <w:r>
        <w:t>155. Claim + two later sources: Horizon scanning exercise on preparedness for future risk assessment requirements and possible challenges in regulatory science</w:t>
      </w:r>
    </w:p>
    <w:p>
      <w:pPr>
        <w:pStyle w:val="SourceNote"/>
      </w:pPr>
      <w:r>
        <w:rPr>
          <w:b/>
        </w:rPr>
        <w:t>Group ID:</w:t>
      </w:r>
      <w:r>
        <w:t xml:space="preserve"> group-1284e7f859060a8f49ba</w:t>
      </w:r>
    </w:p>
    <w:p>
      <w:pPr>
        <w:pStyle w:val="SourceNote"/>
      </w:pPr>
      <w:r>
        <w:rPr>
          <w:b/>
        </w:rPr>
        <w:t>Original source:</w:t>
      </w:r>
      <w:r>
        <w:t xml:space="preserve"> https://doi.org/10.2903/sp.efsa.2022.en-7297</w:t>
      </w:r>
    </w:p>
    <w:p>
      <w:pPr/>
      <w:r>
        <w:rPr>
          <w:b/>
        </w:rPr>
        <w:t>Original future claim:</w:t>
      </w:r>
      <w:r>
        <w:t xml:space="preserve">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156. Claim + two later sources: Fiscal foresighting: analysis of researches</w:t>
      </w:r>
    </w:p>
    <w:p>
      <w:pPr>
        <w:pStyle w:val="SourceNote"/>
      </w:pPr>
      <w:r>
        <w:rPr>
          <w:b/>
        </w:rPr>
        <w:t>Group ID:</w:t>
      </w:r>
      <w:r>
        <w:t xml:space="preserve"> group-937ea8c94f286d3fdf18</w:t>
      </w:r>
    </w:p>
    <w:p>
      <w:pPr>
        <w:pStyle w:val="SourceNote"/>
      </w:pPr>
      <w:r>
        <w:rPr>
          <w:b/>
        </w:rPr>
        <w:t>Original source:</w:t>
      </w:r>
      <w:r>
        <w:t xml:space="preserve"> https://doi.org/10.15407/econindustry2021.02.071</w:t>
      </w:r>
    </w:p>
    <w:p>
      <w:pPr/>
      <w:r>
        <w:rPr>
          <w:b/>
        </w:rPr>
        <w:t>Original future claim:</w:t>
      </w:r>
      <w:r>
        <w:t xml:space="preserve">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Later source:</w:t>
      </w:r>
      <w:r>
        <w:t xml:space="preserve"> The structural analysis of economic dynamics: A theoretical framework — https://doi.org/10.1016/j.strueco.2026.01.014</w:t>
      </w:r>
    </w:p>
    <w:p>
      <w:pPr/>
      <w:r>
        <w:rPr>
          <w:b/>
        </w:rPr>
        <w:t>Later source:</w:t>
      </w:r>
      <w:r>
        <w:t xml:space="preserve"> Bibliometric insights into green accounting research: analysing trends, impact, and theoretical foundations — https://doi.org/10.1504/ijmfa.2026.151612</w:t>
      </w:r>
    </w:p>
    <w:p>
      <w:pPr>
        <w:pStyle w:val="SourceNote"/>
      </w:pPr>
      <w:r>
        <w:rPr>
          <w:b/>
        </w:rPr>
        <w:t>Review status:</w:t>
      </w:r>
      <w:r>
        <w:t xml:space="preserve"> unchecked — possible relationship only</w:t>
      </w:r>
    </w:p>
    <w:p>
      <w:pPr>
        <w:pStyle w:val="Heading2"/>
      </w:pPr>
      <w:r>
        <w:t>157. Claim + two later sources: Plan Ceibal 2020: future scenarios for technology and education—the case of the Uruguayan public education system</w:t>
      </w:r>
    </w:p>
    <w:p>
      <w:pPr>
        <w:pStyle w:val="SourceNote"/>
      </w:pPr>
      <w:r>
        <w:rPr>
          <w:b/>
        </w:rPr>
        <w:t>Group ID:</w:t>
      </w:r>
      <w:r>
        <w:t xml:space="preserve"> group-7ce13af1fd317b792391</w:t>
      </w:r>
    </w:p>
    <w:p>
      <w:pPr>
        <w:pStyle w:val="SourceNote"/>
      </w:pPr>
      <w:r>
        <w:rPr>
          <w:b/>
        </w:rPr>
        <w:t>Original source:</w:t>
      </w:r>
      <w:r>
        <w:t xml:space="preserve"> https://doi.org/10.1186/s40309-018-0134-z</w:t>
      </w:r>
    </w:p>
    <w:p>
      <w:pPr/>
      <w:r>
        <w:rPr>
          <w:b/>
        </w:rPr>
        <w:t>Original future claim:</w:t>
      </w:r>
      <w:r>
        <w:t xml:space="preserve">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Later source:</w:t>
      </w:r>
      <w:r>
        <w:t xml:space="preserve"> On sets of periodic orbit lengths in finitely presented dynamical systems — https://doi.org/10.1017/etds.2026.10313</w:t>
      </w:r>
    </w:p>
    <w:p>
      <w:pPr/>
      <w:r>
        <w:rPr>
          <w:b/>
        </w:rPr>
        <w:t>Later source:</w:t>
      </w:r>
      <w:r>
        <w:t xml:space="preserve"> Futures in the present: Food allergy disclosures at work — https://doi.org/10.1080/18692729.2026.2681599</w:t>
      </w:r>
    </w:p>
    <w:p>
      <w:pPr>
        <w:pStyle w:val="SourceNote"/>
      </w:pPr>
      <w:r>
        <w:rPr>
          <w:b/>
        </w:rPr>
        <w:t>Review status:</w:t>
      </w:r>
      <w:r>
        <w:t xml:space="preserve"> unchecked — possible relationship only</w:t>
      </w:r>
    </w:p>
    <w:p>
      <w:pPr>
        <w:pStyle w:val="Heading2"/>
      </w:pPr>
      <w:r>
        <w:t>158. Claim + two later sources: Are Carbon Prices Redundant in the 2030 EU Climate and Energy Policy Package?</w:t>
      </w:r>
    </w:p>
    <w:p>
      <w:pPr>
        <w:pStyle w:val="SourceNote"/>
      </w:pPr>
      <w:r>
        <w:rPr>
          <w:b/>
        </w:rPr>
        <w:t>Group ID:</w:t>
      </w:r>
      <w:r>
        <w:t xml:space="preserve"> group-60c8e913d579240ddce8</w:t>
      </w:r>
    </w:p>
    <w:p>
      <w:pPr>
        <w:pStyle w:val="SourceNote"/>
      </w:pPr>
      <w:r>
        <w:rPr>
          <w:b/>
        </w:rPr>
        <w:t>Original source:</w:t>
      </w:r>
      <w:r>
        <w:t xml:space="preserve"> https://doi.org/10.5547/01956574.42.3.faun</w:t>
      </w:r>
    </w:p>
    <w:p>
      <w:pPr/>
      <w:r>
        <w:rPr>
          <w:b/>
        </w:rPr>
        <w:t>Original future claim:</w:t>
      </w:r>
      <w:r>
        <w:t xml:space="preserve">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Later source:</w:t>
      </w:r>
      <w:r>
        <w:t xml:space="preserve"> Defragmenting European Union climate policy — https://doi.org/10.64153/vxjj9392</w:t>
      </w:r>
    </w:p>
    <w:p>
      <w:pPr/>
      <w:r>
        <w:rPr>
          <w:b/>
        </w:rPr>
        <w:t>Later source:</w:t>
      </w:r>
      <w:r>
        <w:t xml:space="preserve"> From Policy to Practice: European Funding and the Development of Energy-Efficient Buildings in Romania’s Mountain Regions — https://doi.org/10.3390/buildings16061161</w:t>
      </w:r>
    </w:p>
    <w:p>
      <w:pPr>
        <w:pStyle w:val="SourceNote"/>
      </w:pPr>
      <w:r>
        <w:rPr>
          <w:b/>
        </w:rPr>
        <w:t>Review status:</w:t>
      </w:r>
      <w:r>
        <w:t xml:space="preserve"> unchecked — possible relationship only</w:t>
      </w:r>
    </w:p>
    <w:p>
      <w:pPr>
        <w:pStyle w:val="Heading2"/>
      </w:pPr>
      <w:r>
        <w:t>159. Claim + two later sources: Institutional issues in planning for more uncertain futures</w:t>
      </w:r>
    </w:p>
    <w:p>
      <w:pPr>
        <w:pStyle w:val="SourceNote"/>
      </w:pPr>
      <w:r>
        <w:rPr>
          <w:b/>
        </w:rPr>
        <w:t>Group ID:</w:t>
      </w:r>
      <w:r>
        <w:t xml:space="preserve"> group-2112486823b4d66d660b</w:t>
      </w:r>
    </w:p>
    <w:p>
      <w:pPr>
        <w:pStyle w:val="SourceNote"/>
      </w:pPr>
      <w:r>
        <w:rPr>
          <w:b/>
        </w:rPr>
        <w:t>Original source:</w:t>
      </w:r>
      <w:r>
        <w:t xml:space="preserve"> https://doi.org/10.1007/s11116-017-9805-z</w:t>
      </w:r>
    </w:p>
    <w:p>
      <w:pPr/>
      <w:r>
        <w:rPr>
          <w:b/>
        </w:rPr>
        <w:t>Original future claim:</w:t>
      </w:r>
      <w:r>
        <w:t xml:space="preserve">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Later source:</w:t>
      </w:r>
      <w:r>
        <w:t xml:space="preserve"> When mobility becomes a compromise: intersectional social identities in mobility in Boston and Austin — https://doi.org/10.1016/j.trip.2026.102259</w:t>
      </w:r>
    </w:p>
    <w:p>
      <w:pPr/>
      <w:r>
        <w:rPr>
          <w:b/>
        </w:rPr>
        <w:t>Later source:</w:t>
      </w:r>
      <w:r>
        <w:t xml:space="preserve"> Shaping institutional change in skill formation: the role of background ideas in growth strategies — https://doi.org/10.1080/13501763.2025.2490188</w:t>
      </w:r>
    </w:p>
    <w:p>
      <w:pPr>
        <w:pStyle w:val="SourceNote"/>
      </w:pPr>
      <w:r>
        <w:rPr>
          <w:b/>
        </w:rPr>
        <w:t>Review status:</w:t>
      </w:r>
      <w:r>
        <w:t xml:space="preserve"> unchecked — possible relationship only</w:t>
      </w:r>
    </w:p>
    <w:p>
      <w:pPr>
        <w:pStyle w:val="Heading2"/>
      </w:pPr>
      <w:r>
        <w:t>160. Claim + two later sources: La aplicación estratégica por escenarios en el medio natural. El caso del Nature Outlook 2050 del PBL.</w:t>
      </w:r>
    </w:p>
    <w:p>
      <w:pPr>
        <w:pStyle w:val="SourceNote"/>
      </w:pPr>
      <w:r>
        <w:rPr>
          <w:b/>
        </w:rPr>
        <w:t>Group ID:</w:t>
      </w:r>
      <w:r>
        <w:t xml:space="preserve"> group-2e5929881b8332be2482</w:t>
      </w:r>
    </w:p>
    <w:p>
      <w:pPr>
        <w:pStyle w:val="SourceNote"/>
      </w:pPr>
      <w:r>
        <w:rPr>
          <w:b/>
        </w:rPr>
        <w:t>Original source:</w:t>
      </w:r>
      <w:r>
        <w:t xml:space="preserve"> https://doi.org/10.5209/rev_obmd.2015.v18.51291</w:t>
      </w:r>
    </w:p>
    <w:p>
      <w:pPr/>
      <w:r>
        <w:rPr>
          <w:b/>
        </w:rPr>
        <w:t>Original future claim:</w:t>
      </w:r>
      <w:r>
        <w:t xml:space="preserve"> This paper shows how to implement the tool, mixing theoretical explanation and the practical performance done in project called: Nature Outlook 2050.</w:t>
      </w:r>
    </w:p>
    <w:p>
      <w:pPr/>
      <w:r>
        <w:rPr>
          <w:b/>
        </w:rPr>
        <w:t>Later source:</w:t>
      </w:r>
      <w:r>
        <w:t xml:space="preserve"> An Empirical Study and Theoretical Explanation on Task-Level Model-Merging Collapse — https://doi.org/10.48550/arxiv.2603.09463</w:t>
      </w:r>
    </w:p>
    <w:p>
      <w:pPr/>
      <w:r>
        <w:rPr>
          <w:b/>
        </w:rPr>
        <w:t>Later source:</w:t>
      </w:r>
      <w:r>
        <w:t xml:space="preserve"> Theoretical Explanation of Triguna and Emotional Intelligence — https://doi.org/10.1922/pjs.16.4s.2026.954</w:t>
      </w:r>
    </w:p>
    <w:p>
      <w:pPr>
        <w:pStyle w:val="SourceNote"/>
      </w:pPr>
      <w:r>
        <w:rPr>
          <w:b/>
        </w:rPr>
        <w:t>Review status:</w:t>
      </w:r>
      <w:r>
        <w:t xml:space="preserve"> unchecked — possible relationship only</w:t>
      </w:r>
    </w:p>
    <w:p>
      <w:pPr>
        <w:pStyle w:val="Heading2"/>
      </w:pPr>
      <w:r>
        <w:t>161. Claim + two later sources: Backcasting for desirable futures in Finnish forest-based firms</w:t>
      </w:r>
    </w:p>
    <w:p>
      <w:pPr>
        <w:pStyle w:val="SourceNote"/>
      </w:pPr>
      <w:r>
        <w:rPr>
          <w:b/>
        </w:rPr>
        <w:t>Group ID:</w:t>
      </w:r>
      <w:r>
        <w:t xml:space="preserve"> group-968d37313ee1561c285e</w:t>
      </w:r>
    </w:p>
    <w:p>
      <w:pPr>
        <w:pStyle w:val="SourceNote"/>
      </w:pPr>
      <w:r>
        <w:rPr>
          <w:b/>
        </w:rPr>
        <w:t>Original source:</w:t>
      </w:r>
      <w:r>
        <w:t xml:space="preserve"> https://doi.org/10.1108/fs-01-2020-0005</w:t>
      </w:r>
    </w:p>
    <w:p>
      <w:pPr/>
      <w:r>
        <w:rPr>
          <w:b/>
        </w:rPr>
        <w:t>Original future claim:</w:t>
      </w:r>
      <w:r>
        <w:t xml:space="preserve"> In these desirable futures, expanded businesses will be based on strong knowledge.</w:t>
      </w:r>
    </w:p>
    <w:p>
      <w:pPr/>
      <w:r>
        <w:rPr>
          <w:b/>
        </w:rPr>
        <w:t>Later source:</w:t>
      </w:r>
      <w:r>
        <w:t xml:space="preserve"> Entrepreneurship for Self-Reliance: Examining the role of Perceived Desirability in the relationship between Social Capital and Entrepreneurial Resilience among small business owners in Nasarawa State, Nigeria — https://doi.org/10.47505/ijrss.2025.11.14</w:t>
      </w:r>
    </w:p>
    <w:p>
      <w:pPr/>
      <w:r>
        <w:rPr>
          <w:b/>
        </w:rPr>
        <w:t>Later source:</w:t>
      </w:r>
      <w:r>
        <w:t xml:space="preserve"> Expanding financial inclusion participation in Muslim-dominated communities through Islamic finance products (IFP) adoption — https://doi.org/10.1108/jiabr-09-2023-0308</w:t>
      </w:r>
    </w:p>
    <w:p>
      <w:pPr>
        <w:pStyle w:val="SourceNote"/>
      </w:pPr>
      <w:r>
        <w:rPr>
          <w:b/>
        </w:rPr>
        <w:t>Review status:</w:t>
      </w:r>
      <w:r>
        <w:t xml:space="preserve"> unchecked — possible relationship only</w:t>
      </w:r>
    </w:p>
    <w:p>
      <w:pPr>
        <w:pStyle w:val="Heading2"/>
      </w:pPr>
      <w:r>
        <w:t>162. Claim + two later sources: Climate, competition and connectivity affect future migration and ranges of European trees</w:t>
      </w:r>
    </w:p>
    <w:p>
      <w:pPr>
        <w:pStyle w:val="SourceNote"/>
      </w:pPr>
      <w:r>
        <w:rPr>
          <w:b/>
        </w:rPr>
        <w:t>Group ID:</w:t>
      </w:r>
      <w:r>
        <w:t xml:space="preserve"> group-c8c9ad6957709c1f5d65</w:t>
      </w:r>
    </w:p>
    <w:p>
      <w:pPr>
        <w:pStyle w:val="SourceNote"/>
      </w:pPr>
      <w:r>
        <w:rPr>
          <w:b/>
        </w:rPr>
        <w:t>Original source:</w:t>
      </w:r>
      <w:r>
        <w:t xml:space="preserve"> https://doi.org/10.1111/j.1466-8238.2011.00669.x</w:t>
      </w:r>
    </w:p>
    <w:p>
      <w:pPr/>
      <w:r>
        <w:rPr>
          <w:b/>
        </w:rPr>
        <w:t>Original future claim:</w:t>
      </w:r>
      <w:r>
        <w:t xml:space="preserve">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Lessons learned in institutional preparedness and response during the 2022 European drought — https://doi.org/10.5194/nhess-26-955-2026</w:t>
      </w:r>
    </w:p>
    <w:p>
      <w:pPr>
        <w:pStyle w:val="SourceNote"/>
      </w:pPr>
      <w:r>
        <w:rPr>
          <w:b/>
        </w:rPr>
        <w:t>Review status:</w:t>
      </w:r>
      <w:r>
        <w:t xml:space="preserve"> unchecked — possible relationship only</w:t>
      </w:r>
    </w:p>
    <w:p>
      <w:pPr>
        <w:pStyle w:val="Heading2"/>
      </w:pPr>
      <w:r>
        <w:t>163. Claim + two later sources: The July 2019 European Heat Wave in a Warmer Climate: Storyline Scenarios with a Coupled Model Using Spectral Nudging</w:t>
      </w:r>
    </w:p>
    <w:p>
      <w:pPr>
        <w:pStyle w:val="SourceNote"/>
      </w:pPr>
      <w:r>
        <w:rPr>
          <w:b/>
        </w:rPr>
        <w:t>Group ID:</w:t>
      </w:r>
      <w:r>
        <w:t xml:space="preserve"> group-7724e6a7a01f28f4da8d</w:t>
      </w:r>
    </w:p>
    <w:p>
      <w:pPr>
        <w:pStyle w:val="SourceNote"/>
      </w:pPr>
      <w:r>
        <w:rPr>
          <w:b/>
        </w:rPr>
        <w:t>Original source:</w:t>
      </w:r>
      <w:r>
        <w:t xml:space="preserve"> https://doi.org/10.1175/jcli-d-21-0573.1</w:t>
      </w:r>
    </w:p>
    <w:p>
      <w:pPr/>
      <w:r>
        <w:rPr>
          <w:b/>
        </w:rPr>
        <w:t>Original future claim:</w:t>
      </w:r>
      <w:r>
        <w:t xml:space="preserve"> By varying the background climate, including CO 2 concentrations, it is demonstrated how the July 2019 European heat wave could have evolved in preindustrial times and in warmer climates.</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Evaluating Alpha-1 Antitrypsin Deficiency testing across Europe to ensure diagnostic accuracy: an EARCO multicentre project — https://doi.org/10.1186/s12931-026-03796-y</w:t>
      </w:r>
    </w:p>
    <w:p>
      <w:pPr>
        <w:pStyle w:val="SourceNote"/>
      </w:pPr>
      <w:r>
        <w:rPr>
          <w:b/>
        </w:rPr>
        <w:t>Review status:</w:t>
      </w:r>
      <w:r>
        <w:t xml:space="preserve"> unchecked — possible relationship only</w:t>
      </w:r>
    </w:p>
    <w:p>
      <w:pPr>
        <w:pStyle w:val="Heading2"/>
      </w:pPr>
      <w:r>
        <w:t>164. Claim + two later sources: Futures of science with and for society: towards transformative policy orientations</w:t>
      </w:r>
    </w:p>
    <w:p>
      <w:pPr>
        <w:pStyle w:val="SourceNote"/>
      </w:pPr>
      <w:r>
        <w:rPr>
          <w:b/>
        </w:rPr>
        <w:t>Group ID:</w:t>
      </w:r>
      <w:r>
        <w:t xml:space="preserve"> group-f277fc013f950bd4628c</w:t>
      </w:r>
    </w:p>
    <w:p>
      <w:pPr>
        <w:pStyle w:val="SourceNote"/>
      </w:pPr>
      <w:r>
        <w:rPr>
          <w:b/>
        </w:rPr>
        <w:t>Original source:</w:t>
      </w:r>
      <w:r>
        <w:t xml:space="preserve"> https://doi.org/10.1108/fs-10-2014-0063</w:t>
      </w:r>
    </w:p>
    <w:p>
      <w:pPr/>
      <w:r>
        <w:rPr>
          <w:b/>
        </w:rPr>
        <w:t>Original future claim:</w:t>
      </w:r>
      <w:r>
        <w:t xml:space="preserve">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Later source:</w:t>
      </w:r>
      <w:r>
        <w:t xml:space="preserve"> STEAM methodology for teaching content and functions — https://doi.org/10.62486/978-9915-704-15-9.ch13</w:t>
      </w:r>
    </w:p>
    <w:p>
      <w:pPr/>
      <w:r>
        <w:rPr>
          <w:b/>
        </w:rPr>
        <w:t>Later source:</w:t>
      </w:r>
      <w:r>
        <w:t xml:space="preserve"> Innovations in Methodology for Analyzing Automotive Engine Vibration Signals Based on Wavelet Transform Techniques to Determine Maintenance Needs — https://doi.org/10.70917/ijcisim-2026-0063</w:t>
      </w:r>
    </w:p>
    <w:p>
      <w:pPr>
        <w:pStyle w:val="SourceNote"/>
      </w:pPr>
      <w:r>
        <w:rPr>
          <w:b/>
        </w:rPr>
        <w:t>Review status:</w:t>
      </w:r>
      <w:r>
        <w:t xml:space="preserve"> unchecked — possible relationship only</w:t>
      </w:r>
    </w:p>
    <w:p>
      <w:pPr>
        <w:pStyle w:val="Heading2"/>
      </w:pPr>
      <w:r>
        <w:t>165. Claim + two later sources: Population Projections and Demographic Knowledge in France and Great Britain in the Postwar Period</w:t>
      </w:r>
    </w:p>
    <w:p>
      <w:pPr>
        <w:pStyle w:val="SourceNote"/>
      </w:pPr>
      <w:r>
        <w:rPr>
          <w:b/>
        </w:rPr>
        <w:t>Group ID:</w:t>
      </w:r>
      <w:r>
        <w:t xml:space="preserve"> group-fb6b5acf3d781d7dc4ee</w:t>
      </w:r>
    </w:p>
    <w:p>
      <w:pPr>
        <w:pStyle w:val="SourceNote"/>
      </w:pPr>
      <w:r>
        <w:rPr>
          <w:b/>
        </w:rPr>
        <w:t>Original source:</w:t>
      </w:r>
      <w:r>
        <w:t xml:space="preserve"> https://doi.org/10.1111/j.1728-4457.2015.00047.x</w:t>
      </w:r>
    </w:p>
    <w:p>
      <w:pPr/>
      <w:r>
        <w:rPr>
          <w:b/>
        </w:rPr>
        <w:t>Original future claim:</w:t>
      </w:r>
      <w:r>
        <w:t xml:space="preserve">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Later source:</w:t>
      </w:r>
      <w:r>
        <w:t xml:space="preserve"> Control and Contingency — https://doi.org/10.13135/2280-8574/13657</w:t>
      </w:r>
    </w:p>
    <w:p>
      <w:pPr/>
      <w:r>
        <w:rPr>
          <w:b/>
        </w:rPr>
        <w:t>Later source:</w:t>
      </w:r>
      <w:r>
        <w:t xml:space="preserve"> European middle powers: Germany, France and Italy as international actors — https://openalex.org/W7215008340</w:t>
      </w:r>
    </w:p>
    <w:p>
      <w:pPr>
        <w:pStyle w:val="SourceNote"/>
      </w:pPr>
      <w:r>
        <w:rPr>
          <w:b/>
        </w:rPr>
        <w:t>Review status:</w:t>
      </w:r>
      <w:r>
        <w:t xml:space="preserve"> unchecked — possible relationship only</w:t>
      </w:r>
    </w:p>
    <w:p>
      <w:pPr>
        <w:pStyle w:val="Heading2"/>
      </w:pPr>
      <w:r>
        <w:t>166. Claim + two later sources: Conducting pre-foresight research: organizational aspect</w:t>
      </w:r>
    </w:p>
    <w:p>
      <w:pPr>
        <w:pStyle w:val="SourceNote"/>
      </w:pPr>
      <w:r>
        <w:rPr>
          <w:b/>
        </w:rPr>
        <w:t>Group ID:</w:t>
      </w:r>
      <w:r>
        <w:t xml:space="preserve"> group-b675af9f606b0beb234a</w:t>
      </w:r>
    </w:p>
    <w:p>
      <w:pPr>
        <w:pStyle w:val="SourceNote"/>
      </w:pPr>
      <w:r>
        <w:rPr>
          <w:b/>
        </w:rPr>
        <w:t>Original source:</w:t>
      </w:r>
      <w:r>
        <w:t xml:space="preserve"> https://doi.org/10.15407/socium2021.02.026</w:t>
      </w:r>
    </w:p>
    <w:p>
      <w:pPr/>
      <w:r>
        <w:rPr>
          <w:b/>
        </w:rPr>
        <w:t>Original future claim:</w:t>
      </w:r>
      <w:r>
        <w:t xml:space="preserve">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Later source:</w:t>
      </w:r>
      <w:r>
        <w:t xml:space="preserve"> CGT TECHNICAL DISCLOSURE BULLETIN V1 - Prior Art Publication for Inventions Derived from Conscious Geometry Theory — https://doi.org/10.5281/zenodo.18772630</w:t>
      </w:r>
    </w:p>
    <w:p>
      <w:pPr/>
      <w:r>
        <w:rPr>
          <w:b/>
        </w:rPr>
        <w:t>Later source:</w:t>
      </w:r>
      <w:r>
        <w:t xml:space="preserve"> Biodiversity Literature Repository: a repository and gateway to data in publications — https://doi.org/10.5194/wbf2026-718</w:t>
      </w:r>
    </w:p>
    <w:p>
      <w:pPr>
        <w:pStyle w:val="SourceNote"/>
      </w:pPr>
      <w:r>
        <w:rPr>
          <w:b/>
        </w:rPr>
        <w:t>Review status:</w:t>
      </w:r>
      <w:r>
        <w:t xml:space="preserve"> unchecked — possible relationship only</w:t>
      </w:r>
    </w:p>
    <w:p>
      <w:pPr>
        <w:pStyle w:val="Heading2"/>
      </w:pPr>
      <w:r>
        <w:t>167. Claim + two later sources: Where is the EU headed given its current climate policy? A stakeholder-driven model inter-comparison</w:t>
      </w:r>
    </w:p>
    <w:p>
      <w:pPr>
        <w:pStyle w:val="SourceNote"/>
      </w:pPr>
      <w:r>
        <w:rPr>
          <w:b/>
        </w:rPr>
        <w:t>Group ID:</w:t>
      </w:r>
      <w:r>
        <w:t xml:space="preserve"> group-35ed3403fdeecc4d4f65</w:t>
      </w:r>
    </w:p>
    <w:p>
      <w:pPr>
        <w:pStyle w:val="SourceNote"/>
      </w:pPr>
      <w:r>
        <w:rPr>
          <w:b/>
        </w:rPr>
        <w:t>Original source:</w:t>
      </w:r>
      <w:r>
        <w:t xml:space="preserve"> https://doi.org/10.1016/j.scitotenv.2021.148549</w:t>
      </w:r>
    </w:p>
    <w:p>
      <w:pPr/>
      <w:r>
        <w:rPr>
          <w:b/>
        </w:rPr>
        <w:t>Original future claim:</w:t>
      </w:r>
      <w:r>
        <w:t xml:space="preserve">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Later source:</w:t>
      </w:r>
      <w:r>
        <w:t xml:space="preserve"> Diversity of biomass usage pathways to achieve emissions targets in the European energy system — https://doi.org/10.1038/s41560-024-01693-6</w:t>
      </w:r>
    </w:p>
    <w:p>
      <w:pPr/>
      <w:r>
        <w:rPr>
          <w:b/>
        </w:rPr>
        <w:t>Later source:</w:t>
      </w:r>
      <w:r>
        <w:t xml:space="preserve"> Still on track for electrification? A qualitative comparative analysis of e-mobility policy mixes in 14 European cities — https://doi.org/10.1016/j.urbmob.2025.100114</w:t>
      </w:r>
    </w:p>
    <w:p>
      <w:pPr>
        <w:pStyle w:val="SourceNote"/>
      </w:pPr>
      <w:r>
        <w:rPr>
          <w:b/>
        </w:rPr>
        <w:t>Review status:</w:t>
      </w:r>
      <w:r>
        <w:t xml:space="preserve"> unchecked — possible relationship only</w:t>
      </w:r>
    </w:p>
    <w:p>
      <w:pPr>
        <w:pStyle w:val="Heading2"/>
      </w:pPr>
      <w:r>
        <w:t>168. Claim + two later sources: A threat to climate-secure European futures? Exploring racial logics and climate-induced migration in US and EU climate security discourses</w:t>
      </w:r>
    </w:p>
    <w:p>
      <w:pPr>
        <w:pStyle w:val="SourceNote"/>
      </w:pPr>
      <w:r>
        <w:rPr>
          <w:b/>
        </w:rPr>
        <w:t>Group ID:</w:t>
      </w:r>
      <w:r>
        <w:t xml:space="preserve"> group-bad36758c9bd200166d7</w:t>
      </w:r>
    </w:p>
    <w:p>
      <w:pPr>
        <w:pStyle w:val="SourceNote"/>
      </w:pPr>
      <w:r>
        <w:rPr>
          <w:b/>
        </w:rPr>
        <w:t>Original source:</w:t>
      </w:r>
      <w:r>
        <w:t xml:space="preserve"> https://doi.org/10.1016/j.geoforum.2018.08.021</w:t>
      </w:r>
    </w:p>
    <w:p>
      <w:pPr/>
      <w:r>
        <w:rPr>
          <w:b/>
        </w:rPr>
        <w:t>Original future claim:</w:t>
      </w:r>
      <w:r>
        <w:t xml:space="preserve">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Later source:</w:t>
      </w:r>
      <w:r>
        <w:t xml:space="preserve"> Discursive borders in EUrope — https://doi.org/10.82444/warw.33764785</w:t>
      </w:r>
    </w:p>
    <w:p>
      <w:pPr/>
      <w:r>
        <w:rPr>
          <w:b/>
        </w:rPr>
        <w:t>Later source:</w:t>
      </w:r>
      <w:r>
        <w:t xml:space="preserve"> Learning as Governance: Discursive Constructions of Learning in the Postdigital Knowledge Economy — https://doi.org/10.1007/978-3-032-21956-5_2</w:t>
      </w:r>
    </w:p>
    <w:p>
      <w:pPr>
        <w:pStyle w:val="SourceNote"/>
      </w:pPr>
      <w:r>
        <w:rPr>
          <w:b/>
        </w:rPr>
        <w:t>Review status:</w:t>
      </w:r>
      <w:r>
        <w:t xml:space="preserve"> unchecked — possible relationship only</w:t>
      </w:r>
    </w:p>
    <w:p>
      <w:pPr>
        <w:pStyle w:val="Heading2"/>
      </w:pPr>
      <w:r>
        <w:t>169. Claim + two later sources: Animal health aspects of adaptation to climate change: beating the heat and parasites in a warming Europe</w:t>
      </w:r>
    </w:p>
    <w:p>
      <w:pPr>
        <w:pStyle w:val="SourceNote"/>
      </w:pPr>
      <w:r>
        <w:rPr>
          <w:b/>
        </w:rPr>
        <w:t>Group ID:</w:t>
      </w:r>
      <w:r>
        <w:t xml:space="preserve"> group-8cc81a01aef946f79307</w:t>
      </w:r>
    </w:p>
    <w:p>
      <w:pPr>
        <w:pStyle w:val="SourceNote"/>
      </w:pPr>
      <w:r>
        <w:rPr>
          <w:b/>
        </w:rPr>
        <w:t>Original source:</w:t>
      </w:r>
      <w:r>
        <w:t xml:space="preserve"> https://doi.org/10.1017/s175173111300075x</w:t>
      </w:r>
    </w:p>
    <w:p>
      <w:pPr/>
      <w:r>
        <w:rPr>
          <w:b/>
        </w:rPr>
        <w:t>Original future claim:</w:t>
      </w:r>
      <w:r>
        <w:t xml:space="preserve">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Later source:</w:t>
      </w:r>
      <w:r>
        <w:t xml:space="preserve"> Direct and indirect genetic effects of birthweight predisposition on child DNA methylation at birth — https://doi.org/10.1080/15592294.2026.2654101</w:t>
      </w:r>
    </w:p>
    <w:p>
      <w:pPr/>
      <w:r>
        <w:rPr>
          <w:b/>
        </w:rPr>
        <w:t>Later source:</w:t>
      </w:r>
      <w:r>
        <w:t xml:space="preserve"> Epidemiology and Economic Burden of Sleep Disorders in Europe — https://doi.org/10.1111/ene.70463</w:t>
      </w:r>
    </w:p>
    <w:p>
      <w:pPr>
        <w:pStyle w:val="SourceNote"/>
      </w:pPr>
      <w:r>
        <w:rPr>
          <w:b/>
        </w:rPr>
        <w:t>Review status:</w:t>
      </w:r>
      <w:r>
        <w:t xml:space="preserve"> unchecked — possible relationship only</w:t>
      </w:r>
    </w:p>
    <w:p>
      <w:pPr>
        <w:pStyle w:val="Heading2"/>
      </w:pPr>
      <w:r>
        <w:t>170. Claim + two later sources: The pitfalls of ecological forecasting</w:t>
      </w:r>
    </w:p>
    <w:p>
      <w:pPr>
        <w:pStyle w:val="SourceNote"/>
      </w:pPr>
      <w:r>
        <w:rPr>
          <w:b/>
        </w:rPr>
        <w:t>Group ID:</w:t>
      </w:r>
      <w:r>
        <w:t xml:space="preserve"> group-af81a6e887609bc61a6e</w:t>
      </w:r>
    </w:p>
    <w:p>
      <w:pPr>
        <w:pStyle w:val="SourceNote"/>
      </w:pPr>
      <w:r>
        <w:rPr>
          <w:b/>
        </w:rPr>
        <w:t>Original source:</w:t>
      </w:r>
      <w:r>
        <w:t xml:space="preserve"> https://doi.org/10.1111/bij.12579</w:t>
      </w:r>
    </w:p>
    <w:p>
      <w:pPr/>
      <w:r>
        <w:rPr>
          <w:b/>
        </w:rPr>
        <w:t>Original future claim:</w:t>
      </w:r>
      <w:r>
        <w:t xml:space="preserve">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Later source:</w:t>
      </w:r>
      <w:r>
        <w:t xml:space="preserve"> Increasing Inclusivity in Biological Recording in the United Kingdom: Progress to Date and Future Priorities — https://doi.org/10.5334/cstp.894</w:t>
      </w:r>
    </w:p>
    <w:p>
      <w:pPr/>
      <w:r>
        <w:rPr>
          <w:b/>
        </w:rPr>
        <w:t>Later source:</w:t>
      </w:r>
      <w:r>
        <w:t xml:space="preserve"> Biocompatible Lubricant-Coated Flexible Neural Probes with Enhanced Long-Term Recording Stability — https://doi.org/10.1021/acsabm.5c02232</w:t>
      </w:r>
    </w:p>
    <w:p>
      <w:pPr>
        <w:pStyle w:val="SourceNote"/>
      </w:pPr>
      <w:r>
        <w:rPr>
          <w:b/>
        </w:rPr>
        <w:t>Review status:</w:t>
      </w:r>
      <w:r>
        <w:t xml:space="preserve"> unchecked — possible relationship only</w:t>
      </w:r>
    </w:p>
    <w:p>
      <w:pPr>
        <w:pStyle w:val="Heading2"/>
      </w:pPr>
      <w:r>
        <w:t>171. Claim + two later sources: Climate Change Effects on Heat- and Cold-Related Mortality in the Netherlands: A Scenario-Based Integrated Environmental Health Impact Assessment</w:t>
      </w:r>
    </w:p>
    <w:p>
      <w:pPr>
        <w:pStyle w:val="SourceNote"/>
      </w:pPr>
      <w:r>
        <w:rPr>
          <w:b/>
        </w:rPr>
        <w:t>Group ID:</w:t>
      </w:r>
      <w:r>
        <w:t xml:space="preserve"> group-cff35e25dda05c834cfb</w:t>
      </w:r>
    </w:p>
    <w:p>
      <w:pPr>
        <w:pStyle w:val="SourceNote"/>
      </w:pPr>
      <w:r>
        <w:rPr>
          <w:b/>
        </w:rPr>
        <w:t>Original source:</w:t>
      </w:r>
      <w:r>
        <w:t xml:space="preserve"> https://doi.org/10.3390/ijerph121013295</w:t>
      </w:r>
    </w:p>
    <w:p>
      <w:pPr/>
      <w:r>
        <w:rPr>
          <w:b/>
        </w:rPr>
        <w:t>Original future claim:</w:t>
      </w:r>
      <w:r>
        <w:t xml:space="preserve">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Exploring decarbonisation strategies in the Southern-European region of Catalonia through a multi-scenario assessment — https://doi.org/10.1016/j.esr.2026.102184</w:t>
      </w:r>
    </w:p>
    <w:p>
      <w:pPr>
        <w:pStyle w:val="SourceNote"/>
      </w:pPr>
      <w:r>
        <w:rPr>
          <w:b/>
        </w:rPr>
        <w:t>Review status:</w:t>
      </w:r>
      <w:r>
        <w:t xml:space="preserve"> unchecked — possible relationship only</w:t>
      </w:r>
    </w:p>
    <w:p>
      <w:pPr>
        <w:pStyle w:val="Heading2"/>
      </w:pPr>
      <w:r>
        <w:t>172. Claim + two later sources: Scenario planning: An alternative approach to European Commission for combating antimicrobial resistance by 2050</w:t>
      </w:r>
    </w:p>
    <w:p>
      <w:pPr>
        <w:pStyle w:val="SourceNote"/>
      </w:pPr>
      <w:r>
        <w:rPr>
          <w:b/>
        </w:rPr>
        <w:t>Group ID:</w:t>
      </w:r>
      <w:r>
        <w:t xml:space="preserve"> group-891bc6c63eb44b232f4f</w:t>
      </w:r>
    </w:p>
    <w:p>
      <w:pPr>
        <w:pStyle w:val="SourceNote"/>
      </w:pPr>
      <w:r>
        <w:rPr>
          <w:b/>
        </w:rPr>
        <w:t>Original source:</w:t>
      </w:r>
      <w:r>
        <w:t xml:space="preserve"> https://doi.org/10.11576/seejph-4312</w:t>
      </w:r>
    </w:p>
    <w:p>
      <w:pPr/>
      <w:r>
        <w:rPr>
          <w:b/>
        </w:rPr>
        <w:t>Original future claim:</w:t>
      </w:r>
      <w:r>
        <w:t xml:space="preserve">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Later source:</w:t>
      </w:r>
      <w:r>
        <w:t xml:space="preserve"> Mapping Slovenia’s global health engagement: alignment with European Union and national global health strategies — https://doi.org/10.1186/s41043-025-01125-5</w:t>
      </w:r>
    </w:p>
    <w:p>
      <w:pPr/>
      <w:r>
        <w:rPr>
          <w:b/>
        </w:rPr>
        <w:t>Later source:</w:t>
      </w:r>
      <w:r>
        <w:t xml:space="preserve"> Four leaders, four decades: leadership and European parliament's secretaries-general — https://doi.org/10.4324/9781003753483-10</w:t>
      </w:r>
    </w:p>
    <w:p>
      <w:pPr>
        <w:pStyle w:val="SourceNote"/>
      </w:pPr>
      <w:r>
        <w:rPr>
          <w:b/>
        </w:rPr>
        <w:t>Review status:</w:t>
      </w:r>
      <w:r>
        <w:t xml:space="preserve"> unchecked — possible relationship only</w:t>
      </w:r>
    </w:p>
    <w:p>
      <w:pPr>
        <w:pStyle w:val="Heading2"/>
      </w:pPr>
      <w:r>
        <w:t>173. Claim + two later sources: From bioethanol containing fuels towards a fuel economy that includes methanol derived from renewable sources and the impact on European Union decision-making on transition pathways</w:t>
      </w:r>
    </w:p>
    <w:p>
      <w:pPr>
        <w:pStyle w:val="SourceNote"/>
      </w:pPr>
      <w:r>
        <w:rPr>
          <w:b/>
        </w:rPr>
        <w:t>Group ID:</w:t>
      </w:r>
      <w:r>
        <w:t xml:space="preserve"> group-08302c0c8d7abef5711a</w:t>
      </w:r>
    </w:p>
    <w:p>
      <w:pPr>
        <w:pStyle w:val="SourceNote"/>
      </w:pPr>
      <w:r>
        <w:rPr>
          <w:b/>
        </w:rPr>
        <w:t>Original source:</w:t>
      </w:r>
      <w:r>
        <w:t xml:space="preserve"> https://doi.org/10.1016/j.rser.2019.109667</w:t>
      </w:r>
    </w:p>
    <w:p>
      <w:pPr/>
      <w:r>
        <w:rPr>
          <w:b/>
        </w:rPr>
        <w:t>Original future claim:</w:t>
      </w:r>
      <w:r>
        <w:t xml:space="preserve">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Simplifying decision-making in model-based co-design of building energy systems through automatically generated optimal controls — https://doi.org/10.26868/25222708.2025.1690</w:t>
      </w:r>
    </w:p>
    <w:p>
      <w:pPr>
        <w:pStyle w:val="SourceNote"/>
      </w:pPr>
      <w:r>
        <w:rPr>
          <w:b/>
        </w:rPr>
        <w:t>Review status:</w:t>
      </w:r>
      <w:r>
        <w:t xml:space="preserve"> unchecked — possible relationship only</w:t>
      </w:r>
    </w:p>
    <w:p>
      <w:pPr>
        <w:pStyle w:val="Heading2"/>
      </w:pPr>
      <w:r>
        <w:t>174. Claim + two later sources: Are the EU climate ambitions reflected on member-state level for greenhouse gas reductions and renewable energy consumption shares?</w:t>
      </w:r>
    </w:p>
    <w:p>
      <w:pPr>
        <w:pStyle w:val="SourceNote"/>
      </w:pPr>
      <w:r>
        <w:rPr>
          <w:b/>
        </w:rPr>
        <w:t>Group ID:</w:t>
      </w:r>
      <w:r>
        <w:t xml:space="preserve"> group-6034f39822395c963f7c</w:t>
      </w:r>
    </w:p>
    <w:p>
      <w:pPr>
        <w:pStyle w:val="SourceNote"/>
      </w:pPr>
      <w:r>
        <w:rPr>
          <w:b/>
        </w:rPr>
        <w:t>Original source:</w:t>
      </w:r>
      <w:r>
        <w:t xml:space="preserve"> https://doi.org/10.1016/j.esr.2022.100936</w:t>
      </w:r>
    </w:p>
    <w:p>
      <w:pPr/>
      <w:r>
        <w:rPr>
          <w:b/>
        </w:rPr>
        <w:t>Original future claim:</w:t>
      </w:r>
      <w:r>
        <w:t xml:space="preserve">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Later source:</w:t>
      </w:r>
      <w:r>
        <w:t xml:space="preserve"> Spatial contexts and educational inequalities in European countries — https://doi.org/10.5281/zenodo.18377623</w:t>
      </w:r>
    </w:p>
    <w:p>
      <w:pPr/>
      <w:r>
        <w:rPr>
          <w:b/>
        </w:rPr>
        <w:t>Later source:</w:t>
      </w:r>
      <w:r>
        <w:t xml:space="preserve"> The LULUCF Data Hub: translating global land use emissions estimates into the national GHG inventory framework — https://doi.org/10.5194/essd-2025-631</w:t>
      </w:r>
    </w:p>
    <w:p>
      <w:pPr>
        <w:pStyle w:val="SourceNote"/>
      </w:pPr>
      <w:r>
        <w:rPr>
          <w:b/>
        </w:rPr>
        <w:t>Review status:</w:t>
      </w:r>
      <w:r>
        <w:t xml:space="preserve"> unchecked — possible relationship only</w:t>
      </w:r>
    </w:p>
    <w:p>
      <w:pPr>
        <w:pStyle w:val="Heading2"/>
      </w:pPr>
      <w:r>
        <w:t>175. Claim + two later sources: How climate, migration ability and habitat fragmentation affect the projected future distribution of European beech</w:t>
      </w:r>
    </w:p>
    <w:p>
      <w:pPr>
        <w:pStyle w:val="SourceNote"/>
      </w:pPr>
      <w:r>
        <w:rPr>
          <w:b/>
        </w:rPr>
        <w:t>Group ID:</w:t>
      </w:r>
      <w:r>
        <w:t xml:space="preserve"> group-a4316eb5276419a6a364</w:t>
      </w:r>
    </w:p>
    <w:p>
      <w:pPr>
        <w:pStyle w:val="SourceNote"/>
      </w:pPr>
      <w:r>
        <w:rPr>
          <w:b/>
        </w:rPr>
        <w:t>Original source:</w:t>
      </w:r>
      <w:r>
        <w:t xml:space="preserve"> https://doi.org/10.1111/gcb.12771</w:t>
      </w:r>
    </w:p>
    <w:p>
      <w:pPr/>
      <w:r>
        <w:rPr>
          <w:b/>
        </w:rPr>
        <w:t>Original future claim:</w:t>
      </w:r>
      <w:r>
        <w:t xml:space="preserve">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Later source:</w:t>
      </w:r>
      <w:r>
        <w:t xml:space="preserve"> Climate change will increase forest disturbances in Europe throughout the 21st century — https://doi.org/10.1126/science.adx6329</w:t>
      </w:r>
    </w:p>
    <w:p>
      <w:pPr/>
      <w:r>
        <w:rPr>
          <w:b/>
        </w:rPr>
        <w:t>Later source:</w:t>
      </w:r>
      <w:r>
        <w:t xml:space="preserve"> Habitat-specific trends in taxonomic, functional, and phylogenetic diversity in European plant communities over a century — https://doi.org/10.1038/s41467-026-72112-5</w:t>
      </w:r>
    </w:p>
    <w:p>
      <w:pPr>
        <w:pStyle w:val="SourceNote"/>
      </w:pPr>
      <w:r>
        <w:rPr>
          <w:b/>
        </w:rPr>
        <w:t>Review status:</w:t>
      </w:r>
      <w:r>
        <w:t xml:space="preserve"> unchecked — possible relationship only</w:t>
      </w:r>
    </w:p>
    <w:p>
      <w:pPr>
        <w:pStyle w:val="Heading2"/>
      </w:pPr>
      <w:r>
        <w:t>176. Claim + two later sources: Least cost energy system pathways towards 100% renewable energy in Ireland by 2050</w:t>
      </w:r>
    </w:p>
    <w:p>
      <w:pPr>
        <w:pStyle w:val="SourceNote"/>
      </w:pPr>
      <w:r>
        <w:rPr>
          <w:b/>
        </w:rPr>
        <w:t>Group ID:</w:t>
      </w:r>
      <w:r>
        <w:t xml:space="preserve"> group-2b23937e4845bda66cd8</w:t>
      </w:r>
    </w:p>
    <w:p>
      <w:pPr>
        <w:pStyle w:val="SourceNote"/>
      </w:pPr>
      <w:r>
        <w:rPr>
          <w:b/>
        </w:rPr>
        <w:t>Original source:</w:t>
      </w:r>
      <w:r>
        <w:t xml:space="preserve"> https://doi.org/10.1016/j.energy.2020.118264</w:t>
      </w:r>
    </w:p>
    <w:p>
      <w:pPr/>
      <w:r>
        <w:rPr>
          <w:b/>
        </w:rPr>
        <w:t>Original future claim:</w:t>
      </w:r>
      <w:r>
        <w:t xml:space="preserve">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Economic specialization and heterogeneous temperature-economy relationships suggest net costs of climate change in Europe — https://doi.org/10.1038/s41467-026-73341-4</w:t>
      </w:r>
    </w:p>
    <w:p>
      <w:pPr>
        <w:pStyle w:val="SourceNote"/>
      </w:pPr>
      <w:r>
        <w:rPr>
          <w:b/>
        </w:rPr>
        <w:t>Review status:</w:t>
      </w:r>
      <w:r>
        <w:t xml:space="preserve"> unchecked — possible relationship only</w:t>
      </w:r>
    </w:p>
    <w:p>
      <w:pPr>
        <w:pStyle w:val="Heading2"/>
      </w:pPr>
      <w:r>
        <w:t>177. Claim + two later sources: The Deliberative Practice of Vision Mobility 2050: Vision-making for Sustainable Mobility in the Region of Munich?</w:t>
      </w:r>
    </w:p>
    <w:p>
      <w:pPr>
        <w:pStyle w:val="SourceNote"/>
      </w:pPr>
      <w:r>
        <w:rPr>
          <w:b/>
        </w:rPr>
        <w:t>Group ID:</w:t>
      </w:r>
      <w:r>
        <w:t xml:space="preserve"> group-e9d7f39da0defc589b53</w:t>
      </w:r>
    </w:p>
    <w:p>
      <w:pPr>
        <w:pStyle w:val="SourceNote"/>
      </w:pPr>
      <w:r>
        <w:rPr>
          <w:b/>
        </w:rPr>
        <w:t>Original source:</w:t>
      </w:r>
      <w:r>
        <w:t xml:space="preserve"> https://doi.org/10.1016/j.trpro.2016.12.096</w:t>
      </w:r>
    </w:p>
    <w:p>
      <w:pPr/>
      <w:r>
        <w:rPr>
          <w:b/>
        </w:rPr>
        <w:t>Original future claim:</w:t>
      </w:r>
      <w:r>
        <w:t xml:space="preserve">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Later source:</w:t>
      </w:r>
      <w:r>
        <w:t xml:space="preserve"> Winners and Losers from the Protestant Reformation: An Analysis of the Network of European Universities — https://doi.org/10.1017/s0022050725101058</w:t>
      </w:r>
    </w:p>
    <w:p>
      <w:pPr/>
      <w:r>
        <w:rPr>
          <w:b/>
        </w:rPr>
        <w:t>Later source:</w:t>
      </w:r>
      <w:r>
        <w:t xml:space="preserve"> Monitoring the Screens: Current Challenges of Minority Language Media in the Context of the Council of Europe — https://doi.org/10.1163/15718115-bja10260</w:t>
      </w:r>
    </w:p>
    <w:p>
      <w:pPr>
        <w:pStyle w:val="SourceNote"/>
      </w:pPr>
      <w:r>
        <w:rPr>
          <w:b/>
        </w:rPr>
        <w:t>Review status:</w:t>
      </w:r>
      <w:r>
        <w:t xml:space="preserve"> unchecked — possible relationship only</w:t>
      </w:r>
    </w:p>
    <w:p>
      <w:pPr>
        <w:pStyle w:val="Heading2"/>
      </w:pPr>
      <w:r>
        <w:t>178. Claim + two later sources: The role of district heating systems to provide balancing services in the European Union</w:t>
      </w:r>
    </w:p>
    <w:p>
      <w:pPr>
        <w:pStyle w:val="SourceNote"/>
      </w:pPr>
      <w:r>
        <w:rPr>
          <w:b/>
        </w:rPr>
        <w:t>Group ID:</w:t>
      </w:r>
      <w:r>
        <w:t xml:space="preserve"> group-507157e19e0d9e84d566</w:t>
      </w:r>
    </w:p>
    <w:p>
      <w:pPr>
        <w:pStyle w:val="SourceNote"/>
      </w:pPr>
      <w:r>
        <w:rPr>
          <w:b/>
        </w:rPr>
        <w:t>Original source:</w:t>
      </w:r>
      <w:r>
        <w:t xml:space="preserve"> https://doi.org/10.1016/j.rser.2021.111853</w:t>
      </w:r>
    </w:p>
    <w:p>
      <w:pPr/>
      <w:r>
        <w:rPr>
          <w:b/>
        </w:rPr>
        <w:t>Original future claim:</w:t>
      </w:r>
      <w:r>
        <w:t xml:space="preserve">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Later source:</w:t>
      </w:r>
      <w:r>
        <w:t xml:space="preserve"> Toward a Sustainable Energy Production System Based on Concentrated Solar Power Plants: Social and Water Availability Issues — https://doi.org/10.1021/acssuschemeng.5c11213</w:t>
      </w:r>
    </w:p>
    <w:p>
      <w:pPr/>
      <w:r>
        <w:rPr>
          <w:b/>
        </w:rPr>
        <w:t>Later source:</w:t>
      </w:r>
      <w:r>
        <w:t xml:space="preserve"> Life cycle assessment of wave energy: the Mutriku case study — https://doi.org/10.1007/s40722-026-00487-0</w:t>
      </w:r>
    </w:p>
    <w:p>
      <w:pPr>
        <w:pStyle w:val="SourceNote"/>
      </w:pPr>
      <w:r>
        <w:rPr>
          <w:b/>
        </w:rPr>
        <w:t>Review status:</w:t>
      </w:r>
      <w:r>
        <w:t xml:space="preserve"> unchecked — possible relationship only</w:t>
      </w:r>
    </w:p>
    <w:p>
      <w:pPr>
        <w:pStyle w:val="Heading2"/>
      </w:pPr>
      <w:r>
        <w:t>179. Claim + two later sources: Scenario‐based fertility projections incorporating impacts of COVID‐19</w:t>
      </w:r>
    </w:p>
    <w:p>
      <w:pPr>
        <w:pStyle w:val="SourceNote"/>
      </w:pPr>
      <w:r>
        <w:rPr>
          <w:b/>
        </w:rPr>
        <w:t>Group ID:</w:t>
      </w:r>
      <w:r>
        <w:t xml:space="preserve"> group-1548324f1d42a3ad5dc6</w:t>
      </w:r>
    </w:p>
    <w:p>
      <w:pPr>
        <w:pStyle w:val="SourceNote"/>
      </w:pPr>
      <w:r>
        <w:rPr>
          <w:b/>
        </w:rPr>
        <w:t>Original source:</w:t>
      </w:r>
      <w:r>
        <w:t xml:space="preserve"> https://doi.org/10.1002/psp.2546</w:t>
      </w:r>
    </w:p>
    <w:p>
      <w:pPr/>
      <w:r>
        <w:rPr>
          <w:b/>
        </w:rPr>
        <w:t>Original future claim:</w:t>
      </w:r>
      <w:r>
        <w:t xml:space="preserve">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Later source:</w:t>
      </w:r>
      <w:r>
        <w:t xml:space="preserve"> Three generations of NARCliM: future projections of mean and extreme climate over the CORDEX Australasia domain — https://doi.org/10.1038/s41612-025-01280-w</w:t>
      </w:r>
    </w:p>
    <w:p>
      <w:pPr/>
      <w:r>
        <w:rPr>
          <w:b/>
        </w:rPr>
        <w:t>Later source:</w:t>
      </w:r>
      <w:r>
        <w:t xml:space="preserve"> The Likelihood of Persistently Low Global Fertility — https://doi.org/10.1257/jep.20251463</w:t>
      </w:r>
    </w:p>
    <w:p>
      <w:pPr>
        <w:pStyle w:val="SourceNote"/>
      </w:pPr>
      <w:r>
        <w:rPr>
          <w:b/>
        </w:rPr>
        <w:t>Review status:</w:t>
      </w:r>
      <w:r>
        <w:t xml:space="preserve"> unchecked — possible relationship only</w:t>
      </w:r>
    </w:p>
    <w:p>
      <w:pPr>
        <w:pStyle w:val="Heading2"/>
      </w:pPr>
      <w:r>
        <w:t>180. Claim + two later sources: Scenarios for selected maritime economic functions</w:t>
      </w:r>
    </w:p>
    <w:p>
      <w:pPr>
        <w:pStyle w:val="SourceNote"/>
      </w:pPr>
      <w:r>
        <w:rPr>
          <w:b/>
        </w:rPr>
        <w:t>Group ID:</w:t>
      </w:r>
      <w:r>
        <w:t xml:space="preserve"> group-940b65c5827441532e80</w:t>
      </w:r>
    </w:p>
    <w:p>
      <w:pPr>
        <w:pStyle w:val="SourceNote"/>
      </w:pPr>
      <w:r>
        <w:rPr>
          <w:b/>
        </w:rPr>
        <w:t>Original source:</w:t>
      </w:r>
      <w:r>
        <w:t xml:space="preserve"> https://doi.org/10.1007/s40309-013-0011-8</w:t>
      </w:r>
    </w:p>
    <w:p>
      <w:pPr/>
      <w:r>
        <w:rPr>
          <w:b/>
        </w:rPr>
        <w:t>Original future claim:</w:t>
      </w:r>
      <w:r>
        <w:t xml:space="preserve">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Later source:</w:t>
      </w:r>
      <w:r>
        <w:t xml:space="preserve"> Soil degradation in Europe is projected to accelerate under changing land use and climate — https://doi.org/10.1038/s44458-026-00064-4</w:t>
      </w:r>
    </w:p>
    <w:p>
      <w:pPr/>
      <w:r>
        <w:rPr>
          <w:b/>
        </w:rPr>
        <w:t>Later source:</w:t>
      </w:r>
      <w:r>
        <w:t xml:space="preserve"> BLUE DB: A Local-Level Election Database for 31 European Countries (2001–2025) — https://doi.org/10.31235/osf.io/qp836_v1</w:t>
      </w:r>
    </w:p>
    <w:p>
      <w:pPr>
        <w:pStyle w:val="SourceNote"/>
      </w:pPr>
      <w:r>
        <w:rPr>
          <w:b/>
        </w:rPr>
        <w:t>Review status:</w:t>
      </w:r>
      <w:r>
        <w:t xml:space="preserve"> unchecked — possible relationship only</w:t>
      </w:r>
    </w:p>
    <w:p>
      <w:pPr>
        <w:pStyle w:val="Heading2"/>
      </w:pPr>
      <w:r>
        <w:t>181. Claim + two later sources: Towards Europe 2035 - In Search of the Archimedean Screw: FOCUS in Perspective</w:t>
      </w:r>
    </w:p>
    <w:p>
      <w:pPr>
        <w:pStyle w:val="SourceNote"/>
      </w:pPr>
      <w:r>
        <w:rPr>
          <w:b/>
        </w:rPr>
        <w:t>Group ID:</w:t>
      </w:r>
      <w:r>
        <w:t xml:space="preserve"> group-4e79217abf15cd656ce7</w:t>
      </w:r>
    </w:p>
    <w:p>
      <w:pPr>
        <w:pStyle w:val="SourceNote"/>
      </w:pPr>
      <w:r>
        <w:rPr>
          <w:b/>
        </w:rPr>
        <w:t>Original source:</w:t>
      </w:r>
      <w:r>
        <w:t xml:space="preserve"> https://doi.org/10.11610/isij.2912</w:t>
      </w:r>
    </w:p>
    <w:p>
      <w:pPr/>
      <w:r>
        <w:rPr>
          <w:b/>
        </w:rPr>
        <w:t>Original future claim:</w:t>
      </w:r>
      <w:r>
        <w:t xml:space="preserve">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Later source:</w:t>
      </w:r>
      <w:r>
        <w:t xml:space="preserve"> Energy policy and economic security: a comparison of Europe and Asia — https://doi.org/10.33223/epj/207199</w:t>
      </w:r>
    </w:p>
    <w:p>
      <w:pPr/>
      <w:r>
        <w:rPr>
          <w:b/>
        </w:rPr>
        <w:t>Later source:</w:t>
      </w:r>
      <w:r>
        <w:t xml:space="preserve"> PUBLIC SECURITY AS AN ADMINISTRATIVE FUNCTION IN THE EUROPEAN UNION. A MULTILEVEL GOVERNANCE APPROACH — https://doi.org/10.13165/pspo-25-38-01-02</w:t>
      </w:r>
    </w:p>
    <w:p>
      <w:pPr>
        <w:pStyle w:val="SourceNote"/>
      </w:pPr>
      <w:r>
        <w:rPr>
          <w:b/>
        </w:rPr>
        <w:t>Review status:</w:t>
      </w:r>
      <w:r>
        <w:t xml:space="preserve"> unchecked — possible relationship only</w:t>
      </w:r>
    </w:p>
    <w:p>
      <w:pPr>
        <w:pStyle w:val="Heading2"/>
      </w:pPr>
      <w:r>
        <w:t>182. Claim + two later sources: Towards an assessment of adaptive capacity of the European agricultural sector to droughts</w:t>
      </w:r>
    </w:p>
    <w:p>
      <w:pPr>
        <w:pStyle w:val="SourceNote"/>
      </w:pPr>
      <w:r>
        <w:rPr>
          <w:b/>
        </w:rPr>
        <w:t>Group ID:</w:t>
      </w:r>
      <w:r>
        <w:t xml:space="preserve"> group-e6e4fc6103bca9e457f2</w:t>
      </w:r>
    </w:p>
    <w:p>
      <w:pPr>
        <w:pStyle w:val="SourceNote"/>
      </w:pPr>
      <w:r>
        <w:rPr>
          <w:b/>
        </w:rPr>
        <w:t>Original source:</w:t>
      </w:r>
      <w:r>
        <w:t xml:space="preserve"> https://doi.org/10.1016/j.cliser.2016.10.003</w:t>
      </w:r>
    </w:p>
    <w:p>
      <w:pPr/>
      <w:r>
        <w:rPr>
          <w:b/>
        </w:rPr>
        <w:t>Original future claim:</w:t>
      </w:r>
      <w:r>
        <w:t xml:space="preserve">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Later source:</w:t>
      </w:r>
      <w:r>
        <w:t xml:space="preserve"> Selected Indicators of the Agricultural Sector in the European Union — https://doi.org/10.33422/worldbme.v3i2.1740</w:t>
      </w:r>
    </w:p>
    <w:p>
      <w:pPr/>
      <w:r>
        <w:rPr>
          <w:b/>
        </w:rPr>
        <w:t>Later source:</w:t>
      </w:r>
      <w:r>
        <w:t xml:space="preserve"> DIGITALIZATION AND ENERGY INDICATORS IN THE EUROPEAN UNION — https://doi.org/10.38104/vadyba.2026.2.04</w:t>
      </w:r>
    </w:p>
    <w:p>
      <w:pPr>
        <w:pStyle w:val="SourceNote"/>
      </w:pPr>
      <w:r>
        <w:rPr>
          <w:b/>
        </w:rPr>
        <w:t>Review status:</w:t>
      </w:r>
      <w:r>
        <w:t xml:space="preserve"> unchecked — possible relationship only</w:t>
      </w:r>
    </w:p>
    <w:p>
      <w:pPr>
        <w:pStyle w:val="Heading2"/>
      </w:pPr>
      <w:r>
        <w:t>183. Claim + two later sources: Disaggregation of official demographic projections in sub-groups by education level: the neglected “composition effect” in the future path of life expectancy</w:t>
      </w:r>
    </w:p>
    <w:p>
      <w:pPr>
        <w:pStyle w:val="SourceNote"/>
      </w:pPr>
      <w:r>
        <w:rPr>
          <w:b/>
        </w:rPr>
        <w:t>Group ID:</w:t>
      </w:r>
      <w:r>
        <w:t xml:space="preserve"> group-8de1c734c2c1e086cd0a</w:t>
      </w:r>
    </w:p>
    <w:p>
      <w:pPr>
        <w:pStyle w:val="SourceNote"/>
      </w:pPr>
      <w:r>
        <w:rPr>
          <w:b/>
        </w:rPr>
        <w:t>Original source:</w:t>
      </w:r>
      <w:r>
        <w:t xml:space="preserve"> https://doi.org/10.1186/s41118-020-00113-3</w:t>
      </w:r>
    </w:p>
    <w:p>
      <w:pPr/>
      <w:r>
        <w:rPr>
          <w:b/>
        </w:rPr>
        <w:t>Original future claim:</w:t>
      </w:r>
      <w:r>
        <w:t xml:space="preserve">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Later source:</w:t>
      </w:r>
      <w:r>
        <w:t xml:space="preserve"> Social Exchange Theory — https://doi.org/10.1079/9781800625822.0023</w:t>
      </w:r>
    </w:p>
    <w:p>
      <w:pPr/>
      <w:r>
        <w:rPr>
          <w:b/>
        </w:rPr>
        <w:t>Later source:</w:t>
      </w:r>
      <w:r>
        <w:t xml:space="preserve"> Photocatalytic C–C Coupling by a Au(I) Complex: Mechanistic Elucidation and SET Modulation — https://doi.org/10.1021/jacsau.5c01536</w:t>
      </w:r>
    </w:p>
    <w:p>
      <w:pPr>
        <w:pStyle w:val="SourceNote"/>
      </w:pPr>
      <w:r>
        <w:rPr>
          <w:b/>
        </w:rPr>
        <w:t>Review status:</w:t>
      </w:r>
      <w:r>
        <w:t xml:space="preserve"> unchecked — possible relationship only</w:t>
      </w:r>
    </w:p>
    <w:p>
      <w:pPr>
        <w:pStyle w:val="Heading2"/>
      </w:pPr>
      <w:r>
        <w:t>184. Claim + two later sources: Energy Transition Pathways to a low-carbon Europe in 2050: the degree of cooperation and the level of decentralization</w:t>
      </w:r>
    </w:p>
    <w:p>
      <w:pPr>
        <w:pStyle w:val="SourceNote"/>
      </w:pPr>
      <w:r>
        <w:rPr>
          <w:b/>
        </w:rPr>
        <w:t>Group ID:</w:t>
      </w:r>
      <w:r>
        <w:t xml:space="preserve"> group-8c46efe15ede301a739d</w:t>
      </w:r>
    </w:p>
    <w:p>
      <w:pPr>
        <w:pStyle w:val="SourceNote"/>
      </w:pPr>
      <w:r>
        <w:rPr>
          <w:b/>
        </w:rPr>
        <w:t>Original source:</w:t>
      </w:r>
      <w:r>
        <w:t xml:space="preserve"> https://doi.org/10.5547/2160-5890.9.1.pcre</w:t>
      </w:r>
    </w:p>
    <w:p>
      <w:pPr/>
      <w:r>
        <w:rPr>
          <w:b/>
        </w:rPr>
        <w:t>Original future claim:</w:t>
      </w:r>
      <w:r>
        <w:t xml:space="preserve"> All four pathways achieve an 85–95% emissions reduction by 2050. In the framework of the Paris Agreement, the European Union (EU) will have to firmly set decarbonization targets to 2050.</w:t>
      </w:r>
    </w:p>
    <w:p>
      <w:pPr/>
      <w:r>
        <w:rPr>
          <w:b/>
        </w:rPr>
        <w:t>Later source:</w:t>
      </w:r>
      <w:r>
        <w:t xml:space="preserve"> Bioclimatic and seasonal climate variables for Europe under eight SSP-RCP pathways, 1981–2100, 30 arc-seconds — https://doi.org/10.5281/zenodo.23067629</w:t>
      </w:r>
    </w:p>
    <w:p>
      <w:pPr/>
      <w:r>
        <w:rPr>
          <w:b/>
        </w:rPr>
        <w:t>Later source:</w:t>
      </w:r>
      <w:r>
        <w:t xml:space="preserve"> European Energy Vision 2060: Charting Diverse Pathways for Europe's Energy Transition — https://doi.org/10.48550/arxiv.2501.12993</w:t>
      </w:r>
    </w:p>
    <w:p>
      <w:pPr>
        <w:pStyle w:val="SourceNote"/>
      </w:pPr>
      <w:r>
        <w:rPr>
          <w:b/>
        </w:rPr>
        <w:t>Review status:</w:t>
      </w:r>
      <w:r>
        <w:t xml:space="preserve"> unchecked — possible relationship only</w:t>
      </w:r>
    </w:p>
    <w:p>
      <w:pPr>
        <w:pStyle w:val="Heading2"/>
      </w:pPr>
      <w:r>
        <w:t>185. Claim + two later sources: One step ahead? The use of foresight by Czech and Slovak non-governmental organizations</w:t>
      </w:r>
    </w:p>
    <w:p>
      <w:pPr>
        <w:pStyle w:val="SourceNote"/>
      </w:pPr>
      <w:r>
        <w:rPr>
          <w:b/>
        </w:rPr>
        <w:t>Group ID:</w:t>
      </w:r>
      <w:r>
        <w:t xml:space="preserve"> group-5a01b9d17ae56cea2671</w:t>
      </w:r>
    </w:p>
    <w:p>
      <w:pPr>
        <w:pStyle w:val="SourceNote"/>
      </w:pPr>
      <w:r>
        <w:rPr>
          <w:b/>
        </w:rPr>
        <w:t>Original source:</w:t>
      </w:r>
      <w:r>
        <w:t xml:space="preserve"> https://doi.org/10.1186/s40309-020-00163-y</w:t>
      </w:r>
    </w:p>
    <w:p>
      <w:pPr/>
      <w:r>
        <w:rPr>
          <w:b/>
        </w:rPr>
        <w:t>Original future claim:</w:t>
      </w:r>
      <w:r>
        <w:t xml:space="preserve">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Later source:</w:t>
      </w:r>
      <w:r>
        <w:t xml:space="preserve"> Understanding the Nature of Talent Identification and Development in the Nigerian Context — https://doi.org/10.17869/enu.453361</w:t>
      </w:r>
    </w:p>
    <w:p>
      <w:pPr/>
      <w:r>
        <w:rPr>
          <w:b/>
        </w:rPr>
        <w:t>Later source:</w:t>
      </w:r>
      <w:r>
        <w:t xml:space="preserve"> From Nature to Ecology — https://doi.org/10.1163/18757405-03801004</w:t>
      </w:r>
    </w:p>
    <w:p>
      <w:pPr>
        <w:pStyle w:val="SourceNote"/>
      </w:pPr>
      <w:r>
        <w:rPr>
          <w:b/>
        </w:rPr>
        <w:t>Review status:</w:t>
      </w:r>
      <w:r>
        <w:t xml:space="preserve"> unchecked — possible relationship only</w:t>
      </w:r>
    </w:p>
    <w:p>
      <w:pPr>
        <w:pStyle w:val="Heading2"/>
      </w:pPr>
      <w:r>
        <w:t>186. Claim + two later sources: How photovoltaics can contribute to GHG emission reductions of 55% in the EU by 2030</w:t>
      </w:r>
    </w:p>
    <w:p>
      <w:pPr>
        <w:pStyle w:val="SourceNote"/>
      </w:pPr>
      <w:r>
        <w:rPr>
          <w:b/>
        </w:rPr>
        <w:t>Group ID:</w:t>
      </w:r>
      <w:r>
        <w:t xml:space="preserve"> group-758ba8bdbe8a672ef423</w:t>
      </w:r>
    </w:p>
    <w:p>
      <w:pPr>
        <w:pStyle w:val="SourceNote"/>
      </w:pPr>
      <w:r>
        <w:rPr>
          <w:b/>
        </w:rPr>
        <w:t>Original source:</w:t>
      </w:r>
      <w:r>
        <w:t xml:space="preserve"> https://doi.org/10.1016/j.rser.2020.109836</w:t>
      </w:r>
    </w:p>
    <w:p>
      <w:pPr/>
      <w:r>
        <w:rPr>
          <w:b/>
        </w:rPr>
        <w:t>Original future claim:</w:t>
      </w:r>
      <w:r>
        <w:t xml:space="preserve">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187. Claim + two later sources: A review on European Union’s strategy for plastics in a circular economy and its impact on food safety</w:t>
      </w:r>
    </w:p>
    <w:p>
      <w:pPr>
        <w:pStyle w:val="SourceNote"/>
      </w:pPr>
      <w:r>
        <w:rPr>
          <w:b/>
        </w:rPr>
        <w:t>Group ID:</w:t>
      </w:r>
      <w:r>
        <w:t xml:space="preserve"> group-6a16d4213599089203b5</w:t>
      </w:r>
    </w:p>
    <w:p>
      <w:pPr>
        <w:pStyle w:val="SourceNote"/>
      </w:pPr>
      <w:r>
        <w:rPr>
          <w:b/>
        </w:rPr>
        <w:t>Original source:</w:t>
      </w:r>
      <w:r>
        <w:t xml:space="preserve"> https://doi.org/10.1016/j.jclepro.2020.125263</w:t>
      </w:r>
    </w:p>
    <w:p>
      <w:pPr/>
      <w:r>
        <w:rPr>
          <w:b/>
        </w:rPr>
        <w:t>Original future claim:</w:t>
      </w:r>
      <w:r>
        <w:t xml:space="preserve"> Unless possible substitutes to multi-layer plastics offering the same level of food protection can be developed then there will be detrimental effects on food quality, safety and shelf-life, which will lead to increased food waste, additional food costs and a reduction in the variety and availability of certain foods. One of the strategies outlined is that by 2030, all plastic packaging placed on the EU market is either reusable or can be recycled in a cost-effective manner.</w:t>
      </w:r>
    </w:p>
    <w:p>
      <w:pPr/>
      <w:r>
        <w:rPr>
          <w:b/>
        </w:rPr>
        <w:t>Later source:</w:t>
      </w:r>
      <w:r>
        <w:t xml:space="preserve"> Strategies for recycled plastics content verification — https://doi.org/10.1016/j.aiepr.2026.100284</w:t>
      </w:r>
    </w:p>
    <w:p>
      <w:pPr/>
      <w:r>
        <w:rPr>
          <w:b/>
        </w:rPr>
        <w:t>Later source:</w:t>
      </w:r>
      <w:r>
        <w:t xml:space="preserve"> Overview of 37 Tear Substitutes in Europe Based on Various Physicochemical Parameters — https://doi.org/10.1007/s40123-024-01023-9</w:t>
      </w:r>
    </w:p>
    <w:p>
      <w:pPr>
        <w:pStyle w:val="SourceNote"/>
      </w:pPr>
      <w:r>
        <w:rPr>
          <w:b/>
        </w:rPr>
        <w:t>Review status:</w:t>
      </w:r>
      <w:r>
        <w:t xml:space="preserve"> unchecked — possible relationship only</w:t>
      </w:r>
    </w:p>
    <w:p>
      <w:pPr>
        <w:pStyle w:val="Heading2"/>
      </w:pPr>
      <w:r>
        <w:t>188. Claim + two later sources: New Emerging Issues and Wild Cards as Future Shakers and Shapers</w:t>
      </w:r>
    </w:p>
    <w:p>
      <w:pPr>
        <w:pStyle w:val="SourceNote"/>
      </w:pPr>
      <w:r>
        <w:rPr>
          <w:b/>
        </w:rPr>
        <w:t>Group ID:</w:t>
      </w:r>
      <w:r>
        <w:t xml:space="preserve"> group-fe91d1b93b24f7c5ba1b</w:t>
      </w:r>
    </w:p>
    <w:p>
      <w:pPr>
        <w:pStyle w:val="SourceNote"/>
      </w:pPr>
      <w:r>
        <w:rPr>
          <w:b/>
        </w:rPr>
        <w:t>Original source:</w:t>
      </w:r>
      <w:r>
        <w:t xml:space="preserve"> https://doi.org/10.17323/1995-459x.2012.1.60.73</w:t>
      </w:r>
    </w:p>
    <w:p>
      <w:pPr/>
      <w:r>
        <w:rPr>
          <w:b/>
        </w:rPr>
        <w:t>Original future claim:</w:t>
      </w:r>
      <w:r>
        <w:t xml:space="preserve"> The projects resulted in the evaluation of current methods for obtaining and processing scanning data and new conceptual thinking that may bridge the gap between scanning activities and policy-making.</w:t>
      </w:r>
    </w:p>
    <w:p>
      <w:pPr/>
      <w:r>
        <w:rPr>
          <w:b/>
        </w:rPr>
        <w:t>Later source:</w:t>
      </w:r>
      <w:r>
        <w:t xml:space="preserve"> Results Interpretation, Reporting, and Dissemination in Project Monitoring and Evaluation — https://doi.org/10.5281/zenodo.18299543</w:t>
      </w:r>
    </w:p>
    <w:p>
      <w:pPr/>
      <w:r>
        <w:rPr>
          <w:b/>
        </w:rPr>
        <w:t>Later source:</w:t>
      </w:r>
      <w:r>
        <w:t xml:space="preserve"> Green E.Th.I.Cs: Project Evaluation Methodology and Results — https://openalex.org/W7136099548</w:t>
      </w:r>
    </w:p>
    <w:p>
      <w:pPr>
        <w:pStyle w:val="SourceNote"/>
      </w:pPr>
      <w:r>
        <w:rPr>
          <w:b/>
        </w:rPr>
        <w:t>Review status:</w:t>
      </w:r>
      <w:r>
        <w:t xml:space="preserve"> unchecked — possible relationship only</w:t>
      </w:r>
    </w:p>
    <w:p>
      <w:pPr>
        <w:pStyle w:val="Heading2"/>
      </w:pPr>
      <w:r>
        <w:t>189. Claim + two later sources: A comparison of three transformation pathways towards a sustainable European society - An integrated analysis from an energy system perspective</w:t>
      </w:r>
    </w:p>
    <w:p>
      <w:pPr>
        <w:pStyle w:val="SourceNote"/>
      </w:pPr>
      <w:r>
        <w:rPr>
          <w:b/>
        </w:rPr>
        <w:t>Group ID:</w:t>
      </w:r>
      <w:r>
        <w:t xml:space="preserve"> group-4c8b83669f02bd55bec5</w:t>
      </w:r>
    </w:p>
    <w:p>
      <w:pPr>
        <w:pStyle w:val="SourceNote"/>
      </w:pPr>
      <w:r>
        <w:rPr>
          <w:b/>
        </w:rPr>
        <w:t>Original source:</w:t>
      </w:r>
      <w:r>
        <w:t xml:space="preserve"> https://doi.org/10.1016/j.esr.2020.100461</w:t>
      </w:r>
    </w:p>
    <w:p>
      <w:pPr/>
      <w:r>
        <w:rPr>
          <w:b/>
        </w:rPr>
        <w:t>Original future claim:</w:t>
      </w:r>
      <w:r>
        <w:t xml:space="preserve">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Later source:</w:t>
      </w:r>
      <w:r>
        <w:t xml:space="preserve"> The impacts of the covidfencing phenomenon in three European cross border regions — https://doi.org/10.1080/09654313.2026.2655883</w:t>
      </w:r>
    </w:p>
    <w:p>
      <w:pPr/>
      <w:r>
        <w:rPr>
          <w:b/>
        </w:rPr>
        <w:t>Later source:</w:t>
      </w:r>
      <w:r>
        <w:t xml:space="preserve"> Civil Disobedience Across Contexts - Gandhi’s Methods and Eastern European Resistance Movements — https://doi.org/10.58944/mmnt9341</w:t>
      </w:r>
    </w:p>
    <w:p>
      <w:pPr>
        <w:pStyle w:val="SourceNote"/>
      </w:pPr>
      <w:r>
        <w:rPr>
          <w:b/>
        </w:rPr>
        <w:t>Review status:</w:t>
      </w:r>
      <w:r>
        <w:t xml:space="preserve"> unchecked — possible relationship only</w:t>
      </w:r>
    </w:p>
    <w:p>
      <w:pPr>
        <w:pStyle w:val="Heading2"/>
      </w:pPr>
      <w:r>
        <w:t>190. Claim + two later sources: How much does climate change threaten European forest tree species distributions?</w:t>
      </w:r>
    </w:p>
    <w:p>
      <w:pPr>
        <w:pStyle w:val="SourceNote"/>
      </w:pPr>
      <w:r>
        <w:rPr>
          <w:b/>
        </w:rPr>
        <w:t>Group ID:</w:t>
      </w:r>
      <w:r>
        <w:t xml:space="preserve"> group-81e30945e0ebde441bcd</w:t>
      </w:r>
    </w:p>
    <w:p>
      <w:pPr>
        <w:pStyle w:val="SourceNote"/>
      </w:pPr>
      <w:r>
        <w:rPr>
          <w:b/>
        </w:rPr>
        <w:t>Original source:</w:t>
      </w:r>
      <w:r>
        <w:t xml:space="preserve"> https://doi.org/10.1111/gcb.13925</w:t>
      </w:r>
    </w:p>
    <w:p>
      <w:pPr/>
      <w:r>
        <w:rPr>
          <w:b/>
        </w:rPr>
        <w:t>Original future claim:</w:t>
      </w:r>
      <w:r>
        <w:t xml:space="preserve">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Later source:</w:t>
      </w:r>
      <w:r>
        <w:t xml:space="preserve"> How do land-use changes shape future extreme temperatures across Europe? — https://doi.org/10.5194/egusphere-egu26-15125</w:t>
      </w:r>
    </w:p>
    <w:p>
      <w:pPr/>
      <w:r>
        <w:rPr>
          <w:b/>
        </w:rPr>
        <w:t>Later source:</w:t>
      </w:r>
      <w:r>
        <w:t xml:space="preserve"> Shamonda virus in Europe: an emerging threat, the potential role of Culicoides and the need for preparedness. — https://doi.org/10.12834/vetit.4095.42263.1</w:t>
      </w:r>
    </w:p>
    <w:p>
      <w:pPr>
        <w:pStyle w:val="SourceNote"/>
      </w:pPr>
      <w:r>
        <w:rPr>
          <w:b/>
        </w:rPr>
        <w:t>Review status:</w:t>
      </w:r>
      <w:r>
        <w:t xml:space="preserve"> unchecked — possible relationship only</w:t>
      </w:r>
    </w:p>
    <w:p>
      <w:pPr>
        <w:pStyle w:val="Heading2"/>
      </w:pPr>
      <w:r>
        <w:t>191. Claim + two later sources: European Road Safety Policy 2016-2020: A Forecast on Topics and Activities</w:t>
      </w:r>
    </w:p>
    <w:p>
      <w:pPr>
        <w:pStyle w:val="SourceNote"/>
      </w:pPr>
      <w:r>
        <w:rPr>
          <w:b/>
        </w:rPr>
        <w:t>Group ID:</w:t>
      </w:r>
      <w:r>
        <w:t xml:space="preserve"> group-0f80bf37c78a1e958ac2</w:t>
      </w:r>
    </w:p>
    <w:p>
      <w:pPr>
        <w:pStyle w:val="SourceNote"/>
      </w:pPr>
      <w:r>
        <w:rPr>
          <w:b/>
        </w:rPr>
        <w:t>Original source:</w:t>
      </w:r>
      <w:r>
        <w:t xml:space="preserve"> https://doi.org/10.21625/archive.v2i1.237</w:t>
      </w:r>
    </w:p>
    <w:p>
      <w:pPr/>
      <w:r>
        <w:rPr>
          <w:b/>
        </w:rPr>
        <w:t>Original future claim:</w:t>
      </w:r>
      <w:r>
        <w:t xml:space="preserve">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Later source:</w:t>
      </w:r>
      <w:r>
        <w:t xml:space="preserve"> Draghi Plan and Implications for the European Legislative Framework — https://doi.org/10.24818/eblj/2025/4/1.06</w:t>
      </w:r>
    </w:p>
    <w:p>
      <w:pPr/>
      <w:r>
        <w:rPr>
          <w:b/>
        </w:rPr>
        <w:t>Later source:</w:t>
      </w:r>
      <w:r>
        <w:t xml:space="preserve"> European integration and transformed parliamentary opposition: Evidence from five decades of legislative politics — https://doi.org/10.1017/s1475676526100711</w:t>
      </w:r>
    </w:p>
    <w:p>
      <w:pPr>
        <w:pStyle w:val="SourceNote"/>
      </w:pPr>
      <w:r>
        <w:rPr>
          <w:b/>
        </w:rPr>
        <w:t>Review status:</w:t>
      </w:r>
      <w:r>
        <w:t xml:space="preserve"> unchecked — possible relationship only</w:t>
      </w:r>
    </w:p>
    <w:p>
      <w:pPr>
        <w:pStyle w:val="Heading2"/>
      </w:pPr>
      <w:r>
        <w:t>192. Claim + two later sources: ECONOMIC GROWTH PROJECTION FOR EUROPEAN UNION BY 2030</w:t>
      </w:r>
    </w:p>
    <w:p>
      <w:pPr>
        <w:pStyle w:val="SourceNote"/>
      </w:pPr>
      <w:r>
        <w:rPr>
          <w:b/>
        </w:rPr>
        <w:t>Group ID:</w:t>
      </w:r>
      <w:r>
        <w:t xml:space="preserve"> group-27e5fbd4db91523ce87f</w:t>
      </w:r>
    </w:p>
    <w:p>
      <w:pPr>
        <w:pStyle w:val="SourceNote"/>
      </w:pPr>
      <w:r>
        <w:rPr>
          <w:b/>
        </w:rPr>
        <w:t>Original source:</w:t>
      </w:r>
      <w:r>
        <w:t xml:space="preserve"> https://doi.org/10.5755/j01.eis.0.13.23709</w:t>
      </w:r>
    </w:p>
    <w:p>
      <w:pPr/>
      <w:r>
        <w:rPr>
          <w:b/>
        </w:rPr>
        <w:t>Original future claim:</w:t>
      </w:r>
      <w:r>
        <w:t xml:space="preserve"> The paper contributes to a discussion on developments in output for the EU-27 group over the next 11 years, up to year 2030. A brief study of population-decreasing events in the European historical perspective may represent an inspiring part.</w:t>
      </w:r>
    </w:p>
    <w:p>
      <w:pPr/>
      <w:r>
        <w:rPr>
          <w:b/>
        </w:rPr>
        <w:t>Later source:</w:t>
      </w:r>
      <w:r>
        <w:t xml:space="preserve"> Just another white-striped mosquito? A scoping review and group discussion synthesis on Aedes koreicus in Europe — https://doi.org/10.1016/j.actatropica.2026.108302</w:t>
      </w:r>
    </w:p>
    <w:p>
      <w:pPr/>
      <w:r>
        <w:rPr>
          <w:b/>
        </w:rPr>
        <w:t>Later source:</w:t>
      </w:r>
      <w:r>
        <w:t xml:space="preserve"> The Development of Energy Policy in the European Union — https://doi.org/10.4324/9781003298403</w:t>
      </w:r>
    </w:p>
    <w:p>
      <w:pPr>
        <w:pStyle w:val="SourceNote"/>
      </w:pPr>
      <w:r>
        <w:rPr>
          <w:b/>
        </w:rPr>
        <w:t>Review status:</w:t>
      </w:r>
      <w:r>
        <w:t xml:space="preserve"> unchecked — possible relationship only</w:t>
      </w:r>
    </w:p>
    <w:p>
      <w:pPr>
        <w:pStyle w:val="Heading2"/>
      </w:pPr>
      <w:r>
        <w:t>193. Claim + two later sources: Which way to net zero? a comparative analysis of seven UK 2050 decarbonisation pathways</w:t>
      </w:r>
    </w:p>
    <w:p>
      <w:pPr>
        <w:pStyle w:val="SourceNote"/>
      </w:pPr>
      <w:r>
        <w:rPr>
          <w:b/>
        </w:rPr>
        <w:t>Group ID:</w:t>
      </w:r>
      <w:r>
        <w:t xml:space="preserve"> group-d78029cc0c7b21d6d28d</w:t>
      </w:r>
    </w:p>
    <w:p>
      <w:pPr>
        <w:pStyle w:val="SourceNote"/>
      </w:pPr>
      <w:r>
        <w:rPr>
          <w:b/>
        </w:rPr>
        <w:t>Original source:</w:t>
      </w:r>
      <w:r>
        <w:t xml:space="preserve"> https://doi.org/10.1016/j.rset.2021.100016</w:t>
      </w:r>
    </w:p>
    <w:p>
      <w:pPr/>
      <w:r>
        <w:rPr>
          <w:b/>
        </w:rPr>
        <w:t>Original future claim:</w:t>
      </w:r>
      <w:r>
        <w:t xml:space="preserve">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Later source:</w:t>
      </w:r>
      <w:r>
        <w:t xml:space="preserve"> Finding dimensions — https://doi.org/10.5463/thesis.1634</w:t>
      </w:r>
    </w:p>
    <w:p>
      <w:pPr/>
      <w:r>
        <w:rPr>
          <w:b/>
        </w:rPr>
        <w:t>Later source:</w:t>
      </w:r>
      <w:r>
        <w:t xml:space="preserve"> Less is More: Controlled Visual Evidence Routing and Redundancy Compression for Key Information Extraction — https://doi.org/10.18653/v1/2026.magmar-main.10</w:t>
      </w:r>
    </w:p>
    <w:p>
      <w:pPr>
        <w:pStyle w:val="SourceNote"/>
      </w:pPr>
      <w:r>
        <w:rPr>
          <w:b/>
        </w:rPr>
        <w:t>Review status:</w:t>
      </w:r>
      <w:r>
        <w:t xml:space="preserve"> unchecked — possible relationship only</w:t>
      </w:r>
    </w:p>
    <w:p>
      <w:pPr>
        <w:pStyle w:val="Heading2"/>
      </w:pPr>
      <w:r>
        <w:t>194. Claim + two later sources: Environmental impacts of high penetration renewable energy scenarios for Europe</w:t>
      </w:r>
    </w:p>
    <w:p>
      <w:pPr>
        <w:pStyle w:val="SourceNote"/>
      </w:pPr>
      <w:r>
        <w:rPr>
          <w:b/>
        </w:rPr>
        <w:t>Group ID:</w:t>
      </w:r>
      <w:r>
        <w:t xml:space="preserve"> group-264a6b5a397034f9e847</w:t>
      </w:r>
    </w:p>
    <w:p>
      <w:pPr>
        <w:pStyle w:val="SourceNote"/>
      </w:pPr>
      <w:r>
        <w:rPr>
          <w:b/>
        </w:rPr>
        <w:t>Original source:</w:t>
      </w:r>
      <w:r>
        <w:t xml:space="preserve"> https://doi.org/10.1088/1748-9326/11/1/014012</w:t>
      </w:r>
    </w:p>
    <w:p>
      <w:pPr/>
      <w:r>
        <w:rPr>
          <w:b/>
        </w:rPr>
        <w:t>Original future claim:</w:t>
      </w:r>
      <w:r>
        <w:t xml:space="preserve"> This letter implements outputs of a detailed power system optimisation model into a prospective life cycle analysis framework in order to present a life cycle analysis of 44 electricity scenarios for Europe in 2050, including analyses of systems based largely on low-carbon fossil energy options (natural gas, and coal with carbon capture and storage (CCS)) as well as systems with high shares of variable renewable energy (VRE) (wind and solar). The climate change impacts from Europe for the year 2050 in a scenario using primarily natural gas are 1400 Tg CO 2 -eq while in a scenario using mostly coal with CCS the impacts are 480 Tg CO 2 -eq.</w:t>
      </w:r>
    </w:p>
    <w:p>
      <w:pPr/>
      <w:r>
        <w:rPr>
          <w:b/>
        </w:rPr>
        <w:t>Later source:</w:t>
      </w:r>
      <w:r>
        <w:t xml:space="preserve"> Challenges and Solutions for Forest Biodiversity Conservation in Sweden: Assessment of Policy, Implementation Outputs, and Consequences — https://doi.org/10.3390/land12051098</w:t>
      </w:r>
    </w:p>
    <w:p>
      <w:pPr/>
      <w:r>
        <w:rPr>
          <w:b/>
        </w:rPr>
        <w:t>Later source:</w:t>
      </w:r>
      <w:r>
        <w:t xml:space="preserve"> DiSSCo Prepare Project: Increasing the Implementation Readiness Levels of the European Research Infrastructure — https://doi.org/10.3897/rio.9.e113906</w:t>
      </w:r>
    </w:p>
    <w:p>
      <w:pPr>
        <w:pStyle w:val="SourceNote"/>
      </w:pPr>
      <w:r>
        <w:rPr>
          <w:b/>
        </w:rPr>
        <w:t>Review status:</w:t>
      </w:r>
      <w:r>
        <w:t xml:space="preserve"> unchecked — possible relationship only</w:t>
      </w:r>
    </w:p>
    <w:p>
      <w:pPr>
        <w:pStyle w:val="Heading2"/>
      </w:pPr>
      <w:r>
        <w:t>195. Claim + two later sources: Interpreting long-term energy scenarios and the role of bioenergy in Germany</w:t>
      </w:r>
    </w:p>
    <w:p>
      <w:pPr>
        <w:pStyle w:val="SourceNote"/>
      </w:pPr>
      <w:r>
        <w:rPr>
          <w:b/>
        </w:rPr>
        <w:t>Group ID:</w:t>
      </w:r>
      <w:r>
        <w:t xml:space="preserve"> group-6ad96eb6153d7ee75c91</w:t>
      </w:r>
    </w:p>
    <w:p>
      <w:pPr>
        <w:pStyle w:val="SourceNote"/>
      </w:pPr>
      <w:r>
        <w:rPr>
          <w:b/>
        </w:rPr>
        <w:t>Original source:</w:t>
      </w:r>
      <w:r>
        <w:t xml:space="preserve"> https://doi.org/10.1016/j.rser.2016.02.016</w:t>
      </w:r>
    </w:p>
    <w:p>
      <w:pPr/>
      <w:r>
        <w:rPr>
          <w:b/>
        </w:rPr>
        <w:t>Original future claim:</w:t>
      </w:r>
      <w:r>
        <w:t xml:space="preserve">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Later source:</w:t>
      </w:r>
      <w:r>
        <w:t xml:space="preserve"> European Integration — https://doi.org/10.1017/9781009604093.008</w:t>
      </w:r>
    </w:p>
    <w:p>
      <w:pPr/>
      <w:r>
        <w:rPr>
          <w:b/>
        </w:rPr>
        <w:t>Later source:</w:t>
      </w:r>
      <w:r>
        <w:t xml:space="preserve"> Conceptual-theoretical approaches to the process of europeanization — https://doi.org/10.59295/ierm2025.01</w:t>
      </w:r>
    </w:p>
    <w:p>
      <w:pPr>
        <w:pStyle w:val="SourceNote"/>
      </w:pPr>
      <w:r>
        <w:rPr>
          <w:b/>
        </w:rPr>
        <w:t>Review status:</w:t>
      </w:r>
      <w:r>
        <w:t xml:space="preserve"> unchecked — possible relationship only</w:t>
      </w:r>
    </w:p>
    <w:p>
      <w:pPr>
        <w:pStyle w:val="Heading2"/>
      </w:pPr>
      <w:r>
        <w:t>196. Claim + two later sources: Czech Republic as A Deferring Factor for European Union to Achieve Climate Change Measures</w:t>
      </w:r>
    </w:p>
    <w:p>
      <w:pPr>
        <w:pStyle w:val="SourceNote"/>
      </w:pPr>
      <w:r>
        <w:rPr>
          <w:b/>
        </w:rPr>
        <w:t>Group ID:</w:t>
      </w:r>
      <w:r>
        <w:t xml:space="preserve"> group-bcf3ab951ebf8e78b384</w:t>
      </w:r>
    </w:p>
    <w:p>
      <w:pPr>
        <w:pStyle w:val="SourceNote"/>
      </w:pPr>
      <w:r>
        <w:rPr>
          <w:b/>
        </w:rPr>
        <w:t>Original source:</w:t>
      </w:r>
      <w:r>
        <w:t xml:space="preserve"> https://doi.org/10.7454/jsgs.v5i2.1099</w:t>
      </w:r>
    </w:p>
    <w:p>
      <w:pPr/>
      <w:r>
        <w:rPr>
          <w:b/>
        </w:rPr>
        <w:t>Original future claim:</w:t>
      </w:r>
      <w:r>
        <w:t xml:space="preserve">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Later source:</w:t>
      </w:r>
      <w:r>
        <w:t xml:space="preserve"> European Researcher — https://doi.org/10.13187/issn.2219-8229</w:t>
      </w:r>
    </w:p>
    <w:p>
      <w:pPr/>
      <w:r>
        <w:rPr>
          <w:b/>
        </w:rPr>
        <w:t>Later source:</w:t>
      </w:r>
      <w:r>
        <w:t xml:space="preserve"> GovTech in Europe between public- and privateness—A Delphi-based research agenda — https://doi.org/10.1007/s12525-026-00913-z</w:t>
      </w:r>
    </w:p>
    <w:p>
      <w:pPr>
        <w:pStyle w:val="SourceNote"/>
      </w:pPr>
      <w:r>
        <w:rPr>
          <w:b/>
        </w:rPr>
        <w:t>Review status:</w:t>
      </w:r>
      <w:r>
        <w:t xml:space="preserve"> unchecked — possible relationship only</w:t>
      </w:r>
    </w:p>
    <w:p>
      <w:pPr>
        <w:pStyle w:val="Heading2"/>
      </w:pPr>
      <w:r>
        <w:t>197. Claim + two later sources: Potential stocks and increments of woody biomass in the European Union under different management and climate scenarios</w:t>
      </w:r>
    </w:p>
    <w:p>
      <w:pPr>
        <w:pStyle w:val="SourceNote"/>
      </w:pPr>
      <w:r>
        <w:rPr>
          <w:b/>
        </w:rPr>
        <w:t>Group ID:</w:t>
      </w:r>
      <w:r>
        <w:t xml:space="preserve"> group-d5c3a5e39d6a5d2860a2</w:t>
      </w:r>
    </w:p>
    <w:p>
      <w:pPr>
        <w:pStyle w:val="SourceNote"/>
      </w:pPr>
      <w:r>
        <w:rPr>
          <w:b/>
        </w:rPr>
        <w:t>Original source:</w:t>
      </w:r>
      <w:r>
        <w:t xml:space="preserve"> https://doi.org/10.1186/1750-0680-8-2</w:t>
      </w:r>
    </w:p>
    <w:p>
      <w:pPr/>
      <w:r>
        <w:rPr>
          <w:b/>
        </w:rPr>
        <w:t>Original future claim:</w:t>
      </w:r>
      <w:r>
        <w:t xml:space="preserve">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Later source:</w:t>
      </w:r>
      <w:r>
        <w:t xml:space="preserve"> Contribution of brown carbon to light absorption in emissions of European residential biomass combustion appliances — https://doi.org/10.5194/acp-24-3197-2024</w:t>
      </w:r>
    </w:p>
    <w:p>
      <w:pPr/>
      <w:r>
        <w:rPr>
          <w:b/>
        </w:rPr>
        <w:t>Later source:</w:t>
      </w:r>
      <w:r>
        <w:t xml:space="preserve"> Improved large-area forest increment information in Europe through harmonisation of National Forest Inventories — https://doi.org/10.1016/j.foreco.2024.121913</w:t>
      </w:r>
    </w:p>
    <w:p>
      <w:pPr>
        <w:pStyle w:val="SourceNote"/>
      </w:pPr>
      <w:r>
        <w:rPr>
          <w:b/>
        </w:rPr>
        <w:t>Review status:</w:t>
      </w:r>
      <w:r>
        <w:t xml:space="preserve"> unchecked — possible relationship only</w:t>
      </w:r>
    </w:p>
    <w:p>
      <w:pPr>
        <w:pStyle w:val="Heading2"/>
      </w:pPr>
      <w:r>
        <w:t>198. Claim + two later sources: Foresight on the future of public research metrology in Europe</w:t>
      </w:r>
    </w:p>
    <w:p>
      <w:pPr>
        <w:pStyle w:val="SourceNote"/>
      </w:pPr>
      <w:r>
        <w:rPr>
          <w:b/>
        </w:rPr>
        <w:t>Group ID:</w:t>
      </w:r>
      <w:r>
        <w:t xml:space="preserve"> group-699c368d4ad311a4ea54</w:t>
      </w:r>
    </w:p>
    <w:p>
      <w:pPr>
        <w:pStyle w:val="SourceNote"/>
      </w:pPr>
      <w:r>
        <w:rPr>
          <w:b/>
        </w:rPr>
        <w:t>Original source:</w:t>
      </w:r>
      <w:r>
        <w:t xml:space="preserve"> https://doi.org/10.1108/14636681111109660</w:t>
      </w:r>
    </w:p>
    <w:p>
      <w:pPr/>
      <w:r>
        <w:rPr>
          <w:b/>
        </w:rPr>
        <w:t>Original future claim:</w:t>
      </w:r>
      <w:r>
        <w:t xml:space="preserve">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Later source:</w:t>
      </w:r>
      <w:r>
        <w:t xml:space="preserve"> The prevalence of cannabidiol (CBD) use in North America and Europe: A meta‐analysis — https://doi.org/10.1111/add.70360</w:t>
      </w:r>
    </w:p>
    <w:p>
      <w:pPr/>
      <w:r>
        <w:rPr>
          <w:b/>
        </w:rPr>
        <w:t>Later source:</w:t>
      </w:r>
      <w:r>
        <w:t xml:space="preserve"> Appropriateness of antibiotic use in nursing homes for suspected urinary tract infections: comparison across five European countries — https://doi.org/10.1007/s41999-025-01185-0</w:t>
      </w:r>
    </w:p>
    <w:p>
      <w:pPr>
        <w:pStyle w:val="SourceNote"/>
      </w:pPr>
      <w:r>
        <w:rPr>
          <w:b/>
        </w:rPr>
        <w:t>Review status:</w:t>
      </w:r>
      <w:r>
        <w:t xml:space="preserve"> unchecked — possible relationship only</w:t>
      </w:r>
    </w:p>
    <w:p>
      <w:pPr>
        <w:pStyle w:val="Heading2"/>
      </w:pPr>
      <w:r>
        <w:t>199. Claim + two later sources: Crisis futures: The affects and temporalities of economic collapse in Iceland</w:t>
      </w:r>
    </w:p>
    <w:p>
      <w:pPr>
        <w:pStyle w:val="SourceNote"/>
      </w:pPr>
      <w:r>
        <w:rPr>
          <w:b/>
        </w:rPr>
        <w:t>Group ID:</w:t>
      </w:r>
      <w:r>
        <w:t xml:space="preserve"> group-4655e2529f2249001c89</w:t>
      </w:r>
    </w:p>
    <w:p>
      <w:pPr>
        <w:pStyle w:val="SourceNote"/>
      </w:pPr>
      <w:r>
        <w:rPr>
          <w:b/>
        </w:rPr>
        <w:t>Original source:</w:t>
      </w:r>
      <w:r>
        <w:t xml:space="preserve"> https://doi.org/10.1080/02757206.2020.1762589</w:t>
      </w:r>
    </w:p>
    <w:p>
      <w:pPr/>
      <w:r>
        <w:rPr>
          <w:b/>
        </w:rPr>
        <w:t>Original future claim:</w:t>
      </w:r>
      <w:r>
        <w:t xml:space="preserve"> We conclude by discussing the unfinished nature of crisis and role of public forecasting as a means for contending with ongoing economic insecurity.</w:t>
      </w:r>
    </w:p>
    <w:p>
      <w:pPr/>
      <w:r>
        <w:rPr>
          <w:b/>
        </w:rPr>
        <w:t>Later source:</w:t>
      </w:r>
      <w:r>
        <w:t xml:space="preserve"> Biography of Mahfuj Alam: Revolutionary Mind, State Power and The Unfinished Republic — https://doi.org/10.5281/zenodo.19572195</w:t>
      </w:r>
    </w:p>
    <w:p>
      <w:pPr/>
      <w:r>
        <w:rPr>
          <w:b/>
        </w:rPr>
        <w:t>Later source:</w:t>
      </w:r>
      <w:r>
        <w:t xml:space="preserve"> Transforming the neoliberal state in times of crisis: pathways of democratization and sustainabilization — https://doi.org/10.1080/15487733.2026.2676224</w:t>
      </w:r>
    </w:p>
    <w:p>
      <w:pPr>
        <w:pStyle w:val="SourceNote"/>
      </w:pPr>
      <w:r>
        <w:rPr>
          <w:b/>
        </w:rPr>
        <w:t>Review status:</w:t>
      </w:r>
      <w:r>
        <w:t xml:space="preserve"> unchecked — possible relationship only</w:t>
      </w:r>
    </w:p>
    <w:p>
      <w:pPr>
        <w:pStyle w:val="Heading2"/>
      </w:pPr>
      <w:r>
        <w:t>200. Claim + two later sources: The perspectives of development of high-speed rail network in the European Union till</w:t>
        <w:br/>
        <w:t>the year 2050</w:t>
      </w:r>
    </w:p>
    <w:p>
      <w:pPr>
        <w:pStyle w:val="SourceNote"/>
      </w:pPr>
      <w:r>
        <w:rPr>
          <w:b/>
        </w:rPr>
        <w:t>Group ID:</w:t>
      </w:r>
      <w:r>
        <w:t xml:space="preserve"> group-34b66dab93abbbf042d1</w:t>
      </w:r>
    </w:p>
    <w:p>
      <w:pPr>
        <w:pStyle w:val="SourceNote"/>
      </w:pPr>
      <w:r>
        <w:rPr>
          <w:b/>
        </w:rPr>
        <w:t>Original source:</w:t>
      </w:r>
      <w:r>
        <w:t xml:space="preserve"> https://doi.org/10.35117/a_eng_19_07_01</w:t>
      </w:r>
    </w:p>
    <w:p>
      <w:pPr/>
      <w:r>
        <w:rPr>
          <w:b/>
        </w:rPr>
        <w:t>Original future claim:</w:t>
      </w:r>
      <w:r>
        <w:t xml:space="preserve"> As an outcome of the analyses presented in the article there emerged a complete vision of planned development of high-speed rail network in the European Union, which length in 2030 could be estimated for approximetaly 16,5 thousand kilometers.</w:t>
      </w:r>
    </w:p>
    <w:p>
      <w:pPr/>
      <w:r>
        <w:rPr>
          <w:b/>
        </w:rPr>
        <w:t>Later source:</w:t>
      </w:r>
      <w:r>
        <w:t xml:space="preserve"> Estimating the hospitalisation burden of obesity in Europe: evidence from the European health interview survey (EHIS) wave 3 — https://doi.org/10.1186/s12889-026-26705-w</w:t>
      </w:r>
    </w:p>
    <w:p>
      <w:pPr/>
      <w:r>
        <w:rPr>
          <w:b/>
        </w:rPr>
        <w:t>Later source:</w:t>
      </w:r>
      <w:r>
        <w:t xml:space="preserve"> Clinical heterogeneity and outcome of acquired PRCA: a multicenter European study — https://doi.org/10.1182/bloodadvances.2025019525</w:t>
      </w:r>
    </w:p>
    <w:p>
      <w:pPr>
        <w:pStyle w:val="SourceNote"/>
      </w:pPr>
      <w:r>
        <w:rPr>
          <w:b/>
        </w:rPr>
        <w:t>Review status:</w:t>
      </w:r>
      <w:r>
        <w:t xml:space="preserve"> unchecked — possible relationship only</w:t>
      </w:r>
    </w:p>
    <w:p>
      <w:pPr>
        <w:pStyle w:val="Heading2"/>
      </w:pPr>
      <w:r>
        <w:t>201. Claim + two later sources: Long-term vision of rural areas in Hungary, focusing on foresights</w:t>
      </w:r>
    </w:p>
    <w:p>
      <w:pPr>
        <w:pStyle w:val="SourceNote"/>
      </w:pPr>
      <w:r>
        <w:rPr>
          <w:b/>
        </w:rPr>
        <w:t>Group ID:</w:t>
      </w:r>
      <w:r>
        <w:t xml:space="preserve"> group-d2e30d3e9f62f99716a5</w:t>
      </w:r>
    </w:p>
    <w:p>
      <w:pPr>
        <w:pStyle w:val="SourceNote"/>
      </w:pPr>
      <w:r>
        <w:rPr>
          <w:b/>
        </w:rPr>
        <w:t>Original source:</w:t>
      </w:r>
      <w:r>
        <w:t xml:space="preserve"> https://doi.org/10.22004/ag.econ.314094</w:t>
      </w:r>
    </w:p>
    <w:p>
      <w:pPr/>
      <w:r>
        <w:rPr>
          <w:b/>
        </w:rPr>
        <w:t>Original future claim:</w:t>
      </w:r>
      <w:r>
        <w:t xml:space="preserve">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Later source:</w:t>
      </w:r>
      <w:r>
        <w:t xml:space="preserve"> The European Union’s Sanction Policy – Challenges and Opportunities of the 2024 Hungarian EU Presidency — https://doi.org/10.36250/01303_77</w:t>
      </w:r>
    </w:p>
    <w:p>
      <w:pPr/>
      <w:r>
        <w:rPr>
          <w:b/>
        </w:rPr>
        <w:t>Later source:</w:t>
      </w:r>
      <w:r>
        <w:t xml:space="preserve"> Prevalence of Smith–Lemli–Opitz Syndrome Carriers and the Spectrum of DHCR7 Pathogenic Variants in Representative Czech and Hungarian Population Cohorts — https://doi.org/10.3390/genes17020164</w:t>
      </w:r>
    </w:p>
    <w:p>
      <w:pPr>
        <w:pStyle w:val="SourceNote"/>
      </w:pPr>
      <w:r>
        <w:rPr>
          <w:b/>
        </w:rPr>
        <w:t>Review status:</w:t>
      </w:r>
      <w:r>
        <w:t xml:space="preserve"> unchecked — possible relationship only</w:t>
      </w:r>
    </w:p>
    <w:p>
      <w:pPr>
        <w:pStyle w:val="Heading2"/>
      </w:pPr>
      <w:r>
        <w:t>202. Claim + two later sources: European human‐dominated landscapes provide ample space for the recolonization of large carnivore populations under future land change scenarios</w:t>
      </w:r>
    </w:p>
    <w:p>
      <w:pPr>
        <w:pStyle w:val="SourceNote"/>
      </w:pPr>
      <w:r>
        <w:rPr>
          <w:b/>
        </w:rPr>
        <w:t>Group ID:</w:t>
      </w:r>
      <w:r>
        <w:t xml:space="preserve"> group-42cf88a0aaa294576418</w:t>
      </w:r>
    </w:p>
    <w:p>
      <w:pPr>
        <w:pStyle w:val="SourceNote"/>
      </w:pPr>
      <w:r>
        <w:rPr>
          <w:b/>
        </w:rPr>
        <w:t>Original source:</w:t>
      </w:r>
      <w:r>
        <w:t xml:space="preserve"> https://doi.org/10.1111/ecog.02223</w:t>
      </w:r>
    </w:p>
    <w:p>
      <w:pPr/>
      <w:r>
        <w:rPr>
          <w:b/>
        </w:rPr>
        <w:t>Original future claim:</w:t>
      </w:r>
      <w:r>
        <w:t xml:space="preserve"> Third, we projected permanent occurrences into the future across a range of land‐use change scenarios.</w:t>
      </w:r>
    </w:p>
    <w:p>
      <w:pPr/>
      <w:r>
        <w:rPr>
          <w:b/>
        </w:rPr>
        <w:t>Later source:</w:t>
      </w:r>
      <w:r>
        <w:t xml:space="preserve"> Increasing land take in Europe’s land-water interface — https://doi.org/10.32942/x2j946</w:t>
      </w:r>
    </w:p>
    <w:p>
      <w:pPr/>
      <w:r>
        <w:rPr>
          <w:b/>
        </w:rPr>
        <w:t>Later source:</w:t>
      </w:r>
      <w:r>
        <w:t xml:space="preserve"> Regional land use and land-use intensity effects on vertebrate biodiversity across Europe identified using species distribution models — https://doi.org/10.1007/s10980-026-02379-y</w:t>
      </w:r>
    </w:p>
    <w:p>
      <w:pPr>
        <w:pStyle w:val="SourceNote"/>
      </w:pPr>
      <w:r>
        <w:rPr>
          <w:b/>
        </w:rPr>
        <w:t>Review status:</w:t>
      </w:r>
      <w:r>
        <w:t xml:space="preserve"> unchecked — possible relationship only</w:t>
      </w:r>
    </w:p>
    <w:p>
      <w:pPr>
        <w:pStyle w:val="Heading2"/>
      </w:pPr>
      <w:r>
        <w:t>203. Claim + two later sources: Quantifying the sensitivity of european power systems to energy scenarios and climate change projections</w:t>
      </w:r>
    </w:p>
    <w:p>
      <w:pPr>
        <w:pStyle w:val="SourceNote"/>
      </w:pPr>
      <w:r>
        <w:rPr>
          <w:b/>
        </w:rPr>
        <w:t>Group ID:</w:t>
      </w:r>
      <w:r>
        <w:t xml:space="preserve"> group-6e3db4217ae86bf51313</w:t>
      </w:r>
    </w:p>
    <w:p>
      <w:pPr>
        <w:pStyle w:val="SourceNote"/>
      </w:pPr>
      <w:r>
        <w:rPr>
          <w:b/>
        </w:rPr>
        <w:t>Original source:</w:t>
      </w:r>
      <w:r>
        <w:t xml:space="preserve"> https://doi.org/10.1016/j.renene.2020.09.125</w:t>
      </w:r>
    </w:p>
    <w:p>
      <w:pPr/>
      <w:r>
        <w:rPr>
          <w:b/>
        </w:rPr>
        <w:t>Original future claim:</w:t>
      </w:r>
      <w:r>
        <w:t xml:space="preserve">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Later source:</w:t>
      </w:r>
      <w:r>
        <w:t xml:space="preserve"> Properties and characteristics of atmospheric deserts over Europe: a first statistical analysis — https://doi.org/10.5194/wcd-7-17-2026</w:t>
      </w:r>
    </w:p>
    <w:p>
      <w:pPr/>
      <w:r>
        <w:rPr>
          <w:b/>
        </w:rPr>
        <w:t>Later source:</w:t>
      </w:r>
      <w:r>
        <w:t xml:space="preserve"> DIVERGENT URBAN TRAJECTORIES IN CENTRAL AND EASTERN EUROPE: A COMPLEX TYPOLOGY OF SMALL TOWNS IN BULGARIA AND HUNGARY — https://doi.org/10.7546/pg.1-2.2026.01</w:t>
      </w:r>
    </w:p>
    <w:p>
      <w:pPr>
        <w:pStyle w:val="SourceNote"/>
      </w:pPr>
      <w:r>
        <w:rPr>
          <w:b/>
        </w:rPr>
        <w:t>Review status:</w:t>
      </w:r>
      <w:r>
        <w:t xml:space="preserve"> unchecked — possible relationship only</w:t>
      </w:r>
    </w:p>
    <w:p>
      <w:pPr>
        <w:pStyle w:val="Heading2"/>
      </w:pPr>
      <w:r>
        <w:t>204. Claim + two later sources: After-crisis Scenarios for the European Regions</w:t>
      </w:r>
    </w:p>
    <w:p>
      <w:pPr>
        <w:pStyle w:val="SourceNote"/>
      </w:pPr>
      <w:r>
        <w:rPr>
          <w:b/>
        </w:rPr>
        <w:t>Group ID:</w:t>
      </w:r>
      <w:r>
        <w:t xml:space="preserve"> group-2b1645efe5e0a68a3397</w:t>
      </w:r>
    </w:p>
    <w:p>
      <w:pPr>
        <w:pStyle w:val="SourceNote"/>
      </w:pPr>
      <w:r>
        <w:rPr>
          <w:b/>
        </w:rPr>
        <w:t>Original source:</w:t>
      </w:r>
      <w:r>
        <w:t xml:space="preserve"> https://doi.org/10.2457/srs.42.3</w:t>
      </w:r>
    </w:p>
    <w:p>
      <w:pPr/>
      <w:r>
        <w:rPr>
          <w:b/>
        </w:rPr>
        <w:t>Original future claim:</w:t>
      </w:r>
      <w:r>
        <w:t xml:space="preserve">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Later source:</w:t>
      </w:r>
      <w:r>
        <w:t xml:space="preserve"> Built environment and childhood obesity: A systematic review of the European literature — https://doi.org/10.29333/jconseph/17944</w:t>
      </w:r>
    </w:p>
    <w:p>
      <w:pPr/>
      <w:r>
        <w:rPr>
          <w:b/>
        </w:rPr>
        <w:t>Later source:</w:t>
      </w:r>
      <w:r>
        <w:t xml:space="preserve"> Ecosystem services and disservices of forests and greenspaces: A pan-European representative study of societal perceptions — https://doi.org/10.1016/j.ecoser.2026.101832</w:t>
      </w:r>
    </w:p>
    <w:p>
      <w:pPr>
        <w:pStyle w:val="SourceNote"/>
      </w:pPr>
      <w:r>
        <w:rPr>
          <w:b/>
        </w:rPr>
        <w:t>Review status:</w:t>
      </w:r>
      <w:r>
        <w:t xml:space="preserve"> unchecked — possible relationship only</w:t>
      </w:r>
    </w:p>
    <w:p>
      <w:pPr>
        <w:pStyle w:val="Heading2"/>
      </w:pPr>
      <w:r>
        <w:t>205. Claim + two later sources: Proposals of European Citizens for Reviving the Future of Shrinking Areas</w:t>
      </w:r>
    </w:p>
    <w:p>
      <w:pPr>
        <w:pStyle w:val="SourceNote"/>
      </w:pPr>
      <w:r>
        <w:rPr>
          <w:b/>
        </w:rPr>
        <w:t>Group ID:</w:t>
      </w:r>
      <w:r>
        <w:t xml:space="preserve"> group-4874abe8c59ca7e11966</w:t>
      </w:r>
    </w:p>
    <w:p>
      <w:pPr>
        <w:pStyle w:val="SourceNote"/>
      </w:pPr>
      <w:r>
        <w:rPr>
          <w:b/>
        </w:rPr>
        <w:t>Original source:</w:t>
      </w:r>
      <w:r>
        <w:t xml:space="preserve"> https://doi.org/10.2478/quageo-2021-0039</w:t>
      </w:r>
    </w:p>
    <w:p>
      <w:pPr/>
      <w:r>
        <w:rPr>
          <w:b/>
        </w:rPr>
        <w:t>Original future claim:</w:t>
      </w:r>
      <w:r>
        <w:t xml:space="preserve">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Later source:</w:t>
      </w:r>
      <w:r>
        <w:t xml:space="preserve"> Envisioning the future of European mountain value chains: a participatory foresight approach — https://doi.org/10.1007/s10113-025-02454-1</w:t>
      </w:r>
    </w:p>
    <w:p>
      <w:pPr/>
      <w:r>
        <w:rPr>
          <w:b/>
        </w:rPr>
        <w:t>Later source:</w:t>
      </w:r>
      <w:r>
        <w:t xml:space="preserve"> Declining Opportunities? Perceptions of Housing Market Risk in Shrinking Cities — https://doi.org/10.17645/up.11077</w:t>
      </w:r>
    </w:p>
    <w:p>
      <w:pPr>
        <w:pStyle w:val="SourceNote"/>
      </w:pPr>
      <w:r>
        <w:rPr>
          <w:b/>
        </w:rPr>
        <w:t>Review status:</w:t>
      </w:r>
      <w:r>
        <w:t xml:space="preserve"> unchecked — possible relationship only</w:t>
      </w:r>
    </w:p>
    <w:p>
      <w:pPr>
        <w:pStyle w:val="Heading2"/>
      </w:pPr>
      <w:r>
        <w:t>206. Claim + two later sources: Analytical support to foresighting EU roles as a Global Security Actor</w:t>
      </w:r>
    </w:p>
    <w:p>
      <w:pPr>
        <w:pStyle w:val="SourceNote"/>
      </w:pPr>
      <w:r>
        <w:rPr>
          <w:b/>
        </w:rPr>
        <w:t>Group ID:</w:t>
      </w:r>
      <w:r>
        <w:t xml:space="preserve"> group-1366d53405ef3a9217f9</w:t>
      </w:r>
    </w:p>
    <w:p>
      <w:pPr>
        <w:pStyle w:val="SourceNote"/>
      </w:pPr>
      <w:r>
        <w:rPr>
          <w:b/>
        </w:rPr>
        <w:t>Original source:</w:t>
      </w:r>
      <w:r>
        <w:t xml:space="preserve"> https://doi.org/10.11610/isij.2902</w:t>
      </w:r>
    </w:p>
    <w:p>
      <w:pPr/>
      <w:r>
        <w:rPr>
          <w:b/>
        </w:rPr>
        <w:t>Original future claim:</w:t>
      </w:r>
      <w:r>
        <w:t xml:space="preserve">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Later source:</w:t>
      </w:r>
      <w:r>
        <w:t xml:space="preserve"> Evaluation of the Structural Competitiveness of Major Container Ports in Europe Using a Hybrid Multi-Criteria Decision-Making Approach (CRITIC-TOPSIS-SAW) — https://doi.org/10.25295/fsecon.1850229</w:t>
      </w:r>
    </w:p>
    <w:p>
      <w:pPr/>
      <w:r>
        <w:rPr>
          <w:b/>
        </w:rPr>
        <w:t>Later source:</w:t>
      </w:r>
      <w:r>
        <w:t xml:space="preserve"> P1974 - Active Prevention of Keratinocyte Carcinomas in Europe: Therapeutic Choices and Decision-Making Rationales — https://openalex.org/W7220799517</w:t>
      </w:r>
    </w:p>
    <w:p>
      <w:pPr>
        <w:pStyle w:val="SourceNote"/>
      </w:pPr>
      <w:r>
        <w:rPr>
          <w:b/>
        </w:rPr>
        <w:t>Review status:</w:t>
      </w:r>
      <w:r>
        <w:t xml:space="preserve"> unchecked — possible relationship only</w:t>
      </w:r>
    </w:p>
    <w:p>
      <w:pPr>
        <w:pStyle w:val="Heading2"/>
      </w:pPr>
      <w:r>
        <w:t>207. Claim + two later sources: Scenarios for European agricultural policymaking in the era of digitalisation</w:t>
      </w:r>
    </w:p>
    <w:p>
      <w:pPr>
        <w:pStyle w:val="SourceNote"/>
      </w:pPr>
      <w:r>
        <w:rPr>
          <w:b/>
        </w:rPr>
        <w:t>Group ID:</w:t>
      </w:r>
      <w:r>
        <w:t xml:space="preserve"> group-1ef77293a76f213c2700</w:t>
      </w:r>
    </w:p>
    <w:p>
      <w:pPr>
        <w:pStyle w:val="SourceNote"/>
      </w:pPr>
      <w:r>
        <w:rPr>
          <w:b/>
        </w:rPr>
        <w:t>Original source:</w:t>
      </w:r>
      <w:r>
        <w:t xml:space="preserve"> https://doi.org/10.1016/j.agsy.2021.103318</w:t>
      </w:r>
    </w:p>
    <w:p>
      <w:pPr/>
      <w:r>
        <w:rPr>
          <w:b/>
        </w:rPr>
        <w:t>Original future claim:</w:t>
      </w:r>
      <w:r>
        <w:t xml:space="preserve">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The Italian registry for narcolepsy and central disorders of hypersomnolence (ReN&amp;IS): Baseline clinical and diagnostic findings — https://doi.org/10.1016/j.sleep.2026.109021</w:t>
      </w:r>
    </w:p>
    <w:p>
      <w:pPr>
        <w:pStyle w:val="SourceNote"/>
      </w:pPr>
      <w:r>
        <w:rPr>
          <w:b/>
        </w:rPr>
        <w:t>Review status:</w:t>
      </w:r>
      <w:r>
        <w:t xml:space="preserve"> unchecked — possible relationship only</w:t>
      </w:r>
    </w:p>
    <w:p>
      <w:pPr>
        <w:pStyle w:val="Heading2"/>
      </w:pPr>
      <w:r>
        <w:t>208. Claim + two later sources: STRATEGIC DIRECTIONS OF DEVELOPMENT OF THE POLISH POWER SECTOR IN THE LIGHT OF CLIMATE AND ENERGY POLICY OF THE EUROPEAN UNION</w:t>
      </w:r>
    </w:p>
    <w:p>
      <w:pPr>
        <w:pStyle w:val="SourceNote"/>
      </w:pPr>
      <w:r>
        <w:rPr>
          <w:b/>
        </w:rPr>
        <w:t>Group ID:</w:t>
      </w:r>
      <w:r>
        <w:t xml:space="preserve"> group-af5da13b486439b69d81</w:t>
      </w:r>
    </w:p>
    <w:p>
      <w:pPr>
        <w:pStyle w:val="SourceNote"/>
      </w:pPr>
      <w:r>
        <w:rPr>
          <w:b/>
        </w:rPr>
        <w:t>Original source:</w:t>
      </w:r>
      <w:r>
        <w:t xml:space="preserve"> https://doi.org/10.7862/rz.2016.hss.18</w:t>
      </w:r>
    </w:p>
    <w:p>
      <w:pPr/>
      <w:r>
        <w:rPr>
          <w:b/>
        </w:rPr>
        <w:t>Original future claim:</w:t>
      </w:r>
      <w:r>
        <w:t xml:space="preserve">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Later source:</w:t>
      </w:r>
      <w:r>
        <w:t xml:space="preserve"> On Possibility of Converting Electricity Generation System Based on Fossil Fuels to Fully Renewable—Polish Case — https://doi.org/10.3390/en19020483</w:t>
      </w:r>
    </w:p>
    <w:p>
      <w:pPr/>
      <w:r>
        <w:rPr>
          <w:b/>
        </w:rPr>
        <w:t>Later source:</w:t>
      </w:r>
      <w:r>
        <w:t xml:space="preserve"> Harmonization of Ukrainian legislation with the European Green Deal: Legal challenges and directions for improvement — https://doi.org/10.24144/2307-3322.2025.92.3.20</w:t>
      </w:r>
    </w:p>
    <w:p>
      <w:pPr>
        <w:pStyle w:val="SourceNote"/>
      </w:pPr>
      <w:r>
        <w:rPr>
          <w:b/>
        </w:rPr>
        <w:t>Review status:</w:t>
      </w:r>
      <w:r>
        <w:t xml:space="preserve"> unchecked — possible relationship only</w:t>
      </w:r>
    </w:p>
    <w:p>
      <w:pPr>
        <w:pStyle w:val="Heading2"/>
      </w:pPr>
      <w:r>
        <w:t>209. Claim + two later sources: MARKET DRIVEN POWER PLANT INVESTMENT PERSPECTIVES IN EUROPE: CLIMATE POLICY AND TECHNOLOGY SCENARIOS UNTIL 2050 IN THE MODEL EMELIE-ESY</w:t>
      </w:r>
    </w:p>
    <w:p>
      <w:pPr>
        <w:pStyle w:val="SourceNote"/>
      </w:pPr>
      <w:r>
        <w:rPr>
          <w:b/>
        </w:rPr>
        <w:t>Group ID:</w:t>
      </w:r>
      <w:r>
        <w:t xml:space="preserve"> group-9865c6a85b96e434c762</w:t>
      </w:r>
    </w:p>
    <w:p>
      <w:pPr>
        <w:pStyle w:val="SourceNote"/>
      </w:pPr>
      <w:r>
        <w:rPr>
          <w:b/>
        </w:rPr>
        <w:t>Original source:</w:t>
      </w:r>
      <w:r>
        <w:t xml:space="preserve"> https://doi.org/10.1142/s2010007813400071</w:t>
      </w:r>
    </w:p>
    <w:p>
      <w:pPr/>
      <w:r>
        <w:rPr>
          <w:b/>
        </w:rPr>
        <w:t>Original future claim:</w:t>
      </w:r>
      <w:r>
        <w:t xml:space="preserve">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Later source:</w:t>
      </w:r>
      <w:r>
        <w:t xml:space="preserve"> 6G and NTN Power Consumption Modeling — https://doi.org/10.1201/9781003674801-13</w:t>
      </w:r>
    </w:p>
    <w:p>
      <w:pPr/>
      <w:r>
        <w:rPr>
          <w:b/>
        </w:rPr>
        <w:t>Later source:</w:t>
      </w:r>
      <w:r>
        <w:t xml:space="preserve"> The Impact of a Skill-Driven Model on Scrum Teams in Software Projects: A Catalyst for Digital Transformation — https://doi.org/10.3390/systems12050149</w:t>
      </w:r>
    </w:p>
    <w:p>
      <w:pPr>
        <w:pStyle w:val="SourceNote"/>
      </w:pPr>
      <w:r>
        <w:rPr>
          <w:b/>
        </w:rPr>
        <w:t>Review status:</w:t>
      </w:r>
      <w:r>
        <w:t xml:space="preserve"> unchecked — possible relationship only</w:t>
      </w:r>
    </w:p>
    <w:p>
      <w:pPr>
        <w:pStyle w:val="Heading2"/>
      </w:pPr>
      <w:r>
        <w:t>210. Claim + two later sources: Environmental and resource burdens associated with low carbon, more electric transition pathways to 2050: Footprint components from carbon emissions and land use to waste arisings and water consumption</w:t>
      </w:r>
    </w:p>
    <w:p>
      <w:pPr>
        <w:pStyle w:val="SourceNote"/>
      </w:pPr>
      <w:r>
        <w:rPr>
          <w:b/>
        </w:rPr>
        <w:t>Group ID:</w:t>
      </w:r>
      <w:r>
        <w:t xml:space="preserve"> group-aa45d99c2a60ba84348f</w:t>
      </w:r>
    </w:p>
    <w:p>
      <w:pPr>
        <w:pStyle w:val="SourceNote"/>
      </w:pPr>
      <w:r>
        <w:rPr>
          <w:b/>
        </w:rPr>
        <w:t>Original source:</w:t>
      </w:r>
      <w:r>
        <w:t xml:space="preserve"> https://doi.org/10.1016/j.glt.2019.01.001</w:t>
      </w:r>
    </w:p>
    <w:p>
      <w:pPr/>
      <w:r>
        <w:rPr>
          <w:b/>
        </w:rPr>
        <w:t>Original future claim:</w:t>
      </w:r>
      <w:r>
        <w:t xml:space="preserve">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Later source:</w:t>
      </w:r>
      <w:r>
        <w:t xml:space="preserve"> Electricity demand and grid impacts of AI data centers: Challenges and prospects — https://doi.org/10.1016/j.ynexs.2026.100162</w:t>
      </w:r>
    </w:p>
    <w:p>
      <w:pPr/>
      <w:r>
        <w:rPr>
          <w:b/>
        </w:rPr>
        <w:t>Later source:</w:t>
      </w:r>
      <w:r>
        <w:t xml:space="preserve"> Net-zero pathways and the future of GB electricity transmission networks — https://openalex.org/W7113082078</w:t>
      </w:r>
    </w:p>
    <w:p>
      <w:pPr>
        <w:pStyle w:val="SourceNote"/>
      </w:pPr>
      <w:r>
        <w:rPr>
          <w:b/>
        </w:rPr>
        <w:t>Review status:</w:t>
      </w:r>
      <w:r>
        <w:t xml:space="preserve"> unchecked — possible relationship only</w:t>
      </w:r>
    </w:p>
    <w:p>
      <w:pPr>
        <w:pStyle w:val="Heading2"/>
      </w:pPr>
      <w:r>
        <w:t>211. Claim + two later sources: Policy Modelling for Ambitious Energy Efficiency Investment in the EU Residential Buildings</w:t>
      </w:r>
    </w:p>
    <w:p>
      <w:pPr>
        <w:pStyle w:val="SourceNote"/>
      </w:pPr>
      <w:r>
        <w:rPr>
          <w:b/>
        </w:rPr>
        <w:t>Group ID:</w:t>
      </w:r>
      <w:r>
        <w:t xml:space="preserve"> group-cb2f6ba2425c7125f271</w:t>
      </w:r>
    </w:p>
    <w:p>
      <w:pPr>
        <w:pStyle w:val="SourceNote"/>
      </w:pPr>
      <w:r>
        <w:rPr>
          <w:b/>
        </w:rPr>
        <w:t>Original source:</w:t>
      </w:r>
      <w:r>
        <w:t xml:space="preserve"> https://doi.org/10.3390/en15062233</w:t>
      </w:r>
    </w:p>
    <w:p>
      <w:pPr/>
      <w:r>
        <w:rPr>
          <w:b/>
        </w:rPr>
        <w:t>Original future claim:</w:t>
      </w:r>
      <w:r>
        <w:t xml:space="preserve"> This paper presents the challenges of increasing the energy efficiency investments in European Union (EU) residential buildings in the context of achieving climate neutrality by 2050.</w:t>
      </w:r>
    </w:p>
    <w:p>
      <w:pPr/>
      <w:r>
        <w:rPr>
          <w:b/>
        </w:rPr>
        <w:t>Later source:</w:t>
      </w:r>
      <w:r>
        <w:t xml:space="preserve"> The Inoperability of Investment Treaties within Europe: CJEU Jurisprudence and Its Impact on Investment Arbitration — https://openalex.org/W7113066800</w:t>
      </w:r>
    </w:p>
    <w:p>
      <w:pPr/>
      <w:r>
        <w:rPr>
          <w:b/>
        </w:rPr>
        <w:t>Later source:</w:t>
      </w:r>
      <w:r>
        <w:t xml:space="preserve"> The Geopolitical Shift and the Challenge to European Integration — https://doi.org/10.1007/978-3-032-18648-5_1</w:t>
      </w:r>
    </w:p>
    <w:p>
      <w:pPr>
        <w:pStyle w:val="SourceNote"/>
      </w:pPr>
      <w:r>
        <w:rPr>
          <w:b/>
        </w:rPr>
        <w:t>Review status:</w:t>
      </w:r>
      <w:r>
        <w:t xml:space="preserve"> unchecked — possible relationship only</w:t>
      </w:r>
    </w:p>
    <w:p>
      <w:pPr>
        <w:pStyle w:val="Heading2"/>
      </w:pPr>
      <w:r>
        <w:t>212. Claim + two later sources: A New Climate for Europe: 2030 Climate Targets Must Be More Ambitious</w:t>
      </w:r>
    </w:p>
    <w:p>
      <w:pPr>
        <w:pStyle w:val="SourceNote"/>
      </w:pPr>
      <w:r>
        <w:rPr>
          <w:b/>
        </w:rPr>
        <w:t>Group ID:</w:t>
      </w:r>
      <w:r>
        <w:t xml:space="preserve"> group-a6d4e0fecacad7b4af78</w:t>
      </w:r>
    </w:p>
    <w:p>
      <w:pPr>
        <w:pStyle w:val="SourceNote"/>
      </w:pPr>
      <w:r>
        <w:rPr>
          <w:b/>
        </w:rPr>
        <w:t>Original source:</w:t>
      </w:r>
      <w:r>
        <w:t xml:space="preserve"> https://doi.org/10.18723/diw_dwr:2019-40-1</w:t>
      </w:r>
    </w:p>
    <w:p>
      <w:pPr/>
      <w:r>
        <w:rPr>
          <w:b/>
        </w:rPr>
        <w:t>Original future claim:</w:t>
      </w:r>
      <w:r>
        <w:t xml:space="preserve">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Early warning early action systems for invasive alien species affecting forests in Europe and Central Asia: an overview — https://doi.org/10.3389/ffgc.2026.1795394</w:t>
      </w:r>
    </w:p>
    <w:p>
      <w:pPr>
        <w:pStyle w:val="SourceNote"/>
      </w:pPr>
      <w:r>
        <w:rPr>
          <w:b/>
        </w:rPr>
        <w:t>Review status:</w:t>
      </w:r>
      <w:r>
        <w:t xml:space="preserve"> unchecked — possible relationship only</w:t>
      </w:r>
    </w:p>
    <w:p>
      <w:pPr>
        <w:pStyle w:val="Heading2"/>
      </w:pPr>
      <w:r>
        <w:t>213. Claim + two later sources: Dutch Public health Foresight study 2018/20</w:t>
      </w:r>
    </w:p>
    <w:p>
      <w:pPr>
        <w:pStyle w:val="SourceNote"/>
      </w:pPr>
      <w:r>
        <w:rPr>
          <w:b/>
        </w:rPr>
        <w:t>Group ID:</w:t>
      </w:r>
      <w:r>
        <w:t xml:space="preserve"> group-0ae503d106c69969e82b</w:t>
      </w:r>
    </w:p>
    <w:p>
      <w:pPr>
        <w:pStyle w:val="SourceNote"/>
      </w:pPr>
      <w:r>
        <w:rPr>
          <w:b/>
        </w:rPr>
        <w:t>Original source:</w:t>
      </w:r>
      <w:r>
        <w:t xml:space="preserve"> https://doi.org/10.1093/eurpub/ckaa165.1290</w:t>
      </w:r>
    </w:p>
    <w:p>
      <w:pPr/>
      <w:r>
        <w:rPr>
          <w:b/>
        </w:rPr>
        <w:t>Original future claim:</w:t>
      </w:r>
      <w:r>
        <w:t xml:space="preserve"> Dementia will be the leading cause of mortality and disease burden in 2040 by far. Health care expenditures will double by 2040, with cancers showing the most rapid growth of all disease groups.</w:t>
      </w:r>
    </w:p>
    <w:p>
      <w:pPr/>
      <w:r>
        <w:rPr>
          <w:b/>
        </w:rPr>
        <w:t>Later source:</w:t>
      </w:r>
      <w:r>
        <w:t xml:space="preserve"> New data showing dementia is Australia’s leading cause of death means we need to make brain health a national priority — https://doi.org/10.1016/j.anzjph.2026.100318</w:t>
      </w:r>
    </w:p>
    <w:p>
      <w:pPr/>
      <w:r>
        <w:rPr>
          <w:b/>
        </w:rPr>
        <w:t>Later source:</w:t>
      </w:r>
      <w:r>
        <w:t xml:space="preserve"> Global burden of disease due to young-onset dementia and the forecast for 2050: update from global burden of disease study 2021 — https://doi.org/10.6084/m9.figshare.31875322</w:t>
      </w:r>
    </w:p>
    <w:p>
      <w:pPr>
        <w:pStyle w:val="SourceNote"/>
      </w:pPr>
      <w:r>
        <w:rPr>
          <w:b/>
        </w:rPr>
        <w:t>Review status:</w:t>
      </w:r>
      <w:r>
        <w:t xml:space="preserve"> unchecked — possible relationship only</w:t>
      </w:r>
    </w:p>
    <w:p>
      <w:pPr>
        <w:pStyle w:val="Heading2"/>
      </w:pPr>
      <w:r>
        <w:t>214. Claim + two later sources: Constructing Resilient Futures: Integrating UK multi-stakeholder transport and energy resilience for 2050</w:t>
      </w:r>
    </w:p>
    <w:p>
      <w:pPr>
        <w:pStyle w:val="SourceNote"/>
      </w:pPr>
      <w:r>
        <w:rPr>
          <w:b/>
        </w:rPr>
        <w:t>Group ID:</w:t>
      </w:r>
      <w:r>
        <w:t xml:space="preserve"> group-f0c518d9eaddf2c68109</w:t>
      </w:r>
    </w:p>
    <w:p>
      <w:pPr>
        <w:pStyle w:val="SourceNote"/>
      </w:pPr>
      <w:r>
        <w:rPr>
          <w:b/>
        </w:rPr>
        <w:t>Original source:</w:t>
      </w:r>
      <w:r>
        <w:t xml:space="preserve"> https://doi.org/10.1016/j.futures.2013.04.003</w:t>
      </w:r>
    </w:p>
    <w:p>
      <w:pPr/>
      <w:r>
        <w:rPr>
          <w:b/>
        </w:rPr>
        <w:t>Original future claim:</w:t>
      </w:r>
      <w:r>
        <w:t xml:space="preserve">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Later source:</w:t>
      </w:r>
      <w:r>
        <w:t xml:space="preserve"> Urban Form Influence on Terrorist Attacks in Maiduguri, Nigeria: A Street Topology Analysis — https://doi.org/10.48128/pisg-2026-71.2-05</w:t>
      </w:r>
    </w:p>
    <w:p>
      <w:pPr/>
      <w:r>
        <w:rPr>
          <w:b/>
        </w:rPr>
        <w:t>Later source:</w:t>
      </w:r>
      <w:r>
        <w:t xml:space="preserve"> Police Preparedness, Training, and Resource Adequacy Against Terrorist Violent Attacks: A Quantitative Study of District Dera Ismail Khan — https://doi.org/10.59075/p9q9k938</w:t>
      </w:r>
    </w:p>
    <w:p>
      <w:pPr>
        <w:pStyle w:val="SourceNote"/>
      </w:pPr>
      <w:r>
        <w:rPr>
          <w:b/>
        </w:rPr>
        <w:t>Review status:</w:t>
      </w:r>
      <w:r>
        <w:t xml:space="preserve"> unchecked — possible relationship only</w:t>
      </w:r>
    </w:p>
    <w:p>
      <w:pPr>
        <w:pStyle w:val="Heading2"/>
      </w:pPr>
      <w:r>
        <w:t>215. Claim + two later sources: An Agent-Based Assessment of Land Use and Ecosystem Changes in Traditional Agricultural Landscape of Portugal</w:t>
      </w:r>
    </w:p>
    <w:p>
      <w:pPr>
        <w:pStyle w:val="SourceNote"/>
      </w:pPr>
      <w:r>
        <w:rPr>
          <w:b/>
        </w:rPr>
        <w:t>Group ID:</w:t>
      </w:r>
      <w:r>
        <w:t xml:space="preserve"> group-cf10bb40ebfd0198b5b1</w:t>
      </w:r>
    </w:p>
    <w:p>
      <w:pPr>
        <w:pStyle w:val="SourceNote"/>
      </w:pPr>
      <w:r>
        <w:rPr>
          <w:b/>
        </w:rPr>
        <w:t>Original source:</w:t>
      </w:r>
      <w:r>
        <w:t xml:space="preserve"> https://doi.org/10.4236/iim.2014.62008</w:t>
      </w:r>
    </w:p>
    <w:p>
      <w:pPr/>
      <w:r>
        <w:rPr>
          <w:b/>
        </w:rPr>
        <w:t>Original future claim:</w:t>
      </w:r>
      <w:r>
        <w:t xml:space="preserve"> The results of the scenario analysis show that the area of Montado declines significantly by 2050, but it remains the dominant land use in the case study area, indicating some resilience to change.</w:t>
      </w:r>
    </w:p>
    <w:p>
      <w:pPr/>
      <w:r>
        <w:rPr>
          <w:b/>
        </w:rPr>
        <w:t>Later source:</w:t>
      </w:r>
      <w:r>
        <w:t xml:space="preserve"> Model Code and Data for "Future projections of burned area in Europe highlight the importance of human action" — https://doi.org/10.5281/zenodo.18740007</w:t>
      </w:r>
    </w:p>
    <w:p>
      <w:pPr/>
      <w:r>
        <w:rPr>
          <w:b/>
        </w:rPr>
        <w:t>Later source:</w:t>
      </w:r>
      <w:r>
        <w:t xml:space="preserve"> Spatiotemporal analysis of montado land cover dynamics in southern Portugal: the influence of anthropogenic and natural disturbances — https://doi.org/10.1007/s10457-026-01564-x</w:t>
      </w:r>
    </w:p>
    <w:p>
      <w:pPr>
        <w:pStyle w:val="SourceNote"/>
      </w:pPr>
      <w:r>
        <w:rPr>
          <w:b/>
        </w:rPr>
        <w:t>Review status:</w:t>
      </w:r>
      <w:r>
        <w:t xml:space="preserve"> unchecked — possible relationship only</w:t>
      </w:r>
    </w:p>
    <w:p>
      <w:pPr>
        <w:pStyle w:val="Heading2"/>
      </w:pPr>
      <w:r>
        <w:t>216. Claim + two later sources: A history of futures: A review of scenario use in water policy studies in the Netherlands</w:t>
      </w:r>
    </w:p>
    <w:p>
      <w:pPr>
        <w:pStyle w:val="SourceNote"/>
      </w:pPr>
      <w:r>
        <w:rPr>
          <w:b/>
        </w:rPr>
        <w:t>Group ID:</w:t>
      </w:r>
      <w:r>
        <w:t xml:space="preserve"> group-8889d41ca620b5c8970b</w:t>
      </w:r>
    </w:p>
    <w:p>
      <w:pPr>
        <w:pStyle w:val="SourceNote"/>
      </w:pPr>
      <w:r>
        <w:rPr>
          <w:b/>
        </w:rPr>
        <w:t>Original source:</w:t>
      </w:r>
      <w:r>
        <w:t xml:space="preserve"> https://doi.org/10.1016/j.envsci.2012.03.002</w:t>
      </w:r>
    </w:p>
    <w:p>
      <w:pPr/>
      <w:r>
        <w:rPr>
          <w:b/>
        </w:rPr>
        <w:t>Original future claim:</w:t>
      </w:r>
      <w:r>
        <w:t xml:space="preserve">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Later source:</w:t>
      </w:r>
      <w:r>
        <w:t xml:space="preserve"> Proposal for revised criteria for daylight provision in the European daylight standard based on calculations for Swedish multifamily residential buildings — https://doi.org/10.1177/14771535241306970</w:t>
      </w:r>
    </w:p>
    <w:p>
      <w:pPr/>
      <w:r>
        <w:rPr>
          <w:b/>
        </w:rPr>
        <w:t>Later source:</w:t>
      </w:r>
      <w:r>
        <w:t xml:space="preserve"> Lyme Borreliosis Incidence Across Europe, 2015–2023: A Surveillance-Based Review and Analysis — https://doi.org/10.1177/15303667251363125</w:t>
      </w:r>
    </w:p>
    <w:p>
      <w:pPr>
        <w:pStyle w:val="SourceNote"/>
      </w:pPr>
      <w:r>
        <w:rPr>
          <w:b/>
        </w:rPr>
        <w:t>Review status:</w:t>
      </w:r>
      <w:r>
        <w:t xml:space="preserve"> unchecked — possible relationship only</w:t>
      </w:r>
    </w:p>
    <w:p>
      <w:pPr>
        <w:pStyle w:val="Heading2"/>
      </w:pPr>
      <w:r>
        <w:t>217. Claim + two later sources: Anticipatory governance for newcomers: lessons learned from the UK, the Netherlands, Finland, and Korea</w:t>
      </w:r>
    </w:p>
    <w:p>
      <w:pPr>
        <w:pStyle w:val="SourceNote"/>
      </w:pPr>
      <w:r>
        <w:rPr>
          <w:b/>
        </w:rPr>
        <w:t>Group ID:</w:t>
      </w:r>
      <w:r>
        <w:t xml:space="preserve"> group-1526e41c9b0204aa1ab0</w:t>
      </w:r>
    </w:p>
    <w:p>
      <w:pPr>
        <w:pStyle w:val="SourceNote"/>
      </w:pPr>
      <w:r>
        <w:rPr>
          <w:b/>
        </w:rPr>
        <w:t>Original source:</w:t>
      </w:r>
      <w:r>
        <w:t xml:space="preserve"> https://doi.org/10.1186/s40309-021-00179-y</w:t>
      </w:r>
    </w:p>
    <w:p>
      <w:pPr/>
      <w:r>
        <w:rPr>
          <w:b/>
        </w:rPr>
        <w:t>Original future claim:</w:t>
      </w:r>
      <w:r>
        <w:t xml:space="preserve"> First, the government should educate and train the public and government officials to promote future literacy and future proficiency .</w:t>
      </w:r>
    </w:p>
    <w:p>
      <w:pPr/>
      <w:r>
        <w:rPr>
          <w:b/>
        </w:rPr>
        <w:t>Later source:</w:t>
      </w:r>
      <w:r>
        <w:t xml:space="preserve"> Trading the first EUA — https://doi.org/10.4324/9781003359739-6</w:t>
      </w:r>
    </w:p>
    <w:p>
      <w:pPr/>
      <w:r>
        <w:rPr>
          <w:b/>
        </w:rPr>
        <w:t>Later source:</w:t>
      </w:r>
      <w:r>
        <w:t xml:space="preserve"> Change from within? The strategies used by public officials to advance post-growth approaches — https://doi.org/10.48550/arxiv.2606.24439</w:t>
      </w:r>
    </w:p>
    <w:p>
      <w:pPr>
        <w:pStyle w:val="SourceNote"/>
      </w:pPr>
      <w:r>
        <w:rPr>
          <w:b/>
        </w:rPr>
        <w:t>Review status:</w:t>
      </w:r>
      <w:r>
        <w:t xml:space="preserve"> unchecked — possible relationship only</w:t>
      </w:r>
    </w:p>
    <w:p>
      <w:pPr>
        <w:pStyle w:val="Heading2"/>
      </w:pPr>
      <w:r>
        <w:t>218. Claim + two later sources: Foresight and “grand challenges” within research and innovation policies</w:t>
      </w:r>
    </w:p>
    <w:p>
      <w:pPr>
        <w:pStyle w:val="SourceNote"/>
      </w:pPr>
      <w:r>
        <w:rPr>
          <w:b/>
        </w:rPr>
        <w:t>Group ID:</w:t>
      </w:r>
      <w:r>
        <w:t xml:space="preserve"> group-6d2ad0023d4f371a8b4f</w:t>
      </w:r>
    </w:p>
    <w:p>
      <w:pPr>
        <w:pStyle w:val="SourceNote"/>
      </w:pPr>
      <w:r>
        <w:rPr>
          <w:b/>
        </w:rPr>
        <w:t>Original source:</w:t>
      </w:r>
      <w:r>
        <w:t xml:space="preserve"> https://doi.org/10.1108/14636681311310123</w:t>
      </w:r>
    </w:p>
    <w:p>
      <w:pPr/>
      <w:r>
        <w:rPr>
          <w:b/>
        </w:rPr>
        <w:t>Original future claim:</w:t>
      </w:r>
      <w:r>
        <w:t xml:space="preserve">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Later source:</w:t>
      </w:r>
      <w:r>
        <w:t xml:space="preserve"> Between trauma and resistance: Pride, pleasure, and purpose in the lives of trans and gender diverse activists in Brazil. — https://doi.org/10.1037/tra0002117</w:t>
      </w:r>
    </w:p>
    <w:p>
      <w:pPr/>
      <w:r>
        <w:rPr>
          <w:b/>
        </w:rPr>
        <w:t>Later source:</w:t>
      </w:r>
      <w:r>
        <w:t xml:space="preserve"> The Pursuit of Meaning: Finding Happiness Through Purpose — https://doi.org/10.17605/osf.io/mgfdk</w:t>
      </w:r>
    </w:p>
    <w:p>
      <w:pPr>
        <w:pStyle w:val="SourceNote"/>
      </w:pPr>
      <w:r>
        <w:rPr>
          <w:b/>
        </w:rPr>
        <w:t>Review status:</w:t>
      </w:r>
      <w:r>
        <w:t xml:space="preserve"> unchecked — possible relationship only</w:t>
      </w:r>
    </w:p>
    <w:p>
      <w:pPr>
        <w:pStyle w:val="Heading2"/>
      </w:pPr>
      <w:r>
        <w:t>219. Claim + two later sources: Governance barriers to sustainable energy transitions – Assessing Ireland's capacity towards marine energy futures</w:t>
      </w:r>
    </w:p>
    <w:p>
      <w:pPr>
        <w:pStyle w:val="SourceNote"/>
      </w:pPr>
      <w:r>
        <w:rPr>
          <w:b/>
        </w:rPr>
        <w:t>Group ID:</w:t>
      </w:r>
      <w:r>
        <w:t xml:space="preserve"> group-74fcad6575b212d0cccf</w:t>
      </w:r>
    </w:p>
    <w:p>
      <w:pPr>
        <w:pStyle w:val="SourceNote"/>
      </w:pPr>
      <w:r>
        <w:rPr>
          <w:b/>
        </w:rPr>
        <w:t>Original source:</w:t>
      </w:r>
      <w:r>
        <w:t xml:space="preserve"> https://doi.org/10.1016/j.enpol.2017.11.020</w:t>
      </w:r>
    </w:p>
    <w:p>
      <w:pPr/>
      <w:r>
        <w:rPr>
          <w:b/>
        </w:rPr>
        <w:t>Original future claim:</w:t>
      </w:r>
      <w:r>
        <w:t xml:space="preserve"> We observe that ME governance is complex, as development offshore involves engagement and may often result in conflict.</w:t>
      </w:r>
    </w:p>
    <w:p>
      <w:pPr/>
      <w:r>
        <w:rPr>
          <w:b/>
        </w:rPr>
        <w:t>Later source:</w:t>
      </w:r>
      <w:r>
        <w:t xml:space="preserve"> A systematic review of the role of community science in European wildlife governance — https://openalex.org/W7202009244</w:t>
      </w:r>
    </w:p>
    <w:p>
      <w:pPr/>
      <w:r>
        <w:rPr>
          <w:b/>
        </w:rPr>
        <w:t>Later source:</w:t>
      </w:r>
      <w:r>
        <w:t xml:space="preserve"> Practices within the European Union’s Governance — https://doi.org/10.38158/apjeus.22.1.1</w:t>
      </w:r>
    </w:p>
    <w:p>
      <w:pPr>
        <w:pStyle w:val="SourceNote"/>
      </w:pPr>
      <w:r>
        <w:rPr>
          <w:b/>
        </w:rPr>
        <w:t>Review status:</w:t>
      </w:r>
      <w:r>
        <w:t xml:space="preserve"> unchecked — possible relationship only</w:t>
      </w:r>
    </w:p>
    <w:p>
      <w:pPr>
        <w:pStyle w:val="Heading2"/>
      </w:pPr>
      <w:r>
        <w:t>220. Claim + two later sources: Developments in Energy use for Transport in 27 European Union Countries through 2030</w:t>
      </w:r>
    </w:p>
    <w:p>
      <w:pPr>
        <w:pStyle w:val="SourceNote"/>
      </w:pPr>
      <w:r>
        <w:rPr>
          <w:b/>
        </w:rPr>
        <w:t>Group ID:</w:t>
      </w:r>
      <w:r>
        <w:t xml:space="preserve"> group-2b48580c632895683c78</w:t>
      </w:r>
    </w:p>
    <w:p>
      <w:pPr>
        <w:pStyle w:val="SourceNote"/>
      </w:pPr>
      <w:r>
        <w:rPr>
          <w:b/>
        </w:rPr>
        <w:t>Original source:</w:t>
      </w:r>
      <w:r>
        <w:t xml:space="preserve"> https://doi.org/10.3141/2252-05</w:t>
      </w:r>
    </w:p>
    <w:p>
      <w:pPr/>
      <w:r>
        <w:rPr>
          <w:b/>
        </w:rPr>
        <w:t>Original future claim:</w:t>
      </w:r>
      <w:r>
        <w:t xml:space="preserve">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Later source:</w:t>
      </w:r>
      <w:r>
        <w:t xml:space="preserve"> Commutes to alternative workplaces: GHG emissions and physical activity — https://doi.org/10.5334/bc.789</w:t>
      </w:r>
    </w:p>
    <w:p>
      <w:pPr/>
      <w:r>
        <w:rPr>
          <w:b/>
        </w:rPr>
        <w:t>Later source:</w:t>
      </w:r>
      <w:r>
        <w:t xml:space="preserve"> Global value chains and the redistribution of GHG emissions: The case of Czechia — https://doi.org/10.1016/j.rspp.2026.100338</w:t>
      </w:r>
    </w:p>
    <w:p>
      <w:pPr>
        <w:pStyle w:val="SourceNote"/>
      </w:pPr>
      <w:r>
        <w:rPr>
          <w:b/>
        </w:rPr>
        <w:t>Review status:</w:t>
      </w:r>
      <w:r>
        <w:t xml:space="preserve"> unchecked — possible relationship only</w:t>
      </w:r>
    </w:p>
    <w:p>
      <w:pPr>
        <w:pStyle w:val="Heading2"/>
      </w:pPr>
      <w:r>
        <w:t>221. Claim + two later sources: Impact of Quasi‐Idealized Future Land Cover Scenarios at High Latitudes in Complex Terrain</w:t>
      </w:r>
    </w:p>
    <w:p>
      <w:pPr>
        <w:pStyle w:val="SourceNote"/>
      </w:pPr>
      <w:r>
        <w:rPr>
          <w:b/>
        </w:rPr>
        <w:t>Group ID:</w:t>
      </w:r>
      <w:r>
        <w:t xml:space="preserve"> group-b5ee6f1fe13d814ba28a</w:t>
      </w:r>
    </w:p>
    <w:p>
      <w:pPr>
        <w:pStyle w:val="SourceNote"/>
      </w:pPr>
      <w:r>
        <w:rPr>
          <w:b/>
        </w:rPr>
        <w:t>Original source:</w:t>
      </w:r>
      <w:r>
        <w:t xml:space="preserve"> https://doi.org/10.1029/2020ef001838</w:t>
      </w:r>
    </w:p>
    <w:p>
      <w:pPr/>
      <w:r>
        <w:rPr>
          <w:b/>
        </w:rPr>
        <w:t>Original future claim:</w:t>
      </w:r>
      <w:r>
        <w:t xml:space="preserve">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Later source:</w:t>
      </w:r>
      <w:r>
        <w:t xml:space="preserve"> On the Effective Resolution of AI Weather Prediction Models — https://doi.org/10.1175/aies-d-25-0121.1</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pStyle w:val="SourceNote"/>
      </w:pPr>
      <w:r>
        <w:rPr>
          <w:b/>
        </w:rPr>
        <w:t>Review status:</w:t>
      </w:r>
      <w:r>
        <w:t xml:space="preserve"> unchecked — possible relationship only</w:t>
      </w:r>
    </w:p>
    <w:p>
      <w:pPr>
        <w:pStyle w:val="Heading2"/>
      </w:pPr>
      <w:r>
        <w:t>222. Claim + two later sources: International migration by 2030: impact of immigration policies scenarios on growth and employment</w:t>
      </w:r>
    </w:p>
    <w:p>
      <w:pPr>
        <w:pStyle w:val="SourceNote"/>
      </w:pPr>
      <w:r>
        <w:rPr>
          <w:b/>
        </w:rPr>
        <w:t>Group ID:</w:t>
      </w:r>
      <w:r>
        <w:t xml:space="preserve"> group-21f65308ba050ff65ad8</w:t>
      </w:r>
    </w:p>
    <w:p>
      <w:pPr>
        <w:pStyle w:val="SourceNote"/>
      </w:pPr>
      <w:r>
        <w:rPr>
          <w:b/>
        </w:rPr>
        <w:t>Original source:</w:t>
      </w:r>
      <w:r>
        <w:t xml:space="preserve"> https://doi.org/10.1108/fs-06-2012-0045</w:t>
      </w:r>
    </w:p>
    <w:p>
      <w:pPr/>
      <w:r>
        <w:rPr>
          <w:b/>
        </w:rPr>
        <w:t>Original future claim:</w:t>
      </w:r>
      <w:r>
        <w:t xml:space="preserve">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Later source:</w:t>
      </w:r>
      <w:r>
        <w:t xml:space="preserve"> Economic Assimilation of Women and Families in the Age of Mass Migration — https://doi.org/10.3386/w35332</w:t>
      </w:r>
    </w:p>
    <w:p>
      <w:pPr/>
      <w:r>
        <w:rPr>
          <w:b/>
        </w:rPr>
        <w:t>Later source:</w:t>
      </w:r>
      <w:r>
        <w:t xml:space="preserve"> Immigration, Innovation, and the Geography of Growth — https://doi.org/10.3386/w35392</w:t>
      </w:r>
    </w:p>
    <w:p>
      <w:pPr>
        <w:pStyle w:val="SourceNote"/>
      </w:pPr>
      <w:r>
        <w:rPr>
          <w:b/>
        </w:rPr>
        <w:t>Review status:</w:t>
      </w:r>
      <w:r>
        <w:t xml:space="preserve"> unchecked — possible relationship only</w:t>
      </w:r>
    </w:p>
    <w:p>
      <w:pPr>
        <w:pStyle w:val="Heading2"/>
      </w:pPr>
      <w:r>
        <w:t>223. Claim + two later sources: Will climate change affect the electricity production sector? A European study</w:t>
      </w:r>
    </w:p>
    <w:p>
      <w:pPr>
        <w:pStyle w:val="SourceNote"/>
      </w:pPr>
      <w:r>
        <w:rPr>
          <w:b/>
        </w:rPr>
        <w:t>Group ID:</w:t>
      </w:r>
      <w:r>
        <w:t xml:space="preserve"> group-add534e48407d6ba9b27</w:t>
      </w:r>
    </w:p>
    <w:p>
      <w:pPr>
        <w:pStyle w:val="SourceNote"/>
      </w:pPr>
      <w:r>
        <w:rPr>
          <w:b/>
        </w:rPr>
        <w:t>Original source:</w:t>
      </w:r>
      <w:r>
        <w:t xml:space="preserve"> https://doi.org/10.2166/wcc.2012.066</w:t>
      </w:r>
    </w:p>
    <w:p>
      <w:pPr/>
      <w:r>
        <w:rPr>
          <w:b/>
        </w:rPr>
        <w:t>Original future claim:</w:t>
      </w:r>
      <w:r>
        <w:t xml:space="preserve">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Later source:</w:t>
      </w:r>
      <w:r>
        <w:t xml:space="preserve"> Integration of unreported irrigation withdrawals in time-series models of groundwater levels (Seewinkel, Austria) — https://doi.org/10.5194/egusphere-egu26-13119</w:t>
      </w:r>
    </w:p>
    <w:p>
      <w:pPr/>
      <w:r>
        <w:rPr>
          <w:b/>
        </w:rPr>
        <w:t>Later source:</w:t>
      </w:r>
      <w:r>
        <w:t xml:space="preserve"> Hydrogen production from grid electricity in Europe: A temporal analysis combining economic and climate dimensions — https://doi.org/10.1016/j.ecmx.2026.101922</w:t>
      </w:r>
    </w:p>
    <w:p>
      <w:pPr>
        <w:pStyle w:val="SourceNote"/>
      </w:pPr>
      <w:r>
        <w:rPr>
          <w:b/>
        </w:rPr>
        <w:t>Review status:</w:t>
      </w:r>
      <w:r>
        <w:t xml:space="preserve"> unchecked — possible relationship only</w:t>
      </w:r>
    </w:p>
    <w:p>
      <w:pPr>
        <w:pStyle w:val="Heading2"/>
      </w:pPr>
      <w:r>
        <w:t>224. Claim + two later sources: Animal Health Surveillance in Scotland in 2030: Using Scenario Planning to Develop Strategies in the Context of “Brexit”</w:t>
      </w:r>
    </w:p>
    <w:p>
      <w:pPr>
        <w:pStyle w:val="SourceNote"/>
      </w:pPr>
      <w:r>
        <w:rPr>
          <w:b/>
        </w:rPr>
        <w:t>Group ID:</w:t>
      </w:r>
      <w:r>
        <w:t xml:space="preserve"> group-8a0918c69bc5f9cce6bf</w:t>
      </w:r>
    </w:p>
    <w:p>
      <w:pPr>
        <w:pStyle w:val="SourceNote"/>
      </w:pPr>
      <w:r>
        <w:rPr>
          <w:b/>
        </w:rPr>
        <w:t>Original source:</w:t>
      </w:r>
      <w:r>
        <w:t xml:space="preserve"> https://doi.org/10.3389/fvets.2017.00201</w:t>
      </w:r>
    </w:p>
    <w:p>
      <w:pPr/>
      <w:r>
        <w:rPr>
          <w:b/>
        </w:rPr>
        <w:t>Original future claim:</w:t>
      </w:r>
      <w:r>
        <w:t xml:space="preserve">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Later source:</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Later source:</w:t>
      </w:r>
      <w:r>
        <w:t xml:space="preserve"> Joint Optimization of Tool Creation and Use for Large Language Model Agents — https://doi.org/10.48550/arxiv.2608.24571</w:t>
      </w:r>
    </w:p>
    <w:p>
      <w:pPr>
        <w:pStyle w:val="SourceNote"/>
      </w:pPr>
      <w:r>
        <w:rPr>
          <w:b/>
        </w:rPr>
        <w:t>Review status:</w:t>
      </w:r>
      <w:r>
        <w:t xml:space="preserve"> unchecked — possible relationship only</w:t>
      </w:r>
    </w:p>
    <w:p>
      <w:pPr>
        <w:pStyle w:val="Heading2"/>
      </w:pPr>
      <w:r>
        <w:t>225. Claim + two later sources: Superconductivity and the environment: a Roadmap</w:t>
      </w:r>
    </w:p>
    <w:p>
      <w:pPr>
        <w:pStyle w:val="SourceNote"/>
      </w:pPr>
      <w:r>
        <w:rPr>
          <w:b/>
        </w:rPr>
        <w:t>Group ID:</w:t>
      </w:r>
      <w:r>
        <w:t xml:space="preserve"> group-e0fb199573310d8bf49b</w:t>
      </w:r>
    </w:p>
    <w:p>
      <w:pPr>
        <w:pStyle w:val="SourceNote"/>
      </w:pPr>
      <w:r>
        <w:rPr>
          <w:b/>
        </w:rPr>
        <w:t>Original source:</w:t>
      </w:r>
      <w:r>
        <w:t xml:space="preserve"> https://doi.org/10.1088/0953-2048/26/11/113001</w:t>
      </w:r>
    </w:p>
    <w:p>
      <w:pPr/>
      <w:r>
        <w:rPr>
          <w:b/>
        </w:rPr>
        <w:t>Original future claim:</w:t>
      </w:r>
      <w:r>
        <w:t xml:space="preserve"> If we want to stabilize CO 2 levels in our atmosphere at 550 parts per million, all of that growth needs to be met by non-carbon forms of energy' (2011 Equinox Summit: Energy 2030 http://wgsi.org/publications-resources ).</w:t>
      </w:r>
    </w:p>
    <w:p>
      <w:pPr/>
      <w:r>
        <w:rPr>
          <w:b/>
        </w:rPr>
        <w:t>Later source:</w:t>
      </w:r>
      <w:r>
        <w:t xml:space="preserve"> What Does China Want? — https://doi.org/10.1162/isec.a.5</w:t>
      </w:r>
    </w:p>
    <w:p>
      <w:pPr/>
      <w:r>
        <w:rPr>
          <w:b/>
        </w:rPr>
        <w:t>Later source:</w:t>
      </w:r>
      <w:r>
        <w:t xml:space="preserve"> A Natural Deep Eutectic Solvent Formulated to Stabilize β-Lactam Antibiotics — https://doi.org/10.1038/s41598-018-33148-w</w:t>
      </w:r>
    </w:p>
    <w:p>
      <w:pPr>
        <w:pStyle w:val="SourceNote"/>
      </w:pPr>
      <w:r>
        <w:rPr>
          <w:b/>
        </w:rPr>
        <w:t>Review status:</w:t>
      </w:r>
      <w:r>
        <w:t xml:space="preserve"> unchecked — possible relationship only</w:t>
      </w:r>
    </w:p>
    <w:p>
      <w:pPr>
        <w:pStyle w:val="Heading2"/>
      </w:pPr>
      <w:r>
        <w:t>226. Claim + two later sources: Foresight in Public Administration: Methods and Perspectives of Implementation in Ukraine</w:t>
      </w:r>
    </w:p>
    <w:p>
      <w:pPr>
        <w:pStyle w:val="SourceNote"/>
      </w:pPr>
      <w:r>
        <w:rPr>
          <w:b/>
        </w:rPr>
        <w:t>Group ID:</w:t>
      </w:r>
      <w:r>
        <w:t xml:space="preserve"> group-73b84809f76f10109b88</w:t>
      </w:r>
    </w:p>
    <w:p>
      <w:pPr>
        <w:pStyle w:val="SourceNote"/>
      </w:pPr>
      <w:r>
        <w:rPr>
          <w:b/>
        </w:rPr>
        <w:t>Original source:</w:t>
      </w:r>
      <w:r>
        <w:t xml:space="preserve"> https://doi.org/10.15421/151847</w:t>
      </w:r>
    </w:p>
    <w:p>
      <w:pPr/>
      <w:r>
        <w:rPr>
          <w:b/>
        </w:rPr>
        <w:t>Original future claim:</w:t>
      </w:r>
      <w:r>
        <w:t xml:space="preserve">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Later source:</w:t>
      </w:r>
      <w:r>
        <w:t xml:space="preserve"> Methodology for the formation and practical tools of educational and methodological complexes for training personnel for enterprises of the petrochemical complex — https://doi.org/10.47813/2782-5280-2026-5-1-5039-5046</w:t>
      </w:r>
    </w:p>
    <w:p>
      <w:pPr/>
      <w:r>
        <w:rPr>
          <w:b/>
        </w:rPr>
        <w:t>Later source:</w:t>
      </w:r>
      <w:r>
        <w:t xml:space="preserve"> Surveys in clinical research: methodological aspects and practical guidance — https://doi.org/10.62675/2965-2774.20260322</w:t>
      </w:r>
    </w:p>
    <w:p>
      <w:pPr>
        <w:pStyle w:val="SourceNote"/>
      </w:pPr>
      <w:r>
        <w:rPr>
          <w:b/>
        </w:rPr>
        <w:t>Review status:</w:t>
      </w:r>
      <w:r>
        <w:t xml:space="preserve"> unchecked — possible relationship only</w:t>
      </w:r>
    </w:p>
    <w:p>
      <w:pPr>
        <w:pStyle w:val="Heading2"/>
      </w:pPr>
      <w:r>
        <w:t>227. Claim + two later sources: Energy Efficiency Vision 2050: How will new societal trends influence future energy demand in the European countries?</w:t>
      </w:r>
    </w:p>
    <w:p>
      <w:pPr>
        <w:pStyle w:val="SourceNote"/>
      </w:pPr>
      <w:r>
        <w:rPr>
          <w:b/>
        </w:rPr>
        <w:t>Group ID:</w:t>
      </w:r>
      <w:r>
        <w:t xml:space="preserve"> group-50f17084ef96b001bb35</w:t>
      </w:r>
    </w:p>
    <w:p>
      <w:pPr>
        <w:pStyle w:val="SourceNote"/>
      </w:pPr>
      <w:r>
        <w:rPr>
          <w:b/>
        </w:rPr>
        <w:t>Original source:</w:t>
      </w:r>
      <w:r>
        <w:t xml:space="preserve"> https://doi.org/10.1016/j.enpol.2021.112216</w:t>
      </w:r>
    </w:p>
    <w:p>
      <w:pPr/>
      <w:r>
        <w:rPr>
          <w:b/>
        </w:rPr>
        <w:t>Original future claim:</w:t>
      </w:r>
      <w:r>
        <w:t xml:space="preserve"> While in the “Worst Case” scenario, they could increase final energy demand by 40%. Based on these, four energy demand scenarios were developed for 2050.</w:t>
      </w:r>
    </w:p>
    <w:p>
      <w:pPr/>
      <w:r>
        <w:rPr>
          <w:b/>
        </w:rPr>
        <w:t>Later source:</w:t>
      </w:r>
      <w:r>
        <w:t xml:space="preserve"> European Energy Performance of Buildings Directive and Cultural Heritage — https://openalex.org/W7126308985</w:t>
      </w:r>
    </w:p>
    <w:p>
      <w:pPr/>
      <w:r>
        <w:rPr>
          <w:b/>
        </w:rPr>
        <w:t>Later source:</w:t>
      </w:r>
      <w:r>
        <w:t xml:space="preserve"> Quality of Consumed Energy as a Key Element in the Development of Processes of Energy Transformation in the European Union Countries — https://doi.org/10.3390/en18030460</w:t>
      </w:r>
    </w:p>
    <w:p>
      <w:pPr>
        <w:pStyle w:val="SourceNote"/>
      </w:pPr>
      <w:r>
        <w:rPr>
          <w:b/>
        </w:rPr>
        <w:t>Review status:</w:t>
      </w:r>
      <w:r>
        <w:t xml:space="preserve"> unchecked — possible relationship only</w:t>
      </w:r>
    </w:p>
    <w:p>
      <w:pPr>
        <w:pStyle w:val="Heading2"/>
      </w:pPr>
      <w:r>
        <w:t>228. Claim + two later sources: Energy system transition and macroeconomic impacts of a European decarbonization action towards a below 2 °C climate stabilization</w:t>
      </w:r>
    </w:p>
    <w:p>
      <w:pPr>
        <w:pStyle w:val="SourceNote"/>
      </w:pPr>
      <w:r>
        <w:rPr>
          <w:b/>
        </w:rPr>
        <w:t>Group ID:</w:t>
      </w:r>
      <w:r>
        <w:t xml:space="preserve"> group-cc673862086b990fd229</w:t>
      </w:r>
    </w:p>
    <w:p>
      <w:pPr>
        <w:pStyle w:val="SourceNote"/>
      </w:pPr>
      <w:r>
        <w:rPr>
          <w:b/>
        </w:rPr>
        <w:t>Original source:</w:t>
      </w:r>
      <w:r>
        <w:t xml:space="preserve"> https://doi.org/10.1007/s10584-019-02440-7</w:t>
      </w:r>
    </w:p>
    <w:p>
      <w:pPr/>
      <w:r>
        <w:rPr>
          <w:b/>
        </w:rPr>
        <w:t>Original future claim:</w:t>
      </w:r>
      <w:r>
        <w:t xml:space="preserve">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Later source:</w:t>
      </w:r>
      <w:r>
        <w:t xml:space="preserve"> Majority of methane emissions from European biogas plant supply chains could be eliminated at no net cost — https://doi.org/10.1038/s44458-026-00065-3</w:t>
      </w:r>
    </w:p>
    <w:p>
      <w:pPr/>
      <w:r>
        <w:rPr>
          <w:b/>
        </w:rPr>
        <w:t>Later source:</w:t>
      </w:r>
      <w:r>
        <w:t xml:space="preserve"> Balancing economic growth and emission reductions: an empirical study of the European Union — https://doi.org/10.15196/rs160307</w:t>
      </w:r>
    </w:p>
    <w:p>
      <w:pPr>
        <w:pStyle w:val="SourceNote"/>
      </w:pPr>
      <w:r>
        <w:rPr>
          <w:b/>
        </w:rPr>
        <w:t>Review status:</w:t>
      </w:r>
      <w:r>
        <w:t xml:space="preserve"> unchecked — possible relationship only</w:t>
      </w:r>
    </w:p>
    <w:p>
      <w:pPr>
        <w:pStyle w:val="Heading2"/>
      </w:pPr>
      <w:r>
        <w:t>229. Claim + two later sources: Burden of pancreatic cancer along with attributable risk factors in Europe between 1990 and 2019, and projections until 2039</w:t>
      </w:r>
    </w:p>
    <w:p>
      <w:pPr>
        <w:pStyle w:val="SourceNote"/>
      </w:pPr>
      <w:r>
        <w:rPr>
          <w:b/>
        </w:rPr>
        <w:t>Group ID:</w:t>
      </w:r>
      <w:r>
        <w:t xml:space="preserve"> group-2ae76223ea4d4320d6b7</w:t>
      </w:r>
    </w:p>
    <w:p>
      <w:pPr>
        <w:pStyle w:val="SourceNote"/>
      </w:pPr>
      <w:r>
        <w:rPr>
          <w:b/>
        </w:rPr>
        <w:t>Original source:</w:t>
      </w:r>
      <w:r>
        <w:t xml:space="preserve"> https://doi.org/10.1002/ijc.33617</w:t>
      </w:r>
    </w:p>
    <w:p>
      <w:pPr/>
      <w:r>
        <w:rPr>
          <w:b/>
        </w:rPr>
        <w:t>Original future claim:</w:t>
      </w:r>
      <w:r>
        <w:t xml:space="preserve">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Later source:</w:t>
      </w:r>
      <w:r>
        <w:t xml:space="preserve"> Bayesian Indirect Estimation of Historical Fertility in Europe and US Using Online Genealogical Data — https://doi.org/10.1177/00491241261463559</w:t>
      </w:r>
    </w:p>
    <w:p>
      <w:pPr/>
      <w:r>
        <w:rPr>
          <w:b/>
        </w:rPr>
        <w:t>Later source:</w:t>
      </w:r>
      <w:r>
        <w:t xml:space="preserve"> Unequal healthy ageing trajectories across Europe: socioeconomic development and age-related disease burden in the European Union and South-Eastern European countries — https://doi.org/10.1007/s11357-026-02273-0</w:t>
      </w:r>
    </w:p>
    <w:p>
      <w:pPr>
        <w:pStyle w:val="SourceNote"/>
      </w:pPr>
      <w:r>
        <w:rPr>
          <w:b/>
        </w:rPr>
        <w:t>Review status:</w:t>
      </w:r>
      <w:r>
        <w:t xml:space="preserve"> unchecked — possible relationship only</w:t>
      </w:r>
    </w:p>
    <w:p>
      <w:pPr>
        <w:pStyle w:val="Heading2"/>
      </w:pPr>
      <w:r>
        <w:t>230. Claim + two later sources: Securing a bioenergy future without imports</w:t>
      </w:r>
    </w:p>
    <w:p>
      <w:pPr>
        <w:pStyle w:val="SourceNote"/>
      </w:pPr>
      <w:r>
        <w:rPr>
          <w:b/>
        </w:rPr>
        <w:t>Group ID:</w:t>
      </w:r>
      <w:r>
        <w:t xml:space="preserve"> group-985a3c4188aeb0b3db83</w:t>
      </w:r>
    </w:p>
    <w:p>
      <w:pPr>
        <w:pStyle w:val="SourceNote"/>
      </w:pPr>
      <w:r>
        <w:rPr>
          <w:b/>
        </w:rPr>
        <w:t>Original source:</w:t>
      </w:r>
      <w:r>
        <w:t xml:space="preserve"> https://doi.org/10.1016/j.enpol.2013.11.079</w:t>
      </w:r>
    </w:p>
    <w:p>
      <w:pPr/>
      <w:r>
        <w:rPr>
          <w:b/>
        </w:rPr>
        <w:t>Original future claim:</w:t>
      </w:r>
      <w:r>
        <w:t xml:space="preserve">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Later source:</w:t>
      </w:r>
      <w:r>
        <w:t xml:space="preserve"> Scheduler Modeling of Distributed Energy Resources for Providing Ancillary Services — https://doi.org/10.2172/3019719</w:t>
      </w:r>
    </w:p>
    <w:p>
      <w:pPr/>
      <w:r>
        <w:rPr>
          <w:b/>
        </w:rPr>
        <w:t>Later source:</w:t>
      </w:r>
      <w:r>
        <w:t xml:space="preserve"> Indigenous Water as Life — https://doi.org/10.4018/979-8-3373-7559-5.ch003</w:t>
      </w:r>
    </w:p>
    <w:p>
      <w:pPr>
        <w:pStyle w:val="SourceNote"/>
      </w:pPr>
      <w:r>
        <w:rPr>
          <w:b/>
        </w:rPr>
        <w:t>Review status:</w:t>
      </w:r>
      <w:r>
        <w:t xml:space="preserve"> unchecked — possible relationship only</w:t>
      </w:r>
    </w:p>
    <w:p>
      <w:pPr>
        <w:pStyle w:val="Heading2"/>
      </w:pPr>
      <w:r>
        <w:t>231. Claim + two later sources: Shifts, turning points and inertia exploring long-term industry trends in European transport</w:t>
      </w:r>
    </w:p>
    <w:p>
      <w:pPr>
        <w:pStyle w:val="SourceNote"/>
      </w:pPr>
      <w:r>
        <w:rPr>
          <w:b/>
        </w:rPr>
        <w:t>Group ID:</w:t>
      </w:r>
      <w:r>
        <w:t xml:space="preserve"> group-3edcd0f23c62f9e5e334</w:t>
      </w:r>
    </w:p>
    <w:p>
      <w:pPr>
        <w:pStyle w:val="SourceNote"/>
      </w:pPr>
      <w:r>
        <w:rPr>
          <w:b/>
        </w:rPr>
        <w:t>Original source:</w:t>
      </w:r>
      <w:r>
        <w:t xml:space="preserve"> https://doi.org/10.1007/s40309-015-0070-0</w:t>
      </w:r>
    </w:p>
    <w:p>
      <w:pPr/>
      <w:r>
        <w:rPr>
          <w:b/>
        </w:rPr>
        <w:t>Original future claim:</w:t>
      </w:r>
      <w:r>
        <w:t xml:space="preserve"> Such an analysis steps further into the technological realm, and targets social, industrial and political issues, which could affect the future of transport up until 2050, with a special focus on the post-ownership economy.</w:t>
      </w:r>
    </w:p>
    <w:p>
      <w:pPr/>
      <w:r>
        <w:rPr>
          <w:b/>
        </w:rPr>
        <w:t>Later source:</w:t>
      </w:r>
      <w:r>
        <w:t xml:space="preserve"> Technological and Urban Innovation in the Context of the New European Bauhaus: The Case of Sunglider — https://doi.org/10.3390/su18031275</w:t>
      </w:r>
    </w:p>
    <w:p>
      <w:pPr/>
      <w:r>
        <w:rPr>
          <w:b/>
        </w:rPr>
        <w:t>Later source:</w:t>
      </w:r>
      <w:r>
        <w:t xml:space="preserve"> The Economic and Technological Resilience in the European Union: Geopolitical Fragmentation, Economic Security and the Future of Competitiveness — https://doi.org/10.3390/world7080135</w:t>
      </w:r>
    </w:p>
    <w:p>
      <w:pPr>
        <w:pStyle w:val="SourceNote"/>
      </w:pPr>
      <w:r>
        <w:rPr>
          <w:b/>
        </w:rPr>
        <w:t>Review status:</w:t>
      </w:r>
      <w:r>
        <w:t xml:space="preserve"> unchecked — possible relationship only</w:t>
      </w:r>
    </w:p>
    <w:p>
      <w:pPr>
        <w:pStyle w:val="Heading2"/>
      </w:pPr>
      <w:r>
        <w:t>232. Claim + two later sources: Electricity Spot Market Design 2030-2050</w:t>
      </w:r>
    </w:p>
    <w:p>
      <w:pPr>
        <w:pStyle w:val="SourceNote"/>
      </w:pPr>
      <w:r>
        <w:rPr>
          <w:b/>
        </w:rPr>
        <w:t>Group ID:</w:t>
      </w:r>
      <w:r>
        <w:t xml:space="preserve"> group-6aa81dc5e38e8363310c</w:t>
      </w:r>
    </w:p>
    <w:p>
      <w:pPr>
        <w:pStyle w:val="SourceNote"/>
      </w:pPr>
      <w:r>
        <w:rPr>
          <w:b/>
        </w:rPr>
        <w:t>Original source:</w:t>
      </w:r>
      <w:r>
        <w:t xml:space="preserve"> https://doi.org/10.24406/fit-n-621457</w:t>
      </w:r>
    </w:p>
    <w:p>
      <w:pPr/>
      <w:r>
        <w:rPr>
          <w:b/>
        </w:rPr>
        <w:t>Original future claim:</w:t>
      </w:r>
      <w:r>
        <w:t xml:space="preserve"> The German government plans that even before the year 2050, all electricity generated and consumed in Germany should be greenhouse gas neutral [1].</w:t>
      </w:r>
    </w:p>
    <w:p>
      <w:pPr/>
      <w:r>
        <w:rPr>
          <w:b/>
        </w:rPr>
        <w:t>Later source:</w:t>
      </w:r>
      <w:r>
        <w:t xml:space="preserve"> The German Energiewende: A Green Deal Template or Planned Failure? — https://doi.org/10.1007/978-3-032-15512-2_7</w:t>
      </w:r>
    </w:p>
    <w:p>
      <w:pPr/>
      <w:r>
        <w:rPr>
          <w:b/>
        </w:rPr>
        <w:t>Later source:</w:t>
      </w:r>
      <w:r>
        <w:t xml:space="preserve"> Spatial Planning and Building Control in Germany — https://doi.org/10.4324/9781315201153</w:t>
      </w:r>
    </w:p>
    <w:p>
      <w:pPr>
        <w:pStyle w:val="SourceNote"/>
      </w:pPr>
      <w:r>
        <w:rPr>
          <w:b/>
        </w:rPr>
        <w:t>Review status:</w:t>
      </w:r>
      <w:r>
        <w:t xml:space="preserve"> unchecked — possible relationship only</w:t>
      </w:r>
    </w:p>
    <w:p>
      <w:pPr>
        <w:pStyle w:val="Heading2"/>
      </w:pPr>
      <w:r>
        <w:t>233. Claim + two later sources: Centre-Periphery Relations in Europe: Demographic Aspect</w:t>
      </w:r>
    </w:p>
    <w:p>
      <w:pPr>
        <w:pStyle w:val="SourceNote"/>
      </w:pPr>
      <w:r>
        <w:rPr>
          <w:b/>
        </w:rPr>
        <w:t>Group ID:</w:t>
      </w:r>
      <w:r>
        <w:t xml:space="preserve"> group-ae21e2bb954516badc64</w:t>
      </w:r>
    </w:p>
    <w:p>
      <w:pPr>
        <w:pStyle w:val="SourceNote"/>
      </w:pPr>
      <w:r>
        <w:rPr>
          <w:b/>
        </w:rPr>
        <w:t>Original source:</w:t>
      </w:r>
      <w:r>
        <w:t xml:space="preserve"> https://doi.org/10.20542/0131-2227-2015-2-58-67</w:t>
      </w:r>
    </w:p>
    <w:p>
      <w:pPr/>
      <w:r>
        <w:rPr>
          <w:b/>
        </w:rPr>
        <w:t>Original future claim:</w:t>
      </w:r>
      <w:r>
        <w:t xml:space="preserve"> So, the recent number of unemployed in Spain (5.7 millions) is four times more than the expected decrease in the number of people aged 20 to 64 between 2010 and 2030 (1.4 millions).</w:t>
      </w:r>
    </w:p>
    <w:p>
      <w:pPr/>
      <w:r>
        <w:rPr>
          <w:b/>
        </w:rPr>
        <w:t>Later source:</w:t>
      </w:r>
      <w:r>
        <w:t xml:space="preserve"> 64 A paradox of supply and demand: unemployed doctors amid NHS waiting lists — https://doi.org/10.1136/bmjoq-2026-qsho.64</w:t>
      </w:r>
    </w:p>
    <w:p>
      <w:pPr/>
      <w:r>
        <w:rPr>
          <w:b/>
        </w:rPr>
        <w:t>Later source:</w:t>
      </w:r>
      <w:r>
        <w:t xml:space="preserve"> Profiling and subjectification of unemployed people: exploring the case of Slovenian public employment services — https://doi.org/10.51952/9781447371892.ch014</w:t>
      </w:r>
    </w:p>
    <w:p>
      <w:pPr>
        <w:pStyle w:val="SourceNote"/>
      </w:pPr>
      <w:r>
        <w:rPr>
          <w:b/>
        </w:rPr>
        <w:t>Review status:</w:t>
      </w:r>
      <w:r>
        <w:t xml:space="preserve"> unchecked — possible relationship only</w:t>
      </w:r>
    </w:p>
    <w:p>
      <w:pPr>
        <w:pStyle w:val="Heading2"/>
      </w:pPr>
      <w:r>
        <w:t>234. Claim + two later sources: Designing health system scenarios at the national level</w:t>
      </w:r>
    </w:p>
    <w:p>
      <w:pPr>
        <w:pStyle w:val="SourceNote"/>
      </w:pPr>
      <w:r>
        <w:rPr>
          <w:b/>
        </w:rPr>
        <w:t>Group ID:</w:t>
      </w:r>
      <w:r>
        <w:t xml:space="preserve"> group-9764661a29739fc68f3c</w:t>
      </w:r>
    </w:p>
    <w:p>
      <w:pPr>
        <w:pStyle w:val="SourceNote"/>
      </w:pPr>
      <w:r>
        <w:rPr>
          <w:b/>
        </w:rPr>
        <w:t>Original source:</w:t>
      </w:r>
      <w:r>
        <w:t xml:space="preserve"> https://doi.org/10.52547/ijhehp.9.3.296</w:t>
      </w:r>
    </w:p>
    <w:p>
      <w:pPr/>
      <w:r>
        <w:rPr>
          <w:b/>
        </w:rPr>
        <w:t>Original future claim:</w:t>
      </w:r>
      <w:r>
        <w:t xml:space="preserve">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Later source:</w:t>
      </w:r>
      <w:r>
        <w:t xml:space="preserve"> Impact of the urban environment on self-perception of health in a medium-sized European city: A mixed-methods study — https://doi.org/10.1016/j.cities.2025.106730</w:t>
      </w:r>
    </w:p>
    <w:p>
      <w:pPr/>
      <w:r>
        <w:rPr>
          <w:b/>
        </w:rPr>
        <w:t>Later source:</w:t>
      </w:r>
      <w:r>
        <w:t xml:space="preserve"> Translation and Validation of the Khasi version of European Organisation for Research and Treatment of Cancer Core Quality of Life Questionnaire (EORTC QLQ-C-30) and Oesophageal Cancer module (EORTC QLQ-OES-18) — https://doi.org/10.25259/ijpc_192_2025</w:t>
      </w:r>
    </w:p>
    <w:p>
      <w:pPr>
        <w:pStyle w:val="SourceNote"/>
      </w:pPr>
      <w:r>
        <w:rPr>
          <w:b/>
        </w:rPr>
        <w:t>Review status:</w:t>
      </w:r>
      <w:r>
        <w:t xml:space="preserve"> unchecked — possible relationship only</w:t>
      </w:r>
    </w:p>
    <w:p>
      <w:pPr>
        <w:pStyle w:val="Heading2"/>
      </w:pPr>
      <w:r>
        <w:t>235. Claim + two later sources: Assessing the future medical cost burden for the European health systems under alternative exposure-to-risks scenarios</w:t>
      </w:r>
    </w:p>
    <w:p>
      <w:pPr>
        <w:pStyle w:val="SourceNote"/>
      </w:pPr>
      <w:r>
        <w:rPr>
          <w:b/>
        </w:rPr>
        <w:t>Group ID:</w:t>
      </w:r>
      <w:r>
        <w:t xml:space="preserve"> group-dd2ca8d380c83901a6ec</w:t>
      </w:r>
    </w:p>
    <w:p>
      <w:pPr>
        <w:pStyle w:val="SourceNote"/>
      </w:pPr>
      <w:r>
        <w:rPr>
          <w:b/>
        </w:rPr>
        <w:t>Original source:</w:t>
      </w:r>
      <w:r>
        <w:t xml:space="preserve"> https://doi.org/10.1371/journal.pone.0238565</w:t>
      </w:r>
    </w:p>
    <w:p>
      <w:pPr/>
      <w:r>
        <w:rPr>
          <w:b/>
        </w:rPr>
        <w:t>Original future claim:</w:t>
      </w:r>
      <w:r>
        <w:t xml:space="preserve">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Later source:</w:t>
      </w:r>
      <w:r>
        <w:t xml:space="preserve"> Relationship between atrial fibrillation ablation and gross domestic product across Europe — https://doi.org/10.1093/europace/euaf309</w:t>
      </w:r>
    </w:p>
    <w:p>
      <w:pPr/>
      <w:r>
        <w:rPr>
          <w:b/>
        </w:rPr>
        <w:t>Later source:</w:t>
      </w:r>
      <w:r>
        <w:t xml:space="preserve"> Change in healthcare costs in Europe 2018–2023 (data report) — https://doi.org/10.3389/fpubh.2026.1774180</w:t>
      </w:r>
    </w:p>
    <w:p>
      <w:pPr>
        <w:pStyle w:val="SourceNote"/>
      </w:pPr>
      <w:r>
        <w:rPr>
          <w:b/>
        </w:rPr>
        <w:t>Review status:</w:t>
      </w:r>
      <w:r>
        <w:t xml:space="preserve"> unchecked — possible relationship only</w:t>
      </w:r>
    </w:p>
    <w:p>
      <w:pPr>
        <w:pStyle w:val="Heading2"/>
      </w:pPr>
      <w:r>
        <w:t>236. Claim + two later sources: FRESHER: Challenges and opportunities for building Health/Healthy futures</w:t>
      </w:r>
    </w:p>
    <w:p>
      <w:pPr>
        <w:pStyle w:val="SourceNote"/>
      </w:pPr>
      <w:r>
        <w:rPr>
          <w:b/>
        </w:rPr>
        <w:t>Group ID:</w:t>
      </w:r>
      <w:r>
        <w:t xml:space="preserve"> group-cd55e51108883dad3c0a</w:t>
      </w:r>
    </w:p>
    <w:p>
      <w:pPr>
        <w:pStyle w:val="SourceNote"/>
      </w:pPr>
      <w:r>
        <w:rPr>
          <w:b/>
        </w:rPr>
        <w:t>Original source:</w:t>
      </w:r>
      <w:r>
        <w:t xml:space="preserve"> https://doi.org/10.1093/eurpub/ckac129.121</w:t>
      </w:r>
    </w:p>
    <w:p>
      <w:pPr/>
      <w:r>
        <w:rPr>
          <w:b/>
        </w:rPr>
        <w:t>Original future claim:</w:t>
      </w:r>
      <w:r>
        <w:t xml:space="preserve">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Later source:</w:t>
      </w:r>
      <w:r>
        <w:t xml:space="preserve"> Recent Advances in Microencapsulated Phase Change Materials for Energy Efficiency in Buildings: A Review — https://doi.org/10.3390/polym18040451</w:t>
      </w:r>
    </w:p>
    <w:p>
      <w:pPr/>
      <w:r>
        <w:rPr>
          <w:b/>
        </w:rPr>
        <w:t>Later source:</w:t>
      </w:r>
      <w:r>
        <w:t xml:space="preserve"> Technical Factor Analysis that Impacts Building Maintenance in the Retention Phase — https://doi.org/10.53623/csue.v6i1.947</w:t>
      </w:r>
    </w:p>
    <w:p>
      <w:pPr>
        <w:pStyle w:val="SourceNote"/>
      </w:pPr>
      <w:r>
        <w:rPr>
          <w:b/>
        </w:rPr>
        <w:t>Review status:</w:t>
      </w:r>
      <w:r>
        <w:t xml:space="preserve"> unchecked — possible relationship only</w:t>
      </w:r>
    </w:p>
    <w:p>
      <w:pPr>
        <w:pStyle w:val="Heading2"/>
      </w:pPr>
      <w:r>
        <w:t>237. Claim + two later sources: The implications of regional and national demographic projections for future GMS costs in Ireland through to 2026</w:t>
      </w:r>
    </w:p>
    <w:p>
      <w:pPr>
        <w:pStyle w:val="SourceNote"/>
      </w:pPr>
      <w:r>
        <w:rPr>
          <w:b/>
        </w:rPr>
        <w:t>Group ID:</w:t>
      </w:r>
      <w:r>
        <w:t xml:space="preserve"> group-62a045913e6fcae7a402</w:t>
      </w:r>
    </w:p>
    <w:p>
      <w:pPr>
        <w:pStyle w:val="SourceNote"/>
      </w:pPr>
      <w:r>
        <w:rPr>
          <w:b/>
        </w:rPr>
        <w:t>Original source:</w:t>
      </w:r>
      <w:r>
        <w:t xml:space="preserve"> https://doi.org/10.1186/1472-6963-14-477</w:t>
      </w:r>
    </w:p>
    <w:p>
      <w:pPr/>
      <w:r>
        <w:rPr>
          <w:b/>
        </w:rPr>
        <w:t>Original future claim:</w:t>
      </w:r>
      <w:r>
        <w:t xml:space="preserve">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Later source:</w:t>
      </w:r>
      <w:r>
        <w:t xml:space="preserve"> Option Pricing Model Comparison between Black Scholes Merton Model and Monte Carlo Simulation — https://doi.org/10.61173/xh544756</w:t>
      </w:r>
    </w:p>
    <w:p>
      <w:pPr/>
      <w:r>
        <w:rPr>
          <w:b/>
        </w:rPr>
        <w:t>Later source:</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pStyle w:val="SourceNote"/>
      </w:pPr>
      <w:r>
        <w:rPr>
          <w:b/>
        </w:rPr>
        <w:t>Review status:</w:t>
      </w:r>
      <w:r>
        <w:t xml:space="preserve"> unchecked — possible relationship only</w:t>
      </w:r>
    </w:p>
    <w:p>
      <w:pPr>
        <w:pStyle w:val="Heading2"/>
      </w:pPr>
      <w:r>
        <w:t>238. Claim + two later sources: A scenario-planning approach to human resources for health: the case of community pharmacists in Portugal</w:t>
      </w:r>
    </w:p>
    <w:p>
      <w:pPr>
        <w:pStyle w:val="SourceNote"/>
      </w:pPr>
      <w:r>
        <w:rPr>
          <w:b/>
        </w:rPr>
        <w:t>Group ID:</w:t>
      </w:r>
      <w:r>
        <w:t xml:space="preserve"> group-c791c6e504ff70fc182a</w:t>
      </w:r>
    </w:p>
    <w:p>
      <w:pPr>
        <w:pStyle w:val="SourceNote"/>
      </w:pPr>
      <w:r>
        <w:rPr>
          <w:b/>
        </w:rPr>
        <w:t>Original source:</w:t>
      </w:r>
      <w:r>
        <w:t xml:space="preserve"> https://doi.org/10.1186/1478-4491-12-58</w:t>
      </w:r>
    </w:p>
    <w:p>
      <w:pPr/>
      <w:r>
        <w:rPr>
          <w:b/>
        </w:rPr>
        <w:t>Original future claim:</w:t>
      </w:r>
      <w:r>
        <w:t xml:space="preserve">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Later source:</w:t>
      </w:r>
      <w:r>
        <w:t xml:space="preserve"> Towards an inclusive curriculum? Comparing the curricular regimes of three European countries — https://doi.org/10.1080/08856257.2026.2692090</w:t>
      </w:r>
    </w:p>
    <w:p>
      <w:pPr/>
      <w:r>
        <w:rPr>
          <w:b/>
        </w:rPr>
        <w:t>Later source:</w:t>
      </w:r>
      <w:r>
        <w:t xml:space="preserve"> Adverse drug reaction reporting by New Zealand pharmacists: a cross-sectional investigation of community and hospital pharmacists — https://doi.org/10.1093/ijpp/riaf017</w:t>
      </w:r>
    </w:p>
    <w:p>
      <w:pPr>
        <w:pStyle w:val="SourceNote"/>
      </w:pPr>
      <w:r>
        <w:rPr>
          <w:b/>
        </w:rPr>
        <w:t>Review status:</w:t>
      </w:r>
      <w:r>
        <w:t xml:space="preserve"> unchecked — possible relationship only</w:t>
      </w:r>
    </w:p>
    <w:p>
      <w:pPr>
        <w:pStyle w:val="Heading2"/>
      </w:pPr>
      <w:r>
        <w:t>239. Claim + two later sources: The northern hemisphere circumglobal teleconnection in a seasonal forecast model and its relationship to European summer forecast skill</w:t>
      </w:r>
    </w:p>
    <w:p>
      <w:pPr>
        <w:pStyle w:val="SourceNote"/>
      </w:pPr>
      <w:r>
        <w:rPr>
          <w:b/>
        </w:rPr>
        <w:t>Group ID:</w:t>
      </w:r>
      <w:r>
        <w:t xml:space="preserve"> group-98a780d5371668ba0a05</w:t>
      </w:r>
    </w:p>
    <w:p>
      <w:pPr>
        <w:pStyle w:val="SourceNote"/>
      </w:pPr>
      <w:r>
        <w:rPr>
          <w:b/>
        </w:rPr>
        <w:t>Original source:</w:t>
      </w:r>
      <w:r>
        <w:t xml:space="preserve"> https://doi.org/10.1007/s00382-018-4371-4</w:t>
      </w:r>
    </w:p>
    <w:p>
      <w:pPr/>
      <w:r>
        <w:rPr>
          <w:b/>
        </w:rPr>
        <w:t>Original future claim:</w:t>
      </w:r>
      <w:r>
        <w:t xml:space="preserve"> Third, the model jet is systematically shifted northwards by several degrees latitude over large parts of the northern hemisphere, which may affect the propagation characteristics of Rossby waves in the model.</w:t>
      </w:r>
    </w:p>
    <w:p>
      <w:pPr/>
      <w:r>
        <w:rPr>
          <w:b/>
        </w:rPr>
        <w:t>Later source:</w:t>
      </w:r>
      <w:r>
        <w:t xml:space="preserve"> Impact of climate change on agricultural systems: Shifting insect pest-natural enemy dynamics-A review — https://doi.org/10.22271/j.ento.2026.v14.i2a.9720</w:t>
      </w:r>
    </w:p>
    <w:p>
      <w:pPr/>
      <w:r>
        <w:rPr>
          <w:b/>
        </w:rPr>
        <w:t>Later source:</w:t>
      </w:r>
      <w:r>
        <w:t xml:space="preserve"> The role of capitalism and colonialism in the deforestation of early modern Europe: Notes for historical land use models — https://doi.org/10.1016/j.ancene.2026.100566</w:t>
      </w:r>
    </w:p>
    <w:p>
      <w:pPr>
        <w:pStyle w:val="SourceNote"/>
      </w:pPr>
      <w:r>
        <w:rPr>
          <w:b/>
        </w:rPr>
        <w:t>Review status:</w:t>
      </w:r>
      <w:r>
        <w:t xml:space="preserve"> unchecked — possible relationship only</w:t>
      </w:r>
    </w:p>
    <w:p>
      <w:pPr>
        <w:pStyle w:val="Heading2"/>
      </w:pPr>
      <w:r>
        <w:t>240. Claim + two later sources: Forecast for the zone of viticulture in European Russia under climate change</w:t>
      </w:r>
    </w:p>
    <w:p>
      <w:pPr>
        <w:pStyle w:val="SourceNote"/>
      </w:pPr>
      <w:r>
        <w:rPr>
          <w:b/>
        </w:rPr>
        <w:t>Group ID:</w:t>
      </w:r>
      <w:r>
        <w:t xml:space="preserve"> group-fb7262fd2ba2ca0bed3b</w:t>
      </w:r>
    </w:p>
    <w:p>
      <w:pPr>
        <w:pStyle w:val="SourceNote"/>
      </w:pPr>
      <w:r>
        <w:rPr>
          <w:b/>
        </w:rPr>
        <w:t>Original source:</w:t>
      </w:r>
      <w:r>
        <w:t xml:space="preserve"> https://doi.org/10.18699/vjgb-22-33</w:t>
      </w:r>
    </w:p>
    <w:p>
      <w:pPr/>
      <w:r>
        <w:rPr>
          <w:b/>
        </w:rPr>
        <w:t>Original future claim:</w:t>
      </w:r>
      <w:r>
        <w:t xml:space="preserve">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Later source:</w:t>
      </w:r>
      <w:r>
        <w:t xml:space="preserve"> WINTER SOLSTICE DAY IN DIFFERENT CULTURES — https://doi.org/10.5281/zenodo.18169905</w:t>
      </w:r>
    </w:p>
    <w:p>
      <w:pPr/>
      <w:r>
        <w:rPr>
          <w:b/>
        </w:rPr>
        <w:t>Later source:</w:t>
      </w:r>
      <w:r>
        <w:t xml:space="preserve"> Non-stationary time series attribution for heatwaves over Europe — https://doi.org/10.5194/ascmo-12-243-2026</w:t>
      </w:r>
    </w:p>
    <w:p>
      <w:pPr>
        <w:pStyle w:val="SourceNote"/>
      </w:pPr>
      <w:r>
        <w:rPr>
          <w:b/>
        </w:rPr>
        <w:t>Review status:</w:t>
      </w:r>
      <w:r>
        <w:t xml:space="preserve"> unchecked — possible relationship only</w:t>
      </w:r>
    </w:p>
    <w:p>
      <w:pPr>
        <w:pStyle w:val="Heading2"/>
      </w:pPr>
      <w:r>
        <w:t>241. Claim + two later sources: Integrating foresight into government. Is it possible? Is it likely?</w:t>
      </w:r>
    </w:p>
    <w:p>
      <w:pPr>
        <w:pStyle w:val="SourceNote"/>
      </w:pPr>
      <w:r>
        <w:rPr>
          <w:b/>
        </w:rPr>
        <w:t>Group ID:</w:t>
      </w:r>
      <w:r>
        <w:t xml:space="preserve"> group-d9a42c06be3dda25ba79</w:t>
      </w:r>
    </w:p>
    <w:p>
      <w:pPr>
        <w:pStyle w:val="SourceNote"/>
      </w:pPr>
      <w:r>
        <w:rPr>
          <w:b/>
        </w:rPr>
        <w:t>Original source:</w:t>
      </w:r>
      <w:r>
        <w:t xml:space="preserve"> https://doi.org/10.1108/14636681111126229</w:t>
      </w:r>
    </w:p>
    <w:p>
      <w:pPr/>
      <w:r>
        <w:rPr>
          <w:b/>
        </w:rPr>
        <w:t>Original future claim:</w:t>
      </w:r>
      <w:r>
        <w:t xml:space="preserve"> Findings Several methodologies and techniques that are identified here may allow people to help perceive, evaluate and control the effects of their actions, present as well as future.</w:t>
      </w:r>
    </w:p>
    <w:p>
      <w:pPr/>
      <w:r>
        <w:rPr>
          <w:b/>
        </w:rPr>
        <w:t>Later source:</w:t>
      </w:r>
      <w:r>
        <w:t xml:space="preserve"> Impulsivity in borderline personality disorder: A scoping review of affective, neurobiological and methodological findings — https://doi.org/10.1016/j.psychres.2026.117334</w:t>
      </w:r>
    </w:p>
    <w:p>
      <w:pPr/>
      <w:r>
        <w:rPr>
          <w:b/>
        </w:rPr>
        <w:t>Later source:</w:t>
      </w:r>
      <w:r>
        <w:t xml:space="preserve"> Methodological considerations and generalisability of tracheal extubation location findings in surgical patients — https://doi.org/10.1111/anae.16696</w:t>
      </w:r>
    </w:p>
    <w:p>
      <w:pPr>
        <w:pStyle w:val="SourceNote"/>
      </w:pPr>
      <w:r>
        <w:rPr>
          <w:b/>
        </w:rPr>
        <w:t>Review status:</w:t>
      </w:r>
      <w:r>
        <w:t xml:space="preserve"> unchecked — possible relationship only</w:t>
      </w:r>
    </w:p>
    <w:p>
      <w:pPr>
        <w:pStyle w:val="Heading2"/>
      </w:pPr>
      <w:r>
        <w:t>242. Claim + two later sources: An exploratory policy analysis of electric vehicle sales competition and sensitivity to infrastructure in Europe</w:t>
      </w:r>
    </w:p>
    <w:p>
      <w:pPr>
        <w:pStyle w:val="SourceNote"/>
      </w:pPr>
      <w:r>
        <w:rPr>
          <w:b/>
        </w:rPr>
        <w:t>Group ID:</w:t>
      </w:r>
      <w:r>
        <w:t xml:space="preserve"> group-17ad3a9428bb91773982</w:t>
      </w:r>
    </w:p>
    <w:p>
      <w:pPr>
        <w:pStyle w:val="SourceNote"/>
      </w:pPr>
      <w:r>
        <w:rPr>
          <w:b/>
        </w:rPr>
        <w:t>Original source:</w:t>
      </w:r>
      <w:r>
        <w:t xml:space="preserve"> https://doi.org/10.1016/j.techfore.2016.08.007</w:t>
      </w:r>
    </w:p>
    <w:p>
      <w:pPr/>
      <w:r>
        <w:rPr>
          <w:b/>
        </w:rPr>
        <w:t>Original future claim:</w:t>
      </w:r>
      <w:r>
        <w:t xml:space="preserve">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Later source:</w:t>
      </w:r>
      <w:r>
        <w:t xml:space="preserve"> Public–Private Collaboration in the European Framework — https://openalex.org/W7128894318</w:t>
      </w:r>
    </w:p>
    <w:p>
      <w:pPr/>
      <w:r>
        <w:rPr>
          <w:b/>
        </w:rPr>
        <w:t>Later source:</w:t>
      </w:r>
      <w:r>
        <w:t xml:space="preserve"> ENSURING CYBER RESILIENCE OF CRITICAL INFRASTRUCTURE FACILITIES IN THE EUROPEAN UNION: REGULATORY AND LEGAL ASPECT — https://doi.org/10.5281/zenodo.19383483</w:t>
      </w:r>
    </w:p>
    <w:p>
      <w:pPr>
        <w:pStyle w:val="SourceNote"/>
      </w:pPr>
      <w:r>
        <w:rPr>
          <w:b/>
        </w:rPr>
        <w:t>Review status:</w:t>
      </w:r>
      <w:r>
        <w:t xml:space="preserve"> unchecked — possible relationship only</w:t>
      </w:r>
    </w:p>
    <w:p>
      <w:pPr>
        <w:pStyle w:val="Heading2"/>
      </w:pPr>
      <w:r>
        <w:t>243. Claim + two later sources: CORPORATE FORESIGHT AND ASSESSMENT OF INNOVATIVE ACTIVITY OF INDUSTRIAL ENTERPRISES</w:t>
      </w:r>
    </w:p>
    <w:p>
      <w:pPr>
        <w:pStyle w:val="SourceNote"/>
      </w:pPr>
      <w:r>
        <w:rPr>
          <w:b/>
        </w:rPr>
        <w:t>Group ID:</w:t>
      </w:r>
      <w:r>
        <w:t xml:space="preserve"> group-4ac9d9d244d936407a52</w:t>
      </w:r>
    </w:p>
    <w:p>
      <w:pPr>
        <w:pStyle w:val="SourceNote"/>
      </w:pPr>
      <w:r>
        <w:rPr>
          <w:b/>
        </w:rPr>
        <w:t>Original source:</w:t>
      </w:r>
      <w:r>
        <w:t xml:space="preserve"> https://doi.org/10.14529/em090308</w:t>
      </w:r>
    </w:p>
    <w:p>
      <w:pPr/>
      <w:r>
        <w:rPr>
          <w:b/>
        </w:rPr>
        <w:t>Original future claim:</w:t>
      </w:r>
      <w:r>
        <w:t xml:space="preserve">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Later source:</w:t>
      </w:r>
      <w:r>
        <w:t xml:space="preserve"> Navigating the winds of change: strategic foresight and the power of weak signals — https://doi.org/10.1007/s11625-025-01786-5</w:t>
      </w:r>
    </w:p>
    <w:p>
      <w:pPr/>
      <w:r>
        <w:rPr>
          <w:b/>
        </w:rPr>
        <w:t>Later source:</w:t>
      </w:r>
      <w:r>
        <w:t xml:space="preserve"> FORESIGHT METHODS TOOLS FOR INNOVATIVE MARKETING AND DIGITAL MARKET FORESIGHT — https://doi.org/10.20998/2313-8890.2025.12.08</w:t>
      </w:r>
    </w:p>
    <w:p>
      <w:pPr>
        <w:pStyle w:val="SourceNote"/>
      </w:pPr>
      <w:r>
        <w:rPr>
          <w:b/>
        </w:rPr>
        <w:t>Review status:</w:t>
      </w:r>
      <w:r>
        <w:t xml:space="preserve"> unchecked — possible relationship only</w:t>
      </w:r>
    </w:p>
    <w:p>
      <w:pPr>
        <w:pStyle w:val="Heading2"/>
      </w:pPr>
      <w:r>
        <w:t>244. Claim + two later sources: Varying soil moisture–atmosphere feedbacks explain divergent temperature extremes and precipitation projections in central Europe</w:t>
      </w:r>
    </w:p>
    <w:p>
      <w:pPr>
        <w:pStyle w:val="SourceNote"/>
      </w:pPr>
      <w:r>
        <w:rPr>
          <w:b/>
        </w:rPr>
        <w:t>Group ID:</w:t>
      </w:r>
      <w:r>
        <w:t xml:space="preserve"> group-7d01f402f1df7f0485f1</w:t>
      </w:r>
    </w:p>
    <w:p>
      <w:pPr>
        <w:pStyle w:val="SourceNote"/>
      </w:pPr>
      <w:r>
        <w:rPr>
          <w:b/>
        </w:rPr>
        <w:t>Original source:</w:t>
      </w:r>
      <w:r>
        <w:t xml:space="preserve"> https://doi.org/10.5194/esd-9-1107-2018</w:t>
      </w:r>
    </w:p>
    <w:p>
      <w:pPr/>
      <w:r>
        <w:rPr>
          <w:b/>
        </w:rPr>
        <w:t>Original future claim:</w:t>
      </w:r>
      <w:r>
        <w:t xml:space="preserve">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Later source:</w:t>
      </w:r>
      <w:r>
        <w:t xml:space="preserve"> A Diagnostic Framework for Hot Temperature Trends over Midlatitude Land — https://doi.org/10.22541/essoar.176808203.32286610/v1</w:t>
      </w:r>
    </w:p>
    <w:p>
      <w:pPr/>
      <w:r>
        <w:rPr>
          <w:b/>
        </w:rPr>
        <w:t>Later source:</w:t>
      </w:r>
      <w:r>
        <w:t xml:space="preserve"> Hotspots of extreme temperature resulting from constructive interference of anthropogenic and natural forcing factors — https://doi.org/10.1007/s00704-026-06049-6</w:t>
      </w:r>
    </w:p>
    <w:p>
      <w:pPr>
        <w:pStyle w:val="SourceNote"/>
      </w:pPr>
      <w:r>
        <w:rPr>
          <w:b/>
        </w:rPr>
        <w:t>Review status:</w:t>
      </w:r>
      <w:r>
        <w:t xml:space="preserve"> unchecked — possible relationship only</w:t>
      </w:r>
    </w:p>
    <w:p>
      <w:pPr>
        <w:pStyle w:val="Heading2"/>
      </w:pPr>
      <w:r>
        <w:t>245. Claim + two later sources: Public health air pollution impacts of pathway options to meet the 2050 UK Climate Change Act target: a modelling study</w:t>
      </w:r>
    </w:p>
    <w:p>
      <w:pPr>
        <w:pStyle w:val="SourceNote"/>
      </w:pPr>
      <w:r>
        <w:rPr>
          <w:b/>
        </w:rPr>
        <w:t>Group ID:</w:t>
      </w:r>
      <w:r>
        <w:t xml:space="preserve"> group-22e25de0fb848964800c</w:t>
      </w:r>
    </w:p>
    <w:p>
      <w:pPr>
        <w:pStyle w:val="SourceNote"/>
      </w:pPr>
      <w:r>
        <w:rPr>
          <w:b/>
        </w:rPr>
        <w:t>Original source:</w:t>
      </w:r>
      <w:r>
        <w:t xml:space="preserve"> https://doi.org/10.3310/phr06070</w:t>
      </w:r>
    </w:p>
    <w:p>
      <w:pPr/>
      <w:r>
        <w:rPr>
          <w:b/>
        </w:rPr>
        <w:t>Original future claim:</w:t>
      </w:r>
      <w:r>
        <w:t xml:space="preserve">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Later source:</w:t>
      </w:r>
      <w:r>
        <w:t xml:space="preserve"> Development of an OEE Availability Framework for Maintenance Decision Making on PM1 and PM2 : A case study of Smurfit Westrock Piteå AB — https://openalex.org/W7204503844</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246. Claim + two later sources: Long-term outlook for wood construction in Europe</w:t>
      </w:r>
    </w:p>
    <w:p>
      <w:pPr>
        <w:pStyle w:val="SourceNote"/>
      </w:pPr>
      <w:r>
        <w:rPr>
          <w:b/>
        </w:rPr>
        <w:t>Group ID:</w:t>
      </w:r>
      <w:r>
        <w:t xml:space="preserve"> group-ecc3a3cfd113d5ce72e0</w:t>
      </w:r>
    </w:p>
    <w:p>
      <w:pPr>
        <w:pStyle w:val="SourceNote"/>
      </w:pPr>
      <w:r>
        <w:rPr>
          <w:b/>
        </w:rPr>
        <w:t>Original source:</w:t>
      </w:r>
      <w:r>
        <w:t xml:space="preserve"> https://doi.org/10.14214/df.211</w:t>
      </w:r>
    </w:p>
    <w:p>
      <w:pPr/>
      <w:r>
        <w:rPr>
          <w:b/>
        </w:rPr>
        <w:t>Original future claim:</w:t>
      </w:r>
      <w:r>
        <w:t xml:space="preserve">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Later source:</w:t>
      </w:r>
      <w:r>
        <w:t xml:space="preserve"> Mobile Internet as a potential for further growth of the online tourism market — https://openalex.org/W7135652390</w:t>
      </w:r>
    </w:p>
    <w:p>
      <w:pPr/>
      <w:r>
        <w:rPr>
          <w:b/>
        </w:rPr>
        <w:t>Later source:</w:t>
      </w:r>
      <w:r>
        <w:t xml:space="preserve"> Value creation and competitiveness in small European markets — https://doi.org/10.5281/zenodo.19133639</w:t>
      </w:r>
    </w:p>
    <w:p>
      <w:pPr>
        <w:pStyle w:val="SourceNote"/>
      </w:pPr>
      <w:r>
        <w:rPr>
          <w:b/>
        </w:rPr>
        <w:t>Review status:</w:t>
      </w:r>
      <w:r>
        <w:t xml:space="preserve"> unchecked — possible relationship only</w:t>
      </w:r>
    </w:p>
    <w:p>
      <w:pPr>
        <w:pStyle w:val="Heading2"/>
      </w:pPr>
      <w:r>
        <w:t>247. Claim + two later sources: Innovation policy and international relations: directions for EU diplomacy</w:t>
      </w:r>
    </w:p>
    <w:p>
      <w:pPr>
        <w:pStyle w:val="SourceNote"/>
      </w:pPr>
      <w:r>
        <w:rPr>
          <w:b/>
        </w:rPr>
        <w:t>Group ID:</w:t>
      </w:r>
      <w:r>
        <w:t xml:space="preserve"> group-b60b782a9861352186a9</w:t>
      </w:r>
    </w:p>
    <w:p>
      <w:pPr>
        <w:pStyle w:val="SourceNote"/>
      </w:pPr>
      <w:r>
        <w:rPr>
          <w:b/>
        </w:rPr>
        <w:t>Original source:</w:t>
      </w:r>
      <w:r>
        <w:t xml:space="preserve"> https://doi.org/10.1186/s40309-019-0156-1</w:t>
      </w:r>
    </w:p>
    <w:p>
      <w:pPr/>
      <w:r>
        <w:rPr>
          <w:b/>
        </w:rPr>
        <w:t>Original future claim:</w:t>
      </w:r>
      <w:r>
        <w:t xml:space="preserve"> The final paragraph discusses what Europe can and should do in its external relations to provide adequate answers to the forces outlined in the three scenarios.</w:t>
      </w:r>
    </w:p>
    <w:p>
      <w:pPr/>
      <w:r>
        <w:rPr>
          <w:b/>
        </w:rPr>
        <w:t>Later source:</w:t>
      </w:r>
      <w:r>
        <w:t xml:space="preserve"> THE ROLE OF EUROPEAN CULTURAL CSOS IN FOSTERING THE EU’S EXTERNAL CULTURAL RELATIONS — https://doi.org/10.25234/eclic/38137</w:t>
      </w:r>
    </w:p>
    <w:p>
      <w:pPr/>
      <w:r>
        <w:rPr>
          <w:b/>
        </w:rPr>
        <w:t>Later source:</w:t>
      </w:r>
      <w:r>
        <w:t xml:space="preserve"> Local Fusions: Folk Music Experiments in Central Europe at the Millennium — https://doi.org/10.5406/21567417.68.2.12</w:t>
      </w:r>
    </w:p>
    <w:p>
      <w:pPr>
        <w:pStyle w:val="SourceNote"/>
      </w:pPr>
      <w:r>
        <w:rPr>
          <w:b/>
        </w:rPr>
        <w:t>Review status:</w:t>
      </w:r>
      <w:r>
        <w:t xml:space="preserve"> unchecked — possible relationship only</w:t>
      </w:r>
    </w:p>
    <w:p>
      <w:pPr>
        <w:pStyle w:val="Heading2"/>
      </w:pPr>
      <w:r>
        <w:t>248. Claim + two later sources: A ‘futures’ approach towards the wellbeing of future generations in Wales and beyond</w:t>
      </w:r>
    </w:p>
    <w:p>
      <w:pPr>
        <w:pStyle w:val="SourceNote"/>
      </w:pPr>
      <w:r>
        <w:rPr>
          <w:b/>
        </w:rPr>
        <w:t>Group ID:</w:t>
      </w:r>
      <w:r>
        <w:t xml:space="preserve"> group-a7b717b32f94c895f7af</w:t>
      </w:r>
    </w:p>
    <w:p>
      <w:pPr>
        <w:pStyle w:val="SourceNote"/>
      </w:pPr>
      <w:r>
        <w:rPr>
          <w:b/>
        </w:rPr>
        <w:t>Original source:</w:t>
      </w:r>
      <w:r>
        <w:t xml:space="preserve"> https://doi.org/10.1093/eurpub/ckaa165.1289</w:t>
      </w:r>
    </w:p>
    <w:p>
      <w:pPr/>
      <w:r>
        <w:rPr>
          <w:b/>
        </w:rPr>
        <w:t>Original future claim:</w:t>
      </w:r>
      <w:r>
        <w:t xml:space="preserve">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Later source:</w:t>
      </w:r>
      <w:r>
        <w:t xml:space="preserve"> Why We Care About Understanding: Competence through Predictive Compression — https://doi.org/10.48550/arxiv.2609.04962</w:t>
      </w:r>
    </w:p>
    <w:p>
      <w:pPr/>
      <w:r>
        <w:rPr>
          <w:b/>
        </w:rPr>
        <w:t>Later source:</w:t>
      </w:r>
      <w:r>
        <w:t xml:space="preserve"> Prevalence of complementary and alternative medicine use among osteoarthritis patients in a developing country and their level of satisfaction — https://doi.org/10.1038/s41598-026-37826-y</w:t>
      </w:r>
    </w:p>
    <w:p>
      <w:pPr>
        <w:pStyle w:val="SourceNote"/>
      </w:pPr>
      <w:r>
        <w:rPr>
          <w:b/>
        </w:rPr>
        <w:t>Review status:</w:t>
      </w:r>
      <w:r>
        <w:t xml:space="preserve"> unchecked — possible relationship only</w:t>
      </w:r>
    </w:p>
    <w:p>
      <w:pPr>
        <w:pStyle w:val="Heading2"/>
      </w:pPr>
      <w:r>
        <w:t>249. Claim + two later sources: Electromobility Scenarios: Research Findings to Inform Policy</w:t>
      </w:r>
    </w:p>
    <w:p>
      <w:pPr>
        <w:pStyle w:val="SourceNote"/>
      </w:pPr>
      <w:r>
        <w:rPr>
          <w:b/>
        </w:rPr>
        <w:t>Group ID:</w:t>
      </w:r>
      <w:r>
        <w:t xml:space="preserve"> group-294ef143f53fc5c4e01e</w:t>
      </w:r>
    </w:p>
    <w:p>
      <w:pPr>
        <w:pStyle w:val="SourceNote"/>
      </w:pPr>
      <w:r>
        <w:rPr>
          <w:b/>
        </w:rPr>
        <w:t>Original source:</w:t>
      </w:r>
      <w:r>
        <w:t xml:space="preserve"> https://doi.org/10.1016/j.trpro.2016.05.346</w:t>
      </w:r>
    </w:p>
    <w:p>
      <w:pPr/>
      <w:r>
        <w:rPr>
          <w:b/>
        </w:rPr>
        <w:t>Original future claim:</w:t>
      </w:r>
      <w:r>
        <w:t xml:space="preserve">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Later source:</w:t>
      </w:r>
      <w:r>
        <w:t xml:space="preserve"> Methods to assess on-farm biosecurity in Europe and beyond — https://doi.org/10.1016/j.prevetmed.2025.106486</w:t>
      </w:r>
    </w:p>
    <w:p>
      <w:pPr/>
      <w:r>
        <w:rPr>
          <w:b/>
        </w:rPr>
        <w:t>Later source:</w:t>
      </w:r>
      <w:r>
        <w:t xml:space="preserve"> Geodiversity data for Europe — https://doi.org/10.1098/rsta.2023.0173</w:t>
      </w:r>
    </w:p>
    <w:p>
      <w:pPr>
        <w:pStyle w:val="SourceNote"/>
      </w:pPr>
      <w:r>
        <w:rPr>
          <w:b/>
        </w:rPr>
        <w:t>Review status:</w:t>
      </w:r>
      <w:r>
        <w:t xml:space="preserve"> unchecked — possible relationship only</w:t>
      </w:r>
    </w:p>
    <w:p>
      <w:pPr>
        <w:pStyle w:val="Heading2"/>
      </w:pPr>
      <w:r>
        <w:t>250. Claim + two later sources: The Future of Visitor Attractions in The Netherlands</w:t>
      </w:r>
    </w:p>
    <w:p>
      <w:pPr>
        <w:pStyle w:val="SourceNote"/>
      </w:pPr>
      <w:r>
        <w:rPr>
          <w:b/>
        </w:rPr>
        <w:t>Group ID:</w:t>
      </w:r>
      <w:r>
        <w:t xml:space="preserve"> group-dc092d0086837238604b</w:t>
      </w:r>
    </w:p>
    <w:p>
      <w:pPr>
        <w:pStyle w:val="SourceNote"/>
      </w:pPr>
      <w:r>
        <w:rPr>
          <w:b/>
        </w:rPr>
        <w:t>Original source:</w:t>
      </w:r>
      <w:r>
        <w:t xml:space="preserve"> https://doi.org/10.1080/02508281.2014.11087010</w:t>
      </w:r>
    </w:p>
    <w:p>
      <w:pPr/>
      <w:r>
        <w:rPr>
          <w:b/>
        </w:rPr>
        <w:t>Original future claim:</w:t>
      </w:r>
      <w:r>
        <w:t xml:space="preserve">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Later source:</w:t>
      </w:r>
      <w:r>
        <w:t xml:space="preserve"> Amusement Ride Collection: Creating a Complete Attraction Portfolio with GT Amusement — https://doi.org/10.5281/zenodo.18162222</w:t>
      </w:r>
    </w:p>
    <w:p>
      <w:pPr/>
      <w:r>
        <w:rPr>
          <w:b/>
        </w:rPr>
        <w:t>Later source:</w:t>
      </w:r>
      <w:r>
        <w:t xml:space="preserve"> Project SOLO: co-creating research and innovation roadmaps to restore European soils — https://doi.org/10.5194/egusphere-egu26-19590</w:t>
      </w:r>
    </w:p>
    <w:p>
      <w:pPr>
        <w:pStyle w:val="SourceNote"/>
      </w:pPr>
      <w:r>
        <w:rPr>
          <w:b/>
        </w:rPr>
        <w:t>Review status:</w:t>
      </w:r>
      <w:r>
        <w:t xml:space="preserve"> unchecked — possible relationship only</w:t>
      </w:r>
    </w:p>
    <w:p>
      <w:pPr>
        <w:pStyle w:val="Heading2"/>
      </w:pPr>
      <w:r>
        <w:t>251. Claim + two later sources: Using Scenarios to Assess Policy Mixes for Resource Efficiency and Eco-Innovation in Different Fiscal Policy Frameworks</w:t>
      </w:r>
    </w:p>
    <w:p>
      <w:pPr>
        <w:pStyle w:val="SourceNote"/>
      </w:pPr>
      <w:r>
        <w:rPr>
          <w:b/>
        </w:rPr>
        <w:t>Group ID:</w:t>
      </w:r>
      <w:r>
        <w:t xml:space="preserve"> group-7cdcc60aa7d496847b14</w:t>
      </w:r>
    </w:p>
    <w:p>
      <w:pPr>
        <w:pStyle w:val="SourceNote"/>
      </w:pPr>
      <w:r>
        <w:rPr>
          <w:b/>
        </w:rPr>
        <w:t>Original source:</w:t>
      </w:r>
      <w:r>
        <w:t xml:space="preserve"> https://doi.org/10.3390/su8040309</w:t>
      </w:r>
    </w:p>
    <w:p>
      <w:pPr/>
      <w:r>
        <w:rPr>
          <w:b/>
        </w:rPr>
        <w:t>Original future claim:</w:t>
      </w:r>
      <w:r>
        <w:t xml:space="preserve">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Circular futures of the cement and concrete industry in the European Union: enriching prospective life cycle assessment with participatory foresight — https://doi.org/10.1007/s11367-026-02699-w</w:t>
      </w:r>
    </w:p>
    <w:p>
      <w:pPr>
        <w:pStyle w:val="SourceNote"/>
      </w:pPr>
      <w:r>
        <w:rPr>
          <w:b/>
        </w:rPr>
        <w:t>Review status:</w:t>
      </w:r>
      <w:r>
        <w:t xml:space="preserve"> unchecked — possible relationship only</w:t>
      </w:r>
    </w:p>
    <w:p>
      <w:pPr>
        <w:pStyle w:val="Heading2"/>
      </w:pPr>
      <w:r>
        <w:t>252. Claim + two later sources: Spatial Simulation of Codesigned Land Cover Change Scenarios in New England: Alternative Futures and Their Consequences for Conservation Priorities</w:t>
      </w:r>
    </w:p>
    <w:p>
      <w:pPr>
        <w:pStyle w:val="SourceNote"/>
      </w:pPr>
      <w:r>
        <w:rPr>
          <w:b/>
        </w:rPr>
        <w:t>Group ID:</w:t>
      </w:r>
      <w:r>
        <w:t xml:space="preserve"> group-647ee3825465043bdf9d</w:t>
      </w:r>
    </w:p>
    <w:p>
      <w:pPr>
        <w:pStyle w:val="SourceNote"/>
      </w:pPr>
      <w:r>
        <w:rPr>
          <w:b/>
        </w:rPr>
        <w:t>Original source:</w:t>
      </w:r>
      <w:r>
        <w:t xml:space="preserve"> https://doi.org/10.1029/2019ef001348</w:t>
      </w:r>
    </w:p>
    <w:p>
      <w:pPr/>
      <w:r>
        <w:rPr>
          <w:b/>
        </w:rPr>
        <w:t>Original future claim:</w:t>
      </w:r>
      <w:r>
        <w:t xml:space="preserve">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Later source:</w:t>
      </w:r>
      <w:r>
        <w:t xml:space="preserve"> Preparing future physics teachers through Flat-Earth arguments: strengthening scientific reasoning — https://doi.org/10.1088/1361-6404/ae3403</w:t>
      </w:r>
    </w:p>
    <w:p>
      <w:pPr/>
      <w:r>
        <w:rPr>
          <w:b/>
        </w:rPr>
        <w:t>Later source:</w:t>
      </w:r>
      <w:r>
        <w:t xml:space="preserve"> The Left Needs Bureaucrats — https://doi.org/10.1353/dss.2026.a980268</w:t>
      </w:r>
    </w:p>
    <w:p>
      <w:pPr>
        <w:pStyle w:val="SourceNote"/>
      </w:pPr>
      <w:r>
        <w:rPr>
          <w:b/>
        </w:rPr>
        <w:t>Review status:</w:t>
      </w:r>
      <w:r>
        <w:t xml:space="preserve"> unchecked — possible relationship only</w:t>
      </w:r>
    </w:p>
    <w:p>
      <w:pPr>
        <w:pStyle w:val="Heading2"/>
      </w:pPr>
      <w:r>
        <w:t>253. Claim + two later sources: Futuring European industry: assessing the ManuFuture road towards EU re-industrialization</w:t>
      </w:r>
    </w:p>
    <w:p>
      <w:pPr>
        <w:pStyle w:val="SourceNote"/>
      </w:pPr>
      <w:r>
        <w:rPr>
          <w:b/>
        </w:rPr>
        <w:t>Group ID:</w:t>
      </w:r>
      <w:r>
        <w:t xml:space="preserve"> group-57c29282c76ef93288e7</w:t>
      </w:r>
    </w:p>
    <w:p>
      <w:pPr>
        <w:pStyle w:val="SourceNote"/>
      </w:pPr>
      <w:r>
        <w:rPr>
          <w:b/>
        </w:rPr>
        <w:t>Original source:</w:t>
      </w:r>
      <w:r>
        <w:t xml:space="preserve"> https://doi.org/10.1007/s40309-016-0100-6</w:t>
      </w:r>
    </w:p>
    <w:p>
      <w:pPr/>
      <w:r>
        <w:rPr>
          <w:b/>
        </w:rPr>
        <w:t>Original future claim:</w:t>
      </w:r>
      <w:r>
        <w:t xml:space="preserve"> Based on a systemic assessment of the multi-actor, multi-governance-level and multi-sector policy approach, success factors are elaborated as guiding principles and framework for the upcoming Vision 2030 process.</w:t>
      </w:r>
    </w:p>
    <w:p>
      <w:pPr/>
      <w:r>
        <w:rPr>
          <w:b/>
        </w:rPr>
        <w:t>Later source:</w:t>
      </w:r>
      <w:r>
        <w:t xml:space="preserve"> ESG and systemic risk in financial networks: High- vs. low-rated portfolios in Europe — https://doi.org/10.1016/j.iref.2026.105363</w:t>
      </w:r>
    </w:p>
    <w:p>
      <w:pPr/>
      <w:r>
        <w:rPr>
          <w:b/>
        </w:rPr>
        <w:t>Later source:</w:t>
      </w:r>
      <w:r>
        <w:t xml:space="preserve"> Mapping Social Innovation in Systemic Approaches to Climate Neutrality: An Indicator-Based Analysis of 53 European Cities’ Actions — https://doi.org/10.3390/su18031496</w:t>
      </w:r>
    </w:p>
    <w:p>
      <w:pPr>
        <w:pStyle w:val="SourceNote"/>
      </w:pPr>
      <w:r>
        <w:rPr>
          <w:b/>
        </w:rPr>
        <w:t>Review status:</w:t>
      </w:r>
      <w:r>
        <w:t xml:space="preserve"> unchecked — possible relationship only</w:t>
      </w:r>
    </w:p>
    <w:p>
      <w:pPr>
        <w:pStyle w:val="Heading2"/>
      </w:pPr>
      <w:r>
        <w:t>254. Claim + two later sources: THREE INVESTMENT SCENARIOS FOR  FUTURE NUCLEAR REACTORS IN EUROPE</w:t>
      </w:r>
    </w:p>
    <w:p>
      <w:pPr>
        <w:pStyle w:val="SourceNote"/>
      </w:pPr>
      <w:r>
        <w:rPr>
          <w:b/>
        </w:rPr>
        <w:t>Group ID:</w:t>
      </w:r>
      <w:r>
        <w:t xml:space="preserve"> group-5bb2a44ae9ba99df154a</w:t>
      </w:r>
    </w:p>
    <w:p>
      <w:pPr>
        <w:pStyle w:val="SourceNote"/>
      </w:pPr>
      <w:r>
        <w:rPr>
          <w:b/>
        </w:rPr>
        <w:t>Original source:</w:t>
      </w:r>
      <w:r>
        <w:t xml:space="preserve"> https://doi.org/10.15173/esr.v23i1.3312</w:t>
      </w:r>
    </w:p>
    <w:p>
      <w:pPr/>
      <w:r>
        <w:rPr>
          <w:b/>
        </w:rPr>
        <w:t>Original future claim:</w:t>
      </w:r>
      <w:r>
        <w:t xml:space="preserve">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Later source:</w:t>
      </w:r>
      <w:r>
        <w:t xml:space="preserve"> Nuclear Technology Transition Towards SMR and Generation-IV — https://doi.org/10.1007/978-3-032-15512-2_15</w:t>
      </w:r>
    </w:p>
    <w:p>
      <w:pPr/>
      <w:r>
        <w:rPr>
          <w:b/>
        </w:rPr>
        <w:t>Later source:</w:t>
      </w:r>
      <w:r>
        <w:t xml:space="preserve"> Does policy matter : A study on the Swedish energy policy with a focus on nuclear power — https://openalex.org/W7134996966</w:t>
      </w:r>
    </w:p>
    <w:p>
      <w:pPr>
        <w:pStyle w:val="SourceNote"/>
      </w:pPr>
      <w:r>
        <w:rPr>
          <w:b/>
        </w:rPr>
        <w:t>Review status:</w:t>
      </w:r>
      <w:r>
        <w:t xml:space="preserve"> unchecked — possible relationship only</w:t>
      </w:r>
    </w:p>
    <w:p>
      <w:pPr>
        <w:pStyle w:val="Heading2"/>
      </w:pPr>
      <w:r>
        <w:t>255. Claim + two later sources: A road map for explorative scenario creation on Belgian rail freight transport development</w:t>
      </w:r>
    </w:p>
    <w:p>
      <w:pPr>
        <w:pStyle w:val="SourceNote"/>
      </w:pPr>
      <w:r>
        <w:rPr>
          <w:b/>
        </w:rPr>
        <w:t>Group ID:</w:t>
      </w:r>
      <w:r>
        <w:t xml:space="preserve"> group-511f5c91eb040d4300a5</w:t>
      </w:r>
    </w:p>
    <w:p>
      <w:pPr>
        <w:pStyle w:val="SourceNote"/>
      </w:pPr>
      <w:r>
        <w:rPr>
          <w:b/>
        </w:rPr>
        <w:t>Original source:</w:t>
      </w:r>
      <w:r>
        <w:t xml:space="preserve"> https://doi.org/10.1177/1783591717734792</w:t>
      </w:r>
    </w:p>
    <w:p>
      <w:pPr/>
      <w:r>
        <w:rPr>
          <w:b/>
        </w:rPr>
        <w:t>Original future claim:</w:t>
      </w:r>
      <w:r>
        <w:t xml:space="preserve">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Later source:</w:t>
      </w:r>
      <w:r>
        <w:t xml:space="preserve"> Qur’anic Perspectives on Human Creation and Contemporary Reproductive Ethics: A Thematic and Interdisciplinary Study — https://doi.org/10.58363/alfahmu.v5i1.1014</w:t>
      </w:r>
    </w:p>
    <w:p>
      <w:pPr/>
      <w:r>
        <w:rPr>
          <w:b/>
        </w:rPr>
        <w:t>Later source:</w:t>
      </w:r>
      <w:r>
        <w:t xml:space="preserve"> Interdisciplinary OER Development: Virtual Microscope — https://doi.org/10.7275/x2wf-1386</w:t>
      </w:r>
    </w:p>
    <w:p>
      <w:pPr>
        <w:pStyle w:val="SourceNote"/>
      </w:pPr>
      <w:r>
        <w:rPr>
          <w:b/>
        </w:rPr>
        <w:t>Review status:</w:t>
      </w:r>
      <w:r>
        <w:t xml:space="preserve"> unchecked — possible relationship only</w:t>
      </w:r>
    </w:p>
    <w:p>
      <w:pPr>
        <w:pStyle w:val="Heading2"/>
      </w:pPr>
      <w:r>
        <w:t>256. Claim + two later sources: Three scenarios for industrial relations in Europe</w:t>
      </w:r>
    </w:p>
    <w:p>
      <w:pPr>
        <w:pStyle w:val="SourceNote"/>
      </w:pPr>
      <w:r>
        <w:rPr>
          <w:b/>
        </w:rPr>
        <w:t>Group ID:</w:t>
      </w:r>
      <w:r>
        <w:t xml:space="preserve"> group-f368df3ccded754465c0</w:t>
      </w:r>
    </w:p>
    <w:p>
      <w:pPr>
        <w:pStyle w:val="SourceNote"/>
      </w:pPr>
      <w:r>
        <w:rPr>
          <w:b/>
        </w:rPr>
        <w:t>Original source:</w:t>
      </w:r>
      <w:r>
        <w:t xml:space="preserve"> https://doi.org/10.1111/j.1564-913x.2015.00221.x</w:t>
      </w:r>
    </w:p>
    <w:p>
      <w:pPr/>
      <w:r>
        <w:rPr>
          <w:b/>
        </w:rPr>
        <w:t>Original future claim:</w:t>
      </w:r>
      <w:r>
        <w:t xml:space="preserve">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Later source:</w:t>
      </w:r>
      <w:r>
        <w:t xml:space="preserve"> U.S. approaches to economic development of Western Europe in the 1940s–1950s — https://doi.org/10.48015/2076-7404-2025-17-1-54-88</w:t>
      </w:r>
    </w:p>
    <w:p>
      <w:pPr/>
      <w:r>
        <w:rPr>
          <w:b/>
        </w:rPr>
        <w:t>Later source:</w:t>
      </w:r>
      <w:r>
        <w:t xml:space="preserve"> The future of the colonial system as assessed by experts of the Council on Foreign Relations during the Second World War — https://doi.org/10.48015/2076-7404-2025-17-1-141-161</w:t>
      </w:r>
    </w:p>
    <w:p>
      <w:pPr>
        <w:pStyle w:val="SourceNote"/>
      </w:pPr>
      <w:r>
        <w:rPr>
          <w:b/>
        </w:rPr>
        <w:t>Review status:</w:t>
      </w:r>
      <w:r>
        <w:t xml:space="preserve"> unchecked — possible relationship only</w:t>
      </w:r>
    </w:p>
    <w:p>
      <w:pPr>
        <w:pStyle w:val="Heading2"/>
      </w:pPr>
      <w:r>
        <w:t>257. Claim + two later sources: Education in an uncertain future: Two scenarios</w:t>
      </w:r>
    </w:p>
    <w:p>
      <w:pPr>
        <w:pStyle w:val="SourceNote"/>
      </w:pPr>
      <w:r>
        <w:rPr>
          <w:b/>
        </w:rPr>
        <w:t>Group ID:</w:t>
      </w:r>
      <w:r>
        <w:t xml:space="preserve"> group-51b6cfe7dcce68449784</w:t>
      </w:r>
    </w:p>
    <w:p>
      <w:pPr>
        <w:pStyle w:val="SourceNote"/>
      </w:pPr>
      <w:r>
        <w:rPr>
          <w:b/>
        </w:rPr>
        <w:t>Original source:</w:t>
      </w:r>
      <w:r>
        <w:t xml:space="preserve"> https://doi.org/10.14324/lre.18.2.11</w:t>
      </w:r>
    </w:p>
    <w:p>
      <w:pPr/>
      <w:r>
        <w:rPr>
          <w:b/>
        </w:rPr>
        <w:t>Original future claim:</w:t>
      </w:r>
      <w:r>
        <w:t xml:space="preserve"> This article examines two scenarios for the future of education over the coming decades, mainly in England but also in comparable countries.</w:t>
      </w:r>
    </w:p>
    <w:p>
      <w:pPr/>
      <w:r>
        <w:rPr>
          <w:b/>
        </w:rPr>
        <w:t>Later source:</w:t>
      </w:r>
      <w:r>
        <w:t xml:space="preserve"> ‘There’s Nothing We Can Do for You Here’: Experiences of Territorial Inequality and Resistance in Two Italian Local Contexts — https://doi.org/10.3390/socsci15010041</w:t>
      </w:r>
    </w:p>
    <w:p>
      <w:pPr/>
      <w:r>
        <w:rPr>
          <w:b/>
        </w:rPr>
        <w:t>Later source:</w:t>
      </w:r>
      <w:r>
        <w:t xml:space="preserve"> Особливості кваліфікації самовільного залишення частини або місця служби (ст. 407 КК України) — https://openalex.org/W7131750397</w:t>
      </w:r>
    </w:p>
    <w:p>
      <w:pPr>
        <w:pStyle w:val="SourceNote"/>
      </w:pPr>
      <w:r>
        <w:rPr>
          <w:b/>
        </w:rPr>
        <w:t>Review status:</w:t>
      </w:r>
      <w:r>
        <w:t xml:space="preserve"> unchecked — possible relationship only</w:t>
      </w:r>
    </w:p>
    <w:p>
      <w:pPr>
        <w:pStyle w:val="Heading2"/>
      </w:pPr>
      <w:r>
        <w:t>258. Claim + two later sources: Fiscal sustainability and the accuracy of macroeconomic forecasts: Do supranational forecasts rather than government forecasts make a difference?</w:t>
      </w:r>
    </w:p>
    <w:p>
      <w:pPr>
        <w:pStyle w:val="SourceNote"/>
      </w:pPr>
      <w:r>
        <w:rPr>
          <w:b/>
        </w:rPr>
        <w:t>Group ID:</w:t>
      </w:r>
      <w:r>
        <w:t xml:space="preserve"> group-2c4617fd2f6d727d9a33</w:t>
      </w:r>
    </w:p>
    <w:p>
      <w:pPr>
        <w:pStyle w:val="SourceNote"/>
      </w:pPr>
      <w:r>
        <w:rPr>
          <w:b/>
        </w:rPr>
        <w:t>Original source:</w:t>
      </w:r>
      <w:r>
        <w:t xml:space="preserve"> https://doi.org/10.1504/ijse.2011.039440</w:t>
      </w:r>
    </w:p>
    <w:p>
      <w:pPr/>
      <w:r>
        <w:rPr>
          <w:b/>
        </w:rPr>
        <w:t>Original future claim:</w:t>
      </w:r>
      <w:r>
        <w:t xml:space="preserve">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Later source:</w:t>
      </w:r>
      <w:r>
        <w:t xml:space="preserve"> The Court of Justice of the European Union: Do all roads lead to Luxembourg? — https://doi.org/10.14746/rpeis.2025.87.1.01</w:t>
      </w:r>
    </w:p>
    <w:p>
      <w:pPr/>
      <w:r>
        <w:rPr>
          <w:b/>
        </w:rPr>
        <w:t>Later source:</w:t>
      </w:r>
      <w:r>
        <w:t xml:space="preserve"> Estimation of an efficient benchmark portfolio for the Eastern European market — https://doi.org/10.51680/ev.37.1.1</w:t>
      </w:r>
    </w:p>
    <w:p>
      <w:pPr>
        <w:pStyle w:val="SourceNote"/>
      </w:pPr>
      <w:r>
        <w:rPr>
          <w:b/>
        </w:rPr>
        <w:t>Review status:</w:t>
      </w:r>
      <w:r>
        <w:t xml:space="preserve"> unchecked — possible relationship only</w:t>
      </w:r>
    </w:p>
    <w:p>
      <w:pPr>
        <w:pStyle w:val="Heading2"/>
      </w:pPr>
      <w:r>
        <w:t>259. Claim + two later sources: Shared Socio-economic Pathways for European agriculture and food systems: The Eur-Agri-SSPs</w:t>
      </w:r>
    </w:p>
    <w:p>
      <w:pPr>
        <w:pStyle w:val="SourceNote"/>
      </w:pPr>
      <w:r>
        <w:rPr>
          <w:b/>
        </w:rPr>
        <w:t>Group ID:</w:t>
      </w:r>
      <w:r>
        <w:t xml:space="preserve"> group-41f4b0edb1754baa4639</w:t>
      </w:r>
    </w:p>
    <w:p>
      <w:pPr>
        <w:pStyle w:val="SourceNote"/>
      </w:pPr>
      <w:r>
        <w:rPr>
          <w:b/>
        </w:rPr>
        <w:t>Original source:</w:t>
      </w:r>
      <w:r>
        <w:t xml:space="preserve"> https://doi.org/10.1016/j.gloenvcha.2020.102159</w:t>
      </w:r>
    </w:p>
    <w:p>
      <w:pPr/>
      <w:r>
        <w:rPr>
          <w:b/>
        </w:rPr>
        <w:t>Original future claim:</w:t>
      </w:r>
      <w:r>
        <w:t xml:space="preserve">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Later source:</w:t>
      </w:r>
      <w:r>
        <w:t xml:space="preserve"> Population health differences in cross-border regions within the European Union and Schengen area: a protocol for a scoping review — https://doi.org/10.1136/bmjopen-2022-068571</w:t>
      </w:r>
    </w:p>
    <w:p>
      <w:pPr/>
      <w:r>
        <w:rPr>
          <w:b/>
        </w:rPr>
        <w:t>Later source:</w:t>
      </w:r>
      <w:r>
        <w:t xml:space="preserve"> Multicentre evaluation of a selective isolation protocol for detection of mcr-positive E. coli and Salmonella spp. in food-producing animals and meat — https://doi.org/10.1111/lam.13717</w:t>
      </w:r>
    </w:p>
    <w:p>
      <w:pPr>
        <w:pStyle w:val="SourceNote"/>
      </w:pPr>
      <w:r>
        <w:rPr>
          <w:b/>
        </w:rPr>
        <w:t>Review status:</w:t>
      </w:r>
      <w:r>
        <w:t xml:space="preserve"> unchecked — possible relationship only</w:t>
      </w:r>
    </w:p>
    <w:p>
      <w:pPr>
        <w:pStyle w:val="Heading2"/>
      </w:pPr>
      <w:r>
        <w:t>260. Claim + two later sources: Flexible electricity generation, grid exchange and storage for the transition to a 100% renewable energy system in Europe</w:t>
      </w:r>
    </w:p>
    <w:p>
      <w:pPr>
        <w:pStyle w:val="SourceNote"/>
      </w:pPr>
      <w:r>
        <w:rPr>
          <w:b/>
        </w:rPr>
        <w:t>Group ID:</w:t>
      </w:r>
      <w:r>
        <w:t xml:space="preserve"> group-1cf40c363c2e896977b4</w:t>
      </w:r>
    </w:p>
    <w:p>
      <w:pPr>
        <w:pStyle w:val="SourceNote"/>
      </w:pPr>
      <w:r>
        <w:rPr>
          <w:b/>
        </w:rPr>
        <w:t>Original source:</w:t>
      </w:r>
      <w:r>
        <w:t xml:space="preserve"> https://doi.org/10.1016/j.renene.2019.02.077</w:t>
      </w:r>
    </w:p>
    <w:p>
      <w:pPr/>
      <w:r>
        <w:rPr>
          <w:b/>
        </w:rPr>
        <w:t>Original future claim:</w:t>
      </w:r>
      <w:r>
        <w:t xml:space="preserve">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Later source:</w:t>
      </w:r>
      <w:r>
        <w:t xml:space="preserve"> Narrating power: the European Commission and the geopolitics of the energy transition — https://doi.org/10.1080/09662839.2025.2599239</w:t>
      </w:r>
    </w:p>
    <w:p>
      <w:pPr/>
      <w:r>
        <w:rPr>
          <w:b/>
        </w:rPr>
        <w:t>Later source:</w:t>
      </w:r>
      <w:r>
        <w:t xml:space="preserve"> Spatial Analysis of the Progress of Energy Transition in Europe — https://doi.org/10.3390/en19020353</w:t>
      </w:r>
    </w:p>
    <w:p>
      <w:pPr>
        <w:pStyle w:val="SourceNote"/>
      </w:pPr>
      <w:r>
        <w:rPr>
          <w:b/>
        </w:rPr>
        <w:t>Review status:</w:t>
      </w:r>
      <w:r>
        <w:t xml:space="preserve"> unchecked — possible relationship only</w:t>
      </w:r>
    </w:p>
    <w:p>
      <w:pPr>
        <w:pStyle w:val="Heading2"/>
      </w:pPr>
      <w:r>
        <w:t>261. Claim + two later sources: Consequences of Enduring Low Fertility – A German Case Study. Demographic Projections and Implications for Different Policy Fields</w:t>
      </w:r>
    </w:p>
    <w:p>
      <w:pPr>
        <w:pStyle w:val="SourceNote"/>
      </w:pPr>
      <w:r>
        <w:rPr>
          <w:b/>
        </w:rPr>
        <w:t>Group ID:</w:t>
      </w:r>
      <w:r>
        <w:t xml:space="preserve"> group-d58532a2fdb44ed20a0a</w:t>
      </w:r>
    </w:p>
    <w:p>
      <w:pPr>
        <w:pStyle w:val="SourceNote"/>
      </w:pPr>
      <w:r>
        <w:rPr>
          <w:b/>
        </w:rPr>
        <w:t>Original source:</w:t>
      </w:r>
      <w:r>
        <w:t xml:space="preserve"> https://doi.org/10.12765/cpos-2015-06</w:t>
      </w:r>
    </w:p>
    <w:p>
      <w:pPr/>
      <w:r>
        <w:rPr>
          <w:b/>
        </w:rPr>
        <w:t>Original future claim:</w:t>
      </w:r>
      <w:r>
        <w:t xml:space="preserve"> Ageing is a more severe problem than shrinking, because the severe changes in the age structure in the social security system that will take place until 2040 apply to most Germans and are inevitable.</w:t>
      </w:r>
    </w:p>
    <w:p>
      <w:pPr/>
      <w:r>
        <w:rPr>
          <w:b/>
        </w:rPr>
        <w:t>Later source:</w:t>
      </w:r>
      <w:r>
        <w:t xml:space="preserve"> Books: The Golden Rule: Lessons in Living from a Doctor of Ageing — https://doi.org/10.3399/bjgp26x746265</w:t>
      </w:r>
    </w:p>
    <w:p>
      <w:pPr/>
      <w:r>
        <w:rPr>
          <w:b/>
        </w:rPr>
        <w:t>Later source:</w:t>
      </w:r>
      <w:r>
        <w:t xml:space="preserve"> A Multidimensional Muscle Quality Index in Severe Obesity: Relationships with Ageing, Adiposity, and Functional Performance — https://doi.org/10.3390/jcm15176696</w:t>
      </w:r>
    </w:p>
    <w:p>
      <w:pPr>
        <w:pStyle w:val="SourceNote"/>
      </w:pPr>
      <w:r>
        <w:rPr>
          <w:b/>
        </w:rPr>
        <w:t>Review status:</w:t>
      </w:r>
      <w:r>
        <w:t xml:space="preserve"> unchecked — possible relationship only</w:t>
      </w:r>
    </w:p>
    <w:p>
      <w:pPr>
        <w:pStyle w:val="Heading2"/>
      </w:pPr>
      <w:r>
        <w:t>262. Claim + two later sources: A look into the future of the COVID-19 pandemic in Europe: an expert consultation</w:t>
      </w:r>
    </w:p>
    <w:p>
      <w:pPr>
        <w:pStyle w:val="SourceNote"/>
      </w:pPr>
      <w:r>
        <w:rPr>
          <w:b/>
        </w:rPr>
        <w:t>Group ID:</w:t>
      </w:r>
      <w:r>
        <w:t xml:space="preserve"> group-f0fc1a04818b46d9318f</w:t>
      </w:r>
    </w:p>
    <w:p>
      <w:pPr>
        <w:pStyle w:val="SourceNote"/>
      </w:pPr>
      <w:r>
        <w:rPr>
          <w:b/>
        </w:rPr>
        <w:t>Original source:</w:t>
      </w:r>
      <w:r>
        <w:t xml:space="preserve"> https://doi.org/10.1016/j.lanepe.2021.100185</w:t>
      </w:r>
    </w:p>
    <w:p>
      <w:pPr/>
      <w:r>
        <w:rPr>
          <w:b/>
        </w:rPr>
        <w:t>Original future claim:</w:t>
      </w:r>
      <w:r>
        <w:t xml:space="preserve">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Later source:</w:t>
      </w:r>
      <w:r>
        <w:t xml:space="preserve"> Modern challenges, risks and threats to the European Union — https://doi.org/10.5937/bezbednost2601147i</w:t>
      </w:r>
    </w:p>
    <w:p>
      <w:pPr/>
      <w:r>
        <w:rPr>
          <w:b/>
        </w:rPr>
        <w:t>Later source:</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pStyle w:val="SourceNote"/>
      </w:pPr>
      <w:r>
        <w:rPr>
          <w:b/>
        </w:rPr>
        <w:t>Review status:</w:t>
      </w:r>
      <w:r>
        <w:t xml:space="preserve"> unchecked — possible relationship only</w:t>
      </w:r>
    </w:p>
    <w:p>
      <w:pPr>
        <w:pStyle w:val="Heading2"/>
      </w:pPr>
      <w:r>
        <w:t>263. Claim + two later sources: Assessing the desirability and feasibility of scenarios on eco-efficient transport: a heuristic for efficient stakeholder involvement during foresight processes</w:t>
      </w:r>
    </w:p>
    <w:p>
      <w:pPr>
        <w:pStyle w:val="SourceNote"/>
      </w:pPr>
      <w:r>
        <w:rPr>
          <w:b/>
        </w:rPr>
        <w:t>Group ID:</w:t>
      </w:r>
      <w:r>
        <w:t xml:space="preserve"> group-7043efa67624d02db1e5</w:t>
      </w:r>
    </w:p>
    <w:p>
      <w:pPr>
        <w:pStyle w:val="SourceNote"/>
      </w:pPr>
      <w:r>
        <w:rPr>
          <w:b/>
        </w:rPr>
        <w:t>Original source:</w:t>
      </w:r>
      <w:r>
        <w:t xml:space="preserve"> https://doi.org/10.1108/fs-05-2014-0034</w:t>
      </w:r>
    </w:p>
    <w:p>
      <w:pPr/>
      <w:r>
        <w:rPr>
          <w:b/>
        </w:rPr>
        <w:t>Original future claim:</w:t>
      </w:r>
      <w:r>
        <w:t xml:space="preserve">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Later source:</w:t>
      </w:r>
      <w:r>
        <w:t xml:space="preserve"> EDUCATION AND EUROPEAN INTEGRATION — https://doi.org/10.82444/warw.33551740</w:t>
      </w:r>
    </w:p>
    <w:p>
      <w:pPr/>
      <w:r>
        <w:rPr>
          <w:b/>
        </w:rPr>
        <w:t>Later source:</w:t>
      </w:r>
      <w:r>
        <w:t xml:space="preserve"> Reviewing assessment strategies in European dental schools — https://doi.org/10.1016/j.jdent.2024.105091</w:t>
      </w:r>
    </w:p>
    <w:p>
      <w:pPr>
        <w:pStyle w:val="SourceNote"/>
      </w:pPr>
      <w:r>
        <w:rPr>
          <w:b/>
        </w:rPr>
        <w:t>Review status:</w:t>
      </w:r>
      <w:r>
        <w:t xml:space="preserve"> unchecked — possible relationship only</w:t>
      </w:r>
    </w:p>
    <w:p>
      <w:pPr>
        <w:pStyle w:val="Heading2"/>
      </w:pPr>
      <w:r>
        <w:t>264. Claim + two later sources: Ten years of health workforce planning in the Netherlands: a tentative evaluation of GP planning as an example</w:t>
      </w:r>
    </w:p>
    <w:p>
      <w:pPr>
        <w:pStyle w:val="SourceNote"/>
      </w:pPr>
      <w:r>
        <w:rPr>
          <w:b/>
        </w:rPr>
        <w:t>Group ID:</w:t>
      </w:r>
      <w:r>
        <w:t xml:space="preserve"> group-685e9272c467a732a46a</w:t>
      </w:r>
    </w:p>
    <w:p>
      <w:pPr>
        <w:pStyle w:val="SourceNote"/>
      </w:pPr>
      <w:r>
        <w:rPr>
          <w:b/>
        </w:rPr>
        <w:t>Original source:</w:t>
      </w:r>
      <w:r>
        <w:t xml:space="preserve"> https://doi.org/10.1186/1478-4491-10-21</w:t>
      </w:r>
    </w:p>
    <w:p>
      <w:pPr/>
      <w:r>
        <w:rPr>
          <w:b/>
        </w:rPr>
        <w:t>Original future claim:</w:t>
      </w:r>
      <w:r>
        <w:t xml:space="preserve"> A comparison is made of the results of different scenarios for different years.</w:t>
      </w:r>
    </w:p>
    <w:p>
      <w:pPr/>
      <w:r>
        <w:rPr>
          <w:b/>
        </w:rPr>
        <w:t>Later source:</w:t>
      </w:r>
      <w:r>
        <w:t xml:space="preserve"> A comparison of methods for thermodynamic calculation of explosives used in Europe — https://doi.org/10.1201/9781003762010-4</w:t>
      </w:r>
    </w:p>
    <w:p>
      <w:pPr/>
      <w:r>
        <w:rPr>
          <w:b/>
        </w:rPr>
        <w:t>Later source:</w:t>
      </w:r>
      <w:r>
        <w:t xml:space="preserve"> Science with the Einstein Telescope: a comparison of different designs — https://doi.org/10.1088/1475-7516/2023/07/068</w:t>
      </w:r>
    </w:p>
    <w:p>
      <w:pPr>
        <w:pStyle w:val="SourceNote"/>
      </w:pPr>
      <w:r>
        <w:rPr>
          <w:b/>
        </w:rPr>
        <w:t>Review status:</w:t>
      </w:r>
      <w:r>
        <w:t xml:space="preserve"> unchecked — possible relationship only</w:t>
      </w:r>
    </w:p>
    <w:p>
      <w:pPr>
        <w:pStyle w:val="Heading2"/>
      </w:pPr>
      <w:r>
        <w:t>265. Claim + two later sources: Shaping the ‘Energy Union': between national positions and governance innovation in EU energy and climate policy</w:t>
      </w:r>
    </w:p>
    <w:p>
      <w:pPr>
        <w:pStyle w:val="SourceNote"/>
      </w:pPr>
      <w:r>
        <w:rPr>
          <w:b/>
        </w:rPr>
        <w:t>Group ID:</w:t>
      </w:r>
      <w:r>
        <w:t xml:space="preserve"> group-90bdd6a24e0bd77a5e46</w:t>
      </w:r>
    </w:p>
    <w:p>
      <w:pPr>
        <w:pStyle w:val="SourceNote"/>
      </w:pPr>
      <w:r>
        <w:rPr>
          <w:b/>
        </w:rPr>
        <w:t>Original source:</w:t>
      </w:r>
      <w:r>
        <w:t xml:space="preserve"> https://doi.org/10.1080/14693062.2015.1135100</w:t>
      </w:r>
    </w:p>
    <w:p>
      <w:pPr/>
      <w:r>
        <w:rPr>
          <w:b/>
        </w:rPr>
        <w:t>Original future claim:</w:t>
      </w:r>
      <w:r>
        <w:t xml:space="preserve">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Later source:</w:t>
      </w:r>
      <w:r>
        <w:t xml:space="preserve"> European Media Policy Grounded in Fundamental Rights — https://doi.org/10.1017/9781009568159.005</w:t>
      </w:r>
    </w:p>
    <w:p>
      <w:pPr/>
      <w:r>
        <w:rPr>
          <w:b/>
        </w:rPr>
        <w:t>Later source:</w:t>
      </w:r>
      <w:r>
        <w:t xml:space="preserve"> European Values: Sovereignty in EU Digital Law and Policy — https://doi.org/10.1007/978-981-95-9226-5_3</w:t>
      </w:r>
    </w:p>
    <w:p>
      <w:pPr>
        <w:pStyle w:val="SourceNote"/>
      </w:pPr>
      <w:r>
        <w:rPr>
          <w:b/>
        </w:rPr>
        <w:t>Review status:</w:t>
      </w:r>
      <w:r>
        <w:t xml:space="preserve"> unchecked — possible relationship only</w:t>
      </w:r>
    </w:p>
    <w:p>
      <w:pPr>
        <w:pStyle w:val="Heading2"/>
      </w:pPr>
      <w:r>
        <w:t>266. Claim + two later sources: Trends and Possible Future Developments in Global Forest-Product Markets—Implications for the Swedish Forest Sector</w:t>
      </w:r>
    </w:p>
    <w:p>
      <w:pPr>
        <w:pStyle w:val="SourceNote"/>
      </w:pPr>
      <w:r>
        <w:rPr>
          <w:b/>
        </w:rPr>
        <w:t>Group ID:</w:t>
      </w:r>
      <w:r>
        <w:t xml:space="preserve"> group-787e0f8568b08dd96020</w:t>
      </w:r>
    </w:p>
    <w:p>
      <w:pPr>
        <w:pStyle w:val="SourceNote"/>
      </w:pPr>
      <w:r>
        <w:rPr>
          <w:b/>
        </w:rPr>
        <w:t>Original source:</w:t>
      </w:r>
      <w:r>
        <w:t xml:space="preserve"> https://doi.org/10.3390/f2010147</w:t>
      </w:r>
    </w:p>
    <w:p>
      <w:pPr/>
      <w:r>
        <w:rPr>
          <w:b/>
        </w:rPr>
        <w:t>Original future claim:</w:t>
      </w:r>
      <w:r>
        <w:t xml:space="preserve">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Later source:</w:t>
      </w:r>
      <w:r>
        <w:t xml:space="preserve"> Risk, Uncertainty, and Politics: The Need for a Critical Risk Science — https://doi.org/10.1007/978-3-032-29336-7_3</w:t>
      </w:r>
    </w:p>
    <w:p>
      <w:pPr/>
      <w:r>
        <w:rPr>
          <w:b/>
        </w:rPr>
        <w:t>Later source:</w:t>
      </w:r>
      <w:r>
        <w:t xml:space="preserve"> Artificial Intelligence-Empowered Radiology—Current Status and Critical Review — https://doi.org/10.3390/diagnostics15030282</w:t>
      </w:r>
    </w:p>
    <w:p>
      <w:pPr>
        <w:pStyle w:val="SourceNote"/>
      </w:pPr>
      <w:r>
        <w:rPr>
          <w:b/>
        </w:rPr>
        <w:t>Review status:</w:t>
      </w:r>
      <w:r>
        <w:t xml:space="preserve"> unchecked — possible relationship only</w:t>
      </w:r>
    </w:p>
    <w:p>
      <w:pPr>
        <w:pStyle w:val="Heading2"/>
      </w:pPr>
      <w:r>
        <w:t>267. Claim + two later sources: Energy Portfolio of the Eastern Poland Macroregion in the European Union</w:t>
      </w:r>
    </w:p>
    <w:p>
      <w:pPr>
        <w:pStyle w:val="SourceNote"/>
      </w:pPr>
      <w:r>
        <w:rPr>
          <w:b/>
        </w:rPr>
        <w:t>Group ID:</w:t>
      </w:r>
      <w:r>
        <w:t xml:space="preserve"> group-b7a55179c5752908eeb0</w:t>
      </w:r>
    </w:p>
    <w:p>
      <w:pPr>
        <w:pStyle w:val="SourceNote"/>
      </w:pPr>
      <w:r>
        <w:rPr>
          <w:b/>
        </w:rPr>
        <w:t>Original source:</w:t>
      </w:r>
      <w:r>
        <w:t xml:space="preserve"> https://doi.org/10.3390/en14248426</w:t>
      </w:r>
    </w:p>
    <w:p>
      <w:pPr/>
      <w:r>
        <w:rPr>
          <w:b/>
        </w:rPr>
        <w:t>Original future claim:</w:t>
      </w:r>
      <w:r>
        <w:t xml:space="preserve">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Later source:</w:t>
      </w:r>
      <w:r>
        <w:t xml:space="preserve"> Source code for "How Much EEG Is Needed for Deep Learning with Convolutional Neural Networks? Predicting the Benefit from Additional Data" — https://doi.org/10.5281/zenodo.18403059</w:t>
      </w:r>
    </w:p>
    <w:p>
      <w:pPr/>
      <w:r>
        <w:rPr>
          <w:b/>
        </w:rPr>
        <w:t>Later source:</w:t>
      </w:r>
      <w:r>
        <w:t xml:space="preserve"> The predictors of party group bargaining success in the European Parliament — https://doi.org/10.1177/14651165261423104</w:t>
      </w:r>
    </w:p>
    <w:p>
      <w:pPr>
        <w:pStyle w:val="SourceNote"/>
      </w:pPr>
      <w:r>
        <w:rPr>
          <w:b/>
        </w:rPr>
        <w:t>Review status:</w:t>
      </w:r>
      <w:r>
        <w:t xml:space="preserve"> unchecked — possible relationship only</w:t>
      </w:r>
    </w:p>
    <w:p>
      <w:pPr>
        <w:pStyle w:val="Heading2"/>
      </w:pPr>
      <w:r>
        <w:t>268. Claim + two later sources: Future air quality in Europe: a multi-model assessment of projected exposure to ozone</w:t>
      </w:r>
    </w:p>
    <w:p>
      <w:pPr>
        <w:pStyle w:val="SourceNote"/>
      </w:pPr>
      <w:r>
        <w:rPr>
          <w:b/>
        </w:rPr>
        <w:t>Group ID:</w:t>
      </w:r>
      <w:r>
        <w:t xml:space="preserve"> group-dcd6d005e7d375da70fb</w:t>
      </w:r>
    </w:p>
    <w:p>
      <w:pPr>
        <w:pStyle w:val="SourceNote"/>
      </w:pPr>
      <w:r>
        <w:rPr>
          <w:b/>
        </w:rPr>
        <w:t>Original source:</w:t>
      </w:r>
      <w:r>
        <w:t xml:space="preserve"> https://doi.org/10.5194/acp-12-10613-2012</w:t>
      </w:r>
    </w:p>
    <w:p>
      <w:pPr/>
      <w:r>
        <w:rPr>
          <w:b/>
        </w:rPr>
        <w:t>Original future claim:</w:t>
      </w:r>
      <w:r>
        <w:t xml:space="preserve">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Later source:</w:t>
      </w:r>
      <w:r>
        <w:t xml:space="preserve"> A Segmentation Analysis of Air Passengers in European Countries — https://doi.org/10.3390/futuretransp6010027</w:t>
      </w:r>
    </w:p>
    <w:p>
      <w:pPr/>
      <w:r>
        <w:rPr>
          <w:b/>
        </w:rPr>
        <w:t>Later source:</w:t>
      </w:r>
      <w:r>
        <w:t xml:space="preserve"> Air pollution and innovation — https://doi.org/10.1016/j.jeem.2024.103102</w:t>
      </w:r>
    </w:p>
    <w:p>
      <w:pPr>
        <w:pStyle w:val="SourceNote"/>
      </w:pPr>
      <w:r>
        <w:rPr>
          <w:b/>
        </w:rPr>
        <w:t>Review status:</w:t>
      </w:r>
      <w:r>
        <w:t xml:space="preserve"> unchecked — possible relationship only</w:t>
      </w:r>
    </w:p>
    <w:p>
      <w:pPr>
        <w:pStyle w:val="Heading2"/>
      </w:pPr>
      <w:r>
        <w:t>269. Claim + two later sources: The future of trade unions in Croatia – various stakeholders’ perspectives</w:t>
      </w:r>
    </w:p>
    <w:p>
      <w:pPr>
        <w:pStyle w:val="SourceNote"/>
      </w:pPr>
      <w:r>
        <w:rPr>
          <w:b/>
        </w:rPr>
        <w:t>Group ID:</w:t>
      </w:r>
      <w:r>
        <w:t xml:space="preserve"> group-ec59e61fc004f5895235</w:t>
      </w:r>
    </w:p>
    <w:p>
      <w:pPr>
        <w:pStyle w:val="SourceNote"/>
      </w:pPr>
      <w:r>
        <w:rPr>
          <w:b/>
        </w:rPr>
        <w:t>Original source:</w:t>
      </w:r>
      <w:r>
        <w:t xml:space="preserve"> https://doi.org/10.1177/1024258914546277</w:t>
      </w:r>
    </w:p>
    <w:p>
      <w:pPr/>
      <w:r>
        <w:rPr>
          <w:b/>
        </w:rPr>
        <w:t>Original future claim:</w:t>
      </w:r>
      <w:r>
        <w:t xml:space="preserve">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Later source:</w:t>
      </w:r>
      <w:r>
        <w:t xml:space="preserve"> Border Regions and Attitudes towards International Trade in the European Union — https://doi.org/10.1017/s1474745625101432</w:t>
      </w:r>
    </w:p>
    <w:p>
      <w:pPr/>
      <w:r>
        <w:rPr>
          <w:b/>
        </w:rPr>
        <w:t>Later source:</w:t>
      </w:r>
      <w:r>
        <w:t xml:space="preserve"> Staging the Semah s: Performing Aleviness in Turkey and Europe — https://doi.org/10.1111/sena.70029</w:t>
      </w:r>
    </w:p>
    <w:p>
      <w:pPr>
        <w:pStyle w:val="SourceNote"/>
      </w:pPr>
      <w:r>
        <w:rPr>
          <w:b/>
        </w:rPr>
        <w:t>Review status:</w:t>
      </w:r>
      <w:r>
        <w:t xml:space="preserve"> unchecked — possible relationship only</w:t>
      </w:r>
    </w:p>
    <w:p>
      <w:pPr>
        <w:pStyle w:val="Heading2"/>
      </w:pPr>
      <w:r>
        <w:t>270. Claim + two later sources: Agent‐Based Modeling of Alternative Futures in the British Land Use System</w:t>
      </w:r>
    </w:p>
    <w:p>
      <w:pPr>
        <w:pStyle w:val="SourceNote"/>
      </w:pPr>
      <w:r>
        <w:rPr>
          <w:b/>
        </w:rPr>
        <w:t>Group ID:</w:t>
      </w:r>
      <w:r>
        <w:t xml:space="preserve"> group-5f18135988305cf0aaab</w:t>
      </w:r>
    </w:p>
    <w:p>
      <w:pPr>
        <w:pStyle w:val="SourceNote"/>
      </w:pPr>
      <w:r>
        <w:rPr>
          <w:b/>
        </w:rPr>
        <w:t>Original source:</w:t>
      </w:r>
      <w:r>
        <w:t xml:space="preserve"> https://doi.org/10.1029/2022ef002905</w:t>
      </w:r>
    </w:p>
    <w:p>
      <w:pPr/>
      <w:r>
        <w:rPr>
          <w:b/>
        </w:rPr>
        <w:t>Original future claim:</w:t>
      </w:r>
      <w:r>
        <w:t xml:space="preserve">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Later source:</w:t>
      </w:r>
      <w:r>
        <w:t xml:space="preserve"> Abstract DP015: Integrating Systemic and Socio-economic Factors Into Stroke Prognostic Models: Findings From the ELAN International Survey — https://doi.org/10.1161/str.57.suppl_1.dp015</w:t>
      </w:r>
    </w:p>
    <w:p>
      <w:pPr/>
      <w:r>
        <w:rPr>
          <w:b/>
        </w:rPr>
        <w:t>Later source:</w:t>
      </w:r>
      <w:r>
        <w:t xml:space="preserve"> High-resolution modelling of biodiversity under the shared socio-economic scenarios — https://doi.org/10.32942/x2h958</w:t>
      </w:r>
    </w:p>
    <w:p>
      <w:pPr>
        <w:pStyle w:val="SourceNote"/>
      </w:pPr>
      <w:r>
        <w:rPr>
          <w:b/>
        </w:rPr>
        <w:t>Review status:</w:t>
      </w:r>
      <w:r>
        <w:t xml:space="preserve"> unchecked — possible relationship only</w:t>
      </w:r>
    </w:p>
    <w:p>
      <w:pPr>
        <w:pStyle w:val="Heading2"/>
      </w:pPr>
      <w:r>
        <w:t>271. Claim + two later sources: Toward a Diagnostic Tool for Organizational Ethical Culture With Futures Thinking and Scenario Planning</w:t>
      </w:r>
    </w:p>
    <w:p>
      <w:pPr>
        <w:pStyle w:val="SourceNote"/>
      </w:pPr>
      <w:r>
        <w:rPr>
          <w:b/>
        </w:rPr>
        <w:t>Group ID:</w:t>
      </w:r>
      <w:r>
        <w:t xml:space="preserve"> group-76328735ad7d025353f5</w:t>
      </w:r>
    </w:p>
    <w:p>
      <w:pPr>
        <w:pStyle w:val="SourceNote"/>
      </w:pPr>
      <w:r>
        <w:rPr>
          <w:b/>
        </w:rPr>
        <w:t>Original source:</w:t>
      </w:r>
      <w:r>
        <w:t xml:space="preserve"> https://doi.org/10.1109/tem.2020.3018309</w:t>
      </w:r>
    </w:p>
    <w:p>
      <w:pPr/>
      <w:r>
        <w:rPr>
          <w:b/>
        </w:rPr>
        <w:t>Original future claim:</w:t>
      </w:r>
      <w:r>
        <w:t xml:space="preserve">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Later source:</w:t>
      </w:r>
      <w:r>
        <w:t xml:space="preserve"> Empowering Rural Faith Communities Through Contextual Catechesis — https://doi.org/10.36418/syntax-literate.v11i1.63768</w:t>
      </w:r>
    </w:p>
    <w:p>
      <w:pPr/>
      <w:r>
        <w:rPr>
          <w:b/>
        </w:rPr>
        <w:t>Later source:</w:t>
      </w:r>
      <w:r>
        <w:t xml:space="preserve"> Requirement gathering technique: Bibliometric analysis — https://doi.org/10.31893/multirev.2026387</w:t>
      </w:r>
    </w:p>
    <w:p>
      <w:pPr>
        <w:pStyle w:val="SourceNote"/>
      </w:pPr>
      <w:r>
        <w:rPr>
          <w:b/>
        </w:rPr>
        <w:t>Review status:</w:t>
      </w:r>
      <w:r>
        <w:t xml:space="preserve"> unchecked — possible relationship only</w:t>
      </w:r>
    </w:p>
    <w:p>
      <w:pPr>
        <w:pStyle w:val="Heading2"/>
      </w:pPr>
      <w:r>
        <w:t>272. Claim + two later sources: Scenarios for the Development of Multimodal Transport in the TRITIA Cross-Border Area</w:t>
      </w:r>
    </w:p>
    <w:p>
      <w:pPr>
        <w:pStyle w:val="SourceNote"/>
      </w:pPr>
      <w:r>
        <w:rPr>
          <w:b/>
        </w:rPr>
        <w:t>Group ID:</w:t>
      </w:r>
      <w:r>
        <w:t xml:space="preserve"> group-f54b316711f6d05f4dc5</w:t>
      </w:r>
    </w:p>
    <w:p>
      <w:pPr>
        <w:pStyle w:val="SourceNote"/>
      </w:pPr>
      <w:r>
        <w:rPr>
          <w:b/>
        </w:rPr>
        <w:t>Original source:</w:t>
      </w:r>
      <w:r>
        <w:t xml:space="preserve"> https://doi.org/10.3390/su12177021</w:t>
      </w:r>
    </w:p>
    <w:p>
      <w:pPr/>
      <w:r>
        <w:rPr>
          <w:b/>
        </w:rPr>
        <w:t>Original future claim:</w:t>
      </w:r>
      <w:r>
        <w:t xml:space="preserve">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Later source:</w:t>
      </w:r>
      <w:r>
        <w:t xml:space="preserve"> Factors determining digitalization in Polish companies in the context of the European industrial strategy — https://doi.org/10.29119/1641-3466.2026.246.5</w:t>
      </w:r>
    </w:p>
    <w:p>
      <w:pPr/>
      <w:r>
        <w:rPr>
          <w:b/>
        </w:rPr>
        <w:t>Later source:</w:t>
      </w:r>
      <w:r>
        <w:t xml:space="preserve"> FINTECH ECOSYSTEM OF UKRAINE IN THE EUROPEAN CONTEXT — https://doi.org/10.31651/2076-5843-2026-2-174-187</w:t>
      </w:r>
    </w:p>
    <w:p>
      <w:pPr>
        <w:pStyle w:val="SourceNote"/>
      </w:pPr>
      <w:r>
        <w:rPr>
          <w:b/>
        </w:rPr>
        <w:t>Review status:</w:t>
      </w:r>
      <w:r>
        <w:t xml:space="preserve"> unchecked — possible relationship only</w:t>
      </w:r>
    </w:p>
    <w:p>
      <w:pPr>
        <w:pStyle w:val="Heading2"/>
      </w:pPr>
      <w:r>
        <w:t>273. Claim + two later sources: Central Europe: Possible Scenarios</w:t>
      </w:r>
    </w:p>
    <w:p>
      <w:pPr>
        <w:pStyle w:val="SourceNote"/>
      </w:pPr>
      <w:r>
        <w:rPr>
          <w:b/>
        </w:rPr>
        <w:t>Group ID:</w:t>
      </w:r>
      <w:r>
        <w:t xml:space="preserve"> group-6b7417216ee06e4b73d2</w:t>
      </w:r>
    </w:p>
    <w:p>
      <w:pPr>
        <w:pStyle w:val="SourceNote"/>
      </w:pPr>
      <w:r>
        <w:rPr>
          <w:b/>
        </w:rPr>
        <w:t>Original source:</w:t>
      </w:r>
      <w:r>
        <w:t xml:space="preserve"> https://doi.org/10.20542/0131-2227-2022-66-11-14-20</w:t>
      </w:r>
    </w:p>
    <w:p>
      <w:pPr/>
      <w:r>
        <w:rPr>
          <w:b/>
        </w:rPr>
        <w:t>Original future claim:</w:t>
      </w:r>
      <w:r>
        <w:t xml:space="preserve">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Later source:</w:t>
      </w:r>
      <w:r>
        <w:t xml:space="preserve"> The European Union and Human Rights — https://doi.org/10.52340/gjes.2015.01.07</w:t>
      </w:r>
    </w:p>
    <w:p>
      <w:pPr/>
      <w:r>
        <w:rPr>
          <w:b/>
        </w:rPr>
        <w:t>Later source:</w:t>
      </w:r>
      <w:r>
        <w:t xml:space="preserve"> SPES Explorer European Pressing Issues Dashboard — https://doi.org/10.5281/zenodo.18479791</w:t>
      </w:r>
    </w:p>
    <w:p>
      <w:pPr>
        <w:pStyle w:val="SourceNote"/>
      </w:pPr>
      <w:r>
        <w:rPr>
          <w:b/>
        </w:rPr>
        <w:t>Review status:</w:t>
      </w:r>
      <w:r>
        <w:t xml:space="preserve"> unchecked — possible relationship only</w:t>
      </w:r>
    </w:p>
    <w:p>
      <w:pPr>
        <w:pStyle w:val="Heading2"/>
      </w:pPr>
      <w:r>
        <w:t>274. Claim + two later sources: Cross-border climate vulnerabilities of the European Union to drought</w:t>
      </w:r>
    </w:p>
    <w:p>
      <w:pPr>
        <w:pStyle w:val="SourceNote"/>
      </w:pPr>
      <w:r>
        <w:rPr>
          <w:b/>
        </w:rPr>
        <w:t>Group ID:</w:t>
      </w:r>
      <w:r>
        <w:t xml:space="preserve"> group-fa727bf3cd2d5a1f9128</w:t>
      </w:r>
    </w:p>
    <w:p>
      <w:pPr>
        <w:pStyle w:val="SourceNote"/>
      </w:pPr>
      <w:r>
        <w:rPr>
          <w:b/>
        </w:rPr>
        <w:t>Original source:</w:t>
      </w:r>
      <w:r>
        <w:t xml:space="preserve"> https://doi.org/10.1038/s41467-021-23584-0</w:t>
      </w:r>
    </w:p>
    <w:p>
      <w:pPr/>
      <w:r>
        <w:rPr>
          <w:b/>
        </w:rPr>
        <w:t>Original future claim:</w:t>
      </w:r>
      <w:r>
        <w:t xml:space="preserve">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Multi-year droughts and their compounding economic impacts in Europe — https://doi.org/10.5194/egusphere-egu26-15194</w:t>
      </w:r>
    </w:p>
    <w:p>
      <w:pPr>
        <w:pStyle w:val="SourceNote"/>
      </w:pPr>
      <w:r>
        <w:rPr>
          <w:b/>
        </w:rPr>
        <w:t>Review status:</w:t>
      </w:r>
      <w:r>
        <w:t xml:space="preserve"> unchecked — possible relationship only</w:t>
      </w:r>
    </w:p>
    <w:p>
      <w:pPr>
        <w:pStyle w:val="Heading2"/>
      </w:pPr>
      <w:r>
        <w:t>275. Claim + two later sources: Development and transport implications of automated vehicles in the Netherlands: scenarios for 2030 and 2050</w:t>
      </w:r>
    </w:p>
    <w:p>
      <w:pPr>
        <w:pStyle w:val="SourceNote"/>
      </w:pPr>
      <w:r>
        <w:rPr>
          <w:b/>
        </w:rPr>
        <w:t>Group ID:</w:t>
      </w:r>
      <w:r>
        <w:t xml:space="preserve"> group-36efaad706d8033caa93</w:t>
      </w:r>
    </w:p>
    <w:p>
      <w:pPr>
        <w:pStyle w:val="SourceNote"/>
      </w:pPr>
      <w:r>
        <w:rPr>
          <w:b/>
        </w:rPr>
        <w:t>Original source:</w:t>
      </w:r>
      <w:r>
        <w:t xml:space="preserve"> https://doi.org/10.18757/ejtir.2017.17.1.3180</w:t>
      </w:r>
    </w:p>
    <w:p>
      <w:pPr/>
      <w:r>
        <w:rPr>
          <w:b/>
        </w:rPr>
        <w:t>Original future claim:</w:t>
      </w:r>
      <w:r>
        <w:t xml:space="preserve">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Later source:</w:t>
      </w:r>
      <w:r>
        <w:t xml:space="preserve"> Relationship between atrial fibrillation ablation and gross domestic product across Europe — https://doi.org/10.1093/europace/euaf309</w:t>
      </w:r>
    </w:p>
    <w:p>
      <w:pPr/>
      <w:r>
        <w:rPr>
          <w:b/>
        </w:rPr>
        <w:t>Later source:</w:t>
      </w:r>
      <w:r>
        <w:t xml:space="preserve"> Electric Vehicle Fleet Penetration and Air Pollution Mortality in Europe — https://doi.org/10.32388/vkflrm</w:t>
      </w:r>
    </w:p>
    <w:p>
      <w:pPr>
        <w:pStyle w:val="SourceNote"/>
      </w:pPr>
      <w:r>
        <w:rPr>
          <w:b/>
        </w:rPr>
        <w:t>Review status:</w:t>
      </w:r>
      <w:r>
        <w:t xml:space="preserve"> unchecked — possible relationship only</w:t>
      </w:r>
    </w:p>
    <w:p>
      <w:pPr>
        <w:pStyle w:val="Heading2"/>
      </w:pPr>
      <w:r>
        <w:t>276. Claim + two later sources: Energy transition scenarios: What policies, societal attitudes, and technology developments will realize the EU Green Deal?</w:t>
      </w:r>
    </w:p>
    <w:p>
      <w:pPr>
        <w:pStyle w:val="SourceNote"/>
      </w:pPr>
      <w:r>
        <w:rPr>
          <w:b/>
        </w:rPr>
        <w:t>Group ID:</w:t>
      </w:r>
      <w:r>
        <w:t xml:space="preserve"> group-2a31ba9280b17e7410f8</w:t>
      </w:r>
    </w:p>
    <w:p>
      <w:pPr>
        <w:pStyle w:val="SourceNote"/>
      </w:pPr>
      <w:r>
        <w:rPr>
          <w:b/>
        </w:rPr>
        <w:t>Original source:</w:t>
      </w:r>
      <w:r>
        <w:t xml:space="preserve"> https://doi.org/10.1016/j.energy.2021.122067</w:t>
      </w:r>
    </w:p>
    <w:p>
      <w:pPr/>
      <w:r>
        <w:rPr>
          <w:b/>
        </w:rPr>
        <w:t>Original future claim:</w:t>
      </w:r>
      <w:r>
        <w:t xml:space="preserve">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Impact Pathways of the European Union's Technological Sovereignty Strategy on China–EU Digital Diplomatic Interactions — https://doi.org/10.23977/jsoce.2026.080211</w:t>
      </w:r>
    </w:p>
    <w:p>
      <w:pPr>
        <w:pStyle w:val="SourceNote"/>
      </w:pPr>
      <w:r>
        <w:rPr>
          <w:b/>
        </w:rPr>
        <w:t>Review status:</w:t>
      </w:r>
      <w:r>
        <w:t xml:space="preserve"> unchecked — possible relationship only</w:t>
      </w:r>
    </w:p>
    <w:p>
      <w:pPr>
        <w:pStyle w:val="Heading2"/>
      </w:pPr>
      <w:r>
        <w:t>277. Claim + two later sources: Five transition pathways to renewable energy futures—scenarios from a Delphi study on key drivers and policy options</w:t>
      </w:r>
    </w:p>
    <w:p>
      <w:pPr>
        <w:pStyle w:val="SourceNote"/>
      </w:pPr>
      <w:r>
        <w:rPr>
          <w:b/>
        </w:rPr>
        <w:t>Group ID:</w:t>
      </w:r>
      <w:r>
        <w:t xml:space="preserve"> group-7abfcea9a63e3176371a</w:t>
      </w:r>
    </w:p>
    <w:p>
      <w:pPr>
        <w:pStyle w:val="SourceNote"/>
      </w:pPr>
      <w:r>
        <w:rPr>
          <w:b/>
        </w:rPr>
        <w:t>Original source:</w:t>
      </w:r>
      <w:r>
        <w:t xml:space="preserve"> https://doi.org/10.1186/s40309-021-00185-0</w:t>
      </w:r>
    </w:p>
    <w:p>
      <w:pPr/>
      <w:r>
        <w:rPr>
          <w:b/>
        </w:rPr>
        <w:t>Original future claim:</w:t>
      </w:r>
      <w:r>
        <w:t xml:space="preserve">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Later source:</w:t>
      </w:r>
      <w:r>
        <w:t xml:space="preserve"> Historical trajectories of democratic innovations in Finland — https://doi.org/10.1017/s1682098325100040</w:t>
      </w:r>
    </w:p>
    <w:p>
      <w:pPr/>
      <w:r>
        <w:rPr>
          <w:b/>
        </w:rPr>
        <w:t>Later source:</w:t>
      </w:r>
      <w:r>
        <w:t xml:space="preserve"> Closing the Coordination Gap: A Policy Architecture for the European Energy Transition — https://doi.org/10.5281/zenodo.19984616</w:t>
      </w:r>
    </w:p>
    <w:p>
      <w:pPr>
        <w:pStyle w:val="SourceNote"/>
      </w:pPr>
      <w:r>
        <w:rPr>
          <w:b/>
        </w:rPr>
        <w:t>Review status:</w:t>
      </w:r>
      <w:r>
        <w:t xml:space="preserve"> unchecked — possible relationship only</w:t>
      </w:r>
    </w:p>
    <w:p>
      <w:pPr>
        <w:pStyle w:val="Heading2"/>
      </w:pPr>
      <w:r>
        <w:t>278. Claim + two later sources: European Union, transnational terrorism and the strategic choice of counterterrorism policies in democratic countries</w:t>
      </w:r>
    </w:p>
    <w:p>
      <w:pPr>
        <w:pStyle w:val="SourceNote"/>
      </w:pPr>
      <w:r>
        <w:rPr>
          <w:b/>
        </w:rPr>
        <w:t>Group ID:</w:t>
      </w:r>
      <w:r>
        <w:t xml:space="preserve"> group-5a4c9cd7fd661e1e7404</w:t>
      </w:r>
    </w:p>
    <w:p>
      <w:pPr>
        <w:pStyle w:val="SourceNote"/>
      </w:pPr>
      <w:r>
        <w:rPr>
          <w:b/>
        </w:rPr>
        <w:t>Original source:</w:t>
      </w:r>
      <w:r>
        <w:t xml:space="preserve"> https://doi.org/10.1177/14651165221120370</w:t>
      </w:r>
    </w:p>
    <w:p>
      <w:pPr/>
      <w:r>
        <w:rPr>
          <w:b/>
        </w:rPr>
        <w:t>Original future claim:</w:t>
      </w:r>
      <w:r>
        <w:t xml:space="preserve">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Later source:</w:t>
      </w:r>
      <w:r>
        <w:t xml:space="preserve"> The Development of Commercial Law: Perspectives from Chinese and European Traditions — https://doi.org/10.14738/assrj.1301.19843</w:t>
      </w:r>
    </w:p>
    <w:p>
      <w:pPr/>
      <w:r>
        <w:rPr>
          <w:b/>
        </w:rPr>
        <w:t>Later source:</w:t>
      </w:r>
      <w:r>
        <w:t xml:space="preserve"> Combining Policy Instruments and Local Measures to Promote Agrobiodiversity — https://doi.org/10.1111/1746-692x.70021</w:t>
      </w:r>
    </w:p>
    <w:p>
      <w:pPr>
        <w:pStyle w:val="SourceNote"/>
      </w:pPr>
      <w:r>
        <w:rPr>
          <w:b/>
        </w:rPr>
        <w:t>Review status:</w:t>
      </w:r>
      <w:r>
        <w:t xml:space="preserve"> unchecked — possible relationship only</w:t>
      </w:r>
    </w:p>
    <w:p>
      <w:pPr>
        <w:pStyle w:val="Heading2"/>
      </w:pPr>
      <w:r>
        <w:t>279. Claim + two later sources: Biotechnology versus agroecology: Entrenchments and surprise at a 2030 forecast scenario workshop</w:t>
      </w:r>
    </w:p>
    <w:p>
      <w:pPr>
        <w:pStyle w:val="SourceNote"/>
      </w:pPr>
      <w:r>
        <w:rPr>
          <w:b/>
        </w:rPr>
        <w:t>Group ID:</w:t>
      </w:r>
      <w:r>
        <w:t xml:space="preserve"> group-e06d4b86fdb71384240a</w:t>
      </w:r>
    </w:p>
    <w:p>
      <w:pPr>
        <w:pStyle w:val="SourceNote"/>
      </w:pPr>
      <w:r>
        <w:rPr>
          <w:b/>
        </w:rPr>
        <w:t>Original source:</w:t>
      </w:r>
      <w:r>
        <w:t xml:space="preserve"> https://doi.org/10.1093/scipol/scv021</w:t>
      </w:r>
    </w:p>
    <w:p>
      <w:pPr/>
      <w:r>
        <w:rPr>
          <w:b/>
        </w:rPr>
        <w:t>Original future claim:</w:t>
      </w:r>
      <w:r>
        <w:t xml:space="preserve">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Later source:</w:t>
      </w:r>
      <w:r>
        <w:t xml:space="preserve"> Impact of Qualitative Research Methodology Workshop on Researchers’ Learning and Skill Development — https://doi.org/10.36948/ijfmr.2026.v08i01.66909</w:t>
      </w:r>
    </w:p>
    <w:p>
      <w:pPr/>
      <w:r>
        <w:rPr>
          <w:b/>
        </w:rPr>
        <w:t>Later source:</w:t>
      </w:r>
      <w:r>
        <w:t xml:space="preserve"> Improving the methodology for the comprehensive assessment of the working conditions of workers in the foundry — https://doi.org/10.21122/1683-6065-2026-2-143-150</w:t>
      </w:r>
    </w:p>
    <w:p>
      <w:pPr>
        <w:pStyle w:val="SourceNote"/>
      </w:pPr>
      <w:r>
        <w:rPr>
          <w:b/>
        </w:rPr>
        <w:t>Review status:</w:t>
      </w:r>
      <w:r>
        <w:t xml:space="preserve"> unchecked — possible relationship only</w:t>
      </w:r>
    </w:p>
    <w:p>
      <w:pPr>
        <w:pStyle w:val="Heading2"/>
      </w:pPr>
      <w:r>
        <w:t>280. Claim + two later sources: Occupational Structure in European Countries: What do Forecasts Predict?</w:t>
      </w:r>
    </w:p>
    <w:p>
      <w:pPr>
        <w:pStyle w:val="SourceNote"/>
      </w:pPr>
      <w:r>
        <w:rPr>
          <w:b/>
        </w:rPr>
        <w:t>Group ID:</w:t>
      </w:r>
      <w:r>
        <w:t xml:space="preserve"> group-d0fc1e367f664f4b2a85</w:t>
      </w:r>
    </w:p>
    <w:p>
      <w:pPr>
        <w:pStyle w:val="SourceNote"/>
      </w:pPr>
      <w:r>
        <w:rPr>
          <w:b/>
        </w:rPr>
        <w:t>Original source:</w:t>
      </w:r>
      <w:r>
        <w:t xml:space="preserve"> https://doi.org/10.17323/1996-7845-2017-04-109</w:t>
      </w:r>
    </w:p>
    <w:p>
      <w:pPr/>
      <w:r>
        <w:rPr>
          <w:b/>
        </w:rPr>
        <w:t>Original future claim:</w:t>
      </w:r>
      <w:r>
        <w:t xml:space="preserve">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Later source:</w:t>
      </w:r>
      <w:r>
        <w:t xml:space="preserve"> European Code Against Cancer, 5th edition – occupational exposures and cancer — https://doi.org/10.1002/1878-0261.70174</w:t>
      </w:r>
    </w:p>
    <w:p>
      <w:pPr/>
      <w:r>
        <w:rPr>
          <w:b/>
        </w:rPr>
        <w:t>Later source:</w:t>
      </w:r>
      <w:r>
        <w:t xml:space="preserve"> Implementing cancer prevention in occupational healthcare: initial insights from occupational healthcare staff in Central and Southern Europe – findings from the CPW project — https://doi.org/10.1186/s12885-026-15607-0</w:t>
      </w:r>
    </w:p>
    <w:p>
      <w:pPr>
        <w:pStyle w:val="SourceNote"/>
      </w:pPr>
      <w:r>
        <w:rPr>
          <w:b/>
        </w:rPr>
        <w:t>Review status:</w:t>
      </w:r>
      <w:r>
        <w:t xml:space="preserve"> unchecked — possible relationship only</w:t>
      </w:r>
    </w:p>
    <w:p>
      <w:pPr>
        <w:pStyle w:val="Heading2"/>
      </w:pPr>
      <w:r>
        <w:t>281. Claim + two later sources: What energy infrastructure will be needed by 2050 in the EU to support 1.5°C scenarios?</w:t>
      </w:r>
    </w:p>
    <w:p>
      <w:pPr>
        <w:pStyle w:val="SourceNote"/>
      </w:pPr>
      <w:r>
        <w:rPr>
          <w:b/>
        </w:rPr>
        <w:t>Group ID:</w:t>
      </w:r>
      <w:r>
        <w:t xml:space="preserve"> group-1676b2f607cf01f8de0c</w:t>
      </w:r>
    </w:p>
    <w:p>
      <w:pPr>
        <w:pStyle w:val="SourceNote"/>
      </w:pPr>
      <w:r>
        <w:rPr>
          <w:b/>
        </w:rPr>
        <w:t>Original source:</w:t>
      </w:r>
      <w:r>
        <w:t xml:space="preserve"> https://doi.org/10.12688/f1000research.109399.1</w:t>
      </w:r>
    </w:p>
    <w:p>
      <w:pPr/>
      <w:r>
        <w:rPr>
          <w:b/>
        </w:rPr>
        <w:t>Original future claim:</w:t>
      </w:r>
      <w:r>
        <w:t xml:space="preserve">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Later source:</w:t>
      </w:r>
      <w:r>
        <w:t xml:space="preserve"> A combinatorial multi-objective optimisation model to support the design of urban renewable energy communities — https://doi.org/10.1016/j.apenergy.2026.127635</w:t>
      </w:r>
    </w:p>
    <w:p>
      <w:pPr/>
      <w:r>
        <w:rPr>
          <w:b/>
        </w:rPr>
        <w:t>Later source:</w:t>
      </w:r>
      <w:r>
        <w:t xml:space="preserve"> Energy and Emission Disutilities of Transport Modes Under Transport Innovation in the European Union — https://doi.org/10.3390/en19051346</w:t>
      </w:r>
    </w:p>
    <w:p>
      <w:pPr>
        <w:pStyle w:val="SourceNote"/>
      </w:pPr>
      <w:r>
        <w:rPr>
          <w:b/>
        </w:rPr>
        <w:t>Review status:</w:t>
      </w:r>
      <w:r>
        <w:t xml:space="preserve"> unchecked — possible relationship only</w:t>
      </w:r>
    </w:p>
    <w:p>
      <w:pPr>
        <w:pStyle w:val="Heading2"/>
      </w:pPr>
      <w:r>
        <w:t>282. Claim + two later sources: About global forecast of European Parliament TO 2035</w:t>
      </w:r>
    </w:p>
    <w:p>
      <w:pPr>
        <w:pStyle w:val="SourceNote"/>
      </w:pPr>
      <w:r>
        <w:rPr>
          <w:b/>
        </w:rPr>
        <w:t>Group ID:</w:t>
      </w:r>
      <w:r>
        <w:t xml:space="preserve"> group-6eee9baf0d1681ceacd0</w:t>
      </w:r>
    </w:p>
    <w:p>
      <w:pPr>
        <w:pStyle w:val="SourceNote"/>
      </w:pPr>
      <w:r>
        <w:rPr>
          <w:b/>
        </w:rPr>
        <w:t>Original source:</w:t>
      </w:r>
      <w:r>
        <w:t xml:space="preserve"> https://doi.org/10.25634/mirbis.2019.1.3</w:t>
      </w:r>
    </w:p>
    <w:p>
      <w:pPr/>
      <w:r>
        <w:rPr>
          <w:b/>
        </w:rPr>
        <w:t>Original future claim:</w:t>
      </w:r>
      <w:r>
        <w:t xml:space="preserve"> These forecasts show trends and breakthroughs in development of science and technology, determine possible changes in eco- nomics, social and political life of the world and in its diferent regions, help to determine crisis points.</w:t>
      </w:r>
    </w:p>
    <w:p>
      <w:pPr/>
      <w:r>
        <w:rPr>
          <w:b/>
        </w:rPr>
        <w:t>Later source:</w:t>
      </w:r>
      <w:r>
        <w:t xml:space="preserve"> Exceptionally poor and good medium‐range forecasts of the large‐scale circulation over Europe in ERA5 reforecasts — https://doi.org/10.1002/qj.70117</w:t>
      </w:r>
    </w:p>
    <w:p>
      <w:pPr/>
      <w:r>
        <w:rPr>
          <w:b/>
        </w:rPr>
        <w:t>Later source:</w:t>
      </w:r>
      <w:r>
        <w:t xml:space="preserve"> Categorical short-term forecasts of respiratory pathogens in Europe — https://doi.org/10.1016/j.epidem.2026.100938</w:t>
      </w:r>
    </w:p>
    <w:p>
      <w:pPr>
        <w:pStyle w:val="SourceNote"/>
      </w:pPr>
      <w:r>
        <w:rPr>
          <w:b/>
        </w:rPr>
        <w:t>Review status:</w:t>
      </w:r>
      <w:r>
        <w:t xml:space="preserve"> unchecked — possible relationship only</w:t>
      </w:r>
    </w:p>
    <w:p>
      <w:pPr>
        <w:pStyle w:val="Heading2"/>
      </w:pPr>
      <w:r>
        <w:t>283. Claim + two later sources: Above the Fog and the Fury: EU Strategic Policy Planning and the EU’s Future in Times of Global Uncertainty</w:t>
      </w:r>
    </w:p>
    <w:p>
      <w:pPr>
        <w:pStyle w:val="SourceNote"/>
      </w:pPr>
      <w:r>
        <w:rPr>
          <w:b/>
        </w:rPr>
        <w:t>Group ID:</w:t>
      </w:r>
      <w:r>
        <w:t xml:space="preserve"> group-f446989efc41333405f7</w:t>
      </w:r>
    </w:p>
    <w:p>
      <w:pPr>
        <w:pStyle w:val="SourceNote"/>
      </w:pPr>
      <w:r>
        <w:rPr>
          <w:b/>
        </w:rPr>
        <w:t>Original source:</w:t>
      </w:r>
      <w:r>
        <w:t xml:space="preserve"> https://doi.org/10.54648/eerr2021005</w:t>
      </w:r>
    </w:p>
    <w:p>
      <w:pPr/>
      <w:r>
        <w:rPr>
          <w:b/>
        </w:rPr>
        <w:t>Original future claim:</w:t>
      </w:r>
      <w:r>
        <w:t xml:space="preserve"> Put simply, strategic planning and strategic foresight are disciplines that aim at identifying possible futures, mapping options and charting possible responses and strategic goals and as such support informed and sound policy-making.</w:t>
      </w:r>
    </w:p>
    <w:p>
      <w:pPr/>
      <w:r>
        <w:rPr>
          <w:b/>
        </w:rPr>
        <w:t>Later source:</w:t>
      </w:r>
      <w:r>
        <w:t xml:space="preserve"> A glimpse on the futures of telecommunication networks: From market, technology and regulation trends to strategic foresight — https://doi.org/10.1016/j.joitmc.2026.100735</w:t>
      </w:r>
    </w:p>
    <w:p>
      <w:pPr/>
      <w:r>
        <w:rPr>
          <w:b/>
        </w:rPr>
        <w:t>Later source:</w:t>
      </w:r>
      <w:r>
        <w:t xml:space="preserve"> The impact of U.S. tariffs on European exporters : strategic responses and market reorientation — https://openalex.org/W7163603428</w:t>
      </w:r>
    </w:p>
    <w:p>
      <w:pPr>
        <w:pStyle w:val="SourceNote"/>
      </w:pPr>
      <w:r>
        <w:rPr>
          <w:b/>
        </w:rPr>
        <w:t>Review status:</w:t>
      </w:r>
      <w:r>
        <w:t xml:space="preserve"> unchecked — possible relationship only</w:t>
      </w:r>
    </w:p>
    <w:p>
      <w:pPr>
        <w:pStyle w:val="Heading2"/>
      </w:pPr>
      <w:r>
        <w:t>284. Claim + two later sources: The health potential of urban water: Future scenarios on local risks and opportunities</w:t>
      </w:r>
    </w:p>
    <w:p>
      <w:pPr>
        <w:pStyle w:val="SourceNote"/>
      </w:pPr>
      <w:r>
        <w:rPr>
          <w:b/>
        </w:rPr>
        <w:t>Group ID:</w:t>
      </w:r>
      <w:r>
        <w:t xml:space="preserve"> group-1db3378f3643a34e8aa0</w:t>
      </w:r>
    </w:p>
    <w:p>
      <w:pPr>
        <w:pStyle w:val="SourceNote"/>
      </w:pPr>
      <w:r>
        <w:rPr>
          <w:b/>
        </w:rPr>
        <w:t>Original source:</w:t>
      </w:r>
      <w:r>
        <w:t xml:space="preserve"> https://doi.org/10.1016/j.cities.2022.103639</w:t>
      </w:r>
    </w:p>
    <w:p>
      <w:pPr/>
      <w:r>
        <w:rPr>
          <w:b/>
        </w:rPr>
        <w:t>Original future claim:</w:t>
      </w:r>
      <w:r>
        <w:t xml:space="preserve"> Future scenarios have been developed based on the question: How can blue spaces contribute to a healthier city population, given the long term trends? The future scenarios deliver information that could serve as useful input for local planning processes.</w:t>
      </w:r>
    </w:p>
    <w:p>
      <w:pPr/>
      <w:r>
        <w:rPr>
          <w:b/>
        </w:rPr>
        <w:t>Later source:</w:t>
      </w:r>
      <w:r>
        <w:t xml:space="preserve"> Developing A Question-Answering System In The Uzbek Language Based On The Xlm-Roberta Model — https://doi.org/10.37547/ajast/volume05issue12-14</w:t>
      </w:r>
    </w:p>
    <w:p>
      <w:pPr/>
      <w:r>
        <w:rPr>
          <w:b/>
        </w:rPr>
        <w:t>Later source:</w:t>
      </w:r>
      <w:r>
        <w:t xml:space="preserve"> Developing an Entity Linking Model for Geographic Knowledge Base Question Answering — https://doi.org/10.1109/bigcomp60711.2024.00081</w:t>
      </w:r>
    </w:p>
    <w:p>
      <w:pPr>
        <w:pStyle w:val="SourceNote"/>
      </w:pPr>
      <w:r>
        <w:rPr>
          <w:b/>
        </w:rPr>
        <w:t>Review status:</w:t>
      </w:r>
      <w:r>
        <w:t xml:space="preserve"> unchecked — possible relationship only</w:t>
      </w:r>
    </w:p>
    <w:p>
      <w:pPr>
        <w:pStyle w:val="Heading2"/>
      </w:pPr>
      <w:r>
        <w:t>285. Claim + two later sources: Assessing the impacts of technology improvements on the deployment of marine energy in Europe with an energy system perspective</w:t>
      </w:r>
    </w:p>
    <w:p>
      <w:pPr>
        <w:pStyle w:val="SourceNote"/>
      </w:pPr>
      <w:r>
        <w:rPr>
          <w:b/>
        </w:rPr>
        <w:t>Group ID:</w:t>
      </w:r>
      <w:r>
        <w:t xml:space="preserve"> group-8645009340752a74a28b</w:t>
      </w:r>
    </w:p>
    <w:p>
      <w:pPr>
        <w:pStyle w:val="SourceNote"/>
      </w:pPr>
      <w:r>
        <w:rPr>
          <w:b/>
        </w:rPr>
        <w:t>Original source:</w:t>
      </w:r>
      <w:r>
        <w:t xml:space="preserve"> https://doi.org/10.1016/j.renene.2015.11.076</w:t>
      </w:r>
    </w:p>
    <w:p>
      <w:pPr/>
      <w:r>
        <w:rPr>
          <w:b/>
        </w:rPr>
        <w:t>Original future claim:</w:t>
      </w:r>
      <w:r>
        <w:t xml:space="preserve">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Later source:</w:t>
      </w:r>
      <w:r>
        <w:t xml:space="preserve"> Marine Protected Areas for Europe (MPA Europe) — https://doi.org/10.3897/rio.12.e218514</w:t>
      </w:r>
    </w:p>
    <w:p>
      <w:pPr/>
      <w:r>
        <w:rPr>
          <w:b/>
        </w:rPr>
        <w:t>Later source:</w:t>
      </w:r>
      <w:r>
        <w:t xml:space="preserve"> Understanding the role of biodiversity in the climate, food, water, energy, transport and health nexus in Europe — https://doi.org/10.1016/j.scitotenv.2024.171692</w:t>
      </w:r>
    </w:p>
    <w:p>
      <w:pPr>
        <w:pStyle w:val="SourceNote"/>
      </w:pPr>
      <w:r>
        <w:rPr>
          <w:b/>
        </w:rPr>
        <w:t>Review status:</w:t>
      </w:r>
      <w:r>
        <w:t xml:space="preserve"> unchecked — possible relationship only</w:t>
      </w:r>
    </w:p>
    <w:p>
      <w:pPr>
        <w:pStyle w:val="Heading2"/>
      </w:pPr>
      <w:r>
        <w:t>286. Claim + two later sources: Implementing Systemic Innovation Strategies for a More Sustainable Future: The Case of Three Overseas Countries and Territories</w:t>
      </w:r>
    </w:p>
    <w:p>
      <w:pPr>
        <w:pStyle w:val="SourceNote"/>
      </w:pPr>
      <w:r>
        <w:rPr>
          <w:b/>
        </w:rPr>
        <w:t>Group ID:</w:t>
      </w:r>
      <w:r>
        <w:t xml:space="preserve"> group-5acfa21cdaf600422e82</w:t>
      </w:r>
    </w:p>
    <w:p>
      <w:pPr>
        <w:pStyle w:val="SourceNote"/>
      </w:pPr>
      <w:r>
        <w:rPr>
          <w:b/>
        </w:rPr>
        <w:t>Original source:</w:t>
      </w:r>
      <w:r>
        <w:t xml:space="preserve"> https://doi.org/10.3389/frma.2021.801789</w:t>
      </w:r>
    </w:p>
    <w:p>
      <w:pPr/>
      <w:r>
        <w:rPr>
          <w:b/>
        </w:rPr>
        <w:t>Original future claim:</w:t>
      </w:r>
      <w:r>
        <w:t xml:space="preserve"> We conclude by discussing the potential implications of this foresight approach for the sustainable development and transformation of other less-favoured regions and territories.</w:t>
      </w:r>
    </w:p>
    <w:p>
      <w:pPr/>
      <w:r>
        <w:rPr>
          <w:b/>
        </w:rPr>
        <w:t>Later source:</w:t>
      </w:r>
      <w:r>
        <w:t xml:space="preserve"> Strategic Foresight for FinTech Governance: A Scenario-Based MCDA Approach for Kuwait — https://doi.org/10.3390/fintech5010008</w:t>
      </w:r>
    </w:p>
    <w:p>
      <w:pPr/>
      <w:r>
        <w:rPr>
          <w:b/>
        </w:rPr>
        <w:t>Later source:</w:t>
      </w:r>
      <w:r>
        <w:t xml:space="preserve"> The Three Fashion Times: A multitemporal framework towards a fashion foresight approach — https://doi.org/10.1016/j.futures.2026.103772</w:t>
      </w:r>
    </w:p>
    <w:p>
      <w:pPr>
        <w:pStyle w:val="SourceNote"/>
      </w:pPr>
      <w:r>
        <w:rPr>
          <w:b/>
        </w:rPr>
        <w:t>Review status:</w:t>
      </w:r>
      <w:r>
        <w:t xml:space="preserve"> unchecked — possible relationship only</w:t>
      </w:r>
    </w:p>
    <w:p>
      <w:pPr>
        <w:pStyle w:val="Heading2"/>
      </w:pPr>
      <w:r>
        <w:t>287. Claim + two later sources: Dynamics of the land use, land use change, and forestry sink in the European Union: the impacts of energy and climate targets for 2030</w:t>
      </w:r>
    </w:p>
    <w:p>
      <w:pPr>
        <w:pStyle w:val="SourceNote"/>
      </w:pPr>
      <w:r>
        <w:rPr>
          <w:b/>
        </w:rPr>
        <w:t>Group ID:</w:t>
      </w:r>
      <w:r>
        <w:t xml:space="preserve"> group-41dba638e22b98e83ff7</w:t>
      </w:r>
    </w:p>
    <w:p>
      <w:pPr>
        <w:pStyle w:val="SourceNote"/>
      </w:pPr>
      <w:r>
        <w:rPr>
          <w:b/>
        </w:rPr>
        <w:t>Original source:</w:t>
      </w:r>
      <w:r>
        <w:t xml:space="preserve"> https://doi.org/10.1007/s10584-016-1729-7</w:t>
      </w:r>
    </w:p>
    <w:p>
      <w:pPr/>
      <w:r>
        <w:rPr>
          <w:b/>
        </w:rPr>
        <w:t>Original future claim:</w:t>
      </w:r>
      <w:r>
        <w:t xml:space="preserve">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Later source:</w:t>
      </w:r>
      <w:r>
        <w:t xml:space="preserve"> Comparative analysis of GHG calculation methodologies in aviation — https://doi.org/10.1016/j.clpl.2026.100155</w:t>
      </w:r>
    </w:p>
    <w:p>
      <w:pPr/>
      <w:r>
        <w:rPr>
          <w:b/>
        </w:rPr>
        <w:t>Later source:</w:t>
      </w:r>
      <w:r>
        <w:t xml:space="preserve"> EU ambition vs. implementation: Performance toward nutrient loss reduction under the European Green Deal — https://doi.org/10.1016/j.envadv.2026.100705</w:t>
      </w:r>
    </w:p>
    <w:p>
      <w:pPr>
        <w:pStyle w:val="SourceNote"/>
      </w:pPr>
      <w:r>
        <w:rPr>
          <w:b/>
        </w:rPr>
        <w:t>Review status:</w:t>
      </w:r>
      <w:r>
        <w:t xml:space="preserve"> unchecked — possible relationship only</w:t>
      </w:r>
    </w:p>
    <w:p>
      <w:pPr>
        <w:pStyle w:val="Heading2"/>
      </w:pPr>
      <w:r>
        <w:t>288. Claim + two later sources: The future of the drug phenomenon and drug monitoring in Europe until 2030</w:t>
      </w:r>
    </w:p>
    <w:p>
      <w:pPr>
        <w:pStyle w:val="SourceNote"/>
      </w:pPr>
      <w:r>
        <w:rPr>
          <w:b/>
        </w:rPr>
        <w:t>Group ID:</w:t>
      </w:r>
      <w:r>
        <w:t xml:space="preserve"> group-a61374f139e582a267a5</w:t>
      </w:r>
    </w:p>
    <w:p>
      <w:pPr>
        <w:pStyle w:val="SourceNote"/>
      </w:pPr>
      <w:r>
        <w:rPr>
          <w:b/>
        </w:rPr>
        <w:t>Original source:</w:t>
      </w:r>
      <w:r>
        <w:t xml:space="preserve"> https://doi.org/10.1093/eurpub/ckab165.648</w:t>
      </w:r>
    </w:p>
    <w:p>
      <w:pPr/>
      <w:r>
        <w:rPr>
          <w:b/>
        </w:rPr>
        <w:t>Original future claim:</w:t>
      </w:r>
      <w:r>
        <w:t xml:space="preserve">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Later source:</w:t>
      </w:r>
      <w:r>
        <w:t xml:space="preserve"> Artigos de pesquisa original — https://doi.org/10.22533/at.ed.15953226210110</w:t>
      </w:r>
    </w:p>
    <w:p>
      <w:pPr/>
      <w:r>
        <w:rPr>
          <w:b/>
        </w:rPr>
        <w:t>Later source:</w:t>
      </w:r>
      <w:r>
        <w:t xml:space="preserve"> Suicidal behaviour and resilience-related factors among adolescents in Poland and war-affected Western Ukraine — https://doi.org/10.1186/s13034-026-01126-0</w:t>
      </w:r>
    </w:p>
    <w:p>
      <w:pPr>
        <w:pStyle w:val="SourceNote"/>
      </w:pPr>
      <w:r>
        <w:rPr>
          <w:b/>
        </w:rPr>
        <w:t>Review status:</w:t>
      </w:r>
      <w:r>
        <w:t xml:space="preserve"> unchecked — possible relationship only</w:t>
      </w:r>
    </w:p>
    <w:p>
      <w:pPr>
        <w:pStyle w:val="Heading2"/>
      </w:pPr>
      <w:r>
        <w:t>289. Claim + two later sources: Macrofinancial linkages in Europe: Evidence from quantile local projections</w:t>
      </w:r>
    </w:p>
    <w:p>
      <w:pPr>
        <w:pStyle w:val="SourceNote"/>
      </w:pPr>
      <w:r>
        <w:rPr>
          <w:b/>
        </w:rPr>
        <w:t>Group ID:</w:t>
      </w:r>
      <w:r>
        <w:t xml:space="preserve"> group-9e3347c4ae08b7f78188</w:t>
      </w:r>
    </w:p>
    <w:p>
      <w:pPr>
        <w:pStyle w:val="SourceNote"/>
      </w:pPr>
      <w:r>
        <w:rPr>
          <w:b/>
        </w:rPr>
        <w:t>Original source:</w:t>
      </w:r>
      <w:r>
        <w:t xml:space="preserve"> https://doi.org/10.1002/ijfe.2080</w:t>
      </w:r>
    </w:p>
    <w:p>
      <w:pPr/>
      <w:r>
        <w:rPr>
          <w:b/>
        </w:rPr>
        <w:t>Original future claim:</w:t>
      </w:r>
      <w:r>
        <w:t xml:space="preserve">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Later source:</w:t>
      </w:r>
      <w:r>
        <w:t xml:space="preserve"> The Economic Impact of Russia's Invasion of Ukraine on European Countries – a SVAR Approach — https://doi.org/10.1111/roie.70064</w:t>
      </w:r>
    </w:p>
    <w:p>
      <w:pPr/>
      <w:r>
        <w:rPr>
          <w:b/>
        </w:rPr>
        <w:t>Later source:</w:t>
      </w:r>
      <w:r>
        <w:t xml:space="preserve"> Extreme weather in Europe: Determinants and economic impact — https://doi.org/10.1016/j.euroecorev.2026.105327</w:t>
      </w:r>
    </w:p>
    <w:p>
      <w:pPr>
        <w:pStyle w:val="SourceNote"/>
      </w:pPr>
      <w:r>
        <w:rPr>
          <w:b/>
        </w:rPr>
        <w:t>Review status:</w:t>
      </w:r>
      <w:r>
        <w:t xml:space="preserve"> unchecked — possible relationship only</w:t>
      </w:r>
    </w:p>
    <w:p>
      <w:pPr>
        <w:pStyle w:val="Heading2"/>
      </w:pPr>
      <w:r>
        <w:t>290. Claim + two later sources: Future Precipitation Scenarios over Italy</w:t>
      </w:r>
    </w:p>
    <w:p>
      <w:pPr>
        <w:pStyle w:val="SourceNote"/>
      </w:pPr>
      <w:r>
        <w:rPr>
          <w:b/>
        </w:rPr>
        <w:t>Group ID:</w:t>
      </w:r>
      <w:r>
        <w:t xml:space="preserve"> group-f2ff52f75da082a7a847</w:t>
      </w:r>
    </w:p>
    <w:p>
      <w:pPr>
        <w:pStyle w:val="SourceNote"/>
      </w:pPr>
      <w:r>
        <w:rPr>
          <w:b/>
        </w:rPr>
        <w:t>Original source:</w:t>
      </w:r>
      <w:r>
        <w:t xml:space="preserve"> https://doi.org/10.3390/w13101335</w:t>
      </w:r>
    </w:p>
    <w:p>
      <w:pPr/>
      <w:r>
        <w:rPr>
          <w:b/>
        </w:rPr>
        <w:t>Original future claim:</w:t>
      </w:r>
      <w:r>
        <w:t xml:space="preserve">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High-resolution modelling of organic aerosol over Europe: exploring spatial and temporal variability and drivers — https://doi.org/10.1016/j.envint.2026.110143</w:t>
      </w:r>
    </w:p>
    <w:p>
      <w:pPr>
        <w:pStyle w:val="SourceNote"/>
      </w:pPr>
      <w:r>
        <w:rPr>
          <w:b/>
        </w:rPr>
        <w:t>Review status:</w:t>
      </w:r>
      <w:r>
        <w:t xml:space="preserve"> unchecked — possible relationship only</w:t>
      </w:r>
    </w:p>
    <w:p>
      <w:pPr>
        <w:pStyle w:val="Heading2"/>
      </w:pPr>
      <w:r>
        <w:t>291. Claim + two later sources: Foresighting organizational learning equilibrium in European universities</w:t>
      </w:r>
    </w:p>
    <w:p>
      <w:pPr>
        <w:pStyle w:val="SourceNote"/>
      </w:pPr>
      <w:r>
        <w:rPr>
          <w:b/>
        </w:rPr>
        <w:t>Group ID:</w:t>
      </w:r>
      <w:r>
        <w:t xml:space="preserve"> group-0819d25413cb749bd81f</w:t>
      </w:r>
    </w:p>
    <w:p>
      <w:pPr>
        <w:pStyle w:val="SourceNote"/>
      </w:pPr>
      <w:r>
        <w:rPr>
          <w:b/>
        </w:rPr>
        <w:t>Original source:</w:t>
      </w:r>
      <w:r>
        <w:t xml:space="preserve"> https://doi.org/10.1007/s40309-016-0108-y</w:t>
      </w:r>
    </w:p>
    <w:p>
      <w:pPr/>
      <w:r>
        <w:rPr>
          <w:b/>
        </w:rPr>
        <w:t>Original future claim:</w:t>
      </w:r>
      <w:r>
        <w:t xml:space="preserve">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Later source:</w:t>
      </w:r>
      <w:r>
        <w:t xml:space="preserve"> Tools for pathogen genetic surveillance: Lessons from the ash dieback invasion of Europe — https://doi.org/10.1371/journal.ppat.1012182</w:t>
      </w:r>
    </w:p>
    <w:p>
      <w:pPr/>
      <w:r>
        <w:rPr>
          <w:b/>
        </w:rPr>
        <w:t>Later source:</w:t>
      </w:r>
      <w:r>
        <w:t xml:space="preserve"> Effects of Climate Change on Areas Suitable for Maize Cultivation and Aflatoxin Contamination in Europe — https://doi.org/10.3390/toxins15100599</w:t>
      </w:r>
    </w:p>
    <w:p>
      <w:pPr>
        <w:pStyle w:val="SourceNote"/>
      </w:pPr>
      <w:r>
        <w:rPr>
          <w:b/>
        </w:rPr>
        <w:t>Review status:</w:t>
      </w:r>
      <w:r>
        <w:t xml:space="preserve"> unchecked — possible relationship only</w:t>
      </w:r>
    </w:p>
    <w:p>
      <w:pPr>
        <w:pStyle w:val="Heading2"/>
      </w:pPr>
      <w:r>
        <w:t>292. Claim + two later sources: Backcasting scenarios for Finland 2050 of low emissions</w:t>
      </w:r>
    </w:p>
    <w:p>
      <w:pPr>
        <w:pStyle w:val="SourceNote"/>
      </w:pPr>
      <w:r>
        <w:rPr>
          <w:b/>
        </w:rPr>
        <w:t>Group ID:</w:t>
      </w:r>
      <w:r>
        <w:t xml:space="preserve"> group-3df7d66491420d5863d9</w:t>
      </w:r>
    </w:p>
    <w:p>
      <w:pPr>
        <w:pStyle w:val="SourceNote"/>
      </w:pPr>
      <w:r>
        <w:rPr>
          <w:b/>
        </w:rPr>
        <w:t>Original source:</w:t>
      </w:r>
      <w:r>
        <w:t xml:space="preserve"> https://doi.org/10.1108/14636681211256099</w:t>
      </w:r>
    </w:p>
    <w:p>
      <w:pPr/>
      <w:r>
        <w:rPr>
          <w:b/>
        </w:rPr>
        <w:t>Original future claim:</w:t>
      </w:r>
      <w:r>
        <w:t xml:space="preserve">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Later source:</w:t>
      </w:r>
      <w:r>
        <w:t xml:space="preserve"> Impacts on and damage to European forests from the 2018–2022 heat and drought events — https://doi.org/10.5194/nhess-25-77-2025</w:t>
      </w:r>
    </w:p>
    <w:p>
      <w:pPr/>
      <w:r>
        <w:rPr>
          <w:b/>
        </w:rPr>
        <w:t>Later source:</w:t>
      </w:r>
      <w:r>
        <w:t xml:space="preserve"> Influence of exercise and nutrition on sarcopenia in cardiovascular disease: a Scientific Statement of the European Association of Preventive Cardiology of the European Society of Cardiology — https://doi.org/10.1093/eurjpc/zwaf432</w:t>
      </w:r>
    </w:p>
    <w:p>
      <w:pPr>
        <w:pStyle w:val="SourceNote"/>
      </w:pPr>
      <w:r>
        <w:rPr>
          <w:b/>
        </w:rPr>
        <w:t>Review status:</w:t>
      </w:r>
      <w:r>
        <w:t xml:space="preserve"> unchecked — possible relationship only</w:t>
      </w:r>
    </w:p>
    <w:p>
      <w:pPr>
        <w:pStyle w:val="Heading2"/>
      </w:pPr>
      <w:r>
        <w:t>293. Claim + two later sources: Futures of robotics. Human work in digital transformation</w:t>
      </w:r>
    </w:p>
    <w:p>
      <w:pPr>
        <w:pStyle w:val="SourceNote"/>
      </w:pPr>
      <w:r>
        <w:rPr>
          <w:b/>
        </w:rPr>
        <w:t>Group ID:</w:t>
      </w:r>
      <w:r>
        <w:t xml:space="preserve"> group-0c5cb2235bac043081c7</w:t>
      </w:r>
    </w:p>
    <w:p>
      <w:pPr>
        <w:pStyle w:val="SourceNote"/>
      </w:pPr>
      <w:r>
        <w:rPr>
          <w:b/>
        </w:rPr>
        <w:t>Original source:</w:t>
      </w:r>
      <w:r>
        <w:t xml:space="preserve"> https://doi.org/10.1504/ijtm.2017.083074</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Global research on AI-empowering academic evaluation: advances, trends, and prospects — https://doi.org/10.1108/el-01-2026-0028</w:t>
      </w:r>
    </w:p>
    <w:p>
      <w:pPr>
        <w:pStyle w:val="SourceNote"/>
      </w:pPr>
      <w:r>
        <w:rPr>
          <w:b/>
        </w:rPr>
        <w:t>Review status:</w:t>
      </w:r>
      <w:r>
        <w:t xml:space="preserve"> unchecked — possible relationship only</w:t>
      </w:r>
    </w:p>
    <w:p>
      <w:pPr>
        <w:pStyle w:val="Heading2"/>
      </w:pPr>
      <w:r>
        <w:t>294. Claim + two later sources: Towards net zero CO2 in 2050: An emission reduction pathway for organic soils in Germany</w:t>
      </w:r>
    </w:p>
    <w:p>
      <w:pPr>
        <w:pStyle w:val="SourceNote"/>
      </w:pPr>
      <w:r>
        <w:rPr>
          <w:b/>
        </w:rPr>
        <w:t>Group ID:</w:t>
      </w:r>
      <w:r>
        <w:t xml:space="preserve"> group-3e3510badbde0057d4a1</w:t>
      </w:r>
    </w:p>
    <w:p>
      <w:pPr>
        <w:pStyle w:val="SourceNote"/>
      </w:pPr>
      <w:r>
        <w:rPr>
          <w:b/>
        </w:rPr>
        <w:t>Original source:</w:t>
      </w:r>
      <w:r>
        <w:t xml:space="preserve"> https://doi.org/10.19189/map.2020.snpg.sta.1951</w:t>
      </w:r>
    </w:p>
    <w:p>
      <w:pPr/>
      <w:r>
        <w:rPr>
          <w:b/>
        </w:rPr>
        <w:t>Original future claim:</w:t>
      </w:r>
      <w:r>
        <w:t xml:space="preserve">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Later source:</w:t>
      </w:r>
      <w:r>
        <w:t xml:space="preserve"> Beyond permanent urban redevelopment: The unintended consequences of temporary brownfield use — https://doi.org/10.1080/02513625.2025.2583843</w:t>
      </w:r>
    </w:p>
    <w:p>
      <w:pPr/>
      <w:r>
        <w:rPr>
          <w:b/>
        </w:rPr>
        <w:t>Later source:</w:t>
      </w:r>
      <w:r>
        <w:t xml:space="preserve"> Re‐Interpreting Genetic Offset: Quantifying the Least Required Evolutionary Rate Under Climate Change at the Mediterranean Range Margin of European Beech — https://doi.org/10.1111/eva.70230</w:t>
      </w:r>
    </w:p>
    <w:p>
      <w:pPr>
        <w:pStyle w:val="SourceNote"/>
      </w:pPr>
      <w:r>
        <w:rPr>
          <w:b/>
        </w:rPr>
        <w:t>Review status:</w:t>
      </w:r>
      <w:r>
        <w:t xml:space="preserve"> unchecked — possible relationship only</w:t>
      </w:r>
    </w:p>
    <w:p>
      <w:pPr>
        <w:pStyle w:val="Heading2"/>
      </w:pPr>
      <w:r>
        <w:t>295. Claim + two later sources: Conservation biology research priorities for 2050: A Central-Eastern European perspective</w:t>
      </w:r>
    </w:p>
    <w:p>
      <w:pPr>
        <w:pStyle w:val="SourceNote"/>
      </w:pPr>
      <w:r>
        <w:rPr>
          <w:b/>
        </w:rPr>
        <w:t>Group ID:</w:t>
      </w:r>
      <w:r>
        <w:t xml:space="preserve"> group-c18dd4e65b7e14347531</w:t>
      </w:r>
    </w:p>
    <w:p>
      <w:pPr>
        <w:pStyle w:val="SourceNote"/>
      </w:pPr>
      <w:r>
        <w:rPr>
          <w:b/>
        </w:rPr>
        <w:t>Original source:</w:t>
      </w:r>
      <w:r>
        <w:t xml:space="preserve"> https://doi.org/10.1016/j.biocon.2021.109396</w:t>
      </w:r>
    </w:p>
    <w:p>
      <w:pPr/>
      <w:r>
        <w:rPr>
          <w:b/>
        </w:rPr>
        <w:t>Original future claim:</w:t>
      </w:r>
      <w:r>
        <w:t xml:space="preserve">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Later source:</w:t>
      </w:r>
      <w:r>
        <w:t xml:space="preserve"> Envisioning the future of European mountain value chains: a participatory foresight approach — https://doi.org/10.1007/s10113-025-02454-1</w:t>
      </w:r>
    </w:p>
    <w:p>
      <w:pPr/>
      <w:r>
        <w:rPr>
          <w:b/>
        </w:rPr>
        <w:t>Later source:</w:t>
      </w:r>
      <w:r>
        <w:t xml:space="preserve"> European Expert Opinion Statement on Paediatric Organ Donation Stresses Best Practice in Parent Communication — https://doi.org/10.1111/apa.70479</w:t>
      </w:r>
    </w:p>
    <w:p>
      <w:pPr>
        <w:pStyle w:val="SourceNote"/>
      </w:pPr>
      <w:r>
        <w:rPr>
          <w:b/>
        </w:rPr>
        <w:t>Review status:</w:t>
      </w:r>
      <w:r>
        <w:t xml:space="preserve"> unchecked — possible relationship only</w:t>
      </w:r>
    </w:p>
    <w:p>
      <w:pPr>
        <w:pStyle w:val="Heading2"/>
      </w:pPr>
      <w:r>
        <w:t>296. Claim + two later sources: Financing Innovations for the Renewable Energy Transition in Europe</w:t>
      </w:r>
    </w:p>
    <w:p>
      <w:pPr>
        <w:pStyle w:val="SourceNote"/>
      </w:pPr>
      <w:r>
        <w:rPr>
          <w:b/>
        </w:rPr>
        <w:t>Group ID:</w:t>
      </w:r>
      <w:r>
        <w:t xml:space="preserve"> group-5c16651938a8a3bdf351</w:t>
      </w:r>
    </w:p>
    <w:p>
      <w:pPr>
        <w:pStyle w:val="SourceNote"/>
      </w:pPr>
      <w:r>
        <w:rPr>
          <w:b/>
        </w:rPr>
        <w:t>Original source:</w:t>
      </w:r>
      <w:r>
        <w:t xml:space="preserve"> https://doi.org/10.3390/en9120990</w:t>
      </w:r>
    </w:p>
    <w:p>
      <w:pPr/>
      <w:r>
        <w:rPr>
          <w:b/>
        </w:rPr>
        <w:t>Original future claim:</w:t>
      </w:r>
      <w:r>
        <w:t xml:space="preserve">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Later source:</w:t>
      </w:r>
      <w:r>
        <w:t xml:space="preserve"> European Structural and Investment Funds (ESIF) and Regional Cohesion in EU Member-states — https://doi.org/10.1007/s13132-026-03244-8</w:t>
      </w:r>
    </w:p>
    <w:p>
      <w:pPr/>
      <w:r>
        <w:rPr>
          <w:b/>
        </w:rPr>
        <w:t>Later source:</w:t>
      </w:r>
      <w:r>
        <w:t xml:space="preserve"> Biomedical Engineering Education in Europe, the United States, and Uruguay — https://doi.org/10.1109/memea69746.2026.11537348</w:t>
      </w:r>
    </w:p>
    <w:p>
      <w:pPr>
        <w:pStyle w:val="SourceNote"/>
      </w:pPr>
      <w:r>
        <w:rPr>
          <w:b/>
        </w:rPr>
        <w:t>Review status:</w:t>
      </w:r>
      <w:r>
        <w:t xml:space="preserve"> unchecked — possible relationship only</w:t>
      </w:r>
    </w:p>
    <w:p>
      <w:pPr>
        <w:pStyle w:val="Heading2"/>
      </w:pPr>
      <w:r>
        <w:t>297. Claim + two later sources: The Selection of Intermodal Transport System Scenarios in the Function of Southeastern Europe Regional Development</w:t>
      </w:r>
    </w:p>
    <w:p>
      <w:pPr>
        <w:pStyle w:val="SourceNote"/>
      </w:pPr>
      <w:r>
        <w:rPr>
          <w:b/>
        </w:rPr>
        <w:t>Group ID:</w:t>
      </w:r>
      <w:r>
        <w:t xml:space="preserve"> group-13572902b7432287c739</w:t>
      </w:r>
    </w:p>
    <w:p>
      <w:pPr>
        <w:pStyle w:val="SourceNote"/>
      </w:pPr>
      <w:r>
        <w:rPr>
          <w:b/>
        </w:rPr>
        <w:t>Original source:</w:t>
      </w:r>
      <w:r>
        <w:t xml:space="preserve"> https://doi.org/10.3390/su13105590</w:t>
      </w:r>
    </w:p>
    <w:p>
      <w:pPr/>
      <w:r>
        <w:rPr>
          <w:b/>
        </w:rPr>
        <w:t>Original future claim:</w:t>
      </w:r>
      <w:r>
        <w:t xml:space="preserve">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Later source:</w:t>
      </w:r>
      <w:r>
        <w:t xml:space="preserve"> European forest carbon and biodiversity policies have a limited win-win potential — https://doi.org/10.1038/s41467-026-68668-x</w:t>
      </w:r>
    </w:p>
    <w:p>
      <w:pPr/>
      <w:r>
        <w:rPr>
          <w:b/>
        </w:rPr>
        <w:t>Later source:</w:t>
      </w:r>
      <w:r>
        <w:t xml:space="preserve"> European forest carbon and biodiversity policies have a limited win-win potential. — https://doi.org/10.48620/94352</w:t>
      </w:r>
    </w:p>
    <w:p>
      <w:pPr>
        <w:pStyle w:val="SourceNote"/>
      </w:pPr>
      <w:r>
        <w:rPr>
          <w:b/>
        </w:rPr>
        <w:t>Review status:</w:t>
      </w:r>
      <w:r>
        <w:t xml:space="preserve"> unchecked — possible relationship only</w:t>
      </w:r>
    </w:p>
    <w:p>
      <w:pPr>
        <w:pStyle w:val="Heading2"/>
      </w:pPr>
      <w:r>
        <w:t>298. Claim + two later sources: Medium-term forecast of European economic sustainable growth using Markov chains</w:t>
      </w:r>
    </w:p>
    <w:p>
      <w:pPr>
        <w:pStyle w:val="SourceNote"/>
      </w:pPr>
      <w:r>
        <w:rPr>
          <w:b/>
        </w:rPr>
        <w:t>Group ID:</w:t>
      </w:r>
      <w:r>
        <w:t xml:space="preserve"> group-e709eafaaed9c68b8eb6</w:t>
      </w:r>
    </w:p>
    <w:p>
      <w:pPr>
        <w:pStyle w:val="SourceNote"/>
      </w:pPr>
      <w:r>
        <w:rPr>
          <w:b/>
        </w:rPr>
        <w:t>Original source:</w:t>
      </w:r>
      <w:r>
        <w:t xml:space="preserve"> https://doi.org/10.18045/zbefri.2020.2.585</w:t>
      </w:r>
    </w:p>
    <w:p>
      <w:pPr/>
      <w:r>
        <w:rPr>
          <w:b/>
        </w:rPr>
        <w:t>Original future claim:</w:t>
      </w:r>
      <w:r>
        <w:t xml:space="preserve">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Later source:</w:t>
      </w:r>
      <w:r>
        <w:t xml:space="preserve"> Econometric modelling of technological, environmental, and structural drivers of economic growth in European countries — https://doi.org/10.1007/s43621-026-03830-5</w:t>
      </w:r>
    </w:p>
    <w:p>
      <w:pPr/>
      <w:r>
        <w:rPr>
          <w:b/>
        </w:rPr>
        <w:t>Later source:</w:t>
      </w:r>
      <w:r>
        <w:t xml:space="preserve"> Settling the debate: does digitalisation impact the economic growth in the European Union Member States? — https://doi.org/10.3846/tede.2025.22576</w:t>
      </w:r>
    </w:p>
    <w:p>
      <w:pPr>
        <w:pStyle w:val="SourceNote"/>
      </w:pPr>
      <w:r>
        <w:rPr>
          <w:b/>
        </w:rPr>
        <w:t>Review status:</w:t>
      </w:r>
      <w:r>
        <w:t xml:space="preserve"> unchecked — possible relationship only</w:t>
      </w:r>
    </w:p>
    <w:p>
      <w:pPr>
        <w:pStyle w:val="Heading2"/>
      </w:pPr>
      <w:r>
        <w:t>299. Claim + two later sources: What We Hope, What We Fear, What We Expect: Possible Scenarios for the Future of the Eurozone</w:t>
      </w:r>
    </w:p>
    <w:p>
      <w:pPr>
        <w:pStyle w:val="SourceNote"/>
      </w:pPr>
      <w:r>
        <w:rPr>
          <w:b/>
        </w:rPr>
        <w:t>Group ID:</w:t>
      </w:r>
      <w:r>
        <w:t xml:space="preserve"> group-eaaa97f46b2eed3ae84d</w:t>
      </w:r>
    </w:p>
    <w:p>
      <w:pPr>
        <w:pStyle w:val="SourceNote"/>
      </w:pPr>
      <w:r>
        <w:rPr>
          <w:b/>
        </w:rPr>
        <w:t>Original source:</w:t>
      </w:r>
      <w:r>
        <w:t xml:space="preserve"> https://doi.org/10.1007/s12290-012-0210-x</w:t>
      </w:r>
    </w:p>
    <w:p>
      <w:pPr/>
      <w:r>
        <w:rPr>
          <w:b/>
        </w:rPr>
        <w:t>Original future claim:</w:t>
      </w:r>
      <w:r>
        <w:t xml:space="preserve"> Starting with the reforms of European economic governance hitherto agreed, this article develops three scenarios for the eurozone and explores their possible impact on the EU in general.</w:t>
      </w:r>
    </w:p>
    <w:p>
      <w:pPr/>
      <w:r>
        <w:rPr>
          <w:b/>
        </w:rPr>
        <w:t>Later source:</w:t>
      </w:r>
      <w:r>
        <w:t xml:space="preserve"> EUROPE'S DILEMMA: CONTINUE THE PROXY WAR IN UKRAINE OR START EU REFORM — https://doi.org/10.5281/zenodo.18899368</w:t>
      </w:r>
    </w:p>
    <w:p>
      <w:pPr/>
      <w:r>
        <w:rPr>
          <w:b/>
        </w:rPr>
        <w:t>Later source:</w:t>
      </w:r>
      <w:r>
        <w:t xml:space="preserve"> The Partisan Politics of Family and Labor Market Policy Reforms in Southern Europe — https://doi.org/10.1093/oso/9780197601457.003.0004</w:t>
      </w:r>
    </w:p>
    <w:p>
      <w:pPr>
        <w:pStyle w:val="SourceNote"/>
      </w:pPr>
      <w:r>
        <w:rPr>
          <w:b/>
        </w:rPr>
        <w:t>Review status:</w:t>
      </w:r>
      <w:r>
        <w:t xml:space="preserve"> unchecked — possible relationship only</w:t>
      </w:r>
    </w:p>
    <w:p>
      <w:pPr>
        <w:pStyle w:val="Heading2"/>
      </w:pPr>
      <w:r>
        <w:t>300. Claim + two later sources: Mismatch, empowerment, fatigue or balance? Four scenarios of physical activity up to 2030 in Finland</w:t>
      </w:r>
    </w:p>
    <w:p>
      <w:pPr>
        <w:pStyle w:val="SourceNote"/>
      </w:pPr>
      <w:r>
        <w:rPr>
          <w:b/>
        </w:rPr>
        <w:t>Group ID:</w:t>
      </w:r>
      <w:r>
        <w:t xml:space="preserve"> group-832f133535e6dff3220b</w:t>
      </w:r>
    </w:p>
    <w:p>
      <w:pPr>
        <w:pStyle w:val="SourceNote"/>
      </w:pPr>
      <w:r>
        <w:rPr>
          <w:b/>
        </w:rPr>
        <w:t>Original source:</w:t>
      </w:r>
      <w:r>
        <w:t xml:space="preserve"> https://doi.org/10.1016/j.futures.2022.103036</w:t>
      </w:r>
    </w:p>
    <w:p>
      <w:pPr/>
      <w:r>
        <w:rPr>
          <w:b/>
        </w:rPr>
        <w:t>Original future claim:</w:t>
      </w:r>
      <w:r>
        <w:t xml:space="preserve">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Later source:</w:t>
      </w:r>
      <w:r>
        <w:t xml:space="preserve"> Building consensus for Molecular Tumor Board implementation in Europe: a Delphi procedure — https://doi.org/10.1016/j.hlpt.2026.101287</w:t>
      </w:r>
    </w:p>
    <w:p>
      <w:pPr/>
      <w:r>
        <w:rPr>
          <w:b/>
        </w:rPr>
        <w:t>Later source:</w:t>
      </w:r>
      <w:r>
        <w:t xml:space="preserve"> Adoption drivers and barriers of Building Information Modelling (BIM) in Europe — https://doi.org/10.1016/j.enbuild.2026.116953</w:t>
      </w:r>
    </w:p>
    <w:p>
      <w:pPr>
        <w:pStyle w:val="SourceNote"/>
      </w:pPr>
      <w:r>
        <w:rPr>
          <w:b/>
        </w:rPr>
        <w:t>Review status:</w:t>
      </w:r>
      <w:r>
        <w:t xml:space="preserve"> unchecked — possible relationship only</w:t>
      </w:r>
    </w:p>
    <w:p>
      <w:pPr>
        <w:pStyle w:val="Heading2"/>
      </w:pPr>
      <w:r>
        <w:t>301. Claim + two later sources: Assessing future sustainability and resilience of farming systems with a participatory method: A case study on extensive sheep farming in Huesca, Spain</w:t>
      </w:r>
    </w:p>
    <w:p>
      <w:pPr>
        <w:pStyle w:val="SourceNote"/>
      </w:pPr>
      <w:r>
        <w:rPr>
          <w:b/>
        </w:rPr>
        <w:t>Group ID:</w:t>
      </w:r>
      <w:r>
        <w:t xml:space="preserve"> group-b7a6275ea78bf38bf967</w:t>
      </w:r>
    </w:p>
    <w:p>
      <w:pPr>
        <w:pStyle w:val="SourceNote"/>
      </w:pPr>
      <w:r>
        <w:rPr>
          <w:b/>
        </w:rPr>
        <w:t>Original source:</w:t>
      </w:r>
      <w:r>
        <w:t xml:space="preserve"> https://doi.org/10.1016/j.ecolind.2021.108236</w:t>
      </w:r>
    </w:p>
    <w:p>
      <w:pPr/>
      <w:r>
        <w:rPr>
          <w:b/>
        </w:rPr>
        <w:t>Original future claim:</w:t>
      </w:r>
      <w:r>
        <w:t xml:space="preserve"> The methodology includes an assessment of current performance (Step 1), identification of critical thresholds whose exceedance can lead to large and permanent system change (Step 2), impact assessment when critical thresholds are exceeded (Step 3), identification of desired alternative systems and their expected improved performance of sustainability and resilience (Step 4), identification of strategies to realize those alternative systems (Step 5), and an assessment on the compatibility of alternative systems with the developments of exogenous factors as projected in different future scenarios (Step 6). Although the high-tech extensive system seems most compatible with a future in which sustainable food production is very important, the semi-intensive system seems a less risky bet as it has on average the best compatibility with multiple future scenarios.</w:t>
      </w:r>
    </w:p>
    <w:p>
      <w:pPr/>
      <w:r>
        <w:rPr>
          <w:b/>
        </w:rPr>
        <w:t>Later source:</w:t>
      </w:r>
      <w:r>
        <w:t xml:space="preserve"> Cross-border healthcare system function, performance and cooperation in Europe: a scoping review protocol — https://doi.org/10.1136/bmjopen-2026-117613</w:t>
      </w:r>
    </w:p>
    <w:p>
      <w:pPr/>
      <w:r>
        <w:rPr>
          <w:b/>
        </w:rPr>
        <w:t>Later source:</w:t>
      </w:r>
      <w:r>
        <w:t xml:space="preserve"> The Role of Step Length and Step Frequency in the 400-meters Hurdles Performance. — https://doi.org/10.5114/jhk/205439</w:t>
      </w:r>
    </w:p>
    <w:p>
      <w:pPr>
        <w:pStyle w:val="SourceNote"/>
      </w:pPr>
      <w:r>
        <w:rPr>
          <w:b/>
        </w:rPr>
        <w:t>Review status:</w:t>
      </w:r>
      <w:r>
        <w:t xml:space="preserve"> unchecked — possible relationship only</w:t>
      </w:r>
    </w:p>
    <w:p>
      <w:pPr>
        <w:pStyle w:val="Heading2"/>
      </w:pPr>
      <w:r>
        <w:t>302. Claim + two later sources: Transport demand evolution in Europe – factors of change, scenarios and challenges</w:t>
      </w:r>
    </w:p>
    <w:p>
      <w:pPr>
        <w:pStyle w:val="SourceNote"/>
      </w:pPr>
      <w:r>
        <w:rPr>
          <w:b/>
        </w:rPr>
        <w:t>Group ID:</w:t>
      </w:r>
      <w:r>
        <w:t xml:space="preserve"> group-c721e76c2bc238a2fef8</w:t>
      </w:r>
    </w:p>
    <w:p>
      <w:pPr>
        <w:pStyle w:val="SourceNote"/>
      </w:pPr>
      <w:r>
        <w:rPr>
          <w:b/>
        </w:rPr>
        <w:t>Original source:</w:t>
      </w:r>
      <w:r>
        <w:t xml:space="preserve"> https://doi.org/10.1007/s40309-015-0072-y</w:t>
      </w:r>
    </w:p>
    <w:p>
      <w:pPr/>
      <w:r>
        <w:rPr>
          <w:b/>
        </w:rPr>
        <w:t>Original future claim:</w:t>
      </w:r>
      <w:r>
        <w:t xml:space="preserve">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Later source:</w:t>
      </w:r>
      <w:r>
        <w:t xml:space="preserve"> Tracking sustainability dynamics in EU transport sector: Bayesian latent change-score analysis study — https://doi.org/10.1016/j.trd.2026.105579</w:t>
      </w:r>
    </w:p>
    <w:p>
      <w:pPr/>
      <w:r>
        <w:rPr>
          <w:b/>
        </w:rPr>
        <w:t>Later source:</w:t>
      </w:r>
      <w:r>
        <w:t xml:space="preserve"> How do collective identities influence sector‐wide digital transformations? Insights from the European cooperative sector — https://doi.org/10.1111/emre.70057</w:t>
      </w:r>
    </w:p>
    <w:p>
      <w:pPr>
        <w:pStyle w:val="SourceNote"/>
      </w:pPr>
      <w:r>
        <w:rPr>
          <w:b/>
        </w:rPr>
        <w:t>Review status:</w:t>
      </w:r>
      <w:r>
        <w:t xml:space="preserve"> unchecked — possible relationship only</w:t>
      </w:r>
    </w:p>
    <w:p>
      <w:pPr>
        <w:pStyle w:val="Heading2"/>
      </w:pPr>
      <w:r>
        <w:t>303. Claim + two later sources: Integrated scenarios of sustainable food production and consumption in Germany</w:t>
      </w:r>
    </w:p>
    <w:p>
      <w:pPr>
        <w:pStyle w:val="SourceNote"/>
      </w:pPr>
      <w:r>
        <w:rPr>
          <w:b/>
        </w:rPr>
        <w:t>Group ID:</w:t>
      </w:r>
      <w:r>
        <w:t xml:space="preserve"> group-66a2cab8abe9b0f37271</w:t>
      </w:r>
    </w:p>
    <w:p>
      <w:pPr>
        <w:pStyle w:val="SourceNote"/>
      </w:pPr>
      <w:r>
        <w:rPr>
          <w:b/>
        </w:rPr>
        <w:t>Original source:</w:t>
      </w:r>
      <w:r>
        <w:t xml:space="preserve"> https://doi.org/10.1080/15487733.2013.11908118</w:t>
      </w:r>
    </w:p>
    <w:p>
      <w:pPr/>
      <w:r>
        <w:rPr>
          <w:b/>
        </w:rPr>
        <w:t>Original future claim:</w:t>
      </w:r>
      <w:r>
        <w:t xml:space="preserve">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Later source:</w:t>
      </w:r>
      <w:r>
        <w:t xml:space="preserve"> The Moroccan and Muslim Diaspora in Europe: Shifting from the Context of Migration to the Context of Citizenship — https://openalex.org/W7113523033</w:t>
      </w:r>
    </w:p>
    <w:p>
      <w:pPr/>
      <w:r>
        <w:rPr>
          <w:b/>
        </w:rPr>
        <w:t>Later source:</w:t>
      </w:r>
      <w:r>
        <w:t xml:space="preserve"> Reliability and Operational Efficiency of Public Institutions in the Context of the So-Called Constitutional Crisis — https://doi.org/10.32084/tkp.10817</w:t>
      </w:r>
    </w:p>
    <w:p>
      <w:pPr>
        <w:pStyle w:val="SourceNote"/>
      </w:pPr>
      <w:r>
        <w:rPr>
          <w:b/>
        </w:rPr>
        <w:t>Review status:</w:t>
      </w:r>
      <w:r>
        <w:t xml:space="preserve"> unchecked — possible relationship only</w:t>
      </w:r>
    </w:p>
    <w:p>
      <w:pPr>
        <w:pStyle w:val="Heading2"/>
      </w:pPr>
      <w:r>
        <w:t>304. Claim + two later sources: Long-Term Hydrocarbon Trade Options for the Maghreb Region and Europe—Renewable Energy Based Synthetic Fuels for a Net Zero Emissions World</w:t>
      </w:r>
    </w:p>
    <w:p>
      <w:pPr>
        <w:pStyle w:val="SourceNote"/>
      </w:pPr>
      <w:r>
        <w:rPr>
          <w:b/>
        </w:rPr>
        <w:t>Group ID:</w:t>
      </w:r>
      <w:r>
        <w:t xml:space="preserve"> group-6b850fd70c423e722665</w:t>
      </w:r>
    </w:p>
    <w:p>
      <w:pPr>
        <w:pStyle w:val="SourceNote"/>
      </w:pPr>
      <w:r>
        <w:rPr>
          <w:b/>
        </w:rPr>
        <w:t>Original source:</w:t>
      </w:r>
      <w:r>
        <w:t xml:space="preserve"> https://doi.org/10.3390/su9020306</w:t>
      </w:r>
    </w:p>
    <w:p>
      <w:pPr/>
      <w:r>
        <w:rPr>
          <w:b/>
        </w:rPr>
        <w:t>Original future claim:</w:t>
      </w:r>
      <w:r>
        <w:t xml:space="preserve">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Later source:</w:t>
      </w:r>
      <w:r>
        <w:t xml:space="preserve"> ESG Score and Firm Performance: A Comparative Analysis of Nordic and European Companies — https://doi.org/10.3390/su18031707</w:t>
      </w:r>
    </w:p>
    <w:p>
      <w:pPr/>
      <w:r>
        <w:rPr>
          <w:b/>
        </w:rPr>
        <w:t>Later source:</w:t>
      </w:r>
      <w:r>
        <w:t xml:space="preserve"> Fossil Fuel Prices and Capital Cost: A Machine Learning Driven Study on Energy Transition — https://doi.org/10.48448/zfdn-k922</w:t>
      </w:r>
    </w:p>
    <w:p>
      <w:pPr>
        <w:pStyle w:val="SourceNote"/>
      </w:pPr>
      <w:r>
        <w:rPr>
          <w:b/>
        </w:rPr>
        <w:t>Review status:</w:t>
      </w:r>
      <w:r>
        <w:t xml:space="preserve"> unchecked — possible relationship only</w:t>
      </w:r>
    </w:p>
    <w:p>
      <w:pPr>
        <w:pStyle w:val="Heading2"/>
      </w:pPr>
      <w:r>
        <w:t>305. Claim + two later sources: Exploring the Future of Universities Through Experimental Foresight</w:t>
      </w:r>
    </w:p>
    <w:p>
      <w:pPr>
        <w:pStyle w:val="SourceNote"/>
      </w:pPr>
      <w:r>
        <w:rPr>
          <w:b/>
        </w:rPr>
        <w:t>Group ID:</w:t>
      </w:r>
      <w:r>
        <w:t xml:space="preserve"> group-85394342751620348955</w:t>
      </w:r>
    </w:p>
    <w:p>
      <w:pPr>
        <w:pStyle w:val="SourceNote"/>
      </w:pPr>
      <w:r>
        <w:rPr>
          <w:b/>
        </w:rPr>
        <w:t>Original source:</w:t>
      </w:r>
      <w:r>
        <w:t xml:space="preserve"> https://doi.org/10.1177/1946756720976714</w:t>
      </w:r>
    </w:p>
    <w:p>
      <w:pPr/>
      <w:r>
        <w:rPr>
          <w:b/>
        </w:rPr>
        <w:t>Original future claim:</w:t>
      </w:r>
      <w:r>
        <w:t xml:space="preserve"> The foresight project covered two future time horizons, namely 2025 to 2030 and 2031 to 2040.</w:t>
      </w:r>
    </w:p>
    <w:p>
      <w:pPr/>
      <w:r>
        <w:rPr>
          <w:b/>
        </w:rPr>
        <w:t>Later source:</w:t>
      </w:r>
      <w:r>
        <w:t xml:space="preserve"> Navigating the Futurity Paradox: Strategic Foresight for China‘s Transition from Builder to Community Animator — https://openalex.org/W7159895713</w:t>
      </w:r>
    </w:p>
    <w:p>
      <w:pPr/>
      <w:r>
        <w:rPr>
          <w:b/>
        </w:rPr>
        <w:t>Later source:</w:t>
      </w:r>
      <w:r>
        <w:t xml:space="preserve"> Horizon scanning data for the future of outdoor recreation on public lands — https://doi.org/10.3886/e248960</w:t>
      </w:r>
    </w:p>
    <w:p>
      <w:pPr>
        <w:pStyle w:val="SourceNote"/>
      </w:pPr>
      <w:r>
        <w:rPr>
          <w:b/>
        </w:rPr>
        <w:t>Review status:</w:t>
      </w:r>
      <w:r>
        <w:t xml:space="preserve"> unchecked — possible relationship only</w:t>
      </w:r>
    </w:p>
    <w:p>
      <w:pPr>
        <w:pStyle w:val="Heading2"/>
      </w:pPr>
      <w:r>
        <w:t>306. Claim + two later sources: Modelling the European Union Sustainability Transition: A Soft-Linking Approach</w:t>
      </w:r>
    </w:p>
    <w:p>
      <w:pPr>
        <w:pStyle w:val="SourceNote"/>
      </w:pPr>
      <w:r>
        <w:rPr>
          <w:b/>
        </w:rPr>
        <w:t>Group ID:</w:t>
      </w:r>
      <w:r>
        <w:t xml:space="preserve"> group-70ff9b57424011d7d687</w:t>
      </w:r>
    </w:p>
    <w:p>
      <w:pPr>
        <w:pStyle w:val="SourceNote"/>
      </w:pPr>
      <w:r>
        <w:rPr>
          <w:b/>
        </w:rPr>
        <w:t>Original source:</w:t>
      </w:r>
      <w:r>
        <w:t xml:space="preserve"> https://doi.org/10.3390/su13116303</w:t>
      </w:r>
    </w:p>
    <w:p>
      <w:pPr/>
      <w:r>
        <w:rPr>
          <w:b/>
        </w:rPr>
        <w:t>Original future claim:</w:t>
      </w:r>
      <w:r>
        <w:t xml:space="preserve">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Later source:</w:t>
      </w:r>
      <w:r>
        <w:t xml:space="preserve"> The EU's Strategy for Sustainability: A Landmark Turn With the European Green Deal? — https://doi.org/10.1002/epa2.70035</w:t>
      </w:r>
    </w:p>
    <w:p>
      <w:pPr/>
      <w:r>
        <w:rPr>
          <w:b/>
        </w:rPr>
        <w:t>Later source:</w:t>
      </w:r>
      <w:r>
        <w:t xml:space="preserve"> The traditionalist challenge to the European Green Deal — https://doi.org/10.15407/etet2026.01.072</w:t>
      </w:r>
    </w:p>
    <w:p>
      <w:pPr>
        <w:pStyle w:val="SourceNote"/>
      </w:pPr>
      <w:r>
        <w:rPr>
          <w:b/>
        </w:rPr>
        <w:t>Review status:</w:t>
      </w:r>
      <w:r>
        <w:t xml:space="preserve"> unchecked — possible relationship only</w:t>
      </w:r>
    </w:p>
    <w:p>
      <w:pPr>
        <w:pStyle w:val="Heading2"/>
      </w:pPr>
      <w:r>
        <w:t>307. Claim + two later sources: Time banks, co-production and foresight: intertwined towards an alternative future</w:t>
      </w:r>
    </w:p>
    <w:p>
      <w:pPr>
        <w:pStyle w:val="SourceNote"/>
      </w:pPr>
      <w:r>
        <w:rPr>
          <w:b/>
        </w:rPr>
        <w:t>Group ID:</w:t>
      </w:r>
      <w:r>
        <w:t xml:space="preserve"> group-a9c3ea9caf13a11b90c3</w:t>
      </w:r>
    </w:p>
    <w:p>
      <w:pPr>
        <w:pStyle w:val="SourceNote"/>
      </w:pPr>
      <w:r>
        <w:rPr>
          <w:b/>
        </w:rPr>
        <w:t>Original source:</w:t>
      </w:r>
      <w:r>
        <w:t xml:space="preserve"> https://doi.org/10.1108/fs-05-2014-0035</w:t>
      </w:r>
    </w:p>
    <w:p>
      <w:pPr/>
      <w:r>
        <w:rPr>
          <w:b/>
        </w:rPr>
        <w:t>Original future claim:</w:t>
      </w:r>
      <w:r>
        <w:t xml:space="preserve">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Later source:</w:t>
      </w:r>
      <w:r>
        <w:t xml:space="preserve"> Prototype bank‐driven test‐time adaptation for medical ultrasound image segmentation — https://doi.org/10.1002/mp.70280</w:t>
      </w:r>
    </w:p>
    <w:p>
      <w:pPr/>
      <w:r>
        <w:rPr>
          <w:b/>
        </w:rPr>
        <w:t>Later source:</w:t>
      </w:r>
      <w:r>
        <w:t xml:space="preserve"> Implementation and Impacts of Taiwan’s Time Bank Multi-Empowerment Program Across Six Townships — https://doi.org/10.33790/jswwp1100180</w:t>
      </w:r>
    </w:p>
    <w:p>
      <w:pPr>
        <w:pStyle w:val="SourceNote"/>
      </w:pPr>
      <w:r>
        <w:rPr>
          <w:b/>
        </w:rPr>
        <w:t>Review status:</w:t>
      </w:r>
      <w:r>
        <w:t xml:space="preserve"> unchecked — possible relationship only</w:t>
      </w:r>
    </w:p>
    <w:p>
      <w:pPr>
        <w:pStyle w:val="Heading2"/>
      </w:pPr>
      <w:r>
        <w:t>308. Claim + two later sources: Decarbonizing the EU energy system by 2050: an important role for BECCS</w:t>
      </w:r>
    </w:p>
    <w:p>
      <w:pPr>
        <w:pStyle w:val="SourceNote"/>
      </w:pPr>
      <w:r>
        <w:rPr>
          <w:b/>
        </w:rPr>
        <w:t>Group ID:</w:t>
      </w:r>
      <w:r>
        <w:t xml:space="preserve"> group-3673d24212f130ea7a4c</w:t>
      </w:r>
    </w:p>
    <w:p>
      <w:pPr>
        <w:pStyle w:val="SourceNote"/>
      </w:pPr>
      <w:r>
        <w:rPr>
          <w:b/>
        </w:rPr>
        <w:t>Original source:</w:t>
      </w:r>
      <w:r>
        <w:t xml:space="preserve"> https://doi.org/10.1080/14693062.2016.1242058</w:t>
      </w:r>
    </w:p>
    <w:p>
      <w:pPr/>
      <w:r>
        <w:rPr>
          <w:b/>
        </w:rPr>
        <w:t>Original future claim:</w:t>
      </w:r>
      <w:r>
        <w:t xml:space="preserve">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Later source:</w:t>
      </w:r>
      <w:r>
        <w:t xml:space="preserve"> European practices for screening and follow-up in mixed connective tissue disease: a survey of clinicians from the European Federation of Internal Medicine and ERN ReCONNET — https://doi.org/10.1016/j.ejim.2026.107199</w:t>
      </w:r>
    </w:p>
    <w:p>
      <w:pPr/>
      <w:r>
        <w:rPr>
          <w:b/>
        </w:rPr>
        <w:t>Later source:</w:t>
      </w:r>
      <w:r>
        <w:t xml:space="preserve"> Conclusions on Land Policies in Europe — https://doi.org/10.1007/978-3-031-83725-8_17</w:t>
      </w:r>
    </w:p>
    <w:p>
      <w:pPr>
        <w:pStyle w:val="SourceNote"/>
      </w:pPr>
      <w:r>
        <w:rPr>
          <w:b/>
        </w:rPr>
        <w:t>Review status:</w:t>
      </w:r>
      <w:r>
        <w:t xml:space="preserve"> unchecked — possible relationship only</w:t>
      </w:r>
    </w:p>
    <w:p>
      <w:pPr>
        <w:pStyle w:val="Heading2"/>
      </w:pPr>
      <w:r>
        <w:t>309. Claim + two later sources: Charging the future: Roadmaps and value tensions for mainstreaming prosumerism to 2030 and 2050</w:t>
      </w:r>
    </w:p>
    <w:p>
      <w:pPr>
        <w:pStyle w:val="SourceNote"/>
      </w:pPr>
      <w:r>
        <w:rPr>
          <w:b/>
        </w:rPr>
        <w:t>Group ID:</w:t>
      </w:r>
      <w:r>
        <w:t xml:space="preserve"> group-21ce175913fba109a265</w:t>
      </w:r>
    </w:p>
    <w:p>
      <w:pPr>
        <w:pStyle w:val="SourceNote"/>
      </w:pPr>
      <w:r>
        <w:rPr>
          <w:b/>
        </w:rPr>
        <w:t>Original source:</w:t>
      </w:r>
      <w:r>
        <w:t xml:space="preserve"> https://doi.org/10.5281/zenodo.4568679</w:t>
      </w:r>
    </w:p>
    <w:p>
      <w:pPr/>
      <w:r>
        <w:rPr>
          <w:b/>
        </w:rPr>
        <w:t>Original future claim:</w:t>
      </w:r>
      <w:r>
        <w:t xml:space="preserve"> Third, we highlight three key value tensions which underlie these leverage points, and for which value prioritisations will need to be made.</w:t>
      </w:r>
    </w:p>
    <w:p>
      <w:pPr/>
      <w:r>
        <w:rPr>
          <w:b/>
        </w:rPr>
        <w:t>Later source:</w:t>
      </w:r>
      <w:r>
        <w:t xml:space="preserve"> Designing The Front Page Of The Khabat Newspaper And How To Highlight The Topics — https://doi.org/10.25156/ptjhss.v4n2y2023.pp487-495</w:t>
      </w:r>
    </w:p>
    <w:p>
      <w:pPr/>
      <w:r>
        <w:rPr>
          <w:b/>
        </w:rPr>
        <w:t>Later source:</w:t>
      </w:r>
      <w:r>
        <w:t xml:space="preserve"> Effects of interpersonal hierarchies on evaluation of third-party punishment — https://doi.org/10.17605/osf.io/ak732</w:t>
      </w:r>
    </w:p>
    <w:p>
      <w:pPr>
        <w:pStyle w:val="SourceNote"/>
      </w:pPr>
      <w:r>
        <w:rPr>
          <w:b/>
        </w:rPr>
        <w:t>Review status:</w:t>
      </w:r>
      <w:r>
        <w:t xml:space="preserve"> unchecked — possible relationship only</w:t>
      </w:r>
    </w:p>
    <w:p>
      <w:pPr>
        <w:pStyle w:val="Heading2"/>
      </w:pPr>
      <w:r>
        <w:t>310. Claim + two later sources: Organic farming in the European Union – perspectives for 2030</w:t>
      </w:r>
    </w:p>
    <w:p>
      <w:pPr>
        <w:pStyle w:val="SourceNote"/>
      </w:pPr>
      <w:r>
        <w:rPr>
          <w:b/>
        </w:rPr>
        <w:t>Group ID:</w:t>
      </w:r>
      <w:r>
        <w:t xml:space="preserve"> group-2a9be4719afd1ef5790b</w:t>
      </w:r>
    </w:p>
    <w:p>
      <w:pPr>
        <w:pStyle w:val="SourceNote"/>
      </w:pPr>
      <w:r>
        <w:rPr>
          <w:b/>
        </w:rPr>
        <w:t>Original source:</w:t>
      </w:r>
      <w:r>
        <w:t xml:space="preserve"> https://doi.org/10.2478/picbe-2022-0042</w:t>
      </w:r>
    </w:p>
    <w:p>
      <w:pPr/>
      <w:r>
        <w:rPr>
          <w:b/>
        </w:rPr>
        <w:t>Original future claim:</w:t>
      </w:r>
      <w:r>
        <w:t xml:space="preserve">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Later source:</w:t>
      </w:r>
      <w:r>
        <w:t xml:space="preserve"> Assessment of Bottom Trawl Impacts on the Status of Seabed Communities in European Seas — https://doi.org/10.1111/faf.70054</w:t>
      </w:r>
    </w:p>
    <w:p>
      <w:pPr/>
      <w:r>
        <w:rPr>
          <w:b/>
        </w:rPr>
        <w:t>Later source:</w:t>
      </w:r>
      <w:r>
        <w:t xml:space="preserve"> Strengthening European development policy: the case for Team Europe 2.0 — https://doi.org/10.23661/ipb11.2026</w:t>
      </w:r>
    </w:p>
    <w:p>
      <w:pPr>
        <w:pStyle w:val="SourceNote"/>
      </w:pPr>
      <w:r>
        <w:rPr>
          <w:b/>
        </w:rPr>
        <w:t>Review status:</w:t>
      </w:r>
      <w:r>
        <w:t xml:space="preserve"> unchecked — possible relationship only</w:t>
      </w:r>
    </w:p>
    <w:p>
      <w:pPr>
        <w:pStyle w:val="Heading2"/>
      </w:pPr>
      <w:r>
        <w:t>311. Claim + two later sources: Climate Change and Renewable Energy Generation in Europe—Long-Term Impact Assessment on Solar and Wind Energy Using High-Resolution Future Climate Data and Considering Climate Uncertainties</w:t>
      </w:r>
    </w:p>
    <w:p>
      <w:pPr>
        <w:pStyle w:val="SourceNote"/>
      </w:pPr>
      <w:r>
        <w:rPr>
          <w:b/>
        </w:rPr>
        <w:t>Group ID:</w:t>
      </w:r>
      <w:r>
        <w:t xml:space="preserve"> group-f727ea9db8f3a0f8f320</w:t>
      </w:r>
    </w:p>
    <w:p>
      <w:pPr>
        <w:pStyle w:val="SourceNote"/>
      </w:pPr>
      <w:r>
        <w:rPr>
          <w:b/>
        </w:rPr>
        <w:t>Original source:</w:t>
      </w:r>
      <w:r>
        <w:t xml:space="preserve"> https://doi.org/10.3390/en15010302</w:t>
      </w:r>
    </w:p>
    <w:p>
      <w:pPr/>
      <w:r>
        <w:rPr>
          <w:b/>
        </w:rPr>
        <w:t>Original future claim:</w:t>
      </w:r>
      <w:r>
        <w:t xml:space="preserve">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Later source:</w:t>
      </w:r>
      <w:r>
        <w:t xml:space="preserve"> Cultivar-by-environment interactions shape strawberry fruit quality: A multi-omics approach across European climates — https://doi.org/10.1016/j.foodchem.2026.148161</w:t>
      </w:r>
    </w:p>
    <w:p>
      <w:pPr/>
      <w:r>
        <w:rPr>
          <w:b/>
        </w:rPr>
        <w:t>Later source:</w:t>
      </w:r>
      <w:r>
        <w:t xml:space="preserve"> Elevational distribution of bird assemblages in the Western Carpathians is mainly driven by floristics, climate and productivity — https://doi.org/10.51812/of.163097</w:t>
      </w:r>
    </w:p>
    <w:p>
      <w:pPr>
        <w:pStyle w:val="SourceNote"/>
      </w:pPr>
      <w:r>
        <w:rPr>
          <w:b/>
        </w:rPr>
        <w:t>Review status:</w:t>
      </w:r>
      <w:r>
        <w:t xml:space="preserve"> unchecked — possible relationship only</w:t>
      </w:r>
    </w:p>
    <w:p>
      <w:pPr>
        <w:pStyle w:val="Heading2"/>
      </w:pPr>
      <w:r>
        <w:t>312. Claim + two later sources: Estimation and Forecasts for the Share of Renewable Energy Consumption in Final Energy Consumption by 2020 in the European Union</w:t>
      </w:r>
    </w:p>
    <w:p>
      <w:pPr>
        <w:pStyle w:val="SourceNote"/>
      </w:pPr>
      <w:r>
        <w:rPr>
          <w:b/>
        </w:rPr>
        <w:t>Group ID:</w:t>
      </w:r>
      <w:r>
        <w:t xml:space="preserve"> group-5cb8cf2cef57a2fcb8de</w:t>
      </w:r>
    </w:p>
    <w:p>
      <w:pPr>
        <w:pStyle w:val="SourceNote"/>
      </w:pPr>
      <w:r>
        <w:rPr>
          <w:b/>
        </w:rPr>
        <w:t>Original source:</w:t>
      </w:r>
      <w:r>
        <w:t xml:space="preserve"> https://doi.org/10.3390/su10051515</w:t>
      </w:r>
    </w:p>
    <w:p>
      <w:pPr/>
      <w:r>
        <w:rPr>
          <w:b/>
        </w:rPr>
        <w:t>Original future claim:</w:t>
      </w:r>
      <w:r>
        <w:t xml:space="preserve">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Later source:</w:t>
      </w:r>
      <w:r>
        <w:t xml:space="preserve"> Forecasting the European WEEE Collection Rate in Alignment with the SDGs: An Integrated Predictive Framework — https://doi.org/10.17700/jai.2026.17.1.787</w:t>
      </w:r>
    </w:p>
    <w:p>
      <w:pPr/>
      <w:r>
        <w:rPr>
          <w:b/>
        </w:rPr>
        <w:t>Later source:</w:t>
      </w:r>
      <w:r>
        <w:t xml:space="preserve"> Econometric Analysis and Forecasts on Exports of Emerging Economies from Central and Eastern Europe — https://doi.org/10.3390/econometrics14010009</w:t>
      </w:r>
    </w:p>
    <w:p>
      <w:pPr>
        <w:pStyle w:val="SourceNote"/>
      </w:pPr>
      <w:r>
        <w:rPr>
          <w:b/>
        </w:rPr>
        <w:t>Review status:</w:t>
      </w:r>
      <w:r>
        <w:t xml:space="preserve"> unchecked — possible relationship only</w:t>
      </w:r>
    </w:p>
    <w:p>
      <w:pPr>
        <w:pStyle w:val="Heading2"/>
      </w:pPr>
      <w:r>
        <w:t>313. Claim + two later sources: Multi-Model Projections of River Flood Risk in Europe under Global Warming</w:t>
      </w:r>
    </w:p>
    <w:p>
      <w:pPr>
        <w:pStyle w:val="SourceNote"/>
      </w:pPr>
      <w:r>
        <w:rPr>
          <w:b/>
        </w:rPr>
        <w:t>Group ID:</w:t>
      </w:r>
      <w:r>
        <w:t xml:space="preserve"> group-2dbbf56622c9e43abbc9</w:t>
      </w:r>
    </w:p>
    <w:p>
      <w:pPr>
        <w:pStyle w:val="SourceNote"/>
      </w:pPr>
      <w:r>
        <w:rPr>
          <w:b/>
        </w:rPr>
        <w:t>Original source:</w:t>
      </w:r>
      <w:r>
        <w:t xml:space="preserve"> https://doi.org/10.3390/cli6010006</w:t>
      </w:r>
    </w:p>
    <w:p>
      <w:pPr/>
      <w:r>
        <w:rPr>
          <w:b/>
        </w:rPr>
        <w:t>Original future claim:</w:t>
      </w:r>
      <w:r>
        <w:t xml:space="preserve">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Later source:</w:t>
      </w:r>
      <w:r>
        <w:t xml:space="preserve"> Systemic barriers and untapped potentials: a SWOT study on the implementation of natural/small water retention measures in Europe — https://doi.org/10.1016/j.jrurstud.2026.104099</w:t>
      </w:r>
    </w:p>
    <w:p>
      <w:pPr/>
      <w:r>
        <w:rPr>
          <w:b/>
        </w:rPr>
        <w:t>Later source:</w:t>
      </w:r>
      <w:r>
        <w:t xml:space="preserve"> Climate change and child health in Europe: a scoping review of emerging impacts — https://doi.org/10.1007/s00431-026-06966-8</w:t>
      </w:r>
    </w:p>
    <w:p>
      <w:pPr>
        <w:pStyle w:val="SourceNote"/>
      </w:pPr>
      <w:r>
        <w:rPr>
          <w:b/>
        </w:rPr>
        <w:t>Review status:</w:t>
      </w:r>
      <w:r>
        <w:t xml:space="preserve"> unchecked — possible relationship only</w:t>
      </w:r>
    </w:p>
    <w:p>
      <w:pPr>
        <w:pStyle w:val="Heading2"/>
      </w:pPr>
      <w:r>
        <w:t>314. Claim + two later sources: EUROPEAN UNION STRATEGIC AUTONOMY IN THE CONTEXT OF THE CONFERENCE ON THE FUTURE OF EUROPE</w:t>
      </w:r>
    </w:p>
    <w:p>
      <w:pPr>
        <w:pStyle w:val="SourceNote"/>
      </w:pPr>
      <w:r>
        <w:rPr>
          <w:b/>
        </w:rPr>
        <w:t>Group ID:</w:t>
      </w:r>
      <w:r>
        <w:t xml:space="preserve"> group-2ff514c4e553bf3093e6</w:t>
      </w:r>
    </w:p>
    <w:p>
      <w:pPr>
        <w:pStyle w:val="SourceNote"/>
      </w:pPr>
      <w:r>
        <w:rPr>
          <w:b/>
        </w:rPr>
        <w:t>Original source:</w:t>
      </w:r>
      <w:r>
        <w:t xml:space="preserve"> https://doi.org/10.61801/auoc-sp.2021.04</w:t>
      </w:r>
    </w:p>
    <w:p>
      <w:pPr/>
      <w:r>
        <w:rPr>
          <w:b/>
        </w:rPr>
        <w:t>Original future claim:</w:t>
      </w:r>
      <w:r>
        <w:t xml:space="preserve">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Later source:</w:t>
      </w:r>
      <w:r>
        <w:t xml:space="preserve"> A Pan-European Economic Space with the European Community at Its Core: The EC’s Goals, Actions and Achievements in Pan-European Fora in the 1970s — https://doi.org/10.1017/s096077732510146x</w:t>
      </w:r>
    </w:p>
    <w:p>
      <w:pPr/>
      <w:r>
        <w:rPr>
          <w:b/>
        </w:rPr>
        <w:t>Later source:</w:t>
      </w:r>
      <w:r>
        <w:t xml:space="preserve"> Institutional Change and Path Dependence in the European Energy Transition under the Goal of Carbon Neutrality — https://doi.org/10.54254/2754-1169/2026.ld32020</w:t>
      </w:r>
    </w:p>
    <w:p>
      <w:pPr>
        <w:pStyle w:val="SourceNote"/>
      </w:pPr>
      <w:r>
        <w:rPr>
          <w:b/>
        </w:rPr>
        <w:t>Review status:</w:t>
      </w:r>
      <w:r>
        <w:t xml:space="preserve"> unchecked — possible relationship only</w:t>
      </w:r>
    </w:p>
    <w:p>
      <w:pPr>
        <w:pStyle w:val="Heading2"/>
      </w:pPr>
      <w:r>
        <w:t>315. Claim + two later sources: Assessing Energy Descent Scenarios for the Ecological Transition in Spain 2020–2030</w:t>
      </w:r>
    </w:p>
    <w:p>
      <w:pPr>
        <w:pStyle w:val="SourceNote"/>
      </w:pPr>
      <w:r>
        <w:rPr>
          <w:b/>
        </w:rPr>
        <w:t>Group ID:</w:t>
      </w:r>
      <w:r>
        <w:t xml:space="preserve"> group-5ca7ace28fccc374ce80</w:t>
      </w:r>
    </w:p>
    <w:p>
      <w:pPr>
        <w:pStyle w:val="SourceNote"/>
      </w:pPr>
      <w:r>
        <w:rPr>
          <w:b/>
        </w:rPr>
        <w:t>Original source:</w:t>
      </w:r>
      <w:r>
        <w:t xml:space="preserve"> https://doi.org/10.3390/su132111867</w:t>
      </w:r>
    </w:p>
    <w:p>
      <w:pPr/>
      <w:r>
        <w:rPr>
          <w:b/>
        </w:rPr>
        <w:t>Original future claim:</w:t>
      </w:r>
      <w:r>
        <w:t xml:space="preserve">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Later source:</w:t>
      </w:r>
      <w:r>
        <w:t xml:space="preserve"> Transition to the Green Economy. A Comparative Analysis of the European Program Life in Romania and Spain on the Greenhouse Gas Emissions — https://doi.org/10.25115/h29ty930</w:t>
      </w:r>
    </w:p>
    <w:p>
      <w:pPr/>
      <w:r>
        <w:rPr>
          <w:b/>
        </w:rPr>
        <w:t>Later source:</w:t>
      </w:r>
      <w:r>
        <w:t xml:space="preserve"> Economy, Geology and Sustainability: on the Security of Potash Supply in Spain and Europe and the Importance of Fertilizers for European Agriculture — https://doi.org/10.21701/bolgeomin/137.2/004</w:t>
      </w:r>
    </w:p>
    <w:p>
      <w:pPr>
        <w:pStyle w:val="SourceNote"/>
      </w:pPr>
      <w:r>
        <w:rPr>
          <w:b/>
        </w:rPr>
        <w:t>Review status:</w:t>
      </w:r>
      <w:r>
        <w:t xml:space="preserve"> unchecked — possible relationship only</w:t>
      </w:r>
    </w:p>
    <w:p>
      <w:pPr>
        <w:pStyle w:val="Heading2"/>
      </w:pPr>
      <w:r>
        <w:t>316. Claim + two later sources: Future prospects for personal security in travel by public transport</w:t>
      </w:r>
    </w:p>
    <w:p>
      <w:pPr>
        <w:pStyle w:val="SourceNote"/>
      </w:pPr>
      <w:r>
        <w:rPr>
          <w:b/>
        </w:rPr>
        <w:t>Group ID:</w:t>
      </w:r>
      <w:r>
        <w:t xml:space="preserve"> group-7f9383bf3fcd6b9647a3</w:t>
      </w:r>
    </w:p>
    <w:p>
      <w:pPr>
        <w:pStyle w:val="SourceNote"/>
      </w:pPr>
      <w:r>
        <w:rPr>
          <w:b/>
        </w:rPr>
        <w:t>Original source:</w:t>
      </w:r>
      <w:r>
        <w:t xml:space="preserve"> https://doi.org/10.1080/03081060.2014.976980</w:t>
      </w:r>
    </w:p>
    <w:p>
      <w:pPr/>
      <w:r>
        <w:rPr>
          <w:b/>
        </w:rPr>
        <w:t>Original future claim:</w:t>
      </w:r>
      <w:r>
        <w:t xml:space="preserve">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Later source:</w:t>
      </w:r>
      <w:r>
        <w:t xml:space="preserve"> Developing a patient narrative interview guide using the Delphi method — https://doi.org/10.1186/s12909-026-08795-7</w:t>
      </w:r>
    </w:p>
    <w:p>
      <w:pPr/>
      <w:r>
        <w:rPr>
          <w:b/>
        </w:rPr>
        <w:t>Later source:</w:t>
      </w:r>
      <w:r>
        <w:t xml:space="preserve"> Dreams, Narrative, and Liminal Cognition — https://doi.org/10.1093/oso/9780198878117.001.0001</w:t>
      </w:r>
    </w:p>
    <w:p>
      <w:pPr>
        <w:pStyle w:val="SourceNote"/>
      </w:pPr>
      <w:r>
        <w:rPr>
          <w:b/>
        </w:rPr>
        <w:t>Review status:</w:t>
      </w:r>
      <w:r>
        <w:t xml:space="preserve"> unchecked — possible relationship only</w:t>
      </w:r>
    </w:p>
    <w:p>
      <w:pPr>
        <w:pStyle w:val="Heading2"/>
      </w:pPr>
      <w:r>
        <w:t>317. Claim + two later sources: A Mismatch in Future Narratives? A Comparative Analysis Between Energy Futures in Policy and of Citizens</w:t>
      </w:r>
    </w:p>
    <w:p>
      <w:pPr>
        <w:pStyle w:val="SourceNote"/>
      </w:pPr>
      <w:r>
        <w:rPr>
          <w:b/>
        </w:rPr>
        <w:t>Group ID:</w:t>
      </w:r>
      <w:r>
        <w:t xml:space="preserve"> group-eab8d7332ebfc7ea77c2</w:t>
      </w:r>
    </w:p>
    <w:p>
      <w:pPr>
        <w:pStyle w:val="SourceNote"/>
      </w:pPr>
      <w:r>
        <w:rPr>
          <w:b/>
        </w:rPr>
        <w:t>Original source:</w:t>
      </w:r>
      <w:r>
        <w:t xml:space="preserve"> https://doi.org/10.3389/frsc.2021.654162</w:t>
      </w:r>
    </w:p>
    <w:p>
      <w:pPr/>
      <w:r>
        <w:rPr>
          <w:b/>
        </w:rPr>
        <w:t>Original future claim:</w:t>
      </w:r>
      <w:r>
        <w:t xml:space="preserve">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Later source:</w:t>
      </w:r>
      <w:r>
        <w:t xml:space="preserve"> Losing Turkey? : Narrative traditions in Western foreign policy analysis — https://doi.org/10.82444/warw.33744082</w:t>
      </w:r>
    </w:p>
    <w:p>
      <w:pPr/>
      <w:r>
        <w:rPr>
          <w:b/>
        </w:rPr>
        <w:t>Later source:</w:t>
      </w:r>
      <w:r>
        <w:t xml:space="preserve"> Barriers and Enablers to Youth Participation in Health Policy and Governance in Africa: A Narrative Review — https://doi.org/10.22541/au.177080410.04005308/v1</w:t>
      </w:r>
    </w:p>
    <w:p>
      <w:pPr>
        <w:pStyle w:val="SourceNote"/>
      </w:pPr>
      <w:r>
        <w:rPr>
          <w:b/>
        </w:rPr>
        <w:t>Review status:</w:t>
      </w:r>
      <w:r>
        <w:t xml:space="preserve"> unchecked — possible relationship only</w:t>
      </w:r>
    </w:p>
    <w:p>
      <w:pPr>
        <w:pStyle w:val="Heading2"/>
      </w:pPr>
      <w:r>
        <w:t>318. Claim + two later sources: Past and Future Trends in Refugee Migration on the Regional Level in Germany – An Analysis and Projection of Labor Market Effects</w:t>
      </w:r>
    </w:p>
    <w:p>
      <w:pPr>
        <w:pStyle w:val="SourceNote"/>
      </w:pPr>
      <w:r>
        <w:rPr>
          <w:b/>
        </w:rPr>
        <w:t>Group ID:</w:t>
      </w:r>
      <w:r>
        <w:t xml:space="preserve"> group-4ef5869d7e6b11a70742</w:t>
      </w:r>
    </w:p>
    <w:p>
      <w:pPr>
        <w:pStyle w:val="SourceNote"/>
      </w:pPr>
      <w:r>
        <w:rPr>
          <w:b/>
        </w:rPr>
        <w:t>Original source:</w:t>
      </w:r>
      <w:r>
        <w:t xml:space="preserve"> https://doi.org/10.12765/cpos-2022-17</w:t>
      </w:r>
    </w:p>
    <w:p>
      <w:pPr/>
      <w:r>
        <w:rPr>
          <w:b/>
        </w:rPr>
        <w:t>Original future claim:</w:t>
      </w:r>
      <w:r>
        <w:t xml:space="preserve">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Later source:</w:t>
      </w:r>
      <w:r>
        <w:t xml:space="preserve"> The drivers and the barriers of incoming remittance flows in Europe: Analysis at the regional level — https://doi.org/10.12775/bgss-2026-0011</w:t>
      </w:r>
    </w:p>
    <w:p>
      <w:pPr/>
      <w:r>
        <w:rPr>
          <w:b/>
        </w:rPr>
        <w:t>Later source:</w:t>
      </w:r>
      <w:r>
        <w:t xml:space="preserve"> Exploring the Next Level of Boardroom Independence: Are Boards and Committees Driving Firm Performance or Risk in Western Europe? — https://doi.org/10.3390/jrfm19060387</w:t>
      </w:r>
    </w:p>
    <w:p>
      <w:pPr>
        <w:pStyle w:val="SourceNote"/>
      </w:pPr>
      <w:r>
        <w:rPr>
          <w:b/>
        </w:rPr>
        <w:t>Review status:</w:t>
      </w:r>
      <w:r>
        <w:t xml:space="preserve"> unchecked — possible relationship only</w:t>
      </w:r>
    </w:p>
    <w:p>
      <w:pPr>
        <w:pStyle w:val="Heading2"/>
      </w:pPr>
      <w:r>
        <w:t>319. Claim + two later sources: The EU Decarbonisation Roadmap 2050—What way to walk?</w:t>
      </w:r>
    </w:p>
    <w:p>
      <w:pPr>
        <w:pStyle w:val="SourceNote"/>
      </w:pPr>
      <w:r>
        <w:rPr>
          <w:b/>
        </w:rPr>
        <w:t>Group ID:</w:t>
      </w:r>
      <w:r>
        <w:t xml:space="preserve"> group-334fbcb004ed26e8cab8</w:t>
      </w:r>
    </w:p>
    <w:p>
      <w:pPr>
        <w:pStyle w:val="SourceNote"/>
      </w:pPr>
      <w:r>
        <w:rPr>
          <w:b/>
        </w:rPr>
        <w:t>Original source:</w:t>
      </w:r>
      <w:r>
        <w:t xml:space="preserve"> https://doi.org/10.1016/j.enpol.2012.11.054</w:t>
      </w:r>
    </w:p>
    <w:p>
      <w:pPr/>
      <w:r>
        <w:rPr>
          <w:b/>
        </w:rPr>
        <w:t>Original future claim:</w:t>
      </w:r>
      <w:r>
        <w:t xml:space="preserve">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Later source:</w:t>
      </w:r>
      <w:r>
        <w:t xml:space="preserve"> European Climate Policy and the Global Context — https://doi.org/10.1007/978-3-031-84483-6_4</w:t>
      </w:r>
    </w:p>
    <w:p>
      <w:pPr/>
      <w:r>
        <w:rPr>
          <w:b/>
        </w:rPr>
        <w:t>Later source:</w:t>
      </w:r>
      <w:r>
        <w:t xml:space="preserve"> The exposure of nonhuman living organisms to mobile communication emissions: A survey to establish European stakeholders’ policy option preferences — https://doi.org/10.1111/risa.14322</w:t>
      </w:r>
    </w:p>
    <w:p>
      <w:pPr>
        <w:pStyle w:val="SourceNote"/>
      </w:pPr>
      <w:r>
        <w:rPr>
          <w:b/>
        </w:rPr>
        <w:t>Review status:</w:t>
      </w:r>
      <w:r>
        <w:t xml:space="preserve"> unchecked — possible relationship only</w:t>
      </w:r>
    </w:p>
    <w:p>
      <w:pPr>
        <w:pStyle w:val="Heading2"/>
      </w:pPr>
      <w:r>
        <w:t>320. Claim + two later sources: Food futures: system transitions towards UK food security</w:t>
      </w:r>
    </w:p>
    <w:p>
      <w:pPr>
        <w:pStyle w:val="SourceNote"/>
      </w:pPr>
      <w:r>
        <w:rPr>
          <w:b/>
        </w:rPr>
        <w:t>Group ID:</w:t>
      </w:r>
      <w:r>
        <w:t xml:space="preserve"> group-d7fb6af29749a29e139a</w:t>
      </w:r>
    </w:p>
    <w:p>
      <w:pPr>
        <w:pStyle w:val="SourceNote"/>
      </w:pPr>
      <w:r>
        <w:rPr>
          <w:b/>
        </w:rPr>
        <w:t>Original source:</w:t>
      </w:r>
      <w:r>
        <w:t xml:space="preserve"> https://doi.org/10.4337/jhre.2011.02.04</w:t>
      </w:r>
    </w:p>
    <w:p>
      <w:pPr/>
      <w:r>
        <w:rPr>
          <w:b/>
        </w:rPr>
        <w:t>Original future claim:</w:t>
      </w:r>
      <w:r>
        <w:t xml:space="preserve"> This article explains how scenarios of this kind can try and capture landscape pressures which might threaten the dominant paradigm and leave room for niche activity to challenge the mainstream.</w:t>
      </w:r>
    </w:p>
    <w:p>
      <w:pPr/>
      <w:r>
        <w:rPr>
          <w:b/>
        </w:rPr>
        <w:t>Later source:</w:t>
      </w:r>
      <w:r>
        <w:t xml:space="preserve"> A review of landscape ecology approaches for studying plant invasions — https://doi.org/10.1007/s10980-026-02370-7</w:t>
      </w:r>
    </w:p>
    <w:p>
      <w:pPr/>
      <w:r>
        <w:rPr>
          <w:b/>
        </w:rPr>
        <w:t>Later source:</w:t>
      </w:r>
      <w:r>
        <w:t xml:space="preserve"> Clause Encounters of the Third Kind — https://doi.org/10.1093/9780198945215.003.0252</w:t>
      </w:r>
    </w:p>
    <w:p>
      <w:pPr>
        <w:pStyle w:val="SourceNote"/>
      </w:pPr>
      <w:r>
        <w:rPr>
          <w:b/>
        </w:rPr>
        <w:t>Review status:</w:t>
      </w:r>
      <w:r>
        <w:t xml:space="preserve"> unchecked — possible relationship only</w:t>
      </w:r>
    </w:p>
    <w:p>
      <w:pPr>
        <w:pStyle w:val="Heading2"/>
      </w:pPr>
      <w:r>
        <w:t>321. Claim + two later sources: Scenario forecasting of consumption of main organic livestock products in Ukraine</w:t>
      </w:r>
    </w:p>
    <w:p>
      <w:pPr>
        <w:pStyle w:val="SourceNote"/>
      </w:pPr>
      <w:r>
        <w:rPr>
          <w:b/>
        </w:rPr>
        <w:t>Group ID:</w:t>
      </w:r>
      <w:r>
        <w:t xml:space="preserve"> group-9b31fbda763ab0620b64</w:t>
      </w:r>
    </w:p>
    <w:p>
      <w:pPr>
        <w:pStyle w:val="SourceNote"/>
      </w:pPr>
      <w:r>
        <w:rPr>
          <w:b/>
        </w:rPr>
        <w:t>Original source:</w:t>
      </w:r>
      <w:r>
        <w:t xml:space="preserve"> https://doi.org/10.51599/are.2021.07.03.02</w:t>
      </w:r>
    </w:p>
    <w:p>
      <w:pPr/>
      <w:r>
        <w:rPr>
          <w:b/>
        </w:rPr>
        <w:t>Original future claim:</w:t>
      </w:r>
      <w:r>
        <w:t xml:space="preserve">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Later source:</w:t>
      </w:r>
      <w:r>
        <w:t xml:space="preserve"> Variant allele frequency as a potential marker in response to frontline systemic therapy for patients with locally advanced and metastatic urothelial carcinoma — https://doi.org/10.21037/tau-2026-1-0010</w:t>
      </w:r>
    </w:p>
    <w:p>
      <w:pPr/>
      <w:r>
        <w:rPr>
          <w:b/>
        </w:rPr>
        <w:t>Later source:</w:t>
      </w:r>
      <w:r>
        <w:t xml:space="preserve"> IMMUNOLOGICAL ASSESSMENT IN CHRONIC NASOPHARYNGITIS WITH DIFFERENT VARIANTS OF COMORBIDITY IN THE NASOPHARYNGEAL ZONE — https://doi.org/10.37219/9kbzp448</w:t>
      </w:r>
    </w:p>
    <w:p>
      <w:pPr>
        <w:pStyle w:val="SourceNote"/>
      </w:pPr>
      <w:r>
        <w:rPr>
          <w:b/>
        </w:rPr>
        <w:t>Review status:</w:t>
      </w:r>
      <w:r>
        <w:t xml:space="preserve"> unchecked — possible relationship only</w:t>
      </w:r>
    </w:p>
    <w:p>
      <w:pPr>
        <w:pStyle w:val="Heading2"/>
      </w:pPr>
      <w:r>
        <w:t>322. Claim + two later sources: European electricity sector decarbonization under different levels of foresight</w:t>
      </w:r>
    </w:p>
    <w:p>
      <w:pPr>
        <w:pStyle w:val="SourceNote"/>
      </w:pPr>
      <w:r>
        <w:rPr>
          <w:b/>
        </w:rPr>
        <w:t>Group ID:</w:t>
      </w:r>
      <w:r>
        <w:t xml:space="preserve"> group-6d4a194116b587dd3ef5</w:t>
      </w:r>
    </w:p>
    <w:p>
      <w:pPr>
        <w:pStyle w:val="SourceNote"/>
      </w:pPr>
      <w:r>
        <w:rPr>
          <w:b/>
        </w:rPr>
        <w:t>Original source:</w:t>
      </w:r>
      <w:r>
        <w:t xml:space="preserve"> https://doi.org/10.1016/j.renene.2019.02.099</w:t>
      </w:r>
    </w:p>
    <w:p>
      <w:pPr/>
      <w:r>
        <w:rPr>
          <w:b/>
        </w:rPr>
        <w:t>Original future claim:</w:t>
      </w:r>
      <w:r>
        <w:t xml:space="preserve">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The Impact of The Carbon Emissions Trading System on The European Union Decoupling Index — https://doi.org/10.54097/vm2pex57</w:t>
      </w:r>
    </w:p>
    <w:p>
      <w:pPr>
        <w:pStyle w:val="SourceNote"/>
      </w:pPr>
      <w:r>
        <w:rPr>
          <w:b/>
        </w:rPr>
        <w:t>Review status:</w:t>
      </w:r>
      <w:r>
        <w:t xml:space="preserve"> unchecked — possible relationship only</w:t>
      </w:r>
    </w:p>
    <w:p>
      <w:pPr>
        <w:pStyle w:val="Heading2"/>
      </w:pPr>
      <w:r>
        <w:t>323. Claim + two later sources: New opportunities for future tourism after 25 years of political and socioeconomic transformation – foresight in Poland’s tourism planning</w:t>
      </w:r>
    </w:p>
    <w:p>
      <w:pPr>
        <w:pStyle w:val="SourceNote"/>
      </w:pPr>
      <w:r>
        <w:rPr>
          <w:b/>
        </w:rPr>
        <w:t>Group ID:</w:t>
      </w:r>
      <w:r>
        <w:t xml:space="preserve"> group-66dbff0d31dc3d6582dd</w:t>
      </w:r>
    </w:p>
    <w:p>
      <w:pPr>
        <w:pStyle w:val="SourceNote"/>
      </w:pPr>
      <w:r>
        <w:rPr>
          <w:b/>
        </w:rPr>
        <w:t>Original source:</w:t>
      </w:r>
      <w:r>
        <w:t xml:space="preserve"> https://doi.org/10.1108/jtf-05-2015-0031</w:t>
      </w:r>
    </w:p>
    <w:p>
      <w:pPr/>
      <w:r>
        <w:rPr>
          <w:b/>
        </w:rPr>
        <w:t>Original future claim:</w:t>
      </w:r>
      <w:r>
        <w:t xml:space="preserve">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Later source:</w:t>
      </w:r>
      <w:r>
        <w:t xml:space="preserve"> Scrutinising European land-use planning: Identifying the priorities and goals of building regulations — https://doi.org/10.1016/j.landusepol.2025.107916</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324. Claim + two later sources: Central-East European employees on the labour market of London</w:t>
      </w:r>
    </w:p>
    <w:p>
      <w:pPr>
        <w:pStyle w:val="SourceNote"/>
      </w:pPr>
      <w:r>
        <w:rPr>
          <w:b/>
        </w:rPr>
        <w:t>Group ID:</w:t>
      </w:r>
      <w:r>
        <w:t xml:space="preserve"> group-f225f726b3f4be2cdc7e</w:t>
      </w:r>
    </w:p>
    <w:p>
      <w:pPr>
        <w:pStyle w:val="SourceNote"/>
      </w:pPr>
      <w:r>
        <w:rPr>
          <w:b/>
        </w:rPr>
        <w:t>Original source:</w:t>
      </w:r>
      <w:r>
        <w:t xml:space="preserve"> https://doi.org/10.33605/croma-012018-004</w:t>
      </w:r>
    </w:p>
    <w:p>
      <w:pPr/>
      <w:r>
        <w:rPr>
          <w:b/>
        </w:rPr>
        <w:t>Original future claim:</w:t>
      </w:r>
      <w:r>
        <w:t xml:space="preserve"> Practical implications – The conclusions of the study provide an adequate framework for the development of a rational economic policy program, which is the basis for future development, for the conscious development of the future of our region.</w:t>
      </w:r>
    </w:p>
    <w:p>
      <w:pPr/>
      <w:r>
        <w:rPr>
          <w:b/>
        </w:rPr>
        <w:t>Later source:</w:t>
      </w:r>
      <w:r>
        <w:t xml:space="preserve"> Cyprus’ Approach to the Digital Services Act: Harmonisation, Enforcement, and Practical Implications — https://doi.org/10.3390/laws15020030</w:t>
      </w:r>
    </w:p>
    <w:p>
      <w:pPr/>
      <w:r>
        <w:rPr>
          <w:b/>
        </w:rPr>
        <w:t>Later source:</w:t>
      </w:r>
      <w:r>
        <w:t xml:space="preserve"> Regional variations and trends in liver transplantation practices across Europe — https://doi.org/10.1016/j.jhepr.2025.101424</w:t>
      </w:r>
    </w:p>
    <w:p>
      <w:pPr>
        <w:pStyle w:val="SourceNote"/>
      </w:pPr>
      <w:r>
        <w:rPr>
          <w:b/>
        </w:rPr>
        <w:t>Review status:</w:t>
      </w:r>
      <w:r>
        <w:t xml:space="preserve"> unchecked — possible relationship only</w:t>
      </w:r>
    </w:p>
    <w:p>
      <w:pPr>
        <w:pStyle w:val="Heading2"/>
      </w:pPr>
      <w:r>
        <w:t>325. Claim + two later sources: Scenarios of Automated Mobility in Austria: Implications for Future Transport Policy</w:t>
      </w:r>
    </w:p>
    <w:p>
      <w:pPr>
        <w:pStyle w:val="SourceNote"/>
      </w:pPr>
      <w:r>
        <w:rPr>
          <w:b/>
        </w:rPr>
        <w:t>Group ID:</w:t>
      </w:r>
      <w:r>
        <w:t xml:space="preserve"> group-e4da52b7e89800637bbd</w:t>
      </w:r>
    </w:p>
    <w:p>
      <w:pPr>
        <w:pStyle w:val="SourceNote"/>
      </w:pPr>
      <w:r>
        <w:rPr>
          <w:b/>
        </w:rPr>
        <w:t>Original source:</w:t>
      </w:r>
      <w:r>
        <w:t xml:space="preserve"> https://doi.org/10.3390/futuretransp1030041</w:t>
      </w:r>
    </w:p>
    <w:p>
      <w:pPr/>
      <w:r>
        <w:rPr>
          <w:b/>
        </w:rPr>
        <w:t>Original future claim:</w:t>
      </w:r>
      <w:r>
        <w:t xml:space="preserve">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Later source:</w:t>
      </w:r>
      <w:r>
        <w:t xml:space="preserve"> Thesis on Environment and Transport Economics — https://openalex.org/W7128124271</w:t>
      </w:r>
    </w:p>
    <w:p>
      <w:pPr/>
      <w:r>
        <w:rPr>
          <w:b/>
        </w:rPr>
        <w:t>Later source:</w:t>
      </w:r>
      <w:r>
        <w:t xml:space="preserve"> Contribution of Explicit SVOC and IVOC Emissions from the Transportation Sector on Particulate Matter Concentrations in Europe — https://doi.org/10.5194/egusphere-egu26-18450</w:t>
      </w:r>
    </w:p>
    <w:p>
      <w:pPr>
        <w:pStyle w:val="SourceNote"/>
      </w:pPr>
      <w:r>
        <w:rPr>
          <w:b/>
        </w:rPr>
        <w:t>Review status:</w:t>
      </w:r>
      <w:r>
        <w:t xml:space="preserve"> unchecked — possible relationship only</w:t>
      </w:r>
    </w:p>
    <w:p>
      <w:pPr>
        <w:pStyle w:val="Heading2"/>
      </w:pPr>
      <w:r>
        <w:t>326. Claim + two later sources: Long term impact of residue management on soil organic carbon stocks and nitrous oxide emissions from European croplands</w:t>
      </w:r>
    </w:p>
    <w:p>
      <w:pPr>
        <w:pStyle w:val="SourceNote"/>
      </w:pPr>
      <w:r>
        <w:rPr>
          <w:b/>
        </w:rPr>
        <w:t>Group ID:</w:t>
      </w:r>
      <w:r>
        <w:t xml:space="preserve"> group-6a22ca030b6dd41ae036</w:t>
      </w:r>
    </w:p>
    <w:p>
      <w:pPr>
        <w:pStyle w:val="SourceNote"/>
      </w:pPr>
      <w:r>
        <w:rPr>
          <w:b/>
        </w:rPr>
        <w:t>Original source:</w:t>
      </w:r>
      <w:r>
        <w:t xml:space="preserve"> https://doi.org/10.1016/j.scitotenv.2022.154932</w:t>
      </w:r>
    </w:p>
    <w:p>
      <w:pPr/>
      <w:r>
        <w:rPr>
          <w:b/>
        </w:rPr>
        <w:t>Original future claim:</w:t>
      </w:r>
      <w:r>
        <w:t xml:space="preserve">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Later source:</w:t>
      </w:r>
      <w:r>
        <w:t xml:space="preserve"> Impacts on Soil Health of Soil Improvers Derived from Agri-Food Processing Residues: a Systematic Review with a Focus on European Field Studies — https://doi.org/10.1007/s42729-026-03037-7</w:t>
      </w:r>
    </w:p>
    <w:p>
      <w:pPr/>
      <w:r>
        <w:rPr>
          <w:b/>
        </w:rPr>
        <w:t>Later source:</w:t>
      </w:r>
      <w:r>
        <w:t xml:space="preserve"> Biophysical climate responses to albedo management for wheat residue retention, cover crops, and pale wheat across European croplands — https://doi.org/10.5194/egusphere-egu26-9895</w:t>
      </w:r>
    </w:p>
    <w:p>
      <w:pPr>
        <w:pStyle w:val="SourceNote"/>
      </w:pPr>
      <w:r>
        <w:rPr>
          <w:b/>
        </w:rPr>
        <w:t>Review status:</w:t>
      </w:r>
      <w:r>
        <w:t xml:space="preserve"> unchecked — possible relationship only</w:t>
      </w:r>
    </w:p>
    <w:p>
      <w:pPr>
        <w:pStyle w:val="Heading2"/>
      </w:pPr>
      <w:r>
        <w:t>327. Claim + two later sources: Renewables in the European power system and the impact on system rotational inertia</w:t>
      </w:r>
    </w:p>
    <w:p>
      <w:pPr>
        <w:pStyle w:val="SourceNote"/>
      </w:pPr>
      <w:r>
        <w:rPr>
          <w:b/>
        </w:rPr>
        <w:t>Group ID:</w:t>
      </w:r>
      <w:r>
        <w:t xml:space="preserve"> group-d02564c901e291cc2ad5</w:t>
      </w:r>
    </w:p>
    <w:p>
      <w:pPr>
        <w:pStyle w:val="SourceNote"/>
      </w:pPr>
      <w:r>
        <w:rPr>
          <w:b/>
        </w:rPr>
        <w:t>Original source:</w:t>
      </w:r>
      <w:r>
        <w:t xml:space="preserve"> https://doi.org/10.1016/j.energy.2020.117776</w:t>
      </w:r>
    </w:p>
    <w:p>
      <w:pPr/>
      <w:r>
        <w:rPr>
          <w:b/>
        </w:rPr>
        <w:t>Original future claim:</w:t>
      </w:r>
      <w:r>
        <w:t xml:space="preserve">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Later source:</w:t>
      </w:r>
      <w:r>
        <w:t xml:space="preserve"> Policy Plateau and Structural Regime Shift: Hybrid Forecasting of the EU Decarbonisation Gap Toward 2030 Targets — https://doi.org/10.3390/su18021114</w:t>
      </w:r>
    </w:p>
    <w:p>
      <w:pPr/>
      <w:r>
        <w:rPr>
          <w:b/>
        </w:rPr>
        <w:t>Later source:</w:t>
      </w:r>
      <w:r>
        <w:t xml:space="preserve"> Towards European Hydrogen Market Design: Perspectives from Transmission System Operators — https://openalex.org/W7144391439</w:t>
      </w:r>
    </w:p>
    <w:p>
      <w:pPr>
        <w:pStyle w:val="SourceNote"/>
      </w:pPr>
      <w:r>
        <w:rPr>
          <w:b/>
        </w:rPr>
        <w:t>Review status:</w:t>
      </w:r>
      <w:r>
        <w:t xml:space="preserve"> unchecked — possible relationship only</w:t>
      </w:r>
    </w:p>
    <w:p>
      <w:pPr>
        <w:pStyle w:val="Heading2"/>
      </w:pPr>
      <w:r>
        <w:t>328. Claim + two later sources: Assessing the prospective resource base for enhanced geothermal systems in Europe</w:t>
      </w:r>
    </w:p>
    <w:p>
      <w:pPr>
        <w:pStyle w:val="SourceNote"/>
      </w:pPr>
      <w:r>
        <w:rPr>
          <w:b/>
        </w:rPr>
        <w:t>Group ID:</w:t>
      </w:r>
      <w:r>
        <w:t xml:space="preserve"> group-35e6990f8e1501a03267</w:t>
      </w:r>
    </w:p>
    <w:p>
      <w:pPr>
        <w:pStyle w:val="SourceNote"/>
      </w:pPr>
      <w:r>
        <w:rPr>
          <w:b/>
        </w:rPr>
        <w:t>Original source:</w:t>
      </w:r>
      <w:r>
        <w:t xml:space="preserve"> https://doi.org/10.5194/gtes-2-55-2014</w:t>
      </w:r>
    </w:p>
    <w:p>
      <w:pPr/>
      <w:r>
        <w:rPr>
          <w:b/>
        </w:rPr>
        <w:t>Original future claim:</w:t>
      </w:r>
      <w:r>
        <w:t xml:space="preserve">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Later source:</w:t>
      </w:r>
      <w:r>
        <w:t xml:space="preserve"> Seismic interplay during the GRT-1 stimulation series of the Rittershoffen EGS reservoir — https://doi.org/10.3389/feart.2026.1738377</w:t>
      </w:r>
    </w:p>
    <w:p>
      <w:pPr/>
      <w:r>
        <w:rPr>
          <w:b/>
        </w:rPr>
        <w:t>Later source:</w:t>
      </w:r>
      <w:r>
        <w:t xml:space="preserve"> Policy levers and technological opportunities to achieve decarbonisation in Europe at minimal cost — https://doi.org/10.7488/era/7048</w:t>
      </w:r>
    </w:p>
    <w:p>
      <w:pPr>
        <w:pStyle w:val="SourceNote"/>
      </w:pPr>
      <w:r>
        <w:rPr>
          <w:b/>
        </w:rPr>
        <w:t>Review status:</w:t>
      </w:r>
      <w:r>
        <w:t xml:space="preserve"> unchecked — possible relationship only</w:t>
      </w:r>
    </w:p>
    <w:p>
      <w:pPr>
        <w:pStyle w:val="Heading2"/>
      </w:pPr>
      <w:r>
        <w:t>329. Claim + two later sources: Outlook of the European forest-based sector: forest growth, harvest demand, wood-product markets, and forest carbon dynamics implications</w:t>
      </w:r>
    </w:p>
    <w:p>
      <w:pPr>
        <w:pStyle w:val="SourceNote"/>
      </w:pPr>
      <w:r>
        <w:rPr>
          <w:b/>
        </w:rPr>
        <w:t>Group ID:</w:t>
      </w:r>
      <w:r>
        <w:t xml:space="preserve"> group-782cdcaa3c1444ec8db2</w:t>
      </w:r>
    </w:p>
    <w:p>
      <w:pPr>
        <w:pStyle w:val="SourceNote"/>
      </w:pPr>
      <w:r>
        <w:rPr>
          <w:b/>
        </w:rPr>
        <w:t>Original source:</w:t>
      </w:r>
      <w:r>
        <w:t xml:space="preserve"> https://doi.org/10.3832/ifor2636-011</w:t>
      </w:r>
    </w:p>
    <w:p>
      <w:pPr/>
      <w:r>
        <w:rPr>
          <w:b/>
        </w:rPr>
        <w:t>Original future claim:</w:t>
      </w:r>
      <w:r>
        <w:t xml:space="preserve">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Later source:</w:t>
      </w:r>
      <w:r>
        <w:t xml:space="preserve"> Regionally Stratified Analysis of Technology Adoption Curves for Aluminum Production (2023–2050) — https://doi.org/10.1201/9781003672807-9</w:t>
      </w:r>
    </w:p>
    <w:p>
      <w:pPr/>
      <w:r>
        <w:rPr>
          <w:b/>
        </w:rPr>
        <w:t>Later source:</w:t>
      </w:r>
      <w:r>
        <w:t xml:space="preserve"> STREMMiAA: A Farm-Level Simulation Model for Assessing Structural Change, Land-Use, and Environmental Dynamics — https://doi.org/10.20944/preprints202603.1909.v1</w:t>
      </w:r>
    </w:p>
    <w:p>
      <w:pPr>
        <w:pStyle w:val="SourceNote"/>
      </w:pPr>
      <w:r>
        <w:rPr>
          <w:b/>
        </w:rPr>
        <w:t>Review status:</w:t>
      </w:r>
      <w:r>
        <w:t xml:space="preserve"> unchecked — possible relationship only</w:t>
      </w:r>
    </w:p>
    <w:p>
      <w:pPr>
        <w:pStyle w:val="Heading2"/>
      </w:pPr>
      <w:r>
        <w:t>330. Claim + two later sources: Scenario planning as communicative action: Lessons from participatory exercises conducted for the Scottish livestock industry</w:t>
      </w:r>
    </w:p>
    <w:p>
      <w:pPr>
        <w:pStyle w:val="SourceNote"/>
      </w:pPr>
      <w:r>
        <w:rPr>
          <w:b/>
        </w:rPr>
        <w:t>Group ID:</w:t>
      </w:r>
      <w:r>
        <w:t xml:space="preserve"> group-ca56083cec154fc50380</w:t>
      </w:r>
    </w:p>
    <w:p>
      <w:pPr>
        <w:pStyle w:val="SourceNote"/>
      </w:pPr>
      <w:r>
        <w:rPr>
          <w:b/>
        </w:rPr>
        <w:t>Original source:</w:t>
      </w:r>
      <w:r>
        <w:t xml:space="preserve"> https://doi.org/10.1016/j.techfore.2016.07.034</w:t>
      </w:r>
    </w:p>
    <w:p>
      <w:pPr/>
      <w:r>
        <w:rPr>
          <w:b/>
        </w:rPr>
        <w:t>Original future claim:</w:t>
      </w:r>
      <w:r>
        <w:t xml:space="preserve">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Later source:</w:t>
      </w:r>
      <w:r>
        <w:t xml:space="preserve"> An Unusual Extent of Retroperitoneal Abscess Formation in Spinal Tuberculosis : An Illustrative Case Report — https://doi.org/10.70780/medpeer.000qgr1</w:t>
      </w:r>
    </w:p>
    <w:p>
      <w:pPr/>
      <w:r>
        <w:rPr>
          <w:b/>
        </w:rPr>
        <w:t>Later source:</w:t>
      </w:r>
      <w:r>
        <w:t xml:space="preserve"> Collapsibility in case-control studies — https://doi.org/10.1093/ije/dyag085</w:t>
      </w:r>
    </w:p>
    <w:p>
      <w:pPr>
        <w:pStyle w:val="SourceNote"/>
      </w:pPr>
      <w:r>
        <w:rPr>
          <w:b/>
        </w:rPr>
        <w:t>Review status:</w:t>
      </w:r>
      <w:r>
        <w:t xml:space="preserve"> unchecked — possible relationship only</w:t>
      </w:r>
    </w:p>
    <w:p>
      <w:pPr>
        <w:pStyle w:val="Heading2"/>
      </w:pPr>
      <w:r>
        <w:t>331. Claim + two later sources: Toward Identification of the Priority Lines of Research in Nanotechnology on the Basis of the Technology Foresight NT for Podlaskie 2020</w:t>
      </w:r>
    </w:p>
    <w:p>
      <w:pPr>
        <w:pStyle w:val="SourceNote"/>
      </w:pPr>
      <w:r>
        <w:rPr>
          <w:b/>
        </w:rPr>
        <w:t>Group ID:</w:t>
      </w:r>
      <w:r>
        <w:t xml:space="preserve"> group-5f82cef9b8822a1f6d46</w:t>
      </w:r>
    </w:p>
    <w:p>
      <w:pPr>
        <w:pStyle w:val="SourceNote"/>
      </w:pPr>
      <w:r>
        <w:rPr>
          <w:b/>
        </w:rPr>
        <w:t>Original source:</w:t>
      </w:r>
      <w:r>
        <w:t xml:space="preserve"> https://doi.org/10.7763/ijiet.2013.v3.293</w:t>
      </w:r>
    </w:p>
    <w:p>
      <w:pPr/>
      <w:r>
        <w:rPr>
          <w:b/>
        </w:rPr>
        <w:t>Original future claim:</w:t>
      </w:r>
      <w:r>
        <w:t xml:space="preserve">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Later source:</w:t>
      </w:r>
      <w:r>
        <w:t xml:space="preserve"> Envisioning the future of European mountain value chains: a participatory foresight approach — https://doi.org/10.1007/s10113-025-02454-1</w:t>
      </w:r>
    </w:p>
    <w:p>
      <w:pPr/>
      <w:r>
        <w:rPr>
          <w:b/>
        </w:rPr>
        <w:t>Later source:</w:t>
      </w:r>
      <w:r>
        <w:t xml:space="preserve"> Embedding the Future in the European Union: Advancing Towards Strategic Foresight — https://doi.org/10.33067/se.1.2025.10</w:t>
      </w:r>
    </w:p>
    <w:p>
      <w:pPr>
        <w:pStyle w:val="SourceNote"/>
      </w:pPr>
      <w:r>
        <w:rPr>
          <w:b/>
        </w:rPr>
        <w:t>Review status:</w:t>
      </w:r>
      <w:r>
        <w:t xml:space="preserve"> unchecked — possible relationship only</w:t>
      </w:r>
    </w:p>
    <w:p>
      <w:pPr>
        <w:pStyle w:val="Heading2"/>
      </w:pPr>
      <w:r>
        <w:t>332. Claim + two later sources: Foresight technologies of economic systems: evidence from the tourism sector of Ukraine</w:t>
      </w:r>
    </w:p>
    <w:p>
      <w:pPr>
        <w:pStyle w:val="SourceNote"/>
      </w:pPr>
      <w:r>
        <w:rPr>
          <w:b/>
        </w:rPr>
        <w:t>Group ID:</w:t>
      </w:r>
      <w:r>
        <w:t xml:space="preserve"> group-a66a63f2f347570d6e47</w:t>
      </w:r>
    </w:p>
    <w:p>
      <w:pPr>
        <w:pStyle w:val="SourceNote"/>
      </w:pPr>
      <w:r>
        <w:rPr>
          <w:b/>
        </w:rPr>
        <w:t>Original source:</w:t>
      </w:r>
      <w:r>
        <w:t xml:space="preserve"> https://doi.org/10.21511/ppm.18(4).2020.25</w:t>
      </w:r>
    </w:p>
    <w:p>
      <w:pPr/>
      <w:r>
        <w:rPr>
          <w:b/>
        </w:rPr>
        <w:t>Original future claim:</w:t>
      </w:r>
      <w:r>
        <w:t xml:space="preserve">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Later source:</w:t>
      </w:r>
      <w:r>
        <w:t xml:space="preserve"> Autonomy, an ethics of freedom, and the question of answerability — https://doi.org/10.82444/warw.33822586</w:t>
      </w:r>
    </w:p>
    <w:p>
      <w:pPr/>
      <w:r>
        <w:rPr>
          <w:b/>
        </w:rPr>
        <w:t>Later source:</w:t>
      </w:r>
      <w:r>
        <w:t xml:space="preserve"> Kant’s Casuistical Questions — https://doi.org/10.25894/jmp.2701</w:t>
      </w:r>
    </w:p>
    <w:p>
      <w:pPr>
        <w:pStyle w:val="SourceNote"/>
      </w:pPr>
      <w:r>
        <w:rPr>
          <w:b/>
        </w:rPr>
        <w:t>Review status:</w:t>
      </w:r>
      <w:r>
        <w:t xml:space="preserve"> unchecked — possible relationship only</w:t>
      </w:r>
    </w:p>
    <w:p>
      <w:pPr>
        <w:pStyle w:val="Heading2"/>
      </w:pPr>
      <w:r>
        <w:t>333. Claim + two later sources: The Dutch Public Health Foresight Study 2018: an example of a comprehensive foresight exercise</w:t>
      </w:r>
    </w:p>
    <w:p>
      <w:pPr>
        <w:pStyle w:val="SourceNote"/>
      </w:pPr>
      <w:r>
        <w:rPr>
          <w:b/>
        </w:rPr>
        <w:t>Group ID:</w:t>
      </w:r>
      <w:r>
        <w:t xml:space="preserve"> group-ca1fcdd5c8b130ebc0eb</w:t>
      </w:r>
    </w:p>
    <w:p>
      <w:pPr>
        <w:pStyle w:val="SourceNote"/>
      </w:pPr>
      <w:r>
        <w:rPr>
          <w:b/>
        </w:rPr>
        <w:t>Original source:</w:t>
      </w:r>
      <w:r>
        <w:t xml:space="preserve"> https://doi.org/10.1093/eurpub/ckz200</w:t>
      </w:r>
    </w:p>
    <w:p>
      <w:pPr/>
      <w:r>
        <w:rPr>
          <w:b/>
        </w:rPr>
        <w:t>Original future claim:</w:t>
      </w:r>
      <w:r>
        <w:t xml:space="preserve">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Later source:</w:t>
      </w:r>
      <w:r>
        <w:t xml:space="preserve"> Redesigning Long-Term Care Policy Using Systems Thinking in the Post-Pandemic Era — https://doi.org/10.3390/systems14010079</w:t>
      </w:r>
    </w:p>
    <w:p>
      <w:pPr/>
      <w:r>
        <w:rPr>
          <w:b/>
        </w:rPr>
        <w:t>Later source:</w:t>
      </w:r>
      <w:r>
        <w:t xml:space="preserve"> Short-term thinking, long-term costs: How managerial myopia undermines green innovation — https://doi.org/10.4102/sajbm.v57i1.5337</w:t>
      </w:r>
    </w:p>
    <w:p>
      <w:pPr>
        <w:pStyle w:val="SourceNote"/>
      </w:pPr>
      <w:r>
        <w:rPr>
          <w:b/>
        </w:rPr>
        <w:t>Review status:</w:t>
      </w:r>
      <w:r>
        <w:t xml:space="preserve"> unchecked — possible relationship only</w:t>
      </w:r>
    </w:p>
    <w:p>
      <w:pPr>
        <w:pStyle w:val="Heading2"/>
      </w:pPr>
      <w:r>
        <w:t>334. Claim + two later sources: The future of the Mediterranean agri-food systems: Trends and perspectives from a Delphi survey</w:t>
      </w:r>
    </w:p>
    <w:p>
      <w:pPr>
        <w:pStyle w:val="SourceNote"/>
      </w:pPr>
      <w:r>
        <w:rPr>
          <w:b/>
        </w:rPr>
        <w:t>Group ID:</w:t>
      </w:r>
      <w:r>
        <w:t xml:space="preserve"> group-a7f6f101dcf55e5baf7e</w:t>
      </w:r>
    </w:p>
    <w:p>
      <w:pPr>
        <w:pStyle w:val="SourceNote"/>
      </w:pPr>
      <w:r>
        <w:rPr>
          <w:b/>
        </w:rPr>
        <w:t>Original source:</w:t>
      </w:r>
      <w:r>
        <w:t xml:space="preserve"> https://doi.org/10.1016/j.landusepol.2022.106263</w:t>
      </w:r>
    </w:p>
    <w:p>
      <w:pPr/>
      <w:r>
        <w:rPr>
          <w:b/>
        </w:rPr>
        <w:t>Original future claim:</w:t>
      </w:r>
      <w:r>
        <w:t xml:space="preserve">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Later source:</w:t>
      </w:r>
      <w:r>
        <w:t xml:space="preserve"> First-order homogenization — https://doi.org/10.1017/prm.2026.10125</w:t>
      </w:r>
    </w:p>
    <w:p>
      <w:pPr/>
      <w:r>
        <w:rPr>
          <w:b/>
        </w:rPr>
        <w:t>Later source:</w:t>
      </w:r>
      <w:r>
        <w:t xml:space="preserve"> Bridging domain shifts for visual perception in automated driving — https://doi.org/10.14279/depositonce-25052</w:t>
      </w:r>
    </w:p>
    <w:p>
      <w:pPr>
        <w:pStyle w:val="SourceNote"/>
      </w:pPr>
      <w:r>
        <w:rPr>
          <w:b/>
        </w:rPr>
        <w:t>Review status:</w:t>
      </w:r>
      <w:r>
        <w:t xml:space="preserve"> unchecked — possible relationship only</w:t>
      </w:r>
    </w:p>
    <w:p>
      <w:pPr>
        <w:pStyle w:val="Heading2"/>
      </w:pPr>
      <w:r>
        <w:t>335. Claim + two later sources: Implementing Dynamics of Immigration Integration in Labor Force Participation Projection in EU28</w:t>
      </w:r>
    </w:p>
    <w:p>
      <w:pPr>
        <w:pStyle w:val="SourceNote"/>
      </w:pPr>
      <w:r>
        <w:rPr>
          <w:b/>
        </w:rPr>
        <w:t>Group ID:</w:t>
      </w:r>
      <w:r>
        <w:t xml:space="preserve"> group-5994837c929591107f09</w:t>
      </w:r>
    </w:p>
    <w:p>
      <w:pPr>
        <w:pStyle w:val="SourceNote"/>
      </w:pPr>
      <w:r>
        <w:rPr>
          <w:b/>
        </w:rPr>
        <w:t>Original source:</w:t>
      </w:r>
      <w:r>
        <w:t xml:space="preserve"> https://doi.org/10.1007/s11113-019-09537-y</w:t>
      </w:r>
    </w:p>
    <w:p>
      <w:pPr/>
      <w:r>
        <w:rPr>
          <w:b/>
        </w:rPr>
        <w:t>Original future claim:</w:t>
      </w:r>
      <w:r>
        <w:t xml:space="preserve">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Later source:</w:t>
      </w:r>
      <w:r>
        <w:t xml:space="preserve"> The Impact of Demographic Change on Spousal Caregiving and Future Gaps in Long-term Care: Microsimulation Projections for Austria and Italy — https://doi.org/10.1007/s12062-026-09529-9</w:t>
      </w:r>
    </w:p>
    <w:p>
      <w:pPr/>
      <w:r>
        <w:rPr>
          <w:b/>
        </w:rPr>
        <w:t>Later source:</w:t>
      </w:r>
      <w:r>
        <w:t xml:space="preserve"> Gastric cancer prevention:Bridging data, ethics and microsimulation — https://openalex.org/W7153957970</w:t>
      </w:r>
    </w:p>
    <w:p>
      <w:pPr>
        <w:pStyle w:val="SourceNote"/>
      </w:pPr>
      <w:r>
        <w:rPr>
          <w:b/>
        </w:rPr>
        <w:t>Review status:</w:t>
      </w:r>
      <w:r>
        <w:t xml:space="preserve"> unchecked — possible relationship only</w:t>
      </w:r>
    </w:p>
    <w:p>
      <w:pPr>
        <w:pStyle w:val="Heading2"/>
      </w:pPr>
      <w:r>
        <w:t>336. Claim + two later sources: Towards the European Union's Foreign Policy 2025 – Taking Stock of the Dahrendorf Foresight Project</w:t>
      </w:r>
    </w:p>
    <w:p>
      <w:pPr>
        <w:pStyle w:val="SourceNote"/>
      </w:pPr>
      <w:r>
        <w:rPr>
          <w:b/>
        </w:rPr>
        <w:t>Group ID:</w:t>
      </w:r>
      <w:r>
        <w:t xml:space="preserve"> group-e3fe751c08a1d189d79b</w:t>
      </w:r>
    </w:p>
    <w:p>
      <w:pPr>
        <w:pStyle w:val="SourceNote"/>
      </w:pPr>
      <w:r>
        <w:rPr>
          <w:b/>
        </w:rPr>
        <w:t>Original source:</w:t>
      </w:r>
      <w:r>
        <w:t xml:space="preserve"> https://doi.org/10.1111/1758-5899.12438</w:t>
      </w:r>
    </w:p>
    <w:p>
      <w:pPr/>
      <w:r>
        <w:rPr>
          <w:b/>
        </w:rPr>
        <w:t>Original future claim:</w:t>
      </w:r>
      <w:r>
        <w:t xml:space="preserve"> Based on an analysis of the current state of the Union, this paper takes stock of the outcomes of the Dahrendorf Foresight Project and looks ahead at the EU 's role in the world of 2025.</w:t>
      </w:r>
    </w:p>
    <w:p>
      <w:pPr/>
      <w:r>
        <w:rPr>
          <w:b/>
        </w:rPr>
        <w:t>Later source:</w:t>
      </w:r>
      <w:r>
        <w:t xml:space="preserve"> Current state and potential of hospitals for automated healthcare-associated infection surveillance: data from 24 European countries, 2022 to 2023 — https://doi.org/10.2807/1560-7917.es.2026.31.19.2500736</w:t>
      </w:r>
    </w:p>
    <w:p>
      <w:pPr/>
      <w:r>
        <w:rPr>
          <w:b/>
        </w:rPr>
        <w:t>Later source:</w:t>
      </w:r>
      <w:r>
        <w:t xml:space="preserve"> Historical background and current state of air transport in the organization of tourist travel in europe and the world — https://doi.org/10.32589/2412-9321.32.2026.363217</w:t>
      </w:r>
    </w:p>
    <w:p>
      <w:pPr>
        <w:pStyle w:val="SourceNote"/>
      </w:pPr>
      <w:r>
        <w:rPr>
          <w:b/>
        </w:rPr>
        <w:t>Review status:</w:t>
      </w:r>
      <w:r>
        <w:t xml:space="preserve"> unchecked — possible relationship only</w:t>
      </w:r>
    </w:p>
    <w:p>
      <w:pPr>
        <w:pStyle w:val="Heading2"/>
      </w:pPr>
      <w:r>
        <w:t>337. Claim + two later sources: Prospects of labour migration pressure in Algeria, Morocco, Tunisia and Turkey</w:t>
      </w:r>
    </w:p>
    <w:p>
      <w:pPr>
        <w:pStyle w:val="SourceNote"/>
      </w:pPr>
      <w:r>
        <w:rPr>
          <w:b/>
        </w:rPr>
        <w:t>Group ID:</w:t>
      </w:r>
      <w:r>
        <w:t xml:space="preserve"> group-3888cf19149a99b823a1</w:t>
      </w:r>
    </w:p>
    <w:p>
      <w:pPr>
        <w:pStyle w:val="SourceNote"/>
      </w:pPr>
      <w:r>
        <w:rPr>
          <w:b/>
        </w:rPr>
        <w:t>Original source:</w:t>
      </w:r>
      <w:r>
        <w:t xml:space="preserve"> https://doi.org/10.1186/s41118-016-0015-x</w:t>
      </w:r>
    </w:p>
    <w:p>
      <w:pPr/>
      <w:r>
        <w:rPr>
          <w:b/>
        </w:rPr>
        <w:t>Original future claim:</w:t>
      </w:r>
      <w:r>
        <w:t xml:space="preserve"> This model is then used as framework for deriving storylines for three different scenarios of economic and demographic change up to 2035. Subsequently, storylines are operationalized, leading to scenario estimates of migration pressure up to 2035.</w:t>
      </w:r>
    </w:p>
    <w:p>
      <w:pPr/>
      <w:r>
        <w:rPr>
          <w:b/>
        </w:rPr>
        <w:t>Later source:</w:t>
      </w:r>
      <w:r>
        <w:t xml:space="preserve"> Deriving Character Logic from Storyline as Codified Decision Trees — https://openalex.org/W7124513928</w:t>
      </w:r>
    </w:p>
    <w:p>
      <w:pPr/>
      <w:r>
        <w:rPr>
          <w:b/>
        </w:rPr>
        <w:t>Later source:</w:t>
      </w:r>
      <w:r>
        <w:t xml:space="preserve"> A storyline approach to select the CMIP6 model ensemble to be downscaled for the South America domain — https://doi.org/10.1007/s00382-025-08017-8</w:t>
      </w:r>
    </w:p>
    <w:p>
      <w:pPr>
        <w:pStyle w:val="SourceNote"/>
      </w:pPr>
      <w:r>
        <w:rPr>
          <w:b/>
        </w:rPr>
        <w:t>Review status:</w:t>
      </w:r>
      <w:r>
        <w:t xml:space="preserve"> unchecked — possible relationship only</w:t>
      </w:r>
    </w:p>
    <w:p>
      <w:pPr>
        <w:pStyle w:val="Heading2"/>
      </w:pPr>
      <w:r>
        <w:t>338. Claim + two later sources: Living within the safe operating space: a vision for a resource efficient Europe</w:t>
      </w:r>
    </w:p>
    <w:p>
      <w:pPr>
        <w:pStyle w:val="SourceNote"/>
      </w:pPr>
      <w:r>
        <w:rPr>
          <w:b/>
        </w:rPr>
        <w:t>Group ID:</w:t>
      </w:r>
      <w:r>
        <w:t xml:space="preserve"> group-cbba3a6f325545e5f59a</w:t>
      </w:r>
    </w:p>
    <w:p>
      <w:pPr>
        <w:pStyle w:val="SourceNote"/>
      </w:pPr>
      <w:r>
        <w:rPr>
          <w:b/>
        </w:rPr>
        <w:t>Original source:</w:t>
      </w:r>
      <w:r>
        <w:t xml:space="preserve"> https://doi.org/10.1007/s40309-014-0048-3</w:t>
      </w:r>
    </w:p>
    <w:p>
      <w:pPr/>
      <w:r>
        <w:rPr>
          <w:b/>
        </w:rPr>
        <w:t>Original future claim:</w:t>
      </w:r>
      <w:r>
        <w:t xml:space="preserve"> We review and build on recent sustainability visions to develop a holistic reflection on what life in 2050 could look like, and explore the key changes in the economy needed to get there.</w:t>
      </w:r>
    </w:p>
    <w:p>
      <w:pPr/>
      <w:r>
        <w:rPr>
          <w:b/>
        </w:rPr>
        <w:t>Later source:</w:t>
      </w:r>
      <w:r>
        <w:t xml:space="preserve"> Education and training of home hemodialysis patients in Europe: a scoping review — https://doi.org/10.33393/gcnd.2026.3589</w:t>
      </w:r>
    </w:p>
    <w:p>
      <w:pPr/>
      <w:r>
        <w:rPr>
          <w:b/>
        </w:rPr>
        <w:t>Later source:</w:t>
      </w:r>
      <w:r>
        <w:t xml:space="preserve"> Developing a new digital vision for rangeland grazing systems — https://doi.org/10.1093/af/vfag009</w:t>
      </w:r>
    </w:p>
    <w:p>
      <w:pPr>
        <w:pStyle w:val="SourceNote"/>
      </w:pPr>
      <w:r>
        <w:rPr>
          <w:b/>
        </w:rPr>
        <w:t>Review status:</w:t>
      </w:r>
      <w:r>
        <w:t xml:space="preserve"> unchecked — possible relationship only</w:t>
      </w:r>
    </w:p>
    <w:p>
      <w:pPr>
        <w:pStyle w:val="Heading2"/>
      </w:pPr>
      <w:r>
        <w:t>339. Claim + two later sources: Health horizons: Future trends and technologies from the European Medicines Agency’s horizon scanning collaborations</w:t>
      </w:r>
    </w:p>
    <w:p>
      <w:pPr>
        <w:pStyle w:val="SourceNote"/>
      </w:pPr>
      <w:r>
        <w:rPr>
          <w:b/>
        </w:rPr>
        <w:t>Group ID:</w:t>
      </w:r>
      <w:r>
        <w:t xml:space="preserve"> group-bcffdf30b134abad9627</w:t>
      </w:r>
    </w:p>
    <w:p>
      <w:pPr>
        <w:pStyle w:val="SourceNote"/>
      </w:pPr>
      <w:r>
        <w:rPr>
          <w:b/>
        </w:rPr>
        <w:t>Original source:</w:t>
      </w:r>
      <w:r>
        <w:t xml:space="preserve"> https://doi.org/10.3389/fmed.2022.1064003</w:t>
      </w:r>
    </w:p>
    <w:p>
      <w:pPr/>
      <w:r>
        <w:rPr>
          <w:b/>
        </w:rPr>
        <w:t>Original future claim:</w:t>
      </w:r>
      <w:r>
        <w:t xml:space="preserve">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Horizon scan of the clinical development landscape of biosimilar products in the UK and EU — https://doi.org/10.1017/s0266462326103468</w:t>
      </w:r>
    </w:p>
    <w:p>
      <w:pPr>
        <w:pStyle w:val="SourceNote"/>
      </w:pPr>
      <w:r>
        <w:rPr>
          <w:b/>
        </w:rPr>
        <w:t>Review status:</w:t>
      </w:r>
      <w:r>
        <w:t xml:space="preserve"> unchecked — possible relationship only</w:t>
      </w:r>
    </w:p>
    <w:p>
      <w:pPr>
        <w:pStyle w:val="Heading2"/>
      </w:pPr>
      <w:r>
        <w:t>340. Claim + two later sources: The Public Health Status and Foresight report 2014: Four normative perspectives on a healthier Netherlands in 2040</w:t>
      </w:r>
    </w:p>
    <w:p>
      <w:pPr>
        <w:pStyle w:val="SourceNote"/>
      </w:pPr>
      <w:r>
        <w:rPr>
          <w:b/>
        </w:rPr>
        <w:t>Group ID:</w:t>
      </w:r>
      <w:r>
        <w:t xml:space="preserve"> group-066bd6c14f5ecfa59d69</w:t>
      </w:r>
    </w:p>
    <w:p>
      <w:pPr>
        <w:pStyle w:val="SourceNote"/>
      </w:pPr>
      <w:r>
        <w:rPr>
          <w:b/>
        </w:rPr>
        <w:t>Original source:</w:t>
      </w:r>
      <w:r>
        <w:t xml:space="preserve"> https://doi.org/10.1016/j.healthpol.2018.10.014</w:t>
      </w:r>
    </w:p>
    <w:p>
      <w:pPr/>
      <w:r>
        <w:rPr>
          <w:b/>
        </w:rPr>
        <w:t>Original future claim:</w:t>
      </w:r>
      <w:r>
        <w:t xml:space="preserve"> We organized meetings with experts to explore how engagement and policy strategies in each scenario would affect the other three societal challenges. Possible synergies and trade-offs between the four scenarios were identified.</w:t>
      </w:r>
    </w:p>
    <w:p>
      <w:pPr/>
      <w:r>
        <w:rPr>
          <w:b/>
        </w:rPr>
        <w:t>Later source:</w:t>
      </w:r>
      <w:r>
        <w:t xml:space="preserve"> ABC8 Consensus: Assessment by a German Group of Experts — https://doi.org/10.1159/000550147</w:t>
      </w:r>
    </w:p>
    <w:p>
      <w:pPr/>
      <w:r>
        <w:rPr>
          <w:b/>
        </w:rPr>
        <w:t>Later source:</w:t>
      </w:r>
      <w:r>
        <w:t xml:space="preserve"> Proceedings from ERN EpiCARE “BEYOND SEIZURES” meeting, Aalesund, Norway, May the 27th. Advancing holistic care for rare and complex epilepsies in adults — https://doi.org/10.1016/j.yebeh.2025.110879</w:t>
      </w:r>
    </w:p>
    <w:p>
      <w:pPr>
        <w:pStyle w:val="SourceNote"/>
      </w:pPr>
      <w:r>
        <w:rPr>
          <w:b/>
        </w:rPr>
        <w:t>Review status:</w:t>
      </w:r>
      <w:r>
        <w:t xml:space="preserve"> unchecked — possible relationship only</w:t>
      </w:r>
    </w:p>
    <w:p>
      <w:pPr>
        <w:pStyle w:val="Heading2"/>
      </w:pPr>
      <w:r>
        <w:t>341. Claim + two later sources: Secular stagnation – are we stuck in Summers' long winter?</w:t>
      </w:r>
    </w:p>
    <w:p>
      <w:pPr>
        <w:pStyle w:val="SourceNote"/>
      </w:pPr>
      <w:r>
        <w:rPr>
          <w:b/>
        </w:rPr>
        <w:t>Group ID:</w:t>
      </w:r>
      <w:r>
        <w:t xml:space="preserve"> group-a6e23338fc17f9f9e6f4</w:t>
      </w:r>
    </w:p>
    <w:p>
      <w:pPr>
        <w:pStyle w:val="SourceNote"/>
      </w:pPr>
      <w:r>
        <w:rPr>
          <w:b/>
        </w:rPr>
        <w:t>Original source:</w:t>
      </w:r>
      <w:r>
        <w:t xml:space="preserve"> https://doi.org/10.1111/1468-0319.12197</w:t>
      </w:r>
    </w:p>
    <w:p>
      <w:pPr/>
      <w:r>
        <w:rPr>
          <w:b/>
        </w:rPr>
        <w:t>Original future claim:</w:t>
      </w:r>
      <w:r>
        <w:t xml:space="preserve">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Later source:</w:t>
      </w:r>
      <w:r>
        <w:t xml:space="preserve"> The paradox of strong institutions: when better governance intensifies public debt’s drag on economic growth in Heavily Indebted Poor Countries (HIPCs) in Africa — https://doi.org/10.1016/j.resglo.2026.100348</w:t>
      </w:r>
    </w:p>
    <w:p>
      <w:pPr/>
      <w:r>
        <w:rPr>
          <w:b/>
        </w:rPr>
        <w:t>Later source:</w:t>
      </w:r>
      <w:r>
        <w:t xml:space="preserve"> Natural disasters and fiscal shelters — https://doi.org/10.53479/42825</w:t>
      </w:r>
    </w:p>
    <w:p>
      <w:pPr>
        <w:pStyle w:val="SourceNote"/>
      </w:pPr>
      <w:r>
        <w:rPr>
          <w:b/>
        </w:rPr>
        <w:t>Review status:</w:t>
      </w:r>
      <w:r>
        <w:t xml:space="preserve"> unchecked — possible relationship only</w:t>
      </w:r>
    </w:p>
    <w:p>
      <w:pPr>
        <w:pStyle w:val="Heading2"/>
      </w:pPr>
      <w:r>
        <w:t>342. Claim + two later sources: The biological transformation of industrial manufacturing – Technologies, status and scenarios for a sustainable future of the German manufacturing industry</w:t>
      </w:r>
    </w:p>
    <w:p>
      <w:pPr>
        <w:pStyle w:val="SourceNote"/>
      </w:pPr>
      <w:r>
        <w:rPr>
          <w:b/>
        </w:rPr>
        <w:t>Group ID:</w:t>
      </w:r>
      <w:r>
        <w:t xml:space="preserve"> group-89072ffc94b19054ff42</w:t>
      </w:r>
    </w:p>
    <w:p>
      <w:pPr>
        <w:pStyle w:val="SourceNote"/>
      </w:pPr>
      <w:r>
        <w:rPr>
          <w:b/>
        </w:rPr>
        <w:t>Original source:</w:t>
      </w:r>
      <w:r>
        <w:t xml:space="preserve"> https://doi.org/10.1016/j.jmsy.2019.11.006</w:t>
      </w:r>
    </w:p>
    <w:p>
      <w:pPr/>
      <w:r>
        <w:rPr>
          <w:b/>
        </w:rPr>
        <w:t>Original future claim:</w:t>
      </w:r>
      <w:r>
        <w:t xml:space="preserve">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Later source:</w:t>
      </w:r>
      <w:r>
        <w:t xml:space="preserve"> Summary, Conclusions and Recommendations — https://doi.org/10.1201/9781003759744-14</w:t>
      </w:r>
    </w:p>
    <w:p>
      <w:pPr/>
      <w:r>
        <w:rPr>
          <w:b/>
        </w:rPr>
        <w:t>Later source:</w:t>
      </w:r>
      <w:r>
        <w:t xml:space="preserve"> Digitizing the Pre-consultation Experience: Impacts and Design Recommendations — https://doi.org/10.1145/3772318.3791354</w:t>
      </w:r>
    </w:p>
    <w:p>
      <w:pPr>
        <w:pStyle w:val="SourceNote"/>
      </w:pPr>
      <w:r>
        <w:rPr>
          <w:b/>
        </w:rPr>
        <w:t>Review status:</w:t>
      </w:r>
      <w:r>
        <w:t xml:space="preserve"> unchecked — possible relationship only</w:t>
      </w:r>
    </w:p>
    <w:p>
      <w:pPr>
        <w:pStyle w:val="Heading2"/>
      </w:pPr>
      <w:r>
        <w:t>343. Claim + two later sources: (Re)politicization of climate change mitigating projects: environmental forms and motives of the Seine Nord Europe canal</w:t>
      </w:r>
    </w:p>
    <w:p>
      <w:pPr>
        <w:pStyle w:val="SourceNote"/>
      </w:pPr>
      <w:r>
        <w:rPr>
          <w:b/>
        </w:rPr>
        <w:t>Group ID:</w:t>
      </w:r>
      <w:r>
        <w:t xml:space="preserve"> group-c1ea1de510291ed687e9</w:t>
      </w:r>
    </w:p>
    <w:p>
      <w:pPr>
        <w:pStyle w:val="SourceNote"/>
      </w:pPr>
      <w:r>
        <w:rPr>
          <w:b/>
        </w:rPr>
        <w:t>Original source:</w:t>
      </w:r>
      <w:r>
        <w:t xml:space="preserve"> https://doi.org/10.1186/s40309-022-00195-6</w:t>
      </w:r>
    </w:p>
    <w:p>
      <w:pPr/>
      <w:r>
        <w:rPr>
          <w:b/>
        </w:rPr>
        <w:t>Original future claim:</w:t>
      </w:r>
      <w:r>
        <w:t xml:space="preserve">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Later source:</w:t>
      </w:r>
      <w:r>
        <w:t xml:space="preserve"> Science-based targets for material use: A systematic review of analytical concepts and approaches in Europe — https://doi.org/10.1016/j.resconrec.2026.109111</w:t>
      </w:r>
    </w:p>
    <w:p>
      <w:pPr/>
      <w:r>
        <w:rPr>
          <w:b/>
        </w:rPr>
        <w:t>Later source:</w:t>
      </w:r>
      <w:r>
        <w:t xml:space="preserve"> Environmental risks and ecological integrity: the new european rules on nature restoration — https://doi.org/10.5194/egusphere-egu26-17987</w:t>
      </w:r>
    </w:p>
    <w:p>
      <w:pPr>
        <w:pStyle w:val="SourceNote"/>
      </w:pPr>
      <w:r>
        <w:rPr>
          <w:b/>
        </w:rPr>
        <w:t>Review status:</w:t>
      </w:r>
      <w:r>
        <w:t xml:space="preserve"> unchecked — possible relationship only</w:t>
      </w:r>
    </w:p>
    <w:p>
      <w:pPr>
        <w:pStyle w:val="Heading2"/>
      </w:pPr>
      <w:r>
        <w:t>344. Claim + two later sources: PROGNOZY WYDAJNOŚCI MLECZNEJ KRÓW W POLSCE I W UNII EUROPEJSKIEJ NA LATA 2030 I 2050</w:t>
      </w:r>
    </w:p>
    <w:p>
      <w:pPr>
        <w:pStyle w:val="SourceNote"/>
      </w:pPr>
      <w:r>
        <w:rPr>
          <w:b/>
        </w:rPr>
        <w:t>Group ID:</w:t>
      </w:r>
      <w:r>
        <w:t xml:space="preserve"> group-36ab9688d58d22d97c4e</w:t>
      </w:r>
    </w:p>
    <w:p>
      <w:pPr>
        <w:pStyle w:val="SourceNote"/>
      </w:pPr>
      <w:r>
        <w:rPr>
          <w:b/>
        </w:rPr>
        <w:t>Original source:</w:t>
      </w:r>
      <w:r>
        <w:t xml:space="preserve"> https://doi.org/10.22004/ag.econ.233003</w:t>
      </w:r>
    </w:p>
    <w:p>
      <w:pPr/>
      <w:r>
        <w:rPr>
          <w:b/>
        </w:rPr>
        <w:t>Original future claim:</w:t>
      </w:r>
      <w:r>
        <w:t xml:space="preserve">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Later source:</w:t>
      </w:r>
      <w:r>
        <w:t xml:space="preserve"> EU Wide Disaggregated CAPRI Model Data: Crops, Livestock, Nitrogen In- and Outputs (Timeseries 2000-2018) — https://doi.org/10.1038/s41597-026-06919-8</w:t>
      </w:r>
    </w:p>
    <w:p>
      <w:pPr/>
      <w:r>
        <w:rPr>
          <w:b/>
        </w:rPr>
        <w:t>Later source:</w:t>
      </w:r>
      <w:r>
        <w:t xml:space="preserve"> Modeling the Profitability of Milk Production—A Simulation Approach — https://doi.org/10.3390/agriculture15131409</w:t>
      </w:r>
    </w:p>
    <w:p>
      <w:pPr>
        <w:pStyle w:val="SourceNote"/>
      </w:pPr>
      <w:r>
        <w:rPr>
          <w:b/>
        </w:rPr>
        <w:t>Review status:</w:t>
      </w:r>
      <w:r>
        <w:t xml:space="preserve"> unchecked — possible relationship only</w:t>
      </w:r>
    </w:p>
    <w:p>
      <w:pPr>
        <w:pStyle w:val="Heading2"/>
      </w:pPr>
      <w:r>
        <w:t>345. Claim + two later sources: Future Low-Carbon Transport Scenarios: Practice Theory-Based Visioning for Backcasting Studies</w:t>
      </w:r>
    </w:p>
    <w:p>
      <w:pPr>
        <w:pStyle w:val="SourceNote"/>
      </w:pPr>
      <w:r>
        <w:rPr>
          <w:b/>
        </w:rPr>
        <w:t>Group ID:</w:t>
      </w:r>
      <w:r>
        <w:t xml:space="preserve"> group-0f1989f9c216f5b32cf8</w:t>
      </w:r>
    </w:p>
    <w:p>
      <w:pPr>
        <w:pStyle w:val="SourceNote"/>
      </w:pPr>
      <w:r>
        <w:rPr>
          <w:b/>
        </w:rPr>
        <w:t>Original source:</w:t>
      </w:r>
      <w:r>
        <w:t xml:space="preserve"> https://doi.org/10.3390/su14010074</w:t>
      </w:r>
    </w:p>
    <w:p>
      <w:pPr/>
      <w:r>
        <w:rPr>
          <w:b/>
        </w:rPr>
        <w:t>Original future claim:</w:t>
      </w:r>
      <w:r>
        <w:t xml:space="preserve">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Later source:</w:t>
      </w:r>
      <w:r>
        <w:t xml:space="preserve"> Beyond Euroscepticism: radical left and right ‘visions of Europe’ across party and protest arenas — https://doi.org/10.1080/13501763.2026.2651556</w:t>
      </w:r>
    </w:p>
    <w:p>
      <w:pPr/>
      <w:r>
        <w:rPr>
          <w:b/>
        </w:rPr>
        <w:t>Later source:</w:t>
      </w:r>
      <w:r>
        <w:t xml:space="preserve"> So Close, but Different: Uncovering the Different Determinants of Eco-Innovation in Central Europe — https://doi.org/10.3917/e.jie.pr2.0210</w:t>
      </w:r>
    </w:p>
    <w:p>
      <w:pPr>
        <w:pStyle w:val="SourceNote"/>
      </w:pPr>
      <w:r>
        <w:rPr>
          <w:b/>
        </w:rPr>
        <w:t>Review status:</w:t>
      </w:r>
      <w:r>
        <w:t xml:space="preserve"> unchecked — possible relationship only</w:t>
      </w:r>
    </w:p>
    <w:p>
      <w:pPr>
        <w:pStyle w:val="Heading2"/>
      </w:pPr>
      <w:r>
        <w:t>346. Claim + two later sources: An assessment of the impact of climate adaptation measures to reduce flood risk on ecosystem services</w:t>
      </w:r>
    </w:p>
    <w:p>
      <w:pPr>
        <w:pStyle w:val="SourceNote"/>
      </w:pPr>
      <w:r>
        <w:rPr>
          <w:b/>
        </w:rPr>
        <w:t>Group ID:</w:t>
      </w:r>
      <w:r>
        <w:t xml:space="preserve"> group-ff60f8b6d91c5a779640</w:t>
      </w:r>
    </w:p>
    <w:p>
      <w:pPr>
        <w:pStyle w:val="SourceNote"/>
      </w:pPr>
      <w:r>
        <w:rPr>
          <w:b/>
        </w:rPr>
        <w:t>Original source:</w:t>
      </w:r>
      <w:r>
        <w:t xml:space="preserve"> https://doi.org/10.1007/s10980-012-9715-6</w:t>
      </w:r>
    </w:p>
    <w:p>
      <w:pPr/>
      <w:r>
        <w:rPr>
          <w:b/>
        </w:rPr>
        <w:t>Original future claim:</w:t>
      </w:r>
      <w:r>
        <w:t xml:space="preserve">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Later source:</w:t>
      </w:r>
      <w:r>
        <w:t xml:space="preserve"> Standard adaptation — https://doi.org/10.1093/9780197831533.003.0002</w:t>
      </w:r>
    </w:p>
    <w:p>
      <w:pPr/>
      <w:r>
        <w:rPr>
          <w:b/>
        </w:rPr>
        <w:t>Later source:</w:t>
      </w:r>
      <w:r>
        <w:t xml:space="preserve"> Aneuploidy Can Be an Evolutionary Diversion on the Path to Adaptation — https://doi.org/10.1093/molbev/msae052</w:t>
      </w:r>
    </w:p>
    <w:p>
      <w:pPr>
        <w:pStyle w:val="SourceNote"/>
      </w:pPr>
      <w:r>
        <w:rPr>
          <w:b/>
        </w:rPr>
        <w:t>Review status:</w:t>
      </w:r>
      <w:r>
        <w:t xml:space="preserve"> unchecked — possible relationship only</w:t>
      </w:r>
    </w:p>
    <w:p>
      <w:pPr>
        <w:pStyle w:val="Heading2"/>
      </w:pPr>
      <w:r>
        <w:t>347. Claim + two later sources: Conditional forecasts of tourism exports and tourism export prices of the EU-15 within a global vector autoregression framework</w:t>
      </w:r>
    </w:p>
    <w:p>
      <w:pPr>
        <w:pStyle w:val="SourceNote"/>
      </w:pPr>
      <w:r>
        <w:rPr>
          <w:b/>
        </w:rPr>
        <w:t>Group ID:</w:t>
      </w:r>
      <w:r>
        <w:t xml:space="preserve"> group-7071e0ef92a9461679ba</w:t>
      </w:r>
    </w:p>
    <w:p>
      <w:pPr>
        <w:pStyle w:val="SourceNote"/>
      </w:pPr>
      <w:r>
        <w:rPr>
          <w:b/>
        </w:rPr>
        <w:t>Original source:</w:t>
      </w:r>
      <w:r>
        <w:t xml:space="preserve"> https://doi.org/10.1108/jtf-01-2017-0001</w:t>
      </w:r>
    </w:p>
    <w:p>
      <w:pPr/>
      <w:r>
        <w:rPr>
          <w:b/>
        </w:rPr>
        <w:t>Original future claim:</w:t>
      </w:r>
      <w:r>
        <w:t xml:space="preserve">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Later source:</w:t>
      </w:r>
      <w:r>
        <w:t xml:space="preserve"> Tourism dynamics in South-East Europe: Similarities and predictability — https://doi.org/10.5937/menhottur2600007a</w:t>
      </w:r>
    </w:p>
    <w:p>
      <w:pPr/>
      <w:r>
        <w:rPr>
          <w:b/>
        </w:rPr>
        <w:t>Later source:</w:t>
      </w:r>
      <w:r>
        <w:t xml:space="preserve"> Key attributes of tourism sector entrepreneurs in Southeast Europe — https://doi.org/10.5937/menhottur2500014l</w:t>
      </w:r>
    </w:p>
    <w:p>
      <w:pPr>
        <w:pStyle w:val="SourceNote"/>
      </w:pPr>
      <w:r>
        <w:rPr>
          <w:b/>
        </w:rPr>
        <w:t>Review status:</w:t>
      </w:r>
      <w:r>
        <w:t xml:space="preserve"> unchecked — possible relationship only</w:t>
      </w:r>
    </w:p>
    <w:p>
      <w:pPr>
        <w:pStyle w:val="Heading2"/>
      </w:pPr>
      <w:r>
        <w:t>348. Claim + two later sources: Balancing GHG mitigation and land-use conflicts: Alternative Northern European energy system scenarios</w:t>
      </w:r>
    </w:p>
    <w:p>
      <w:pPr>
        <w:pStyle w:val="SourceNote"/>
      </w:pPr>
      <w:r>
        <w:rPr>
          <w:b/>
        </w:rPr>
        <w:t>Group ID:</w:t>
      </w:r>
      <w:r>
        <w:t xml:space="preserve"> group-85936200c1d66e1db6c6</w:t>
      </w:r>
    </w:p>
    <w:p>
      <w:pPr>
        <w:pStyle w:val="SourceNote"/>
      </w:pPr>
      <w:r>
        <w:rPr>
          <w:b/>
        </w:rPr>
        <w:t>Original source:</w:t>
      </w:r>
      <w:r>
        <w:t xml:space="preserve"> https://doi.org/10.1016/j.apenergy.2022.118557</w:t>
      </w:r>
    </w:p>
    <w:p>
      <w:pPr/>
      <w:r>
        <w:rPr>
          <w:b/>
        </w:rPr>
        <w:t>Original future claim:</w:t>
      </w:r>
      <w:r>
        <w:t xml:space="preserve">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Later source:</w:t>
      </w:r>
      <w:r>
        <w:t xml:space="preserve"> Accounting for economic disparity in designing net-zero European energy systems — https://doi.org/10.1088/2753-3751/ae6b8f</w:t>
      </w:r>
    </w:p>
    <w:p>
      <w:pPr/>
      <w:r>
        <w:rPr>
          <w:b/>
        </w:rPr>
        <w:t>Later source:</w:t>
      </w:r>
      <w:r>
        <w:t xml:space="preserve"> Assimilating ESA CCI land surface temperature into the ORCHIDEE land surface model: insights from a multi-site study across Europe — https://doi.org/10.5194/hess-29-261-2025</w:t>
      </w:r>
    </w:p>
    <w:p>
      <w:pPr>
        <w:pStyle w:val="SourceNote"/>
      </w:pPr>
      <w:r>
        <w:rPr>
          <w:b/>
        </w:rPr>
        <w:t>Review status:</w:t>
      </w:r>
      <w:r>
        <w:t xml:space="preserve"> unchecked — possible relationship only</w:t>
      </w:r>
    </w:p>
    <w:p>
      <w:pPr>
        <w:pStyle w:val="Heading2"/>
      </w:pPr>
      <w:r>
        <w:t>349. Claim + two later sources: A Transport Policy Tool for Reduction of Co2 Emissions in Finland – Visions, Scenarios and Pathways using Pluralistic Backcasting Method</w:t>
      </w:r>
    </w:p>
    <w:p>
      <w:pPr>
        <w:pStyle w:val="SourceNote"/>
      </w:pPr>
      <w:r>
        <w:rPr>
          <w:b/>
        </w:rPr>
        <w:t>Group ID:</w:t>
      </w:r>
      <w:r>
        <w:t xml:space="preserve"> group-c9c1c8557ce131bf3afe</w:t>
      </w:r>
    </w:p>
    <w:p>
      <w:pPr>
        <w:pStyle w:val="SourceNote"/>
      </w:pPr>
      <w:r>
        <w:rPr>
          <w:b/>
        </w:rPr>
        <w:t>Original source:</w:t>
      </w:r>
      <w:r>
        <w:t xml:space="preserve"> https://doi.org/10.1016/j.trpro.2015.12.016</w:t>
      </w:r>
    </w:p>
    <w:p>
      <w:pPr/>
      <w:r>
        <w:rPr>
          <w:b/>
        </w:rPr>
        <w:t>Original future claim:</w:t>
      </w:r>
      <w:r>
        <w:t xml:space="preserve">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Later source:</w:t>
      </w:r>
      <w:r>
        <w:t xml:space="preserve"> 2040 greenhouse gas reduction targets and energy transitions in line with the EU Green Deal — https://doi.org/10.1038/s41467-026-71159-8</w:t>
      </w:r>
    </w:p>
    <w:p>
      <w:pPr/>
      <w:r>
        <w:rPr>
          <w:b/>
        </w:rPr>
        <w:t>Later source:</w:t>
      </w:r>
      <w:r>
        <w:t xml:space="preserve"> Association patterns of renewables and greenhouse gas emission reduction in the European Union — https://doi.org/10.2139/ssrn.6144181</w:t>
      </w:r>
    </w:p>
    <w:p>
      <w:pPr>
        <w:pStyle w:val="SourceNote"/>
      </w:pPr>
      <w:r>
        <w:rPr>
          <w:b/>
        </w:rPr>
        <w:t>Review status:</w:t>
      </w:r>
      <w:r>
        <w:t xml:space="preserve"> unchecked — possible relationship only</w:t>
      </w:r>
    </w:p>
    <w:p>
      <w:pPr>
        <w:pStyle w:val="Heading2"/>
      </w:pPr>
      <w:r>
        <w:t>350. Claim + two later sources: Scenarios for population health inequalities in 2030 in Europe: the EURO-HEALTHY project experience</w:t>
      </w:r>
    </w:p>
    <w:p>
      <w:pPr>
        <w:pStyle w:val="SourceNote"/>
      </w:pPr>
      <w:r>
        <w:rPr>
          <w:b/>
        </w:rPr>
        <w:t>Group ID:</w:t>
      </w:r>
      <w:r>
        <w:t xml:space="preserve"> group-5fcc841952089cda020d</w:t>
      </w:r>
    </w:p>
    <w:p>
      <w:pPr>
        <w:pStyle w:val="SourceNote"/>
      </w:pPr>
      <w:r>
        <w:rPr>
          <w:b/>
        </w:rPr>
        <w:t>Original source:</w:t>
      </w:r>
      <w:r>
        <w:t xml:space="preserve"> https://doi.org/10.1186/s12939-019-1000-8</w:t>
      </w:r>
    </w:p>
    <w:p>
      <w:pPr/>
      <w:r>
        <w:rPr>
          <w:b/>
        </w:rPr>
        <w:t>Original future claim:</w:t>
      </w:r>
      <w:r>
        <w:t xml:space="preserve">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Pathway narratives towards a nature‑positive European Union land system: operationalising the Nature Futures Framework for policy objectives — https://doi.org/10.5194/wbf2026-674</w:t>
      </w:r>
    </w:p>
    <w:p>
      <w:pPr>
        <w:pStyle w:val="SourceNote"/>
      </w:pPr>
      <w:r>
        <w:rPr>
          <w:b/>
        </w:rPr>
        <w:t>Review status:</w:t>
      </w:r>
      <w:r>
        <w:t xml:space="preserve"> unchecked — possible relationship only</w:t>
      </w:r>
    </w:p>
    <w:p>
      <w:pPr>
        <w:pStyle w:val="Heading2"/>
      </w:pPr>
      <w:r>
        <w:t>351. Claim + two later sources: Long-term scenarios for reaching climate targets and energy security in UK</w:t>
      </w:r>
    </w:p>
    <w:p>
      <w:pPr>
        <w:pStyle w:val="SourceNote"/>
      </w:pPr>
      <w:r>
        <w:rPr>
          <w:b/>
        </w:rPr>
        <w:t>Group ID:</w:t>
      </w:r>
      <w:r>
        <w:t xml:space="preserve"> group-60d37b5b1833f4842a81</w:t>
      </w:r>
    </w:p>
    <w:p>
      <w:pPr>
        <w:pStyle w:val="SourceNote"/>
      </w:pPr>
      <w:r>
        <w:rPr>
          <w:b/>
        </w:rPr>
        <w:t>Original source:</w:t>
      </w:r>
      <w:r>
        <w:t xml:space="preserve"> https://doi.org/10.1016/j.scs.2015.03.010</w:t>
      </w:r>
    </w:p>
    <w:p>
      <w:pPr/>
      <w:r>
        <w:rPr>
          <w:b/>
        </w:rPr>
        <w:t>Original future claim:</w:t>
      </w:r>
      <w:r>
        <w:t xml:space="preserve">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Later source:</w:t>
      </w:r>
      <w:r>
        <w:t xml:space="preserve"> Dynamical landscape and multistability of a climate model — https://openalex.org/W3166250015</w:t>
      </w:r>
    </w:p>
    <w:p>
      <w:pPr/>
      <w:r>
        <w:rPr>
          <w:b/>
        </w:rPr>
        <w:t>Later source:</w:t>
      </w:r>
      <w:r>
        <w:t xml:space="preserve"> Accuracy of Climate Model Derived Energy-Datasets During Renewable Energy Lulls. — https://doi.org/10.5194/egusphere-egu25-16661</w:t>
      </w:r>
    </w:p>
    <w:p>
      <w:pPr>
        <w:pStyle w:val="SourceNote"/>
      </w:pPr>
      <w:r>
        <w:rPr>
          <w:b/>
        </w:rPr>
        <w:t>Review status:</w:t>
      </w:r>
      <w:r>
        <w:t xml:space="preserve"> unchecked — possible relationship only</w:t>
      </w:r>
    </w:p>
    <w:p>
      <w:pPr>
        <w:pStyle w:val="Heading2"/>
      </w:pPr>
      <w:r>
        <w:t>352. Claim + two later sources: How far away is hydrogen? Its role in the medium and long-term decarbonisation of the European energy system</w:t>
      </w:r>
    </w:p>
    <w:p>
      <w:pPr>
        <w:pStyle w:val="SourceNote"/>
      </w:pPr>
      <w:r>
        <w:rPr>
          <w:b/>
        </w:rPr>
        <w:t>Group ID:</w:t>
      </w:r>
      <w:r>
        <w:t xml:space="preserve"> group-68f2e4ce5818a21c91f4</w:t>
      </w:r>
    </w:p>
    <w:p>
      <w:pPr>
        <w:pStyle w:val="SourceNote"/>
      </w:pPr>
      <w:r>
        <w:rPr>
          <w:b/>
        </w:rPr>
        <w:t>Original source:</w:t>
      </w:r>
      <w:r>
        <w:t xml:space="preserve"> https://doi.org/10.1016/j.ijhydene.2015.09.004</w:t>
      </w:r>
    </w:p>
    <w:p>
      <w:pPr/>
      <w:r>
        <w:rPr>
          <w:b/>
        </w:rPr>
        <w:t>Original future claim:</w:t>
      </w:r>
      <w:r>
        <w:t xml:space="preserve">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Later source:</w:t>
      </w:r>
      <w:r>
        <w:t xml:space="preserve"> Parametric bottom-up cost modelling of tidal energy converters for site-specific feasibility studies — https://doi.org/10.1016/j.seta.2026.105052</w:t>
      </w:r>
    </w:p>
    <w:p>
      <w:pPr/>
      <w:r>
        <w:rPr>
          <w:b/>
        </w:rPr>
        <w:t>Later source:</w:t>
      </w:r>
      <w:r>
        <w:t xml:space="preserve"> Determinants of Beef Trade Between the EU and South America and the Implications of the EU–Mercosur Agreement for the European Beef Sector — https://doi.org/10.3390/su18052172</w:t>
      </w:r>
    </w:p>
    <w:p>
      <w:pPr>
        <w:pStyle w:val="SourceNote"/>
      </w:pPr>
      <w:r>
        <w:rPr>
          <w:b/>
        </w:rPr>
        <w:t>Review status:</w:t>
      </w:r>
      <w:r>
        <w:t xml:space="preserve"> unchecked — possible relationship only</w:t>
      </w:r>
    </w:p>
    <w:p>
      <w:pPr>
        <w:pStyle w:val="Heading2"/>
      </w:pPr>
      <w:r>
        <w:t>353. Claim + two later sources: Renewable and Sustainable Energy Transitions for Countries with Different Climates and Renewable Energy Sources Potentials</w:t>
      </w:r>
    </w:p>
    <w:p>
      <w:pPr>
        <w:pStyle w:val="SourceNote"/>
      </w:pPr>
      <w:r>
        <w:rPr>
          <w:b/>
        </w:rPr>
        <w:t>Group ID:</w:t>
      </w:r>
      <w:r>
        <w:t xml:space="preserve"> group-31b0078206f145fe3aac</w:t>
      </w:r>
    </w:p>
    <w:p>
      <w:pPr>
        <w:pStyle w:val="SourceNote"/>
      </w:pPr>
      <w:r>
        <w:rPr>
          <w:b/>
        </w:rPr>
        <w:t>Original source:</w:t>
      </w:r>
      <w:r>
        <w:t xml:space="preserve"> https://doi.org/10.3390/en11123523</w:t>
      </w:r>
    </w:p>
    <w:p>
      <w:pPr/>
      <w:r>
        <w:rPr>
          <w:b/>
        </w:rPr>
        <w:t>Original future claim:</w:t>
      </w:r>
      <w:r>
        <w:t xml:space="preserve"> The outcomes of the new scenarios support the future national plans, showing how decarburization in an energy system can occur in relation to the European Roadmap 2030 and 2050.</w:t>
      </w:r>
    </w:p>
    <w:p>
      <w:pPr/>
      <w:r>
        <w:rPr>
          <w:b/>
        </w:rPr>
        <w:t>Later source:</w:t>
      </w:r>
      <w:r>
        <w:t xml:space="preserve"> Current availability and status of paediatric cardiac transplantation and mechanical circulatory support in twenty-eight European countries — https://doi.org/10.1007/s00431-026-06927-1</w:t>
      </w:r>
    </w:p>
    <w:p>
      <w:pPr/>
      <w:r>
        <w:rPr>
          <w:b/>
        </w:rPr>
        <w:t>Later source:</w:t>
      </w:r>
      <w:r>
        <w:t xml:space="preserve"> Heat Roadmap Europe: Spatial assessment of district heating potential for strategic planning in Europe — https://doi.org/10.54337/ijsepm.11215</w:t>
      </w:r>
    </w:p>
    <w:p>
      <w:pPr>
        <w:pStyle w:val="SourceNote"/>
      </w:pPr>
      <w:r>
        <w:rPr>
          <w:b/>
        </w:rPr>
        <w:t>Review status:</w:t>
      </w:r>
      <w:r>
        <w:t xml:space="preserve"> unchecked — possible relationship only</w:t>
      </w:r>
    </w:p>
    <w:p>
      <w:pPr>
        <w:pStyle w:val="Heading2"/>
      </w:pPr>
      <w:r>
        <w:t>354. Claim + two later sources: Socio-technical transitions in UK electricity: part 1 – history, actors and pathways</w:t>
      </w:r>
    </w:p>
    <w:p>
      <w:pPr>
        <w:pStyle w:val="SourceNote"/>
      </w:pPr>
      <w:r>
        <w:rPr>
          <w:b/>
        </w:rPr>
        <w:t>Group ID:</w:t>
      </w:r>
      <w:r>
        <w:t xml:space="preserve"> group-add5bfb881f3547802ab</w:t>
      </w:r>
    </w:p>
    <w:p>
      <w:pPr>
        <w:pStyle w:val="SourceNote"/>
      </w:pPr>
      <w:r>
        <w:rPr>
          <w:b/>
        </w:rPr>
        <w:t>Original source:</w:t>
      </w:r>
      <w:r>
        <w:t xml:space="preserve"> https://doi.org/10.1680/jener.19.00051</w:t>
      </w:r>
    </w:p>
    <w:p>
      <w:pPr/>
      <w:r>
        <w:rPr>
          <w:b/>
        </w:rPr>
        <w:t>Original future claim:</w:t>
      </w:r>
      <w:r>
        <w:t xml:space="preserve">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Later source:</w:t>
      </w:r>
      <w:r>
        <w:t xml:space="preserve"> REMIND-PyPSA-Eur: integrating power system flexibility into sector-coupled energy transition pathways — https://doi.org/10.1088/2516-1083/ae3ffe</w:t>
      </w:r>
    </w:p>
    <w:p>
      <w:pPr/>
      <w:r>
        <w:rPr>
          <w:b/>
        </w:rPr>
        <w:t>Later source:</w:t>
      </w:r>
      <w:r>
        <w:t xml:space="preserve"> The G20 in Focus: An Anthology of African Analyses, Priorities, and Pathways — https://doi.org/10.36615/9781997468950</w:t>
      </w:r>
    </w:p>
    <w:p>
      <w:pPr>
        <w:pStyle w:val="SourceNote"/>
      </w:pPr>
      <w:r>
        <w:rPr>
          <w:b/>
        </w:rPr>
        <w:t>Review status:</w:t>
      </w:r>
      <w:r>
        <w:t xml:space="preserve"> unchecked — possible relationship only</w:t>
      </w:r>
    </w:p>
    <w:p>
      <w:pPr>
        <w:pStyle w:val="Heading2"/>
      </w:pPr>
      <w:r>
        <w:t>355. Claim + two later sources: THE EUROPEAN MIGRATION CRISIS – ECONOMIC AND POLITICAL FACTORS AND CHALLENGES FOR THE FUTURE</w:t>
      </w:r>
    </w:p>
    <w:p>
      <w:pPr>
        <w:pStyle w:val="SourceNote"/>
      </w:pPr>
      <w:r>
        <w:rPr>
          <w:b/>
        </w:rPr>
        <w:t>Group ID:</w:t>
      </w:r>
      <w:r>
        <w:t xml:space="preserve"> group-a1d027e3601ad4c4f14f</w:t>
      </w:r>
    </w:p>
    <w:p>
      <w:pPr>
        <w:pStyle w:val="SourceNote"/>
      </w:pPr>
      <w:r>
        <w:rPr>
          <w:b/>
        </w:rPr>
        <w:t>Original source:</w:t>
      </w:r>
      <w:r>
        <w:t xml:space="preserve"> https://doi.org/10.5755/j01.eis.0.11.18958</w:t>
      </w:r>
    </w:p>
    <w:p>
      <w:pPr/>
      <w:r>
        <w:rPr>
          <w:b/>
        </w:rPr>
        <w:t>Original future claim:</w:t>
      </w:r>
      <w:r>
        <w:t xml:space="preserve">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Later source:</w:t>
      </w:r>
      <w:r>
        <w:t xml:space="preserve"> Rivalry and cooperation: how the Japanese photographic industry went global — https://doi.org/10.82444/warw.33485725</w:t>
      </w:r>
    </w:p>
    <w:p>
      <w:pPr/>
      <w:r>
        <w:rPr>
          <w:b/>
        </w:rPr>
        <w:t>Later source:</w:t>
      </w:r>
      <w:r>
        <w:t xml:space="preserve"> Between North and Europe : A case study of Nordic cooperation during the pandemic — https://openalex.org/W7154931280</w:t>
      </w:r>
    </w:p>
    <w:p>
      <w:pPr>
        <w:pStyle w:val="SourceNote"/>
      </w:pPr>
      <w:r>
        <w:rPr>
          <w:b/>
        </w:rPr>
        <w:t>Review status:</w:t>
      </w:r>
      <w:r>
        <w:t xml:space="preserve"> unchecked — possible relationship only</w:t>
      </w:r>
    </w:p>
    <w:p>
      <w:pPr>
        <w:pStyle w:val="Heading2"/>
      </w:pPr>
      <w:r>
        <w:t>356. Claim + two later sources: Future population ageing and productivity in Finland under different education and fertility scenarios</w:t>
      </w:r>
    </w:p>
    <w:p>
      <w:pPr>
        <w:pStyle w:val="SourceNote"/>
      </w:pPr>
      <w:r>
        <w:rPr>
          <w:b/>
        </w:rPr>
        <w:t>Group ID:</w:t>
      </w:r>
      <w:r>
        <w:t xml:space="preserve"> group-d67b0bd08f7999e8e61c</w:t>
      </w:r>
    </w:p>
    <w:p>
      <w:pPr>
        <w:pStyle w:val="SourceNote"/>
      </w:pPr>
      <w:r>
        <w:rPr>
          <w:b/>
        </w:rPr>
        <w:t>Original source:</w:t>
      </w:r>
      <w:r>
        <w:t xml:space="preserve"> https://doi.org/10.23979/fypr.119666</w:t>
      </w:r>
    </w:p>
    <w:p>
      <w:pPr/>
      <w:r>
        <w:rPr>
          <w:b/>
        </w:rPr>
        <w:t>Original future claim:</w:t>
      </w:r>
      <w:r>
        <w:t xml:space="preserve">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Later source:</w:t>
      </w:r>
      <w:r>
        <w:t xml:space="preserve"> The Right to a Fair Remuneration and Fair Income Replacement in the European Social Charter: A Multidimensional Approach — https://doi.org/10.3935/zpfz.75.6.2</w:t>
      </w:r>
    </w:p>
    <w:p>
      <w:pPr/>
      <w:r>
        <w:rPr>
          <w:b/>
        </w:rPr>
        <w:t>Later source:</w:t>
      </w:r>
      <w:r>
        <w:t xml:space="preserve"> MULTIDIMENSIONAL LOCAL RESILIENCE – ANALYSIS OF ENVIRONMENTAL, DEMOGRAPHIC AND INFRASTRUCTURAL FACTORS — https://doi.org/10.29119/1641-3466.2026.244.3</w:t>
      </w:r>
    </w:p>
    <w:p>
      <w:pPr>
        <w:pStyle w:val="SourceNote"/>
      </w:pPr>
      <w:r>
        <w:rPr>
          <w:b/>
        </w:rPr>
        <w:t>Review status:</w:t>
      </w:r>
      <w:r>
        <w:t xml:space="preserve"> unchecked — possible relationship only</w:t>
      </w:r>
    </w:p>
    <w:p>
      <w:pPr>
        <w:pStyle w:val="Heading2"/>
      </w:pPr>
      <w:r>
        <w:t>357. Claim + two later sources: Are the European manufacturing and energy sectors on track for achieving net-zero emissions in 2050? An empirical analysis</w:t>
      </w:r>
    </w:p>
    <w:p>
      <w:pPr>
        <w:pStyle w:val="SourceNote"/>
      </w:pPr>
      <w:r>
        <w:rPr>
          <w:b/>
        </w:rPr>
        <w:t>Group ID:</w:t>
      </w:r>
      <w:r>
        <w:t xml:space="preserve"> group-4b3e50cf629fcd685403</w:t>
      </w:r>
    </w:p>
    <w:p>
      <w:pPr>
        <w:pStyle w:val="SourceNote"/>
      </w:pPr>
      <w:r>
        <w:rPr>
          <w:b/>
        </w:rPr>
        <w:t>Original source:</w:t>
      </w:r>
      <w:r>
        <w:t xml:space="preserve"> https://doi.org/10.1016/j.enpol.2021.112464</w:t>
      </w:r>
    </w:p>
    <w:p>
      <w:pPr/>
      <w:r>
        <w:rPr>
          <w:b/>
        </w:rPr>
        <w:t>Original future claim:</w:t>
      </w:r>
      <w:r>
        <w:t xml:space="preserve">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Greenhouse Gas Emissions and Cost of Debt: Evidence From European Firms Under Mandatory and Voluntary Disclosure — https://doi.org/10.1002/bse.70550</w:t>
      </w:r>
    </w:p>
    <w:p>
      <w:pPr>
        <w:pStyle w:val="SourceNote"/>
      </w:pPr>
      <w:r>
        <w:rPr>
          <w:b/>
        </w:rPr>
        <w:t>Review status:</w:t>
      </w:r>
      <w:r>
        <w:t xml:space="preserve"> unchecked — possible relationship only</w:t>
      </w:r>
    </w:p>
    <w:p>
      <w:pPr>
        <w:pStyle w:val="Heading2"/>
      </w:pPr>
      <w:r>
        <w:t>358. Claim + two later sources: Scenarios for renewable energy deployment in North African countries and electricity exchange with Europe – A modelbased analysis for 2050</w:t>
      </w:r>
    </w:p>
    <w:p>
      <w:pPr>
        <w:pStyle w:val="SourceNote"/>
      </w:pPr>
      <w:r>
        <w:rPr>
          <w:b/>
        </w:rPr>
        <w:t>Group ID:</w:t>
      </w:r>
      <w:r>
        <w:t xml:space="preserve"> group-7ff5ea6a2f8a62c4e0b6</w:t>
      </w:r>
    </w:p>
    <w:p>
      <w:pPr>
        <w:pStyle w:val="SourceNote"/>
      </w:pPr>
      <w:r>
        <w:rPr>
          <w:b/>
        </w:rPr>
        <w:t>Original source:</w:t>
      </w:r>
      <w:r>
        <w:t xml:space="preserve"> https://doi.org/10.12720/sgce.3.3.299-306</w:t>
      </w:r>
    </w:p>
    <w:p>
      <w:pPr/>
      <w:r>
        <w:rPr>
          <w:b/>
        </w:rPr>
        <w:t>Original future claim:</w:t>
      </w:r>
      <w:r>
        <w:t xml:space="preserve">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Later source:</w:t>
      </w:r>
      <w:r>
        <w:t xml:space="preserve"> Renewable Energy Deployments at Sea — https://doi.org/10.4018/979-8-3373-5881-9.ch005</w:t>
      </w:r>
    </w:p>
    <w:p>
      <w:pPr/>
      <w:r>
        <w:rPr>
          <w:b/>
        </w:rPr>
        <w:t>Later source:</w:t>
      </w:r>
      <w:r>
        <w:t xml:space="preserve"> North Africa as an emerging green hydrogen hub: Algeria in focus — https://doi.org/10.1016/j.gerr.2026.100171</w:t>
      </w:r>
    </w:p>
    <w:p>
      <w:pPr>
        <w:pStyle w:val="SourceNote"/>
      </w:pPr>
      <w:r>
        <w:rPr>
          <w:b/>
        </w:rPr>
        <w:t>Review status:</w:t>
      </w:r>
      <w:r>
        <w:t xml:space="preserve"> unchecked — possible relationship only</w:t>
      </w:r>
    </w:p>
    <w:p>
      <w:pPr>
        <w:pStyle w:val="Heading2"/>
      </w:pPr>
      <w:r>
        <w:t>359. Claim + two later sources: ClimateEU, scale-free climate normals, historical time series, and future projections for Europe</w:t>
      </w:r>
    </w:p>
    <w:p>
      <w:pPr>
        <w:pStyle w:val="SourceNote"/>
      </w:pPr>
      <w:r>
        <w:rPr>
          <w:b/>
        </w:rPr>
        <w:t>Group ID:</w:t>
      </w:r>
      <w:r>
        <w:t xml:space="preserve"> group-b4c17acaa0be9aafcdcb</w:t>
      </w:r>
    </w:p>
    <w:p>
      <w:pPr>
        <w:pStyle w:val="SourceNote"/>
      </w:pPr>
      <w:r>
        <w:rPr>
          <w:b/>
        </w:rPr>
        <w:t>Original source:</w:t>
      </w:r>
      <w:r>
        <w:t xml:space="preserve"> https://doi.org/10.1038/s41597-020-00763-0</w:t>
      </w:r>
    </w:p>
    <w:p>
      <w:pPr/>
      <w:r>
        <w:rPr>
          <w:b/>
        </w:rPr>
        <w:t>Original future claim:</w:t>
      </w:r>
      <w:r>
        <w:t xml:space="preserve">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Later source:</w:t>
      </w:r>
      <w:r>
        <w:t xml:space="preserve"> Unveiling the environmental impact of earthquakes in Europe — https://doi.org/10.1038/s41467-025-68120-6</w:t>
      </w:r>
    </w:p>
    <w:p>
      <w:pPr/>
      <w:r>
        <w:rPr>
          <w:b/>
        </w:rPr>
        <w:t>Later source:</w:t>
      </w:r>
      <w:r>
        <w:t xml:space="preserve"> Synthesised database of wild bee and hoverfly records in Europe — https://doi.org/10.1038/s41597-026-06644-2</w:t>
      </w:r>
    </w:p>
    <w:p>
      <w:pPr>
        <w:pStyle w:val="SourceNote"/>
      </w:pPr>
      <w:r>
        <w:rPr>
          <w:b/>
        </w:rPr>
        <w:t>Review status:</w:t>
      </w:r>
      <w:r>
        <w:t xml:space="preserve"> unchecked — possible relationship only</w:t>
      </w:r>
    </w:p>
    <w:p>
      <w:pPr>
        <w:pStyle w:val="Heading2"/>
      </w:pPr>
      <w:r>
        <w:t>360. Claim + two later sources: Brexit and Its Impact on Poland’s Policy Towards Europe – An Attempt to Forecast</w:t>
      </w:r>
    </w:p>
    <w:p>
      <w:pPr>
        <w:pStyle w:val="SourceNote"/>
      </w:pPr>
      <w:r>
        <w:rPr>
          <w:b/>
        </w:rPr>
        <w:t>Group ID:</w:t>
      </w:r>
      <w:r>
        <w:t xml:space="preserve"> group-cfad5b035473f6ab110e</w:t>
      </w:r>
    </w:p>
    <w:p>
      <w:pPr>
        <w:pStyle w:val="SourceNote"/>
      </w:pPr>
      <w:r>
        <w:rPr>
          <w:b/>
        </w:rPr>
        <w:t>Original source:</w:t>
      </w:r>
      <w:r>
        <w:t xml:space="preserve"> https://doi.org/10.33067/se.2.2020.5</w:t>
      </w:r>
    </w:p>
    <w:p>
      <w:pPr/>
      <w:r>
        <w:rPr>
          <w:b/>
        </w:rPr>
        <w:t>Original future claim:</w:t>
      </w:r>
      <w:r>
        <w:t xml:space="preserve">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Later source:</w:t>
      </w:r>
      <w:r>
        <w:t xml:space="preserve"> Poland’s Foreign Policy Transformation in the Post-Cold War Era — https://doi.org/10.17067/asm.1757362</w:t>
      </w:r>
    </w:p>
    <w:p>
      <w:pPr/>
      <w:r>
        <w:rPr>
          <w:b/>
        </w:rPr>
        <w:t>Later source:</w:t>
      </w:r>
      <w:r>
        <w:t xml:space="preserve"> Plan for a Structural Peace and a New European Security Architecture — https://doi.org/10.5281/zenodo.18623705</w:t>
      </w:r>
    </w:p>
    <w:p>
      <w:pPr>
        <w:pStyle w:val="SourceNote"/>
      </w:pPr>
      <w:r>
        <w:rPr>
          <w:b/>
        </w:rPr>
        <w:t>Review status:</w:t>
      </w:r>
      <w:r>
        <w:t xml:space="preserve"> unchecked — possible relationship only</w:t>
      </w:r>
    </w:p>
    <w:p>
      <w:pPr>
        <w:pStyle w:val="Heading2"/>
      </w:pPr>
      <w:r>
        <w:t>361. Claim + two later sources: The use of probabilistic weather generator information for climate change adaptation in the UK water sector</w:t>
      </w:r>
    </w:p>
    <w:p>
      <w:pPr>
        <w:pStyle w:val="SourceNote"/>
      </w:pPr>
      <w:r>
        <w:rPr>
          <w:b/>
        </w:rPr>
        <w:t>Group ID:</w:t>
      </w:r>
      <w:r>
        <w:t xml:space="preserve"> group-f16bc564c9afc5bdc3c7</w:t>
      </w:r>
    </w:p>
    <w:p>
      <w:pPr>
        <w:pStyle w:val="SourceNote"/>
      </w:pPr>
      <w:r>
        <w:rPr>
          <w:b/>
        </w:rPr>
        <w:t>Original source:</w:t>
      </w:r>
      <w:r>
        <w:t xml:space="preserve"> https://doi.org/10.1002/met.1335</w:t>
      </w:r>
    </w:p>
    <w:p>
      <w:pPr/>
      <w:r>
        <w:rPr>
          <w:b/>
        </w:rPr>
        <w:t>Original future claim:</w:t>
      </w:r>
      <w:r>
        <w:t xml:space="preserve">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Later source:</w:t>
      </w:r>
      <w:r>
        <w:t xml:space="preserve"> Association between depressive symptoms and physical function among participants with heart disease in the Reasons for Geographic And Racial Differences in Stroke (REGARDS) study — https://doi.org/10.64898/2026.06.09.26355319</w:t>
      </w:r>
    </w:p>
    <w:p>
      <w:pPr/>
      <w:r>
        <w:rPr>
          <w:b/>
        </w:rPr>
        <w:t>Later source:</w:t>
      </w:r>
      <w:r>
        <w:t xml:space="preserve"> Potential effect of replacing sedentary behavior with physical activity on the risk of atrial fibrillation: results from the UK Biobank and REGARDS study — https://doi.org/10.64898/2026.10.02.26364589</w:t>
      </w:r>
    </w:p>
    <w:p>
      <w:pPr>
        <w:pStyle w:val="SourceNote"/>
      </w:pPr>
      <w:r>
        <w:rPr>
          <w:b/>
        </w:rPr>
        <w:t>Review status:</w:t>
      </w:r>
      <w:r>
        <w:t xml:space="preserve"> unchecked — possible relationship only</w:t>
      </w:r>
    </w:p>
    <w:p>
      <w:pPr>
        <w:pStyle w:val="Heading2"/>
      </w:pPr>
      <w:r>
        <w:t>362. Claim + two later sources: Renewable jet fuel supply scenarios in the European Union in 2021–2030 in the context of proposed biofuel policy and competing biomass demand</w:t>
      </w:r>
    </w:p>
    <w:p>
      <w:pPr>
        <w:pStyle w:val="SourceNote"/>
      </w:pPr>
      <w:r>
        <w:rPr>
          <w:b/>
        </w:rPr>
        <w:t>Group ID:</w:t>
      </w:r>
      <w:r>
        <w:t xml:space="preserve"> group-27d1316b79223ab724d2</w:t>
      </w:r>
    </w:p>
    <w:p>
      <w:pPr>
        <w:pStyle w:val="SourceNote"/>
      </w:pPr>
      <w:r>
        <w:rPr>
          <w:b/>
        </w:rPr>
        <w:t>Original source:</w:t>
      </w:r>
      <w:r>
        <w:t xml:space="preserve"> https://doi.org/10.1111/gcbb.12525</w:t>
      </w:r>
    </w:p>
    <w:p>
      <w:pPr/>
      <w:r>
        <w:rPr>
          <w:b/>
        </w:rPr>
        <w:t>Original future claim:</w:t>
      </w:r>
      <w:r>
        <w:t xml:space="preserve">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Later source:</w:t>
      </w:r>
      <w:r>
        <w:t xml:space="preserve"> Biofuels, green finance, and economic expansion: empirical evidence from the European Union — https://doi.org/10.1186/s40854-025-00825-5</w:t>
      </w:r>
    </w:p>
    <w:p>
      <w:pPr/>
      <w:r>
        <w:rPr>
          <w:b/>
        </w:rPr>
        <w:t>Later source:</w:t>
      </w:r>
      <w:r>
        <w:t xml:space="preserve"> Optimizing biomass use for carbon storage and land use with the OptiBiU model — https://doi.org/10.1002/bbb.70123</w:t>
      </w:r>
    </w:p>
    <w:p>
      <w:pPr>
        <w:pStyle w:val="SourceNote"/>
      </w:pPr>
      <w:r>
        <w:rPr>
          <w:b/>
        </w:rPr>
        <w:t>Review status:</w:t>
      </w:r>
      <w:r>
        <w:t xml:space="preserve"> unchecked — possible relationship only</w:t>
      </w:r>
    </w:p>
    <w:p>
      <w:pPr>
        <w:pStyle w:val="Heading2"/>
      </w:pPr>
      <w:r>
        <w:t>363. Claim + two later sources: Making sense of the future: visions and transition pathways of laypeople and professionals from six EU countries</w:t>
      </w:r>
    </w:p>
    <w:p>
      <w:pPr>
        <w:pStyle w:val="SourceNote"/>
      </w:pPr>
      <w:r>
        <w:rPr>
          <w:b/>
        </w:rPr>
        <w:t>Group ID:</w:t>
      </w:r>
      <w:r>
        <w:t xml:space="preserve"> group-cbbb6698fbb2a885c8e5</w:t>
      </w:r>
    </w:p>
    <w:p>
      <w:pPr>
        <w:pStyle w:val="SourceNote"/>
      </w:pPr>
      <w:r>
        <w:rPr>
          <w:b/>
        </w:rPr>
        <w:t>Original source:</w:t>
      </w:r>
      <w:r>
        <w:t xml:space="preserve"> https://doi.org/10.1080/11287462.2014.957010</w:t>
      </w:r>
    </w:p>
    <w:p>
      <w:pPr/>
      <w:r>
        <w:rPr>
          <w:b/>
        </w:rPr>
        <w:t>Original future claim:</w:t>
      </w:r>
      <w:r>
        <w:t xml:space="preserve">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Later source:</w:t>
      </w:r>
      <w:r>
        <w:t xml:space="preserve"> Friedreich's ataxia patient pathway in Europe — https://doi.org/10.3389/frhs.2026.1817584</w:t>
      </w:r>
    </w:p>
    <w:p>
      <w:pPr/>
      <w:r>
        <w:rPr>
          <w:b/>
        </w:rPr>
        <w:t>Later source:</w:t>
      </w:r>
      <w:r>
        <w:t xml:space="preserve"> Pathways to Circularity: Engagement Patterns of European SMEs in the Circular Economy — https://doi.org/10.1002/bse.4192</w:t>
      </w:r>
    </w:p>
    <w:p>
      <w:pPr>
        <w:pStyle w:val="SourceNote"/>
      </w:pPr>
      <w:r>
        <w:rPr>
          <w:b/>
        </w:rPr>
        <w:t>Review status:</w:t>
      </w:r>
      <w:r>
        <w:t xml:space="preserve"> unchecked — possible relationship only</w:t>
      </w:r>
    </w:p>
    <w:p>
      <w:pPr>
        <w:pStyle w:val="Heading2"/>
      </w:pPr>
      <w:r>
        <w:t>364. Claim + two later sources: Energy Community in Action—Energy Citizenship Contract as Tool for Climate Neutrality</w:t>
      </w:r>
    </w:p>
    <w:p>
      <w:pPr>
        <w:pStyle w:val="SourceNote"/>
      </w:pPr>
      <w:r>
        <w:rPr>
          <w:b/>
        </w:rPr>
        <w:t>Group ID:</w:t>
      </w:r>
      <w:r>
        <w:t xml:space="preserve"> group-a5a24a033f5762b27303</w:t>
      </w:r>
    </w:p>
    <w:p>
      <w:pPr>
        <w:pStyle w:val="SourceNote"/>
      </w:pPr>
      <w:r>
        <w:rPr>
          <w:b/>
        </w:rPr>
        <w:t>Original source:</w:t>
      </w:r>
      <w:r>
        <w:t xml:space="preserve"> https://doi.org/10.3390/smartcities5010018</w:t>
      </w:r>
    </w:p>
    <w:p>
      <w:pPr/>
      <w:r>
        <w:rPr>
          <w:b/>
        </w:rPr>
        <w:t>Original future claim:</w:t>
      </w:r>
      <w:r>
        <w:t xml:space="preserve"> Incisive actions are fundamental to bring cities towards climate neutrality by 2050 working by and for the citizens. For this reason, the “100 climate-neutral cities Mission” anticipates the target of climate neutrality by 2030.</w:t>
      </w:r>
    </w:p>
    <w:p>
      <w:pPr/>
      <w:r>
        <w:rPr>
          <w:b/>
        </w:rPr>
        <w:t>Later source:</w:t>
      </w:r>
      <w:r>
        <w:t xml:space="preserve"> Types of Threatening Actions in Critical Realist Literature (1930-1945) and Their Evolution in Contemporary Vietnamese Literature — https://doi.org/10.62225/2583049x.2026.6.1.5518</w:t>
      </w:r>
    </w:p>
    <w:p>
      <w:pPr/>
      <w:r>
        <w:rPr>
          <w:b/>
        </w:rPr>
        <w:t>Later source:</w:t>
      </w:r>
      <w:r>
        <w:t xml:space="preserve"> Review: Replumbing the City: Water Management as Climate Adaptation in Los Angeles , by Sayd Randle — https://doi.org/10.1525/ch.2026.103.1.117</w:t>
      </w:r>
    </w:p>
    <w:p>
      <w:pPr>
        <w:pStyle w:val="SourceNote"/>
      </w:pPr>
      <w:r>
        <w:rPr>
          <w:b/>
        </w:rPr>
        <w:t>Review status:</w:t>
      </w:r>
      <w:r>
        <w:t xml:space="preserve"> unchecked — possible relationship only</w:t>
      </w:r>
    </w:p>
    <w:p>
      <w:pPr>
        <w:pStyle w:val="Heading2"/>
      </w:pPr>
      <w:r>
        <w:t>365. Claim + two later sources: Futurescapes: expectations in Europe for relative effectiveness evidence for drugs in 2020</w:t>
      </w:r>
    </w:p>
    <w:p>
      <w:pPr>
        <w:pStyle w:val="SourceNote"/>
      </w:pPr>
      <w:r>
        <w:rPr>
          <w:b/>
        </w:rPr>
        <w:t>Group ID:</w:t>
      </w:r>
      <w:r>
        <w:t xml:space="preserve"> group-7e07cd055e05f6549992</w:t>
      </w:r>
    </w:p>
    <w:p>
      <w:pPr>
        <w:pStyle w:val="SourceNote"/>
      </w:pPr>
      <w:r>
        <w:rPr>
          <w:b/>
        </w:rPr>
        <w:t>Original source:</w:t>
      </w:r>
      <w:r>
        <w:t xml:space="preserve"> https://doi.org/10.2217/cer.15.7</w:t>
      </w:r>
    </w:p>
    <w:p>
      <w:pPr/>
      <w:r>
        <w:rPr>
          <w:b/>
        </w:rPr>
        <w:t>Original future claim:</w:t>
      </w:r>
      <w:r>
        <w:t xml:space="preserve"> The most likely scenario entailed some change with postlaunch regulatory studies driving the likely nature of RE evidence generated.</w:t>
      </w:r>
    </w:p>
    <w:p>
      <w:pPr/>
      <w:r>
        <w:rPr>
          <w:b/>
        </w:rPr>
        <w:t>Later source:</w:t>
      </w:r>
      <w:r>
        <w:t xml:space="preserve"> The Regulatory Landscape of ESG — https://doi.org/10.64054/9798270715366-9</w:t>
      </w:r>
    </w:p>
    <w:p>
      <w:pPr/>
      <w:r>
        <w:rPr>
          <w:b/>
        </w:rPr>
        <w:t>Later source:</w:t>
      </w:r>
      <w:r>
        <w:t xml:space="preserve"> Seasonal Climate Change in Europe Over the Last Thousand Years as a Social Challenge — https://doi.org/10.1093/acrefore/9780190228620.013.980</w:t>
      </w:r>
    </w:p>
    <w:p>
      <w:pPr>
        <w:pStyle w:val="SourceNote"/>
      </w:pPr>
      <w:r>
        <w:rPr>
          <w:b/>
        </w:rPr>
        <w:t>Review status:</w:t>
      </w:r>
      <w:r>
        <w:t xml:space="preserve"> unchecked — possible relationship only</w:t>
      </w:r>
    </w:p>
    <w:p>
      <w:pPr>
        <w:pStyle w:val="Heading2"/>
      </w:pPr>
      <w:r>
        <w:t>366. Claim + two later sources: The impact of EU Climate/Energy policies on Belgium’s energy dependence up to 2050</w:t>
      </w:r>
    </w:p>
    <w:p>
      <w:pPr>
        <w:pStyle w:val="SourceNote"/>
      </w:pPr>
      <w:r>
        <w:rPr>
          <w:b/>
        </w:rPr>
        <w:t>Group ID:</w:t>
      </w:r>
      <w:r>
        <w:t xml:space="preserve"> group-4b20783f6f072afc1b7f</w:t>
      </w:r>
    </w:p>
    <w:p>
      <w:pPr>
        <w:pStyle w:val="SourceNote"/>
      </w:pPr>
      <w:r>
        <w:rPr>
          <w:b/>
        </w:rPr>
        <w:t>Original source:</w:t>
      </w:r>
      <w:r>
        <w:t xml:space="preserve"> https://doi.org/10.3917/rpve.541.0021</w:t>
      </w:r>
    </w:p>
    <w:p>
      <w:pPr/>
      <w:r>
        <w:rPr>
          <w:b/>
        </w:rPr>
        <w:t>Original future claim:</w:t>
      </w:r>
      <w:r>
        <w:t xml:space="preserve">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Later source:</w:t>
      </w:r>
      <w:r>
        <w:t xml:space="preserve"> Du cinéma au baccalauréat ? Définir une « matière cinéma » au lycée (1984-1995) — https://doi.org/10.4000/155qy</w:t>
      </w:r>
    </w:p>
    <w:p>
      <w:pPr/>
      <w:r>
        <w:rPr>
          <w:b/>
        </w:rPr>
        <w:t>Later source:</w:t>
      </w:r>
      <w:r>
        <w:t xml:space="preserve"> Andreï Roublev de Tarkovski : une hagiographie filmique ? — https://doi.org/10.66488/ulqg8172</w:t>
      </w:r>
    </w:p>
    <w:p>
      <w:pPr>
        <w:pStyle w:val="SourceNote"/>
      </w:pPr>
      <w:r>
        <w:rPr>
          <w:b/>
        </w:rPr>
        <w:t>Review status:</w:t>
      </w:r>
      <w:r>
        <w:t xml:space="preserve"> unchecked — possible relationship only</w:t>
      </w:r>
    </w:p>
    <w:p>
      <w:pPr>
        <w:pStyle w:val="Heading2"/>
      </w:pPr>
      <w:r>
        <w:t>367. Claim + two later sources: The Future of European Labour Law and the Right to Employability</w:t>
      </w:r>
    </w:p>
    <w:p>
      <w:pPr>
        <w:pStyle w:val="SourceNote"/>
      </w:pPr>
      <w:r>
        <w:rPr>
          <w:b/>
        </w:rPr>
        <w:t>Group ID:</w:t>
      </w:r>
      <w:r>
        <w:t xml:space="preserve"> group-beb3f289a886b7dedd90</w:t>
      </w:r>
    </w:p>
    <w:p>
      <w:pPr>
        <w:pStyle w:val="SourceNote"/>
      </w:pPr>
      <w:r>
        <w:rPr>
          <w:b/>
        </w:rPr>
        <w:t>Original source:</w:t>
      </w:r>
      <w:r>
        <w:t xml:space="preserve"> https://doi.org/10.1177/201395251600700311</w:t>
      </w:r>
    </w:p>
    <w:p>
      <w:pPr/>
      <w:r>
        <w:rPr>
          <w:b/>
        </w:rPr>
        <w:t>Original future claim:</w:t>
      </w:r>
      <w:r>
        <w:t xml:space="preserve">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Later source:</w:t>
      </w:r>
      <w:r>
        <w:t xml:space="preserve"> THE IMPACT OF MERGERS AND ACQUISITIONS ON THE PERFORMANCE OF EUROPEAN PHARMACEUTICAL COMPANIES: A CURRENT STATUS REVIEW — https://doi.org/10.36871/ek.up.p.r.2026.01.02.004</w:t>
      </w:r>
    </w:p>
    <w:p>
      <w:pPr/>
      <w:r>
        <w:rPr>
          <w:b/>
        </w:rPr>
        <w:t>Later source:</w:t>
      </w:r>
      <w:r>
        <w:t xml:space="preserve"> Guiding AI in radiology: ESR’s recommendations for effective implementation of the European AI Act — https://doi.org/10.1186/s13244-025-01905-x</w:t>
      </w:r>
    </w:p>
    <w:p>
      <w:pPr>
        <w:pStyle w:val="SourceNote"/>
      </w:pPr>
      <w:r>
        <w:rPr>
          <w:b/>
        </w:rPr>
        <w:t>Review status:</w:t>
      </w:r>
      <w:r>
        <w:t xml:space="preserve"> unchecked — possible relationship only</w:t>
      </w:r>
    </w:p>
    <w:p>
      <w:pPr>
        <w:pStyle w:val="Heading2"/>
      </w:pPr>
      <w:r>
        <w:t>368. Claim + two later sources: UK-EU RELATIONSHIP AFTER BREXIT: AN EXERCISE IN SCENARIO-BUILDING</w:t>
      </w:r>
    </w:p>
    <w:p>
      <w:pPr>
        <w:pStyle w:val="SourceNote"/>
      </w:pPr>
      <w:r>
        <w:rPr>
          <w:b/>
        </w:rPr>
        <w:t>Group ID:</w:t>
      </w:r>
      <w:r>
        <w:t xml:space="preserve"> group-5ea4cde43619700333bd</w:t>
      </w:r>
    </w:p>
    <w:p>
      <w:pPr>
        <w:pStyle w:val="SourceNote"/>
      </w:pPr>
      <w:r>
        <w:rPr>
          <w:b/>
        </w:rPr>
        <w:t>Original source:</w:t>
      </w:r>
      <w:r>
        <w:t xml:space="preserve"> https://doi.org/10.9770/jssi.2018.8.1(3)</w:t>
      </w:r>
    </w:p>
    <w:p>
      <w:pPr/>
      <w:r>
        <w:rPr>
          <w:b/>
        </w:rPr>
        <w:t>Original future claim:</w:t>
      </w:r>
      <w:r>
        <w:t xml:space="preserve">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Later source:</w:t>
      </w:r>
      <w:r>
        <w:t xml:space="preserve"> Reviewing former critical analyses of subsidy policies in Europe — https://doi.org/10.14267/retp2026.02.06</w:t>
      </w:r>
    </w:p>
    <w:p>
      <w:pPr/>
      <w:r>
        <w:rPr>
          <w:b/>
        </w:rPr>
        <w:t>Later source:</w:t>
      </w:r>
      <w:r>
        <w:t xml:space="preserve"> Exploring the Presence and Absence of Academic Discourse on Public Participation in the European Green Deal: A Central and Eastern European Perspective — https://doi.org/10.3390/soc15030049</w:t>
      </w:r>
    </w:p>
    <w:p>
      <w:pPr>
        <w:pStyle w:val="SourceNote"/>
      </w:pPr>
      <w:r>
        <w:rPr>
          <w:b/>
        </w:rPr>
        <w:t>Review status:</w:t>
      </w:r>
      <w:r>
        <w:t xml:space="preserve"> unchecked — possible relationship only</w:t>
      </w:r>
    </w:p>
    <w:p>
      <w:pPr>
        <w:pStyle w:val="Heading2"/>
      </w:pPr>
      <w:r>
        <w:t>369. Claim + two later sources: Potential of extensification of European agriculture for a more sustainable food system, focusing on nitrogen</w:t>
      </w:r>
    </w:p>
    <w:p>
      <w:pPr>
        <w:pStyle w:val="SourceNote"/>
      </w:pPr>
      <w:r>
        <w:rPr>
          <w:b/>
        </w:rPr>
        <w:t>Group ID:</w:t>
      </w:r>
      <w:r>
        <w:t xml:space="preserve"> group-dae6fdb16963d350c54d</w:t>
      </w:r>
    </w:p>
    <w:p>
      <w:pPr>
        <w:pStyle w:val="SourceNote"/>
      </w:pPr>
      <w:r>
        <w:rPr>
          <w:b/>
        </w:rPr>
        <w:t>Original source:</w:t>
      </w:r>
      <w:r>
        <w:t xml:space="preserve"> https://doi.org/10.1088/1748-9326/10/2/025002</w:t>
      </w:r>
    </w:p>
    <w:p>
      <w:pPr/>
      <w:r>
        <w:rPr>
          <w:b/>
        </w:rPr>
        <w:t>Original future claim:</w:t>
      </w:r>
      <w:r>
        <w:t xml:space="preserve">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Later source:</w:t>
      </w:r>
      <w:r>
        <w:t xml:space="preserve"> Stranded assets in European agriculture during food system transformations — https://doi.org/10.1038/s43016-025-01283-z</w:t>
      </w:r>
    </w:p>
    <w:p>
      <w:pPr/>
      <w:r>
        <w:rPr>
          <w:b/>
        </w:rPr>
        <w:t>Later source:</w:t>
      </w:r>
      <w:r>
        <w:t xml:space="preserve"> Environmental impacts from European food consumption can be reduced with carbon pricing or a value-added tax reform — https://doi.org/10.1038/s43016-025-01284-y</w:t>
      </w:r>
    </w:p>
    <w:p>
      <w:pPr>
        <w:pStyle w:val="SourceNote"/>
      </w:pPr>
      <w:r>
        <w:rPr>
          <w:b/>
        </w:rPr>
        <w:t>Review status:</w:t>
      </w:r>
      <w:r>
        <w:t xml:space="preserve"> unchecked — possible relationship only</w:t>
      </w:r>
    </w:p>
    <w:p>
      <w:pPr>
        <w:pStyle w:val="Heading2"/>
      </w:pPr>
      <w:r>
        <w:t>370. Claim + two later sources: Efficiency of the European Union farm types: Scenarios with and without the 2013 CAP measures</w:t>
      </w:r>
    </w:p>
    <w:p>
      <w:pPr>
        <w:pStyle w:val="SourceNote"/>
      </w:pPr>
      <w:r>
        <w:rPr>
          <w:b/>
        </w:rPr>
        <w:t>Group ID:</w:t>
      </w:r>
      <w:r>
        <w:t xml:space="preserve"> group-a2d20667e3735d1bc313</w:t>
      </w:r>
    </w:p>
    <w:p>
      <w:pPr>
        <w:pStyle w:val="SourceNote"/>
      </w:pPr>
      <w:r>
        <w:rPr>
          <w:b/>
        </w:rPr>
        <w:t>Original source:</w:t>
      </w:r>
      <w:r>
        <w:t xml:space="preserve"> https://doi.org/10.1515/opag-2022-0071</w:t>
      </w:r>
    </w:p>
    <w:p>
      <w:pPr/>
      <w:r>
        <w:rPr>
          <w:b/>
        </w:rPr>
        <w:t>Original future claim:</w:t>
      </w:r>
      <w:r>
        <w:t xml:space="preserve">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Later source:</w:t>
      </w:r>
      <w:r>
        <w:t xml:space="preserve"> Unveiling on-farm anaerobic digestion systems diversity: A typology analysis of Northern French farms — https://doi.org/10.1016/j.nexres.2026.101486</w:t>
      </w:r>
    </w:p>
    <w:p>
      <w:pPr/>
      <w:r>
        <w:rPr>
          <w:b/>
        </w:rPr>
        <w:t>Later source:</w:t>
      </w:r>
      <w:r>
        <w:t xml:space="preserve"> Land-Use Evolution and Trends in Portugal: An Approach Based on the Standard Output — https://doi.org/10.3390/su18020791</w:t>
      </w:r>
    </w:p>
    <w:p>
      <w:pPr>
        <w:pStyle w:val="SourceNote"/>
      </w:pPr>
      <w:r>
        <w:rPr>
          <w:b/>
        </w:rPr>
        <w:t>Review status:</w:t>
      </w:r>
      <w:r>
        <w:t xml:space="preserve"> unchecked — possible relationship only</w:t>
      </w:r>
    </w:p>
    <w:p>
      <w:pPr>
        <w:pStyle w:val="Heading2"/>
      </w:pPr>
      <w:r>
        <w:t>371. Claim + two later sources: Towards a decarbonised building stock by 2050: The meaning and the role of zero emission buildings (ZEBs) in Europe</w:t>
      </w:r>
    </w:p>
    <w:p>
      <w:pPr>
        <w:pStyle w:val="SourceNote"/>
      </w:pPr>
      <w:r>
        <w:rPr>
          <w:b/>
        </w:rPr>
        <w:t>Group ID:</w:t>
      </w:r>
      <w:r>
        <w:t xml:space="preserve"> group-d60d199a42b3c437b2b6</w:t>
      </w:r>
    </w:p>
    <w:p>
      <w:pPr>
        <w:pStyle w:val="SourceNote"/>
      </w:pPr>
      <w:r>
        <w:rPr>
          <w:b/>
        </w:rPr>
        <w:t>Original source:</w:t>
      </w:r>
      <w:r>
        <w:t xml:space="preserve"> https://doi.org/10.1016/j.esr.2022.101009</w:t>
      </w:r>
    </w:p>
    <w:p>
      <w:pPr/>
      <w:r>
        <w:rPr>
          <w:b/>
        </w:rPr>
        <w:t>Original future claim:</w:t>
      </w:r>
      <w:r>
        <w:t xml:space="preserve"> The revision of the Energy Performance of Building Directive (EPBD) sets out how Europe can achieve a decarbonised building stock by 2050.</w:t>
      </w:r>
    </w:p>
    <w:p>
      <w:pPr/>
      <w:r>
        <w:rPr>
          <w:b/>
        </w:rPr>
        <w:t>Later source:</w:t>
      </w:r>
      <w:r>
        <w:t xml:space="preserve"> European Energy Performance of Buildings Directive and Cultural Heritage — https://openalex.org/W7126308985</w:t>
      </w:r>
    </w:p>
    <w:p>
      <w:pPr/>
      <w:r>
        <w:rPr>
          <w:b/>
        </w:rPr>
        <w:t>Later source:</w:t>
      </w:r>
      <w:r>
        <w:t xml:space="preserve"> Building renovation passports for affordable and digital deep renovation — https://doi.org/10.1016/j.enbuild.2026.117259</w:t>
      </w:r>
    </w:p>
    <w:p>
      <w:pPr>
        <w:pStyle w:val="SourceNote"/>
      </w:pPr>
      <w:r>
        <w:rPr>
          <w:b/>
        </w:rPr>
        <w:t>Review status:</w:t>
      </w:r>
      <w:r>
        <w:t xml:space="preserve"> unchecked — possible relationship only</w:t>
      </w:r>
    </w:p>
    <w:p>
      <w:pPr>
        <w:pStyle w:val="Heading2"/>
      </w:pPr>
      <w:r>
        <w:t>372. Claim + two later sources: New European socio-economic scenarios for climate change research: operationalising concepts to extend the shared socio-economic pathways</w:t>
      </w:r>
    </w:p>
    <w:p>
      <w:pPr>
        <w:pStyle w:val="SourceNote"/>
      </w:pPr>
      <w:r>
        <w:rPr>
          <w:b/>
        </w:rPr>
        <w:t>Group ID:</w:t>
      </w:r>
      <w:r>
        <w:t xml:space="preserve"> group-88f0b2b49a52107a618a</w:t>
      </w:r>
    </w:p>
    <w:p>
      <w:pPr>
        <w:pStyle w:val="SourceNote"/>
      </w:pPr>
      <w:r>
        <w:rPr>
          <w:b/>
        </w:rPr>
        <w:t>Original source:</w:t>
      </w:r>
      <w:r>
        <w:t xml:space="preserve"> https://doi.org/10.1007/s10113-018-1400-0</w:t>
      </w:r>
    </w:p>
    <w:p>
      <w:pPr/>
      <w:r>
        <w:rPr>
          <w:b/>
        </w:rPr>
        <w:t>Original future claim:</w:t>
      </w:r>
      <w:r>
        <w:t xml:space="preserve">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Later source:</w:t>
      </w:r>
      <w:r>
        <w:t xml:space="preserve"> Unveiling the environmental impact of earthquakes in Europe — https://doi.org/10.1038/s41467-025-68120-6</w:t>
      </w:r>
    </w:p>
    <w:p>
      <w:pPr/>
      <w:r>
        <w:rPr>
          <w:b/>
        </w:rPr>
        <w:t>Later source:</w:t>
      </w:r>
      <w:r>
        <w:t xml:space="preserve"> Retrospective pig welfare assessment at rendering plants – a useful tool for monitoring and inspection — https://doi.org/10.1186/s40813-026-00504-6</w:t>
      </w:r>
    </w:p>
    <w:p>
      <w:pPr>
        <w:pStyle w:val="SourceNote"/>
      </w:pPr>
      <w:r>
        <w:rPr>
          <w:b/>
        </w:rPr>
        <w:t>Review status:</w:t>
      </w:r>
      <w:r>
        <w:t xml:space="preserve"> unchecked — possible relationship only</w:t>
      </w:r>
    </w:p>
    <w:p>
      <w:pPr>
        <w:pStyle w:val="Heading2"/>
      </w:pPr>
      <w:r>
        <w:t>373. Claim + two later sources: On European metropolisation scenarios and the future course of metropolitan development in Poland</w:t>
      </w:r>
    </w:p>
    <w:p>
      <w:pPr>
        <w:pStyle w:val="SourceNote"/>
      </w:pPr>
      <w:r>
        <w:rPr>
          <w:b/>
        </w:rPr>
        <w:t>Group ID:</w:t>
      </w:r>
      <w:r>
        <w:t xml:space="preserve"> group-8ebdac7cd8b6cc689aec</w:t>
      </w:r>
    </w:p>
    <w:p>
      <w:pPr>
        <w:pStyle w:val="SourceNote"/>
      </w:pPr>
      <w:r>
        <w:rPr>
          <w:b/>
        </w:rPr>
        <w:t>Original source:</w:t>
      </w:r>
      <w:r>
        <w:t xml:space="preserve"> https://doi.org/10.7163/gpol.0008</w:t>
      </w:r>
    </w:p>
    <w:p>
      <w:pPr/>
      <w:r>
        <w:rPr>
          <w:b/>
        </w:rPr>
        <w:t>Original future claim:</w:t>
      </w:r>
      <w:r>
        <w:t xml:space="preserve">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Later source:</w:t>
      </w:r>
      <w:r>
        <w:t xml:space="preserve"> Was there no alternative? Socialist debates and reform projects in late Cold War Europe and beyond — https://doi.org/10.1080/13507486.2025.2605543</w:t>
      </w:r>
    </w:p>
    <w:p>
      <w:pPr/>
      <w:r>
        <w:rPr>
          <w:b/>
        </w:rPr>
        <w:t>Later source:</w:t>
      </w:r>
      <w:r>
        <w:t xml:space="preserve"> Disclosure of alternative performance measures among european firms: the role of leverage, loss and opportunism — https://doi.org/10.1108/jfra-08-2025-0670</w:t>
      </w:r>
    </w:p>
    <w:p>
      <w:pPr>
        <w:pStyle w:val="SourceNote"/>
      </w:pPr>
      <w:r>
        <w:rPr>
          <w:b/>
        </w:rPr>
        <w:t>Review status:</w:t>
      </w:r>
      <w:r>
        <w:t xml:space="preserve"> unchecked — possible relationship only</w:t>
      </w:r>
    </w:p>
    <w:p>
      <w:pPr>
        <w:pStyle w:val="Heading2"/>
      </w:pPr>
      <w:r>
        <w:t>374. Claim + two later sources: Convergence of Population Structures of the European Union Member States—The Past and the Future</w:t>
      </w:r>
    </w:p>
    <w:p>
      <w:pPr>
        <w:pStyle w:val="SourceNote"/>
      </w:pPr>
      <w:r>
        <w:rPr>
          <w:b/>
        </w:rPr>
        <w:t>Group ID:</w:t>
      </w:r>
      <w:r>
        <w:t xml:space="preserve"> group-db3313e08570228e75cb</w:t>
      </w:r>
    </w:p>
    <w:p>
      <w:pPr>
        <w:pStyle w:val="SourceNote"/>
      </w:pPr>
      <w:r>
        <w:rPr>
          <w:b/>
        </w:rPr>
        <w:t>Original source:</w:t>
      </w:r>
      <w:r>
        <w:t xml:space="preserve"> https://doi.org/10.3390/su14021024</w:t>
      </w:r>
    </w:p>
    <w:p>
      <w:pPr/>
      <w:r>
        <w:rPr>
          <w:b/>
        </w:rPr>
        <w:t>Original future claim:</w:t>
      </w:r>
      <w:r>
        <w:t xml:space="preserve">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Later source:</w:t>
      </w:r>
      <w:r>
        <w:t xml:space="preserve"> Integrating Multifactorial Regression Models, Artificial Neural Networks, and Eco-Dynamic Simulations for Assessing Energy Sustainability in the European Union and Emerging Member States — https://doi.org/10.3390/app16042011</w:t>
      </w:r>
    </w:p>
    <w:p>
      <w:pPr/>
      <w:r>
        <w:rPr>
          <w:b/>
        </w:rPr>
        <w:t>Later source:</w:t>
      </w:r>
      <w:r>
        <w:t xml:space="preserve"> A Macroeconomic and Technological Perspective on the Sustainable Valorization of Plant-Based Waste Streams in European States — https://doi.org/10.3390/su18052163</w:t>
      </w:r>
    </w:p>
    <w:p>
      <w:pPr>
        <w:pStyle w:val="SourceNote"/>
      </w:pPr>
      <w:r>
        <w:rPr>
          <w:b/>
        </w:rPr>
        <w:t>Review status:</w:t>
      </w:r>
      <w:r>
        <w:t xml:space="preserve"> unchecked — possible relationship only</w:t>
      </w:r>
    </w:p>
    <w:p>
      <w:pPr>
        <w:pStyle w:val="Heading2"/>
      </w:pPr>
      <w:r>
        <w:t>375. Claim + two later sources: More green infrastructure is required to maintain ecosystem services under current trends in land-use change in Europe</w:t>
      </w:r>
    </w:p>
    <w:p>
      <w:pPr>
        <w:pStyle w:val="SourceNote"/>
      </w:pPr>
      <w:r>
        <w:rPr>
          <w:b/>
        </w:rPr>
        <w:t>Group ID:</w:t>
      </w:r>
      <w:r>
        <w:t xml:space="preserve"> group-7f7d3d7f7fffe7993a79</w:t>
      </w:r>
    </w:p>
    <w:p>
      <w:pPr>
        <w:pStyle w:val="SourceNote"/>
      </w:pPr>
      <w:r>
        <w:rPr>
          <w:b/>
        </w:rPr>
        <w:t>Original source:</w:t>
      </w:r>
      <w:r>
        <w:t xml:space="preserve"> https://doi.org/10.1007/s10980-014-0083-2</w:t>
      </w:r>
    </w:p>
    <w:p>
      <w:pPr/>
      <w:r>
        <w:rPr>
          <w:b/>
        </w:rPr>
        <w:t>Original future claim:</w:t>
      </w:r>
      <w:r>
        <w:t xml:space="preserve">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Later source:</w:t>
      </w:r>
      <w:r>
        <w:t xml:space="preserve"> European Wild Bees: moving from assessment to conservation planning — https://doi.org/10.2779/5662020kh-01-25-230</w:t>
      </w:r>
    </w:p>
    <w:p>
      <w:pPr/>
      <w:r>
        <w:rPr>
          <w:b/>
        </w:rPr>
        <w:t>Later source:</w:t>
      </w:r>
      <w:r>
        <w:t xml:space="preserve"> European Citizens Panels: Assessing their Legitimacy and Meaning for the European Commission — https://openalex.org/W7222989255</w:t>
      </w:r>
    </w:p>
    <w:p>
      <w:pPr>
        <w:pStyle w:val="SourceNote"/>
      </w:pPr>
      <w:r>
        <w:rPr>
          <w:b/>
        </w:rPr>
        <w:t>Review status:</w:t>
      </w:r>
      <w:r>
        <w:t xml:space="preserve"> unchecked — possible relationship only</w:t>
      </w:r>
    </w:p>
    <w:p>
      <w:pPr>
        <w:pStyle w:val="Heading2"/>
      </w:pPr>
      <w:r>
        <w:t>376. Claim + two later sources: Finland-Russia rail transport deregulation: future scenarios of market development</w:t>
      </w:r>
    </w:p>
    <w:p>
      <w:pPr>
        <w:pStyle w:val="SourceNote"/>
      </w:pPr>
      <w:r>
        <w:rPr>
          <w:b/>
        </w:rPr>
        <w:t>Group ID:</w:t>
      </w:r>
      <w:r>
        <w:t xml:space="preserve"> group-072989d931550c4c6eaf</w:t>
      </w:r>
    </w:p>
    <w:p>
      <w:pPr>
        <w:pStyle w:val="SourceNote"/>
      </w:pPr>
      <w:r>
        <w:rPr>
          <w:b/>
        </w:rPr>
        <w:t>Original source:</w:t>
      </w:r>
      <w:r>
        <w:t xml:space="preserve"> https://doi.org/10.1504/ijstl.2011.039377</w:t>
      </w:r>
    </w:p>
    <w:p>
      <w:pPr/>
      <w:r>
        <w:rPr>
          <w:b/>
        </w:rPr>
        <w:t>Original future claim:</w:t>
      </w:r>
      <w:r>
        <w:t xml:space="preserve">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Later source:</w:t>
      </w:r>
      <w:r>
        <w:t xml:space="preserve"> Combining different views on internal climate variability of temperature over Europe — https://doi.org/10.5194/egusphere-2026-1341</w:t>
      </w:r>
    </w:p>
    <w:p>
      <w:pPr/>
      <w:r>
        <w:rPr>
          <w:b/>
        </w:rPr>
        <w:t>Later source:</w:t>
      </w:r>
      <w:r>
        <w:t xml:space="preserve"> What kind of Europe do Europeans want? — https://doi.org/10.1080/01402382.2026.2662871</w:t>
      </w:r>
    </w:p>
    <w:p>
      <w:pPr>
        <w:pStyle w:val="SourceNote"/>
      </w:pPr>
      <w:r>
        <w:rPr>
          <w:b/>
        </w:rPr>
        <w:t>Review status:</w:t>
      </w:r>
      <w:r>
        <w:t xml:space="preserve"> unchecked — possible relationship only</w:t>
      </w:r>
    </w:p>
    <w:p>
      <w:pPr>
        <w:pStyle w:val="Heading2"/>
      </w:pPr>
      <w:r>
        <w:t>377. Claim + two later sources: Futuribles of learning 2030 - Delphi supports the reform of the core curricula in Finland</w:t>
      </w:r>
    </w:p>
    <w:p>
      <w:pPr>
        <w:pStyle w:val="SourceNote"/>
      </w:pPr>
      <w:r>
        <w:rPr>
          <w:b/>
        </w:rPr>
        <w:t>Group ID:</w:t>
      </w:r>
      <w:r>
        <w:t xml:space="preserve"> group-ae8ea13f71cf0fb6804a</w:t>
      </w:r>
    </w:p>
    <w:p>
      <w:pPr>
        <w:pStyle w:val="SourceNote"/>
      </w:pPr>
      <w:r>
        <w:rPr>
          <w:b/>
        </w:rPr>
        <w:t>Original source:</w:t>
      </w:r>
      <w:r>
        <w:t xml:space="preserve"> https://doi.org/10.1007/s40309-016-0096-y</w:t>
      </w:r>
    </w:p>
    <w:p>
      <w:pPr/>
      <w:r>
        <w:rPr>
          <w:b/>
        </w:rPr>
        <w:t>Original future claim:</w:t>
      </w:r>
      <w:r>
        <w:t xml:space="preserve"> The aim of the Barometer is to acknowledge the futuribles of learning and take into consideration the possibilities and challenges that may affect the development of school, teaching and learning.</w:t>
      </w:r>
    </w:p>
    <w:p>
      <w:pPr/>
      <w:r>
        <w:rPr>
          <w:b/>
        </w:rPr>
        <w:t>Later source:</w:t>
      </w:r>
      <w:r>
        <w:t xml:space="preserve"> Psychological science and its societal mission during the SARS‐CoV‐2 pandemic: The Motivation Barometer as an evidence‐informed policy instrument in Belgium — https://doi.org/10.1111/sipr.12101</w:t>
      </w:r>
    </w:p>
    <w:p>
      <w:pPr/>
      <w:r>
        <w:rPr>
          <w:b/>
        </w:rPr>
        <w:t>Later source:</w:t>
      </w:r>
      <w:r>
        <w:t xml:space="preserve"> A Review of the AGE Barometer 2023: EU Good Practices and Barriers in the Empowerment of Elderly in the Labour Market - The Case of Hungary — https://doi.org/10.47225/mg/15/42/14315</w:t>
      </w:r>
    </w:p>
    <w:p>
      <w:pPr>
        <w:pStyle w:val="SourceNote"/>
      </w:pPr>
      <w:r>
        <w:rPr>
          <w:b/>
        </w:rPr>
        <w:t>Review status:</w:t>
      </w:r>
      <w:r>
        <w:t xml:space="preserve"> unchecked — possible relationship only</w:t>
      </w:r>
    </w:p>
    <w:p>
      <w:pPr>
        <w:pStyle w:val="Heading2"/>
      </w:pPr>
      <w:r>
        <w:t>378. Claim + two later sources: Making or breaking climate targets: The AMPERE study on staged accession scenarios for climate policy</w:t>
      </w:r>
    </w:p>
    <w:p>
      <w:pPr>
        <w:pStyle w:val="SourceNote"/>
      </w:pPr>
      <w:r>
        <w:rPr>
          <w:b/>
        </w:rPr>
        <w:t>Group ID:</w:t>
      </w:r>
      <w:r>
        <w:t xml:space="preserve"> group-e285b2374683306ce3f5</w:t>
      </w:r>
    </w:p>
    <w:p>
      <w:pPr>
        <w:pStyle w:val="SourceNote"/>
      </w:pPr>
      <w:r>
        <w:rPr>
          <w:b/>
        </w:rPr>
        <w:t>Original source:</w:t>
      </w:r>
      <w:r>
        <w:t xml:space="preserve"> https://doi.org/10.1016/j.techfore.2013.09.021</w:t>
      </w:r>
    </w:p>
    <w:p>
      <w:pPr/>
      <w:r>
        <w:rPr>
          <w:b/>
        </w:rPr>
        <w:t>Original future claim:</w:t>
      </w:r>
      <w:r>
        <w:t xml:space="preserve"> The addition of China to the front runner coalition can reduce pre-2050 excess emissions by 20–30%, increasing the likelihood of staying below 2 degrees.</w:t>
      </w:r>
    </w:p>
    <w:p>
      <w:pPr/>
      <w:r>
        <w:rPr>
          <w:b/>
        </w:rPr>
        <w:t>Later source:</w:t>
      </w:r>
      <w:r>
        <w:t xml:space="preserve"> The United States, China, and Strategic Technologies: Domestic Coalitions, Foreign Policy, and Multilateral Cooperation in the Biden Era — https://doi.org/10.1080/14650045.2026.2626266</w:t>
      </w:r>
    </w:p>
    <w:p>
      <w:pPr/>
      <w:r>
        <w:rPr>
          <w:b/>
        </w:rPr>
        <w:t>Later source:</w:t>
      </w:r>
      <w:r>
        <w:t xml:space="preserve"> Observation of near-inertial oscillations trapped over inclined front on continental shelf of the northwestern South China Sea — https://doi.org/10.1016/j.jmarsys.2026.104305</w:t>
      </w:r>
    </w:p>
    <w:p>
      <w:pPr>
        <w:pStyle w:val="SourceNote"/>
      </w:pPr>
      <w:r>
        <w:rPr>
          <w:b/>
        </w:rPr>
        <w:t>Review status:</w:t>
      </w:r>
      <w:r>
        <w:t xml:space="preserve"> unchecked — possible relationship only</w:t>
      </w:r>
    </w:p>
    <w:p>
      <w:pPr>
        <w:pStyle w:val="Heading2"/>
      </w:pPr>
      <w:r>
        <w:t>379. Claim + two later sources: Impact of demographic changes and screening colonoscopy on long-term projection of incident colorectal cancer cases in Germany: A modelling study</w:t>
      </w:r>
    </w:p>
    <w:p>
      <w:pPr>
        <w:pStyle w:val="SourceNote"/>
      </w:pPr>
      <w:r>
        <w:rPr>
          <w:b/>
        </w:rPr>
        <w:t>Group ID:</w:t>
      </w:r>
      <w:r>
        <w:t xml:space="preserve"> group-93b693429e62c5a373b7</w:t>
      </w:r>
    </w:p>
    <w:p>
      <w:pPr>
        <w:pStyle w:val="SourceNote"/>
      </w:pPr>
      <w:r>
        <w:rPr>
          <w:b/>
        </w:rPr>
        <w:t>Original source:</w:t>
      </w:r>
      <w:r>
        <w:t xml:space="preserve"> https://doi.org/10.1016/j.lanepe.2022.100451</w:t>
      </w:r>
    </w:p>
    <w:p>
      <w:pPr/>
      <w:r>
        <w:rPr>
          <w:b/>
        </w:rPr>
        <w:t>Original future claim:</w:t>
      </w:r>
      <w:r>
        <w:t xml:space="preserve">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Later source:</w:t>
      </w:r>
      <w:r>
        <w:t xml:space="preserve"> Estimating European Pilchard ( Sardina pilchardus ) Total Length: New Equations for the Ichthyoarchaeological Record — https://doi.org/10.1002/oa.70087</w:t>
      </w:r>
    </w:p>
    <w:p>
      <w:pPr/>
      <w:r>
        <w:rPr>
          <w:b/>
        </w:rPr>
        <w:t>Later source:</w:t>
      </w:r>
      <w:r>
        <w:t xml:space="preserve"> Antidepressant drug use in Europe: past consumption, prescribing patterns and forecast until 2030 — https://doi.org/10.1007/s11096-025-02078-9</w:t>
      </w:r>
    </w:p>
    <w:p>
      <w:pPr>
        <w:pStyle w:val="SourceNote"/>
      </w:pPr>
      <w:r>
        <w:rPr>
          <w:b/>
        </w:rPr>
        <w:t>Review status:</w:t>
      </w:r>
      <w:r>
        <w:t xml:space="preserve"> unchecked — possible relationship only</w:t>
      </w:r>
    </w:p>
    <w:p>
      <w:pPr>
        <w:pStyle w:val="Heading2"/>
      </w:pPr>
      <w:r>
        <w:t>380. Claim + two later sources: Potential for hydrogen and Power-to-Liquid in a low-carbon EU energy system using cost optimization</w:t>
      </w:r>
    </w:p>
    <w:p>
      <w:pPr>
        <w:pStyle w:val="SourceNote"/>
      </w:pPr>
      <w:r>
        <w:rPr>
          <w:b/>
        </w:rPr>
        <w:t>Group ID:</w:t>
      </w:r>
      <w:r>
        <w:t xml:space="preserve"> group-5e269f360900d2b50e51</w:t>
      </w:r>
    </w:p>
    <w:p>
      <w:pPr>
        <w:pStyle w:val="SourceNote"/>
      </w:pPr>
      <w:r>
        <w:rPr>
          <w:b/>
        </w:rPr>
        <w:t>Original source:</w:t>
      </w:r>
      <w:r>
        <w:t xml:space="preserve"> https://doi.org/10.1016/j.apenergy.2018.09.216</w:t>
      </w:r>
    </w:p>
    <w:p>
      <w:pPr/>
      <w:r>
        <w:rPr>
          <w:b/>
        </w:rPr>
        <w:t>Original future claim:</w:t>
      </w:r>
      <w:r>
        <w:t xml:space="preserve"> This study assesses the role of these pathways across scenarios that achieve 80–95% CO2 reduction by 2050 (vs. 1990) using the JRC-EU-TIMES model.</w:t>
      </w:r>
    </w:p>
    <w:p>
      <w:pPr/>
      <w:r>
        <w:rPr>
          <w:b/>
        </w:rPr>
        <w:t>Later source:</w:t>
      </w:r>
      <w:r>
        <w:t xml:space="preserve"> Integrating Modelling and Stakeholder Engagement to Assess Forest Management Pathways for Climate — https://doi.org/10.5194/egusphere-egu26-16841</w:t>
      </w:r>
    </w:p>
    <w:p>
      <w:pPr/>
      <w:r>
        <w:rPr>
          <w:b/>
        </w:rPr>
        <w:t>Later source:</w:t>
      </w:r>
      <w:r>
        <w:t xml:space="preserve"> The role of osteopathy in public healthcare in Europe — https://openalex.org/W7154884819</w:t>
      </w:r>
    </w:p>
    <w:p>
      <w:pPr>
        <w:pStyle w:val="SourceNote"/>
      </w:pPr>
      <w:r>
        <w:rPr>
          <w:b/>
        </w:rPr>
        <w:t>Review status:</w:t>
      </w:r>
      <w:r>
        <w:t xml:space="preserve"> unchecked — possible relationship only</w:t>
      </w:r>
    </w:p>
    <w:p>
      <w:pPr>
        <w:pStyle w:val="Heading2"/>
      </w:pPr>
      <w:r>
        <w:t>381. Claim + two later sources: Multi-model ensemble simulations of olive pollen distribution in Europe in 2014: current status and outlook</w:t>
      </w:r>
    </w:p>
    <w:p>
      <w:pPr>
        <w:pStyle w:val="SourceNote"/>
      </w:pPr>
      <w:r>
        <w:rPr>
          <w:b/>
        </w:rPr>
        <w:t>Group ID:</w:t>
      </w:r>
      <w:r>
        <w:t xml:space="preserve"> group-e1afeb799359f3bda017</w:t>
      </w:r>
    </w:p>
    <w:p>
      <w:pPr>
        <w:pStyle w:val="SourceNote"/>
      </w:pPr>
      <w:r>
        <w:rPr>
          <w:b/>
        </w:rPr>
        <w:t>Original source:</w:t>
      </w:r>
      <w:r>
        <w:t xml:space="preserve"> https://doi.org/10.5194/acp-17-12341-2017</w:t>
      </w:r>
    </w:p>
    <w:p>
      <w:pPr/>
      <w:r>
        <w:rPr>
          <w:b/>
        </w:rPr>
        <w:t>Original future claim:</w:t>
      </w:r>
      <w:r>
        <w:t xml:space="preserve">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Later source:</w:t>
      </w:r>
      <w:r>
        <w:t xml:space="preserve"> HOSPITALITY SECTOR SKILLS – COMPARING CROATIA TO SOUTH EUROPEAN COUNTRIES — https://doi.org/10.20867/thi.28.06</w:t>
      </w:r>
    </w:p>
    <w:p>
      <w:pPr/>
      <w:r>
        <w:rPr>
          <w:b/>
        </w:rPr>
        <w:t>Later source:</w:t>
      </w:r>
      <w:r>
        <w:t xml:space="preserve"> D4.5- Mapping of Skills — https://doi.org/10.5281/zenodo.23063764</w:t>
      </w:r>
    </w:p>
    <w:p>
      <w:pPr>
        <w:pStyle w:val="SourceNote"/>
      </w:pPr>
      <w:r>
        <w:rPr>
          <w:b/>
        </w:rPr>
        <w:t>Review status:</w:t>
      </w:r>
      <w:r>
        <w:t xml:space="preserve"> unchecked — possible relationship only</w:t>
      </w:r>
    </w:p>
    <w:p>
      <w:pPr>
        <w:pStyle w:val="Heading2"/>
      </w:pPr>
      <w:r>
        <w:t>382. Claim + two later sources: Policy insights and modelling challenges: The case of passenger car powertrain technology transition in the European Union</w:t>
      </w:r>
    </w:p>
    <w:p>
      <w:pPr>
        <w:pStyle w:val="SourceNote"/>
      </w:pPr>
      <w:r>
        <w:rPr>
          <w:b/>
        </w:rPr>
        <w:t>Group ID:</w:t>
      </w:r>
      <w:r>
        <w:t xml:space="preserve"> group-6f15fe7113b56552a890</w:t>
      </w:r>
    </w:p>
    <w:p>
      <w:pPr>
        <w:pStyle w:val="SourceNote"/>
      </w:pPr>
      <w:r>
        <w:rPr>
          <w:b/>
        </w:rPr>
        <w:t>Original source:</w:t>
      </w:r>
      <w:r>
        <w:t xml:space="preserve"> https://doi.org/10.1007/s12544-017-0252-x</w:t>
      </w:r>
    </w:p>
    <w:p>
      <w:pPr/>
      <w:r>
        <w:rPr>
          <w:b/>
        </w:rPr>
        <w:t>Original future claim:</w:t>
      </w:r>
      <w:r>
        <w:t xml:space="preserve"> We then transfer the policy scenarios to other EU member states and assess the transferability of the policies.</w:t>
      </w:r>
    </w:p>
    <w:p>
      <w:pPr/>
      <w:r>
        <w:rPr>
          <w:b/>
        </w:rPr>
        <w:t>Later source:</w:t>
      </w:r>
      <w:r>
        <w:t xml:space="preserve"> Technology transfers within the European defence industry : a transferring firm’s perspective — https://openalex.org/W7132235623</w:t>
      </w:r>
    </w:p>
    <w:p>
      <w:pPr/>
      <w:r>
        <w:rPr>
          <w:b/>
        </w:rPr>
        <w:t>Later source:</w:t>
      </w:r>
      <w:r>
        <w:t xml:space="preserve"> The Europeanization of constitutions: experience of European Union Member States in the context of Ukraine’s candidate status — https://doi.org/10.33663/0869-2491-2026-37-660-676</w:t>
      </w:r>
    </w:p>
    <w:p>
      <w:pPr>
        <w:pStyle w:val="SourceNote"/>
      </w:pPr>
      <w:r>
        <w:rPr>
          <w:b/>
        </w:rPr>
        <w:t>Review status:</w:t>
      </w:r>
      <w:r>
        <w:t xml:space="preserve"> unchecked — possible relationship only</w:t>
      </w:r>
    </w:p>
    <w:p>
      <w:pPr>
        <w:pStyle w:val="Heading2"/>
      </w:pPr>
      <w:r>
        <w:t>383. Claim + two later sources: Soil Governance in current European Union Law and in the European Green Deal</w:t>
      </w:r>
    </w:p>
    <w:p>
      <w:pPr>
        <w:pStyle w:val="SourceNote"/>
      </w:pPr>
      <w:r>
        <w:rPr>
          <w:b/>
        </w:rPr>
        <w:t>Group ID:</w:t>
      </w:r>
      <w:r>
        <w:t xml:space="preserve"> group-cf6d02c962128f237c07</w:t>
      </w:r>
    </w:p>
    <w:p>
      <w:pPr>
        <w:pStyle w:val="SourceNote"/>
      </w:pPr>
      <w:r>
        <w:rPr>
          <w:b/>
        </w:rPr>
        <w:t>Original source:</w:t>
      </w:r>
      <w:r>
        <w:t xml:space="preserve"> https://doi.org/10.1016/j.soisec.2022.100053</w:t>
      </w:r>
    </w:p>
    <w:p>
      <w:pPr/>
      <w:r>
        <w:rPr>
          <w:b/>
        </w:rPr>
        <w:t>Original future claim:</w:t>
      </w:r>
      <w:r>
        <w:t xml:space="preserve">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Later source:</w:t>
      </w:r>
      <w:r>
        <w:t xml:space="preserve"> Daylight illuminance modelling for the United Kingdom and Europe — https://doi.org/10.17869/enu.288937</w:t>
      </w:r>
    </w:p>
    <w:p>
      <w:pPr/>
      <w:r>
        <w:rPr>
          <w:b/>
        </w:rPr>
        <w:t>Later source:</w:t>
      </w:r>
      <w:r>
        <w:t xml:space="preserve"> European Union: In Varietate Concordia - United in Diversity. Differentiated Integration as the Key to the Future of the European Union? — https://doi.org/10.30958/ajpia.2-1-2</w:t>
      </w:r>
    </w:p>
    <w:p>
      <w:pPr>
        <w:pStyle w:val="SourceNote"/>
      </w:pPr>
      <w:r>
        <w:rPr>
          <w:b/>
        </w:rPr>
        <w:t>Review status:</w:t>
      </w:r>
      <w:r>
        <w:t xml:space="preserve"> unchecked — possible relationship only</w:t>
      </w:r>
    </w:p>
    <w:p>
      <w:pPr>
        <w:pStyle w:val="Heading2"/>
      </w:pPr>
      <w:r>
        <w:t>384. Claim + two later sources: PREDICTION OF CUMULONIMBUS (CB) CLOUD BASED ON INTEGRATED FORECAST SYSTEM (IFS) OF EUROPEAN MEDIUM-RANGE WEATHER FORECAST (ECMWF)  IN THE FLIGHT INFORMATION REGION (FIR) OF JAKARTA AND UJUNG PANDANG</w:t>
      </w:r>
    </w:p>
    <w:p>
      <w:pPr>
        <w:pStyle w:val="SourceNote"/>
      </w:pPr>
      <w:r>
        <w:rPr>
          <w:b/>
        </w:rPr>
        <w:t>Group ID:</w:t>
      </w:r>
      <w:r>
        <w:t xml:space="preserve"> group-ee9304fc32ce3a95a844</w:t>
      </w:r>
    </w:p>
    <w:p>
      <w:pPr>
        <w:pStyle w:val="SourceNote"/>
      </w:pPr>
      <w:r>
        <w:rPr>
          <w:b/>
        </w:rPr>
        <w:t>Original source:</w:t>
      </w:r>
      <w:r>
        <w:t xml:space="preserve"> https://doi.org/10.29122/jstmc.v21i2.4100</w:t>
      </w:r>
    </w:p>
    <w:p>
      <w:pPr/>
      <w:r>
        <w:rPr>
          <w:b/>
        </w:rPr>
        <w:t>Original future claim:</w:t>
      </w:r>
      <w:r>
        <w:t xml:space="preserve"> The study in the period other than 2019 is suggested for the next research because Indian Ocean Dipole (IOD) is extreme that may affect the Cb cloud growth in the study area.</w:t>
      </w:r>
    </w:p>
    <w:p>
      <w:pPr/>
      <w:r>
        <w:rPr>
          <w:b/>
        </w:rPr>
        <w:t>Later source:</w:t>
      </w:r>
      <w:r>
        <w:t xml:space="preserve"> Continuity and change in politicians being rude to each other over Europe: A rhetorical political analysis of invective in parliamentary debates over the European issue — https://openalex.org/W7153685673</w:t>
      </w:r>
    </w:p>
    <w:p>
      <w:pPr/>
      <w:r>
        <w:rPr>
          <w:b/>
        </w:rPr>
        <w:t>Later source:</w:t>
      </w:r>
      <w:r>
        <w:t xml:space="preserve"> The Curious Case of ‘Indian’ Literature — https://doi.org/10.1017/9781009596947.005</w:t>
      </w:r>
    </w:p>
    <w:p>
      <w:pPr>
        <w:pStyle w:val="SourceNote"/>
      </w:pPr>
      <w:r>
        <w:rPr>
          <w:b/>
        </w:rPr>
        <w:t>Review status:</w:t>
      </w:r>
      <w:r>
        <w:t xml:space="preserve"> unchecked — possible relationship only</w:t>
      </w:r>
    </w:p>
    <w:p>
      <w:pPr>
        <w:pStyle w:val="Heading2"/>
      </w:pPr>
      <w:r>
        <w:t>385. Claim + two later sources: Red squirrel (Sciurus vulgaris) habitats change modelling in Eastern Europe in the scope of climate change according to new generation scenarios (SSPs) by 2100</w:t>
      </w:r>
    </w:p>
    <w:p>
      <w:pPr>
        <w:pStyle w:val="SourceNote"/>
      </w:pPr>
      <w:r>
        <w:rPr>
          <w:b/>
        </w:rPr>
        <w:t>Group ID:</w:t>
      </w:r>
      <w:r>
        <w:t xml:space="preserve"> group-c6145fe18d6ffd0ddd0f</w:t>
      </w:r>
    </w:p>
    <w:p>
      <w:pPr>
        <w:pStyle w:val="SourceNote"/>
      </w:pPr>
      <w:r>
        <w:rPr>
          <w:b/>
        </w:rPr>
        <w:t>Original source:</w:t>
      </w:r>
      <w:r>
        <w:t xml:space="preserve"> https://doi.org/10.15407/tu2013</w:t>
      </w:r>
    </w:p>
    <w:p>
      <w:pPr/>
      <w:r>
        <w:rPr>
          <w:b/>
        </w:rPr>
        <w:t>Original future claim:</w:t>
      </w:r>
      <w:r>
        <w:t xml:space="preserve">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Later source:</w:t>
      </w:r>
      <w:r>
        <w:t xml:space="preserve"> Heliaca 2026 — https://openalex.org/W7134865893</w:t>
      </w:r>
    </w:p>
    <w:p>
      <w:pPr/>
      <w:r>
        <w:rPr>
          <w:b/>
        </w:rPr>
        <w:t>Later source:</w:t>
      </w:r>
      <w:r>
        <w:t xml:space="preserve"> Varieties of Psychologization in Communist Europe — https://doi.org/10.1093/9780197773529.001.0001</w:t>
      </w:r>
    </w:p>
    <w:p>
      <w:pPr>
        <w:pStyle w:val="SourceNote"/>
      </w:pPr>
      <w:r>
        <w:rPr>
          <w:b/>
        </w:rPr>
        <w:t>Review status:</w:t>
      </w:r>
      <w:r>
        <w:t xml:space="preserve"> unchecked — possible relationship only</w:t>
      </w:r>
    </w:p>
    <w:p>
      <w:pPr>
        <w:pStyle w:val="Heading2"/>
      </w:pPr>
      <w:r>
        <w:t>386. Claim + two later sources: Achieving agricultural greenhouse gas emission reductions in the EU post‐2030: What options do we have?</w:t>
      </w:r>
    </w:p>
    <w:p>
      <w:pPr>
        <w:pStyle w:val="SourceNote"/>
      </w:pPr>
      <w:r>
        <w:rPr>
          <w:b/>
        </w:rPr>
        <w:t>Group ID:</w:t>
      </w:r>
      <w:r>
        <w:t xml:space="preserve"> group-fbdf3bdab589d9c69d95</w:t>
      </w:r>
    </w:p>
    <w:p>
      <w:pPr>
        <w:pStyle w:val="SourceNote"/>
      </w:pPr>
      <w:r>
        <w:rPr>
          <w:b/>
        </w:rPr>
        <w:t>Original source:</w:t>
      </w:r>
      <w:r>
        <w:t xml:space="preserve"> https://doi.org/10.1111/reel.12448</w:t>
      </w:r>
    </w:p>
    <w:p>
      <w:pPr/>
      <w:r>
        <w:rPr>
          <w:b/>
        </w:rPr>
        <w:t>Original future claim:</w:t>
      </w:r>
      <w:r>
        <w:t xml:space="preserve">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Later source:</w:t>
      </w:r>
      <w:r>
        <w:t xml:space="preserve"> European Union: In Varietate Concordia - United in Diversity. Differentiated Integration as the Key to the Future of the European Union? — https://doi.org/10.30958/ajpia.2-1-2</w:t>
      </w:r>
    </w:p>
    <w:p>
      <w:pPr/>
      <w:r>
        <w:rPr>
          <w:b/>
        </w:rPr>
        <w:t>Later source:</w:t>
      </w:r>
      <w:r>
        <w:t xml:space="preserve"> European Union, 2025 — https://doi.org/10.2478/admin-2026-0007</w:t>
      </w:r>
    </w:p>
    <w:p>
      <w:pPr>
        <w:pStyle w:val="SourceNote"/>
      </w:pPr>
      <w:r>
        <w:rPr>
          <w:b/>
        </w:rPr>
        <w:t>Review status:</w:t>
      </w:r>
      <w:r>
        <w:t xml:space="preserve"> unchecked — possible relationship only</w:t>
      </w:r>
    </w:p>
    <w:p>
      <w:pPr>
        <w:pStyle w:val="Heading2"/>
      </w:pPr>
      <w:r>
        <w:t>387. Claim + two later sources: Carrying out a multi-model integrated assessment of European energy transition pathways: Challenges and benefits</w:t>
      </w:r>
    </w:p>
    <w:p>
      <w:pPr>
        <w:pStyle w:val="SourceNote"/>
      </w:pPr>
      <w:r>
        <w:rPr>
          <w:b/>
        </w:rPr>
        <w:t>Group ID:</w:t>
      </w:r>
      <w:r>
        <w:t xml:space="preserve"> group-790afb9a59eb0016c557</w:t>
      </w:r>
    </w:p>
    <w:p>
      <w:pPr>
        <w:pStyle w:val="SourceNote"/>
      </w:pPr>
      <w:r>
        <w:rPr>
          <w:b/>
        </w:rPr>
        <w:t>Original source:</w:t>
      </w:r>
      <w:r>
        <w:t xml:space="preserve"> https://doi.org/10.1016/j.energy.2022.124329</w:t>
      </w:r>
    </w:p>
    <w:p>
      <w:pPr/>
      <w:r>
        <w:rPr>
          <w:b/>
        </w:rPr>
        <w:t>Original future claim:</w:t>
      </w:r>
      <w:r>
        <w:t xml:space="preserve">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Later source:</w:t>
      </w:r>
      <w:r>
        <w:t xml:space="preserve"> A harmonised and inclusive climate risk assessment framework: standardising flexibility for regions and communities in Europe — https://doi.org/10.1088/2515-7620/ae9d06</w:t>
      </w:r>
    </w:p>
    <w:p>
      <w:pPr/>
      <w:r>
        <w:rPr>
          <w:b/>
        </w:rPr>
        <w:t>Later source:</w:t>
      </w:r>
      <w:r>
        <w:t xml:space="preserve"> A scenario-based risk assessment framework for tyre wear particles in European seas — https://doi.org/10.1016/j.jhazmat.2026.141335</w:t>
      </w:r>
    </w:p>
    <w:p>
      <w:pPr>
        <w:pStyle w:val="SourceNote"/>
      </w:pPr>
      <w:r>
        <w:rPr>
          <w:b/>
        </w:rPr>
        <w:t>Review status:</w:t>
      </w:r>
      <w:r>
        <w:t xml:space="preserve"> unchecked — possible relationship only</w:t>
      </w:r>
    </w:p>
    <w:p>
      <w:pPr>
        <w:pStyle w:val="Heading2"/>
      </w:pPr>
      <w:r>
        <w:t>388. Claim + two later sources: The Purpose and Pitfalls of Constructivist Forecasting: Insights from Strategic Culture Research for the European Union’s Evolution as a Military Power1</w:t>
      </w:r>
    </w:p>
    <w:p>
      <w:pPr>
        <w:pStyle w:val="SourceNote"/>
      </w:pPr>
      <w:r>
        <w:rPr>
          <w:b/>
        </w:rPr>
        <w:t>Group ID:</w:t>
      </w:r>
      <w:r>
        <w:t xml:space="preserve"> group-87a7eb0d9e0916187427</w:t>
      </w:r>
    </w:p>
    <w:p>
      <w:pPr>
        <w:pStyle w:val="SourceNote"/>
      </w:pPr>
      <w:r>
        <w:rPr>
          <w:b/>
        </w:rPr>
        <w:t>Original source:</w:t>
      </w:r>
      <w:r>
        <w:t xml:space="preserve"> https://doi.org/10.1111/j.1468-2478.2011.00648.x</w:t>
      </w:r>
    </w:p>
    <w:p>
      <w:pPr/>
      <w:r>
        <w:rPr>
          <w:b/>
        </w:rPr>
        <w:t>Original future claim:</w:t>
      </w:r>
      <w:r>
        <w:t xml:space="preserve">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Later source:</w:t>
      </w:r>
      <w:r>
        <w:t xml:space="preserve"> De-Europeanization or Strategic Recalibration? Irish Neutrality, NATO Partnership, and Contested Security Identity in a Geopolitical Europe — https://doi.org/10.5281/zenodo.18186394</w:t>
      </w:r>
    </w:p>
    <w:p>
      <w:pPr/>
      <w:r>
        <w:rPr>
          <w:b/>
        </w:rPr>
        <w:t>Later source:</w:t>
      </w:r>
      <w:r>
        <w:t xml:space="preserve"> Cultural Production Reveals Transitions to Sustained Human Development in both European and Non-European Societies — https://openalex.org/W7124669595</w:t>
      </w:r>
    </w:p>
    <w:p>
      <w:pPr>
        <w:pStyle w:val="SourceNote"/>
      </w:pPr>
      <w:r>
        <w:rPr>
          <w:b/>
        </w:rPr>
        <w:t>Review status:</w:t>
      </w:r>
      <w:r>
        <w:t xml:space="preserve"> unchecked — possible relationship only</w:t>
      </w:r>
    </w:p>
    <w:p>
      <w:pPr>
        <w:pStyle w:val="Heading2"/>
      </w:pPr>
      <w:r>
        <w:t>389. Claim + two later sources: Systemic Design for Policy-Making: Towards the Next Circular Regions</w:t>
      </w:r>
    </w:p>
    <w:p>
      <w:pPr>
        <w:pStyle w:val="SourceNote"/>
      </w:pPr>
      <w:r>
        <w:rPr>
          <w:b/>
        </w:rPr>
        <w:t>Group ID:</w:t>
      </w:r>
      <w:r>
        <w:t xml:space="preserve"> group-c67855e9495d40df182c</w:t>
      </w:r>
    </w:p>
    <w:p>
      <w:pPr>
        <w:pStyle w:val="SourceNote"/>
      </w:pPr>
      <w:r>
        <w:rPr>
          <w:b/>
        </w:rPr>
        <w:t>Original source:</w:t>
      </w:r>
      <w:r>
        <w:t xml:space="preserve"> https://doi.org/10.3390/su12114494</w:t>
      </w:r>
    </w:p>
    <w:p>
      <w:pPr/>
      <w:r>
        <w:rPr>
          <w:b/>
        </w:rPr>
        <w:t>Original future claim:</w:t>
      </w:r>
      <w:r>
        <w:t xml:space="preserve">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Later source:</w:t>
      </w:r>
      <w:r>
        <w:t xml:space="preserve"> Circular economy transition of European regions: The role of regulative, normative, and cultural–cognitive institutions — https://doi.org/10.1016/j.euroecorev.2026.105409</w:t>
      </w:r>
    </w:p>
    <w:p>
      <w:pPr/>
      <w:r>
        <w:rPr>
          <w:b/>
        </w:rPr>
        <w:t>Later source:</w:t>
      </w:r>
      <w:r>
        <w:t xml:space="preserve"> Circular Economy Practices and Barriers within European SMEs in the Construction Sector — https://doi.org/10.14207/ejsd.2026.v15n1p53</w:t>
      </w:r>
    </w:p>
    <w:p>
      <w:pPr>
        <w:pStyle w:val="SourceNote"/>
      </w:pPr>
      <w:r>
        <w:rPr>
          <w:b/>
        </w:rPr>
        <w:t>Review status:</w:t>
      </w:r>
      <w:r>
        <w:t xml:space="preserve"> unchecked — possible relationship only</w:t>
      </w:r>
    </w:p>
    <w:p>
      <w:pPr>
        <w:pStyle w:val="Heading2"/>
      </w:pPr>
      <w:r>
        <w:t>390. Claim + two later sources: O4-2.1 Foresight tackling obesities: future choices</w:t>
      </w:r>
    </w:p>
    <w:p>
      <w:pPr>
        <w:pStyle w:val="SourceNote"/>
      </w:pPr>
      <w:r>
        <w:rPr>
          <w:b/>
        </w:rPr>
        <w:t>Group ID:</w:t>
      </w:r>
      <w:r>
        <w:t xml:space="preserve"> group-3445a707a1936b3fadfa</w:t>
      </w:r>
    </w:p>
    <w:p>
      <w:pPr>
        <w:pStyle w:val="SourceNote"/>
      </w:pPr>
      <w:r>
        <w:rPr>
          <w:b/>
        </w:rPr>
        <w:t>Original source:</w:t>
      </w:r>
      <w:r>
        <w:t xml:space="preserve"> https://doi.org/10.1136/jech.2011.142976b.14</w:t>
      </w:r>
    </w:p>
    <w:p>
      <w:pPr/>
      <w:r>
        <w:rPr>
          <w:b/>
        </w:rPr>
        <w:t>Original future claim:</w:t>
      </w:r>
      <w:r>
        <w:t xml:space="preserve"> These predictions could be subject to a range of policy options which affected BMI or business as usual. Given these predictions up to 2050, we built a micro simulation of the UK population with same demographics and the BMI growth predicted.</w:t>
      </w:r>
    </w:p>
    <w:p>
      <w:pPr/>
      <w:r>
        <w:rPr>
          <w:b/>
        </w:rPr>
        <w:t>Later source:</w:t>
      </w:r>
      <w:r>
        <w:t xml:space="preserve"> Subject-verb agreement in Down Syndrome: morphosyntactic analysis and cross-linguistic predictions on universal defaults — https://doi.org/10.3765/plsa.v11i1.6133</w:t>
      </w:r>
    </w:p>
    <w:p>
      <w:pPr/>
      <w:r>
        <w:rPr>
          <w:b/>
        </w:rPr>
        <w:t>Later source:</w:t>
      </w:r>
      <w:r>
        <w:t xml:space="preserve"> Can EMG-Derived Upper Limb Muscle Synergies Serve as Markers for Post-Stroke Motor Assessment and Prediction of Rehabilitation Outcome? — https://doi.org/10.3390/s25103170</w:t>
      </w:r>
    </w:p>
    <w:p>
      <w:pPr>
        <w:pStyle w:val="SourceNote"/>
      </w:pPr>
      <w:r>
        <w:rPr>
          <w:b/>
        </w:rPr>
        <w:t>Review status:</w:t>
      </w:r>
      <w:r>
        <w:t xml:space="preserve"> unchecked — possible relationship only</w:t>
      </w:r>
    </w:p>
    <w:p>
      <w:pPr>
        <w:pStyle w:val="Heading2"/>
      </w:pPr>
      <w:r>
        <w:t>391. Claim + two later sources: A 2050 perspective on the role for carbon capture and storage in the European power system and industry sector</w:t>
      </w:r>
    </w:p>
    <w:p>
      <w:pPr>
        <w:pStyle w:val="SourceNote"/>
      </w:pPr>
      <w:r>
        <w:rPr>
          <w:b/>
        </w:rPr>
        <w:t>Group ID:</w:t>
      </w:r>
      <w:r>
        <w:t xml:space="preserve"> group-5f957f942ab7a47b8e3e</w:t>
      </w:r>
    </w:p>
    <w:p>
      <w:pPr>
        <w:pStyle w:val="SourceNote"/>
      </w:pPr>
      <w:r>
        <w:rPr>
          <w:b/>
        </w:rPr>
        <w:t>Original source:</w:t>
      </w:r>
      <w:r>
        <w:t xml:space="preserve"> https://doi.org/10.1016/j.eneco.2021.105631</w:t>
      </w:r>
    </w:p>
    <w:p>
      <w:pPr/>
      <w:r>
        <w:rPr>
          <w:b/>
        </w:rPr>
        <w:t>Original future claim:</w:t>
      </w:r>
      <w:r>
        <w:t xml:space="preserve">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Later source:</w:t>
      </w:r>
      <w:r>
        <w:t xml:space="preserve"> The FinTech effect: a comparative analysis of bank profitability in Europe and Asia — https://doi.org/10.1108/fdar-10-2025-0036</w:t>
      </w:r>
    </w:p>
    <w:p>
      <w:pPr/>
      <w:r>
        <w:rPr>
          <w:b/>
        </w:rPr>
        <w:t>Later source:</w:t>
      </w:r>
      <w:r>
        <w:t xml:space="preserve"> scClim: An interdisciplinary project for assessing hail risk and impacts across Europe in a changing climate — https://doi.org/10.5194/egusphere-egu26-20960</w:t>
      </w:r>
    </w:p>
    <w:p>
      <w:pPr>
        <w:pStyle w:val="SourceNote"/>
      </w:pPr>
      <w:r>
        <w:rPr>
          <w:b/>
        </w:rPr>
        <w:t>Review status:</w:t>
      </w:r>
      <w:r>
        <w:t xml:space="preserve"> unchecked — possible relationship only</w:t>
      </w:r>
    </w:p>
    <w:p>
      <w:pPr>
        <w:pStyle w:val="Heading2"/>
      </w:pPr>
      <w:r>
        <w:t>392. Claim + two later sources: Impact of climate change on ozone-related mortality and morbidity in Europe</w:t>
      </w:r>
    </w:p>
    <w:p>
      <w:pPr>
        <w:pStyle w:val="SourceNote"/>
      </w:pPr>
      <w:r>
        <w:rPr>
          <w:b/>
        </w:rPr>
        <w:t>Group ID:</w:t>
      </w:r>
      <w:r>
        <w:t xml:space="preserve"> group-4e1bbef7b8137c0979d6</w:t>
      </w:r>
    </w:p>
    <w:p>
      <w:pPr>
        <w:pStyle w:val="SourceNote"/>
      </w:pPr>
      <w:r>
        <w:rPr>
          <w:b/>
        </w:rPr>
        <w:t>Original source:</w:t>
      </w:r>
      <w:r>
        <w:t xml:space="preserve"> https://doi.org/10.1183/09031936.00210411</w:t>
      </w:r>
    </w:p>
    <w:p>
      <w:pPr/>
      <w:r>
        <w:rPr>
          <w:b/>
        </w:rPr>
        <w:t>Original future claim:</w:t>
      </w:r>
      <w:r>
        <w:t xml:space="preserve">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Later source:</w:t>
      </w:r>
      <w:r>
        <w:t xml:space="preserve"> Extreme high temperatures and heatwave events across Europe in 2023 — https://doi.org/10.1088/2515-7620/adae60</w:t>
      </w:r>
    </w:p>
    <w:p>
      <w:pPr/>
      <w:r>
        <w:rPr>
          <w:b/>
        </w:rPr>
        <w:t>Later source:</w:t>
      </w:r>
      <w:r>
        <w:t xml:space="preserve"> New baselines, new extremes? Assessing the impact of reference periods on climate extremes in Central Europe — https://doi.org/10.5194/ems2025-601</w:t>
      </w:r>
    </w:p>
    <w:p>
      <w:pPr>
        <w:pStyle w:val="SourceNote"/>
      </w:pPr>
      <w:r>
        <w:rPr>
          <w:b/>
        </w:rPr>
        <w:t>Review status:</w:t>
      </w:r>
      <w:r>
        <w:t xml:space="preserve"> unchecked — possible relationship only</w:t>
      </w:r>
    </w:p>
    <w:p>
      <w:pPr>
        <w:pStyle w:val="Heading2"/>
      </w:pPr>
      <w:r>
        <w:t>393. Claim + two later sources: Perspectives from 2037—Can Environmental Impact Assessment be the Solution for an Early Consideration of Climate Change-related Impacts?</w:t>
      </w:r>
    </w:p>
    <w:p>
      <w:pPr>
        <w:pStyle w:val="SourceNote"/>
      </w:pPr>
      <w:r>
        <w:rPr>
          <w:b/>
        </w:rPr>
        <w:t>Group ID:</w:t>
      </w:r>
      <w:r>
        <w:t xml:space="preserve"> group-fa3a131002e45c94a7a1</w:t>
      </w:r>
    </w:p>
    <w:p>
      <w:pPr>
        <w:pStyle w:val="SourceNote"/>
      </w:pPr>
      <w:r>
        <w:rPr>
          <w:b/>
        </w:rPr>
        <w:t>Original source:</w:t>
      </w:r>
      <w:r>
        <w:t xml:space="preserve"> https://doi.org/10.3390/su11154002</w:t>
      </w:r>
    </w:p>
    <w:p>
      <w:pPr/>
      <w:r>
        <w:rPr>
          <w:b/>
        </w:rPr>
        <w:t>Original future claim:</w:t>
      </w:r>
      <w:r>
        <w:t xml:space="preserve"> Three scenario narratives were elaborated based on nine key impact factors based on literature review, content analysis of EIA documents and interviews with EIA actors.</w:t>
      </w:r>
    </w:p>
    <w:p>
      <w:pPr/>
      <w:r>
        <w:rPr>
          <w:b/>
        </w:rPr>
        <w:t>Later source:</w:t>
      </w:r>
      <w:r>
        <w:t xml:space="preserve"> Mosaic narrative a poetics of cinematic new media narrative — https://doi.org/10.26192/9z55q</w:t>
      </w:r>
    </w:p>
    <w:p>
      <w:pPr/>
      <w:r>
        <w:rPr>
          <w:b/>
        </w:rPr>
        <w:t>Later source:</w:t>
      </w:r>
      <w:r>
        <w:t xml:space="preserve"> Behind The Superhero Façade : A Visual And Narrative Analysis Of Power And Genre In The Boys (2019) — https://openalex.org/W7128574996</w:t>
      </w:r>
    </w:p>
    <w:p>
      <w:pPr>
        <w:pStyle w:val="SourceNote"/>
      </w:pPr>
      <w:r>
        <w:rPr>
          <w:b/>
        </w:rPr>
        <w:t>Review status:</w:t>
      </w:r>
      <w:r>
        <w:t xml:space="preserve"> unchecked — possible relationship only</w:t>
      </w:r>
    </w:p>
    <w:p>
      <w:pPr>
        <w:pStyle w:val="Heading2"/>
      </w:pPr>
      <w:r>
        <w:t>394. Claim + two later sources: Including the temporal change in PM2.5 concentration in the assessment of human health impact: Illustration with renewable energy scenarios to 2050</w:t>
      </w:r>
    </w:p>
    <w:p>
      <w:pPr>
        <w:pStyle w:val="SourceNote"/>
      </w:pPr>
      <w:r>
        <w:rPr>
          <w:b/>
        </w:rPr>
        <w:t>Group ID:</w:t>
      </w:r>
      <w:r>
        <w:t xml:space="preserve"> group-7f925abcad128e9d938a</w:t>
      </w:r>
    </w:p>
    <w:p>
      <w:pPr>
        <w:pStyle w:val="SourceNote"/>
      </w:pPr>
      <w:r>
        <w:rPr>
          <w:b/>
        </w:rPr>
        <w:t>Original source:</w:t>
      </w:r>
      <w:r>
        <w:t xml:space="preserve"> https://doi.org/10.1016/j.eiar.2014.09.003</w:t>
      </w:r>
    </w:p>
    <w:p>
      <w:pPr/>
      <w:r>
        <w:rPr>
          <w:b/>
        </w:rPr>
        <w:t>Original future claim:</w:t>
      </w:r>
      <w:r>
        <w:t xml:space="preserve"> Its capabilities are demonstrated for two pathways of European energy system development up to 2050: the Baseline (BL) and the Low Carbon, Maximum Renewable Power (LC-MRP). This article proposes a new method to assess the health impact of populations exposed to fine particles (PM2.5) during their whole lifetime, which is suitable for comparative analysis of energy scenarios.</w:t>
      </w:r>
    </w:p>
    <w:p>
      <w:pPr/>
      <w:r>
        <w:rPr>
          <w:b/>
        </w:rPr>
        <w:t>Later source:</w:t>
      </w:r>
      <w:r>
        <w:t xml:space="preserve"> ReProv: Extending REANA with WaaS capabilities and data provenance on the European AI-on-Demand Platform — https://doi.org/10.12688/openreseurope.24424.1</w:t>
      </w:r>
    </w:p>
    <w:p>
      <w:pPr/>
      <w:r>
        <w:rPr>
          <w:b/>
        </w:rPr>
        <w:t>Later source:</w:t>
      </w:r>
      <w:r>
        <w:t xml:space="preserve"> Observing Mineral Dust in Northern Africa, the Middle East, and Europe: Current Capabilities and Challenges ahead for the Development of Dust Services — https://doi.org/10.1175/bams-d-23-0005.1</w:t>
      </w:r>
    </w:p>
    <w:p>
      <w:pPr>
        <w:pStyle w:val="SourceNote"/>
      </w:pPr>
      <w:r>
        <w:rPr>
          <w:b/>
        </w:rPr>
        <w:t>Review status:</w:t>
      </w:r>
      <w:r>
        <w:t xml:space="preserve"> unchecked — possible relationship only</w:t>
      </w:r>
    </w:p>
    <w:p>
      <w:pPr>
        <w:pStyle w:val="Heading2"/>
      </w:pPr>
      <w:r>
        <w:t>395. Claim + two later sources: Overview of Existing Heat-Health Warning Systems in Europe</w:t>
      </w:r>
    </w:p>
    <w:p>
      <w:pPr>
        <w:pStyle w:val="SourceNote"/>
      </w:pPr>
      <w:r>
        <w:rPr>
          <w:b/>
        </w:rPr>
        <w:t>Group ID:</w:t>
      </w:r>
      <w:r>
        <w:t xml:space="preserve"> group-ac1e3f4e6bd9f918a68f</w:t>
      </w:r>
    </w:p>
    <w:p>
      <w:pPr>
        <w:pStyle w:val="SourceNote"/>
      </w:pPr>
      <w:r>
        <w:rPr>
          <w:b/>
        </w:rPr>
        <w:t>Original source:</w:t>
      </w:r>
      <w:r>
        <w:t xml:space="preserve"> https://doi.org/10.3390/ijerph16152657</w:t>
      </w:r>
    </w:p>
    <w:p>
      <w:pPr/>
      <w:r>
        <w:rPr>
          <w:b/>
        </w:rPr>
        <w:t>Original future claim:</w:t>
      </w:r>
      <w:r>
        <w:t xml:space="preserve"> Setting long-term planning actions as well as pre-alert levels might prevent and reduce damages due to heat.</w:t>
      </w:r>
    </w:p>
    <w:p>
      <w:pPr/>
      <w:r>
        <w:rPr>
          <w:b/>
        </w:rPr>
        <w:t>Later source:</w:t>
      </w:r>
      <w:r>
        <w:t xml:space="preserve"> EMTReK Model for Advance Care Planning in Long-Term Care: Qualitative Findings from mySupport Study — https://doi.org/10.3390/geriatrics10060171</w:t>
      </w:r>
    </w:p>
    <w:p>
      <w:pPr/>
      <w:r>
        <w:rPr>
          <w:b/>
        </w:rPr>
        <w:t>Later source:</w:t>
      </w:r>
      <w:r>
        <w:t xml:space="preserve"> Financial &amp; Legal Planning: Securing Your Child's Future in the US and Europe — https://doi.org/10.5281/zenodo.19032835</w:t>
      </w:r>
    </w:p>
    <w:p>
      <w:pPr>
        <w:pStyle w:val="SourceNote"/>
      </w:pPr>
      <w:r>
        <w:rPr>
          <w:b/>
        </w:rPr>
        <w:t>Review status:</w:t>
      </w:r>
      <w:r>
        <w:t xml:space="preserve"> unchecked — possible relationship only</w:t>
      </w:r>
    </w:p>
    <w:p>
      <w:pPr>
        <w:pStyle w:val="Heading2"/>
      </w:pPr>
      <w:r>
        <w:t>396. Claim + two later sources: Forecasting turbulence in the Asian and European stock market using regime-switching models</w:t>
      </w:r>
    </w:p>
    <w:p>
      <w:pPr>
        <w:pStyle w:val="SourceNote"/>
      </w:pPr>
      <w:r>
        <w:rPr>
          <w:b/>
        </w:rPr>
        <w:t>Group ID:</w:t>
      </w:r>
      <w:r>
        <w:t xml:space="preserve"> group-cfc01b80c84c815ce488</w:t>
      </w:r>
    </w:p>
    <w:p>
      <w:pPr>
        <w:pStyle w:val="SourceNote"/>
      </w:pPr>
      <w:r>
        <w:rPr>
          <w:b/>
        </w:rPr>
        <w:t>Original source:</w:t>
      </w:r>
      <w:r>
        <w:t xml:space="preserve"> https://doi.org/10.3934/qfe.2018.2.388</w:t>
      </w:r>
    </w:p>
    <w:p>
      <w:pPr/>
      <w:r>
        <w:rPr>
          <w:b/>
        </w:rPr>
        <w:t>Original future claim:</w:t>
      </w:r>
      <w:r>
        <w:t xml:space="preserve"> An early warning system to timely forecast turbulences in the Asian and European stock market is proposed. Subsequently, a forecasting model using logistic regression and economic input factors is selected.</w:t>
      </w:r>
    </w:p>
    <w:p>
      <w:pPr/>
      <w:r>
        <w:rPr>
          <w:b/>
        </w:rPr>
        <w:t>Later source:</w:t>
      </w:r>
      <w:r>
        <w:t xml:space="preserve"> ECHO Early Warning System for Water Infrastructure Protection — https://doi.org/10.34190/iccws.21.1.4480</w:t>
      </w:r>
    </w:p>
    <w:p>
      <w:pPr/>
      <w:r>
        <w:rPr>
          <w:b/>
        </w:rPr>
        <w:t>Later source:</w:t>
      </w:r>
      <w:r>
        <w:t xml:space="preserve"> Evaluating a Prototype Europe-Wide Landslide Early Warning System: High-resolution comparative analysis in Catalonia and Alpes Maritimes — https://doi.org/10.5194/egusphere-egu26-20477</w:t>
      </w:r>
    </w:p>
    <w:p>
      <w:pPr>
        <w:pStyle w:val="SourceNote"/>
      </w:pPr>
      <w:r>
        <w:rPr>
          <w:b/>
        </w:rPr>
        <w:t>Review status:</w:t>
      </w:r>
      <w:r>
        <w:t xml:space="preserve"> unchecked — possible relationship only</w:t>
      </w:r>
    </w:p>
    <w:p>
      <w:pPr>
        <w:pStyle w:val="Heading2"/>
      </w:pPr>
      <w:r>
        <w:t>397. Claim + two later sources: Modelling sustainable energy futures for the UK</w:t>
      </w:r>
    </w:p>
    <w:p>
      <w:pPr>
        <w:pStyle w:val="SourceNote"/>
      </w:pPr>
      <w:r>
        <w:rPr>
          <w:b/>
        </w:rPr>
        <w:t>Group ID:</w:t>
      </w:r>
      <w:r>
        <w:t xml:space="preserve"> group-cd431e1f968a481370a8</w:t>
      </w:r>
    </w:p>
    <w:p>
      <w:pPr>
        <w:pStyle w:val="SourceNote"/>
      </w:pPr>
      <w:r>
        <w:rPr>
          <w:b/>
        </w:rPr>
        <w:t>Original source:</w:t>
      </w:r>
      <w:r>
        <w:t xml:space="preserve"> https://doi.org/10.1016/j.futures.2014.01.005</w:t>
      </w:r>
    </w:p>
    <w:p>
      <w:pPr/>
      <w:r>
        <w:rPr>
          <w:b/>
        </w:rPr>
        <w:t>Original future claim:</w:t>
      </w:r>
      <w:r>
        <w:t xml:space="preserve"> As a result of signing the Kyoto Agreement the UK will need to reduce carbon emissions to 20% of their 1990 value by 2050. The model allows us to explore different possible pathways to 2050 and the difficulty of the overall endeavour.</w:t>
      </w:r>
    </w:p>
    <w:p>
      <w:pPr/>
      <w:r>
        <w:rPr>
          <w:b/>
        </w:rPr>
        <w:t>Later source:</w:t>
      </w:r>
      <w:r>
        <w:t xml:space="preserve"> Instasign:A Traffic Sign Recognition System — https://doi.org/10.1109/iementech202669403.2026.11434062</w:t>
      </w:r>
    </w:p>
    <w:p>
      <w:pPr/>
      <w:r>
        <w:rPr>
          <w:b/>
        </w:rPr>
        <w:t>Later source:</w:t>
      </w:r>
      <w:r>
        <w:t xml:space="preserve"> Reducing the sign problem with line integrals — https://doi.org/10.1007/jhep02(2025)041</w:t>
      </w:r>
    </w:p>
    <w:p>
      <w:pPr>
        <w:pStyle w:val="SourceNote"/>
      </w:pPr>
      <w:r>
        <w:rPr>
          <w:b/>
        </w:rPr>
        <w:t>Review status:</w:t>
      </w:r>
      <w:r>
        <w:t xml:space="preserve"> unchecked — possible relationship only</w:t>
      </w:r>
    </w:p>
    <w:p>
      <w:pPr>
        <w:pStyle w:val="Heading2"/>
      </w:pPr>
      <w:r>
        <w:t>398. Claim + two later sources: Futures and foresight of Croatian cultural heritage</w:t>
      </w:r>
    </w:p>
    <w:p>
      <w:pPr>
        <w:pStyle w:val="SourceNote"/>
      </w:pPr>
      <w:r>
        <w:rPr>
          <w:b/>
        </w:rPr>
        <w:t>Group ID:</w:t>
      </w:r>
      <w:r>
        <w:t xml:space="preserve"> group-95ebdd2360f08906a279</w:t>
      </w:r>
    </w:p>
    <w:p>
      <w:pPr>
        <w:pStyle w:val="SourceNote"/>
      </w:pPr>
      <w:r>
        <w:rPr>
          <w:b/>
        </w:rPr>
        <w:t>Original source:</w:t>
      </w:r>
      <w:r>
        <w:t xml:space="preserve"> https://doi.org/10.17018/portal.2022.10</w:t>
      </w:r>
    </w:p>
    <w:p>
      <w:pPr/>
      <w:r>
        <w:rPr>
          <w:b/>
        </w:rPr>
        <w:t>Original future claim:</w:t>
      </w:r>
      <w:r>
        <w:t xml:space="preserve">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Predicting Enterprise AI Adoption in Europe from Cloud Sophistication, Digital Sales Capabilities, and Enterprise Size — https://doi.org/10.3390/a19040316</w:t>
      </w:r>
    </w:p>
    <w:p>
      <w:pPr>
        <w:pStyle w:val="SourceNote"/>
      </w:pPr>
      <w:r>
        <w:rPr>
          <w:b/>
        </w:rPr>
        <w:t>Review status:</w:t>
      </w:r>
      <w:r>
        <w:t xml:space="preserve"> unchecked — possible relationship only</w:t>
      </w:r>
    </w:p>
    <w:p>
      <w:pPr>
        <w:pStyle w:val="Heading2"/>
      </w:pPr>
      <w:r>
        <w:t>399. Claim + two later sources: Soft-linking of a behavioral model for transport with energy system cost optimization applied to hydrogen in EU</w:t>
      </w:r>
    </w:p>
    <w:p>
      <w:pPr>
        <w:pStyle w:val="SourceNote"/>
      </w:pPr>
      <w:r>
        <w:rPr>
          <w:b/>
        </w:rPr>
        <w:t>Group ID:</w:t>
      </w:r>
      <w:r>
        <w:t xml:space="preserve"> group-68863d6b771f79dc1d2e</w:t>
      </w:r>
    </w:p>
    <w:p>
      <w:pPr>
        <w:pStyle w:val="SourceNote"/>
      </w:pPr>
      <w:r>
        <w:rPr>
          <w:b/>
        </w:rPr>
        <w:t>Original source:</w:t>
      </w:r>
      <w:r>
        <w:t xml:space="preserve"> https://doi.org/10.1016/j.rser.2019.109349</w:t>
      </w:r>
    </w:p>
    <w:p>
      <w:pPr/>
      <w:r>
        <w:rPr>
          <w:b/>
        </w:rPr>
        <w:t>Original future claim:</w:t>
      </w:r>
      <w:r>
        <w:t xml:space="preserve">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Later source:</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Later source:</w:t>
      </w:r>
      <w:r>
        <w:t xml:space="preserve"> Holistic design &amp; optimization of renewable energy systems - an african-european case study — https://doi.org/10.18154/rwth-2026-03350</w:t>
      </w:r>
    </w:p>
    <w:p>
      <w:pPr>
        <w:pStyle w:val="SourceNote"/>
      </w:pPr>
      <w:r>
        <w:rPr>
          <w:b/>
        </w:rPr>
        <w:t>Review status:</w:t>
      </w:r>
      <w:r>
        <w:t xml:space="preserve"> unchecked — possible relationship only</w:t>
      </w:r>
    </w:p>
    <w:p>
      <w:pPr>
        <w:pStyle w:val="Heading2"/>
      </w:pPr>
      <w:r>
        <w:t>400. Claim + two later sources: Facilitating transformative science education through futures thinking</w:t>
      </w:r>
    </w:p>
    <w:p>
      <w:pPr>
        <w:pStyle w:val="SourceNote"/>
      </w:pPr>
      <w:r>
        <w:rPr>
          <w:b/>
        </w:rPr>
        <w:t>Group ID:</w:t>
      </w:r>
      <w:r>
        <w:t xml:space="preserve"> group-b3ce1d1e705a11798f3d</w:t>
      </w:r>
    </w:p>
    <w:p>
      <w:pPr>
        <w:pStyle w:val="SourceNote"/>
      </w:pPr>
      <w:r>
        <w:rPr>
          <w:b/>
        </w:rPr>
        <w:t>Original source:</w:t>
      </w:r>
      <w:r>
        <w:t xml:space="preserve"> https://doi.org/10.1108/oth-09-2021-0114</w:t>
      </w:r>
    </w:p>
    <w:p>
      <w:pPr/>
      <w:r>
        <w:rPr>
          <w:b/>
        </w:rPr>
        <w:t>Original future claim:</w:t>
      </w:r>
      <w:r>
        <w:t xml:space="preserve"> Findings Recent research has shown that future-oriented science learning activities, involving systems thinking, scenario development and backcasting, can let students broaden their futures perceptions, imagine alternatives and navigate uncertainty.</w:t>
      </w:r>
    </w:p>
    <w:p>
      <w:pPr/>
      <w:r>
        <w:rPr>
          <w:b/>
        </w:rPr>
        <w:t>Later source:</w:t>
      </w:r>
      <w:r>
        <w:t xml:space="preserve"> Dissecting the contribution of recent reward versus recent performance history on cognitive effort allocation — https://doi.org/10.1016/j.neuropsychologia.2026.109452</w:t>
      </w:r>
    </w:p>
    <w:p>
      <w:pPr/>
      <w:r>
        <w:rPr>
          <w:b/>
        </w:rPr>
        <w:t>Later source:</w:t>
      </w:r>
      <w:r>
        <w:t xml:space="preserve"> Using Learning Progressions to Guide AI Feedback for Science Learning — https://openalex.org/W7133571101</w:t>
      </w:r>
    </w:p>
    <w:p>
      <w:pPr>
        <w:pStyle w:val="SourceNote"/>
      </w:pPr>
      <w:r>
        <w:rPr>
          <w:b/>
        </w:rPr>
        <w:t>Review status:</w:t>
      </w:r>
      <w:r>
        <w:t xml:space="preserve"> unchecked — possible relationship only</w:t>
      </w:r>
    </w:p>
    <w:p>
      <w:pPr>
        <w:pStyle w:val="Heading2"/>
      </w:pPr>
      <w:r>
        <w:t>401. Claim + two later sources: TRANSPORT PROJECT EVALUATION: FEASIBILITY RISK ASSESSMENT AND SCENARIO FORECASTING</w:t>
      </w:r>
    </w:p>
    <w:p>
      <w:pPr>
        <w:pStyle w:val="SourceNote"/>
      </w:pPr>
      <w:r>
        <w:rPr>
          <w:b/>
        </w:rPr>
        <w:t>Group ID:</w:t>
      </w:r>
      <w:r>
        <w:t xml:space="preserve"> group-5be4ce5c6f7b86bfa724</w:t>
      </w:r>
    </w:p>
    <w:p>
      <w:pPr>
        <w:pStyle w:val="SourceNote"/>
      </w:pPr>
      <w:r>
        <w:rPr>
          <w:b/>
        </w:rPr>
        <w:t>Original source:</w:t>
      </w:r>
      <w:r>
        <w:t xml:space="preserve"> https://doi.org/10.3846/16484142.2015.1063003</w:t>
      </w:r>
    </w:p>
    <w:p>
      <w:pPr/>
      <w:r>
        <w:rPr>
          <w:b/>
        </w:rPr>
        <w:t>Original future claim:</w:t>
      </w:r>
      <w:r>
        <w:t xml:space="preserve"> Finally, RSF makes use of scenario forecasting where trend scenarios such as economic growth and level of cross-border integration are investigated.</w:t>
      </w:r>
    </w:p>
    <w:p>
      <w:pPr/>
      <w:r>
        <w:rPr>
          <w:b/>
        </w:rPr>
        <w:t>Later source:</w:t>
      </w:r>
      <w:r>
        <w:t xml:space="preserve"> Radiative strength functions from the energy-localized Brink-Axel hypothesis — https://doi.org/10.1103/kg6r-t5d1</w:t>
      </w:r>
    </w:p>
    <w:p>
      <w:pPr/>
      <w:r>
        <w:rPr>
          <w:b/>
        </w:rPr>
        <w:t>Later source:</w:t>
      </w:r>
      <w:r>
        <w:t xml:space="preserve"> India and the World Press Freedom Index: A Critical Examination of Media Freedom in the World's Largest Democracy — https://doi.org/10.5281/zenodo.21851588</w:t>
      </w:r>
    </w:p>
    <w:p>
      <w:pPr>
        <w:pStyle w:val="SourceNote"/>
      </w:pPr>
      <w:r>
        <w:rPr>
          <w:b/>
        </w:rPr>
        <w:t>Review status:</w:t>
      </w:r>
      <w:r>
        <w:t xml:space="preserve"> unchecked — possible relationship only</w:t>
      </w:r>
    </w:p>
    <w:p>
      <w:pPr>
        <w:pStyle w:val="Heading2"/>
      </w:pPr>
      <w:r>
        <w:t>402. Claim + two later sources: Investigating European Union Decarbonization Strategies: Evaluating the Pathway to Carbon Neutrality by 2050</w:t>
      </w:r>
    </w:p>
    <w:p>
      <w:pPr>
        <w:pStyle w:val="SourceNote"/>
      </w:pPr>
      <w:r>
        <w:rPr>
          <w:b/>
        </w:rPr>
        <w:t>Group ID:</w:t>
      </w:r>
      <w:r>
        <w:t xml:space="preserve"> group-4f933bcbf2bbab7a376f</w:t>
      </w:r>
    </w:p>
    <w:p>
      <w:pPr>
        <w:pStyle w:val="SourceNote"/>
      </w:pPr>
      <w:r>
        <w:rPr>
          <w:b/>
        </w:rPr>
        <w:t>Original source:</w:t>
      </w:r>
      <w:r>
        <w:t xml:space="preserve"> https://doi.org/10.3390/su14084728</w:t>
      </w:r>
    </w:p>
    <w:p>
      <w:pPr/>
      <w:r>
        <w:rPr>
          <w:b/>
        </w:rPr>
        <w:t>Original future claim:</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Later source:</w:t>
      </w:r>
      <w:r>
        <w:t xml:space="preserve"> The implementation of 'new phase' European social dialogue agreements and texts in European member states — https://doi.org/10.82444/warw.33491788</w:t>
      </w:r>
    </w:p>
    <w:p>
      <w:pPr/>
      <w:r>
        <w:rPr>
          <w:b/>
        </w:rPr>
        <w:t>Later source:</w:t>
      </w:r>
      <w:r>
        <w:t xml:space="preserve"> Meat quality of indigenous pig breeds in selected countries of central and southwestern Europe – a review — https://doi.org/10.2478/aoas-2025-0122</w:t>
      </w:r>
    </w:p>
    <w:p>
      <w:pPr>
        <w:pStyle w:val="SourceNote"/>
      </w:pPr>
      <w:r>
        <w:rPr>
          <w:b/>
        </w:rPr>
        <w:t>Review status:</w:t>
      </w:r>
      <w:r>
        <w:t xml:space="preserve"> unchecked — possible relationship only</w:t>
      </w:r>
    </w:p>
    <w:p>
      <w:pPr>
        <w:pStyle w:val="Heading2"/>
      </w:pPr>
      <w:r>
        <w:t>403. Claim + two later sources: The European Unions Strategic Gas Supply Options and the Prevalence of the Southern Corridor</w:t>
      </w:r>
    </w:p>
    <w:p>
      <w:pPr>
        <w:pStyle w:val="SourceNote"/>
      </w:pPr>
      <w:r>
        <w:rPr>
          <w:b/>
        </w:rPr>
        <w:t>Group ID:</w:t>
      </w:r>
      <w:r>
        <w:t xml:space="preserve"> group-b4acc56eb70edef49283</w:t>
      </w:r>
    </w:p>
    <w:p>
      <w:pPr>
        <w:pStyle w:val="SourceNote"/>
      </w:pPr>
      <w:r>
        <w:rPr>
          <w:b/>
        </w:rPr>
        <w:t>Original source:</w:t>
      </w:r>
      <w:r>
        <w:t xml:space="preserve"> https://doi.org/10.54648/eerr2013040</w:t>
      </w:r>
    </w:p>
    <w:p>
      <w:pPr/>
      <w:r>
        <w:rPr>
          <w:b/>
        </w:rPr>
        <w:t>Original future claim:</w:t>
      </w:r>
      <w:r>
        <w:t xml:space="preserve"> Current estimates predict the EU will need to import up to 80% of the gas it will consume in 2030.Already there is a strong concern about its reliance on Russian gas, especially in Eastern European countries.</w:t>
      </w:r>
    </w:p>
    <w:p>
      <w:pPr/>
      <w:r>
        <w:rPr>
          <w:b/>
        </w:rPr>
        <w:t>Later source:</w:t>
      </w:r>
      <w:r>
        <w:t xml:space="preserve"> Observations informed European Black Carbon emission estimates for 2022 — https://doi.org/10.5194/egusphere-egu25-18977</w:t>
      </w:r>
    </w:p>
    <w:p>
      <w:pPr/>
      <w:r>
        <w:rPr>
          <w:b/>
        </w:rPr>
        <w:t>Later source:</w:t>
      </w:r>
      <w:r>
        <w:t xml:space="preserve"> Prevalence of Glaucoma in Europe and Projections to 2050 — https://doi.org/10.1016/j.ophtha.2025.06.002</w:t>
      </w:r>
    </w:p>
    <w:p>
      <w:pPr>
        <w:pStyle w:val="SourceNote"/>
      </w:pPr>
      <w:r>
        <w:rPr>
          <w:b/>
        </w:rPr>
        <w:t>Review status:</w:t>
      </w:r>
      <w:r>
        <w:t xml:space="preserve"> unchecked — possible relationship only</w:t>
      </w:r>
    </w:p>
    <w:p>
      <w:pPr>
        <w:pStyle w:val="Heading2"/>
      </w:pPr>
      <w:r>
        <w:t>404. Claim + two later sources: Comments: The Long-Term Outlook</w:t>
      </w:r>
    </w:p>
    <w:p>
      <w:pPr>
        <w:pStyle w:val="SourceNote"/>
      </w:pPr>
      <w:r>
        <w:rPr>
          <w:b/>
        </w:rPr>
        <w:t>Group ID:</w:t>
      </w:r>
      <w:r>
        <w:t xml:space="preserve"> group-966339abd917e9e61520</w:t>
      </w:r>
    </w:p>
    <w:p>
      <w:pPr>
        <w:pStyle w:val="SourceNote"/>
      </w:pPr>
      <w:r>
        <w:rPr>
          <w:b/>
        </w:rPr>
        <w:t>Original source:</w:t>
      </w:r>
      <w:r>
        <w:t xml:space="preserve"> https://doi.org/10.2118/0113-0018-jpt</w:t>
      </w:r>
    </w:p>
    <w:p>
      <w:pPr/>
      <w:r>
        <w:rPr>
          <w:b/>
        </w:rPr>
        <w:t>Original future claim:</w:t>
      </w:r>
      <w:r>
        <w:t xml:space="preserve">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Later source:</w:t>
      </w:r>
      <w:r>
        <w:t xml:space="preserve"> Human Spatial Dynamics for Electricity Demand Forecasting — https://doi.org/10.1109/tpwrs.2025.3648653</w:t>
      </w:r>
    </w:p>
    <w:p>
      <w:pPr/>
      <w:r>
        <w:rPr>
          <w:b/>
        </w:rPr>
        <w:t>Later source:</w:t>
      </w:r>
      <w:r>
        <w:t xml:space="preserve"> Synonymous but Significant: New Findings of Pathological Variants in Hermansky–Pudlak Syndrome — https://doi.org/10.1111/pcmr.13221</w:t>
      </w:r>
    </w:p>
    <w:p>
      <w:pPr>
        <w:pStyle w:val="SourceNote"/>
      </w:pPr>
      <w:r>
        <w:rPr>
          <w:b/>
        </w:rPr>
        <w:t>Review status:</w:t>
      </w:r>
      <w:r>
        <w:t xml:space="preserve"> unchecked — possible relationship only</w:t>
      </w:r>
    </w:p>
    <w:p>
      <w:pPr>
        <w:pStyle w:val="Heading2"/>
      </w:pPr>
      <w:r>
        <w:t>405. Claim + two later sources: Climate change, extreme weather events, air pollution and respiratory health in Europe</w:t>
      </w:r>
    </w:p>
    <w:p>
      <w:pPr>
        <w:pStyle w:val="SourceNote"/>
      </w:pPr>
      <w:r>
        <w:rPr>
          <w:b/>
        </w:rPr>
        <w:t>Group ID:</w:t>
      </w:r>
      <w:r>
        <w:t xml:space="preserve"> group-625d307316e0aa592bd6</w:t>
      </w:r>
    </w:p>
    <w:p>
      <w:pPr>
        <w:pStyle w:val="SourceNote"/>
      </w:pPr>
      <w:r>
        <w:rPr>
          <w:b/>
        </w:rPr>
        <w:t>Original source:</w:t>
      </w:r>
      <w:r>
        <w:t xml:space="preserve"> https://doi.org/10.1183/09031936.00074712</w:t>
      </w:r>
    </w:p>
    <w:p>
      <w:pPr/>
      <w:r>
        <w:rPr>
          <w:b/>
        </w:rPr>
        <w:t>Original future claim:</w:t>
      </w:r>
      <w:r>
        <w:t xml:space="preserve">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Later source:</w:t>
      </w:r>
      <w:r>
        <w:t xml:space="preserve"> The temperature increase due to climate change will not favour Cydalima perspectalis in southern Europe — https://doi.org/10.1017/s0007485326100911</w:t>
      </w:r>
    </w:p>
    <w:p>
      <w:pPr/>
      <w:r>
        <w:rPr>
          <w:b/>
        </w:rPr>
        <w:t>Later source:</w:t>
      </w:r>
      <w:r>
        <w:t xml:space="preserve"> Climate change and skin health in Europe and Central Asia — https://doi.org/10.24384/m94t-3428</w:t>
      </w:r>
    </w:p>
    <w:p>
      <w:pPr>
        <w:pStyle w:val="SourceNote"/>
      </w:pPr>
      <w:r>
        <w:rPr>
          <w:b/>
        </w:rPr>
        <w:t>Review status:</w:t>
      </w:r>
      <w:r>
        <w:t xml:space="preserve"> unchecked — possible relationship only</w:t>
      </w:r>
    </w:p>
    <w:p>
      <w:pPr>
        <w:pStyle w:val="Heading2"/>
      </w:pPr>
      <w:r>
        <w:t>406. Claim + two later sources: Implementation of the 2030 sustainable development goals - affordable and clean energy in the European Union</w:t>
      </w:r>
    </w:p>
    <w:p>
      <w:pPr>
        <w:pStyle w:val="SourceNote"/>
      </w:pPr>
      <w:r>
        <w:rPr>
          <w:b/>
        </w:rPr>
        <w:t>Group ID:</w:t>
      </w:r>
      <w:r>
        <w:t xml:space="preserve"> group-bdb441611c137fdc5494</w:t>
      </w:r>
    </w:p>
    <w:p>
      <w:pPr>
        <w:pStyle w:val="SourceNote"/>
      </w:pPr>
      <w:r>
        <w:rPr>
          <w:b/>
        </w:rPr>
        <w:t>Original source:</w:t>
      </w:r>
      <w:r>
        <w:t xml:space="preserve"> https://doi.org/10.1088/1755-1315/906/1/012017</w:t>
      </w:r>
    </w:p>
    <w:p>
      <w:pPr/>
      <w:r>
        <w:rPr>
          <w:b/>
        </w:rPr>
        <w:t>Original future claim:</w:t>
      </w:r>
      <w:r>
        <w:t xml:space="preserve"> In order to be able to predict how the analysed phenomena will develop until 2030, the authors built forecasts. They also allowed the designation of scenarios for the potential development of the analysed indicators.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Environmental Benefits of a Free Flight Single European Sky (SES) for Airline Operators — https://doi.org/10.2514/6.2026-4197</w:t>
      </w:r>
    </w:p>
    <w:p>
      <w:pPr>
        <w:pStyle w:val="SourceNote"/>
      </w:pPr>
      <w:r>
        <w:rPr>
          <w:b/>
        </w:rPr>
        <w:t>Review status:</w:t>
      </w:r>
      <w:r>
        <w:t xml:space="preserve"> unchecked — possible relationship only</w:t>
      </w:r>
    </w:p>
    <w:p>
      <w:pPr>
        <w:pStyle w:val="Heading2"/>
      </w:pPr>
      <w:r>
        <w:t>407. Claim + two later sources: A Game for All Seasons: Lessons and Learnings from the JRC’s Scenario Exploration System</w:t>
      </w:r>
    </w:p>
    <w:p>
      <w:pPr>
        <w:pStyle w:val="SourceNote"/>
      </w:pPr>
      <w:r>
        <w:rPr>
          <w:b/>
        </w:rPr>
        <w:t>Group ID:</w:t>
      </w:r>
      <w:r>
        <w:t xml:space="preserve"> group-173e1fee5cc0d1e55460</w:t>
      </w:r>
    </w:p>
    <w:p>
      <w:pPr>
        <w:pStyle w:val="SourceNote"/>
      </w:pPr>
      <w:r>
        <w:rPr>
          <w:b/>
        </w:rPr>
        <w:t>Original source:</w:t>
      </w:r>
      <w:r>
        <w:t xml:space="preserve"> https://doi.org/10.1177/1946756719890524</w:t>
      </w:r>
    </w:p>
    <w:p>
      <w:pPr/>
      <w:r>
        <w:rPr>
          <w:b/>
        </w:rPr>
        <w:t>Original future claim:</w:t>
      </w:r>
      <w:r>
        <w:t xml:space="preserve"> It was originally geared at engaging EU policy-makers with scenarios in a facilitated process with a low learning curve.</w:t>
      </w:r>
    </w:p>
    <w:p>
      <w:pPr/>
      <w:r>
        <w:rPr>
          <w:b/>
        </w:rPr>
        <w:t>Later source:</w:t>
      </w:r>
      <w:r>
        <w:t xml:space="preserve"> How not to manage crises in the European Union — https://doi.org/10.1093/ia/iiac064</w:t>
      </w:r>
    </w:p>
    <w:p>
      <w:pPr/>
      <w:r>
        <w:rPr>
          <w:b/>
        </w:rPr>
        <w:t>Later source:</w:t>
      </w:r>
      <w:r>
        <w:t xml:space="preserve"> Metamorphosis: a different history of the Union — https://doi.org/10.1017/9781788214247.003</w:t>
      </w:r>
    </w:p>
    <w:p>
      <w:pPr>
        <w:pStyle w:val="SourceNote"/>
      </w:pPr>
      <w:r>
        <w:rPr>
          <w:b/>
        </w:rPr>
        <w:t>Review status:</w:t>
      </w:r>
      <w:r>
        <w:t xml:space="preserve"> unchecked — possible relationship only</w:t>
      </w:r>
    </w:p>
    <w:p>
      <w:pPr>
        <w:pStyle w:val="Heading2"/>
      </w:pPr>
      <w:r>
        <w:t>408. Claim + two later sources: Focused Futures from Finland</w:t>
      </w:r>
    </w:p>
    <w:p>
      <w:pPr>
        <w:pStyle w:val="SourceNote"/>
      </w:pPr>
      <w:r>
        <w:rPr>
          <w:b/>
        </w:rPr>
        <w:t>Group ID:</w:t>
      </w:r>
      <w:r>
        <w:t xml:space="preserve"> group-0a40a7ef0502346c55de</w:t>
      </w:r>
    </w:p>
    <w:p>
      <w:pPr>
        <w:pStyle w:val="SourceNote"/>
      </w:pPr>
      <w:r>
        <w:rPr>
          <w:b/>
        </w:rPr>
        <w:t>Original source:</w:t>
      </w:r>
      <w:r>
        <w:t xml:space="preserve"> https://doi.org/10.1177/1946756718754847</w:t>
      </w:r>
    </w:p>
    <w:p>
      <w:pPr/>
      <w:r>
        <w:rPr>
          <w:b/>
        </w:rPr>
        <w:t>Original future claim:</w:t>
      </w:r>
      <w:r>
        <w:t xml:space="preserve"> At the end of the article, we present four scenarios of the future of the FFRC jointly made by the staff.</w:t>
      </w:r>
    </w:p>
    <w:p>
      <w:pPr/>
      <w:r>
        <w:rPr>
          <w:b/>
        </w:rPr>
        <w:t>Later source:</w:t>
      </w:r>
      <w:r>
        <w:t xml:space="preserve"> The European Security System after the End of the Russian–Ukrainian War in the Political Conceptions of Law and Justice and Civic Platform — https://doi.org/10.17951/we.2025.11.2.11-37</w:t>
      </w:r>
    </w:p>
    <w:p>
      <w:pPr/>
      <w:r>
        <w:rPr>
          <w:b/>
        </w:rPr>
        <w:t>Later source:</w:t>
      </w:r>
      <w:r>
        <w:t xml:space="preserve"> Quo Vadis Europe? — https://doi.org/10.1080/04353684.2023.2193346</w:t>
      </w:r>
    </w:p>
    <w:p>
      <w:pPr>
        <w:pStyle w:val="SourceNote"/>
      </w:pPr>
      <w:r>
        <w:rPr>
          <w:b/>
        </w:rPr>
        <w:t>Review status:</w:t>
      </w:r>
      <w:r>
        <w:t xml:space="preserve"> unchecked — possible relationship only</w:t>
      </w:r>
    </w:p>
    <w:p>
      <w:pPr>
        <w:pStyle w:val="Heading2"/>
      </w:pPr>
      <w:r>
        <w:t>409. Claim + two later sources: On the Future(s) of Energy Communities in the German Energy Transition: A Derivation of Transformation Pathways</w:t>
      </w:r>
    </w:p>
    <w:p>
      <w:pPr>
        <w:pStyle w:val="SourceNote"/>
      </w:pPr>
      <w:r>
        <w:rPr>
          <w:b/>
        </w:rPr>
        <w:t>Group ID:</w:t>
      </w:r>
      <w:r>
        <w:t xml:space="preserve"> group-5135f615051c0170f0db</w:t>
      </w:r>
    </w:p>
    <w:p>
      <w:pPr>
        <w:pStyle w:val="SourceNote"/>
      </w:pPr>
      <w:r>
        <w:rPr>
          <w:b/>
        </w:rPr>
        <w:t>Original source:</w:t>
      </w:r>
      <w:r>
        <w:t xml:space="preserve"> https://doi.org/10.3390/su14063169</w:t>
      </w:r>
    </w:p>
    <w:p>
      <w:pPr/>
      <w:r>
        <w:rPr>
          <w:b/>
        </w:rPr>
        <w:t>Original future claim:</w:t>
      </w:r>
      <w:r>
        <w:t xml:space="preserve">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Later source:</w:t>
      </w:r>
      <w:r>
        <w:t xml:space="preserve"> POSSIBILITIES AND OPPORTUNITIES OF THE PEOPLE OF THE WESTERN BALKANS IN THE DEVELOPMENT CIRCLE OF THE EUROPEAN UNION AND ITS INTEGRATION IN MODERN TIMES — https://doi.org/10.5281/zenodo.18756287</w:t>
      </w:r>
    </w:p>
    <w:p>
      <w:pPr/>
      <w:r>
        <w:rPr>
          <w:b/>
        </w:rPr>
        <w:t>Later source:</w:t>
      </w:r>
      <w:r>
        <w:t xml:space="preserve"> “I haven't thought about it before”: STEM researchers' views on decolonization with examples from Canada, Europe and New Zealand — https://doi.org/10.1108/edi-12-2024-0592</w:t>
      </w:r>
    </w:p>
    <w:p>
      <w:pPr>
        <w:pStyle w:val="SourceNote"/>
      </w:pPr>
      <w:r>
        <w:rPr>
          <w:b/>
        </w:rPr>
        <w:t>Review status:</w:t>
      </w:r>
      <w:r>
        <w:t xml:space="preserve"> unchecked — possible relationship only</w:t>
      </w:r>
    </w:p>
    <w:p>
      <w:pPr>
        <w:pStyle w:val="Heading2"/>
      </w:pPr>
      <w:r>
        <w:t>410. Claim + two later sources: Strategic European Integration Scenarios of Ukrainian and Polish Research, Education and Innovation Spaces</w:t>
      </w:r>
    </w:p>
    <w:p>
      <w:pPr>
        <w:pStyle w:val="SourceNote"/>
      </w:pPr>
      <w:r>
        <w:rPr>
          <w:b/>
        </w:rPr>
        <w:t>Group ID:</w:t>
      </w:r>
      <w:r>
        <w:t xml:space="preserve"> group-f376bb5821f1f0761a60</w:t>
      </w:r>
    </w:p>
    <w:p>
      <w:pPr>
        <w:pStyle w:val="SourceNote"/>
      </w:pPr>
      <w:r>
        <w:rPr>
          <w:b/>
        </w:rPr>
        <w:t>Original source:</w:t>
      </w:r>
      <w:r>
        <w:t xml:space="preserve"> https://doi.org/10.34021/ve.2021.04.02(1)</w:t>
      </w:r>
    </w:p>
    <w:p>
      <w:pPr/>
      <w:r>
        <w:rPr>
          <w:b/>
        </w:rPr>
        <w:t>Original future claim:</w:t>
      </w:r>
      <w:r>
        <w:t xml:space="preserve">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A glimpse on the futures of telecommunication networks: From market, technology and regulation trends to strategic foresight — https://doi.org/10.1016/j.joitmc.2026.100735</w:t>
      </w:r>
    </w:p>
    <w:p>
      <w:pPr>
        <w:pStyle w:val="SourceNote"/>
      </w:pPr>
      <w:r>
        <w:rPr>
          <w:b/>
        </w:rPr>
        <w:t>Review status:</w:t>
      </w:r>
      <w:r>
        <w:t xml:space="preserve"> unchecked — possible relationship only</w:t>
      </w:r>
    </w:p>
    <w:p>
      <w:pPr>
        <w:pStyle w:val="Heading2"/>
      </w:pPr>
      <w:r>
        <w:t>411. Claim + two later sources: A new approach on renewable energy as a support for regional economic development among the European Union</w:t>
      </w:r>
    </w:p>
    <w:p>
      <w:pPr>
        <w:pStyle w:val="SourceNote"/>
      </w:pPr>
      <w:r>
        <w:rPr>
          <w:b/>
        </w:rPr>
        <w:t>Group ID:</w:t>
      </w:r>
      <w:r>
        <w:t xml:space="preserve"> group-46d81050bbe7450adf2f</w:t>
      </w:r>
    </w:p>
    <w:p>
      <w:pPr>
        <w:pStyle w:val="SourceNote"/>
      </w:pPr>
      <w:r>
        <w:rPr>
          <w:b/>
        </w:rPr>
        <w:t>Original source:</w:t>
      </w:r>
      <w:r>
        <w:t xml:space="preserve"> https://doi.org/10.1016/j.techfore.2022.121998</w:t>
      </w:r>
    </w:p>
    <w:p>
      <w:pPr/>
      <w:r>
        <w:rPr>
          <w:b/>
        </w:rPr>
        <w:t>Original future claim:</w:t>
      </w:r>
      <w:r>
        <w:t xml:space="preserve">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Later source:</w:t>
      </w:r>
      <w:r>
        <w:t xml:space="preserve"> Environmental performance and institutions quality in Europe: A Bayesian model averaging approach — https://doi.org/10.1016/j.najef.2026.102591</w:t>
      </w:r>
    </w:p>
    <w:p>
      <w:pPr/>
      <w:r>
        <w:rPr>
          <w:b/>
        </w:rPr>
        <w:t>Later source:</w:t>
      </w:r>
      <w:r>
        <w:t xml:space="preserve"> A gridded dataset of European Forest Types to support forest monitoring, modelling and reporting — https://doi.org/10.5194/essd-18-6435-2026</w:t>
      </w:r>
    </w:p>
    <w:p>
      <w:pPr>
        <w:pStyle w:val="SourceNote"/>
      </w:pPr>
      <w:r>
        <w:rPr>
          <w:b/>
        </w:rPr>
        <w:t>Review status:</w:t>
      </w:r>
      <w:r>
        <w:t xml:space="preserve"> unchecked — possible relationship only</w:t>
      </w:r>
    </w:p>
    <w:p>
      <w:pPr>
        <w:pStyle w:val="Heading2"/>
      </w:pPr>
      <w:r>
        <w:t>412. Claim + two later sources: Foresighting addiction and lifestyles in Europe 2030+</w:t>
      </w:r>
    </w:p>
    <w:p>
      <w:pPr>
        <w:pStyle w:val="SourceNote"/>
      </w:pPr>
      <w:r>
        <w:rPr>
          <w:b/>
        </w:rPr>
        <w:t>Group ID:</w:t>
      </w:r>
      <w:r>
        <w:t xml:space="preserve"> group-4e7fb4a2f52c8f599c88</w:t>
      </w:r>
    </w:p>
    <w:p>
      <w:pPr>
        <w:pStyle w:val="SourceNote"/>
      </w:pPr>
      <w:r>
        <w:rPr>
          <w:b/>
        </w:rPr>
        <w:t>Original source:</w:t>
      </w:r>
      <w:r>
        <w:t xml:space="preserve"> https://doi.org/10.1007/s40309-013-0019-0</w:t>
      </w:r>
    </w:p>
    <w:p>
      <w:pPr/>
      <w:r>
        <w:rPr>
          <w:b/>
        </w:rPr>
        <w:t>Original future claim:</w:t>
      </w:r>
      <w:r>
        <w:t xml:space="preserve">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Later source:</w:t>
      </w:r>
      <w:r>
        <w:t xml:space="preserve"> The Horizon Europe CRM-geothermal project: Deliverable 6.7 – Clustering Network Map. — https://doi.org/10.5281/zenodo.19929926</w:t>
      </w:r>
    </w:p>
    <w:p>
      <w:pPr/>
      <w:r>
        <w:rPr>
          <w:b/>
        </w:rPr>
        <w:t>Later source:</w:t>
      </w:r>
      <w:r>
        <w:t xml:space="preserve"> Animal board invited review: A biocultural perspective of animal farming systems in Europe — https://doi.org/10.1016/j.animal.2025.101515</w:t>
      </w:r>
    </w:p>
    <w:p>
      <w:pPr>
        <w:pStyle w:val="SourceNote"/>
      </w:pPr>
      <w:r>
        <w:rPr>
          <w:b/>
        </w:rPr>
        <w:t>Review status:</w:t>
      </w:r>
      <w:r>
        <w:t xml:space="preserve"> unchecked — possible relationship only</w:t>
      </w:r>
    </w:p>
    <w:p>
      <w:pPr>
        <w:pStyle w:val="Heading2"/>
      </w:pPr>
      <w:r>
        <w:t>413. Claim + two later sources: The Future of Internationalization of Higher Education in Europe</w:t>
      </w:r>
    </w:p>
    <w:p>
      <w:pPr>
        <w:pStyle w:val="SourceNote"/>
      </w:pPr>
      <w:r>
        <w:rPr>
          <w:b/>
        </w:rPr>
        <w:t>Group ID:</w:t>
      </w:r>
      <w:r>
        <w:t xml:space="preserve"> group-140227d44ea536291421</w:t>
      </w:r>
    </w:p>
    <w:p>
      <w:pPr>
        <w:pStyle w:val="SourceNote"/>
      </w:pPr>
      <w:r>
        <w:rPr>
          <w:b/>
        </w:rPr>
        <w:t>Original source:</w:t>
      </w:r>
      <w:r>
        <w:t xml:space="preserve"> https://doi.org/10.6017/ihe.2015.83.9073</w:t>
      </w:r>
    </w:p>
    <w:p>
      <w:pPr/>
      <w:r>
        <w:rPr>
          <w:b/>
        </w:rPr>
        <w:t>Original future claim:</w:t>
      </w:r>
      <w:r>
        <w:t xml:space="preserve">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Later source:</w:t>
      </w:r>
      <w:r>
        <w:t xml:space="preserve"> Conclusions and Recommendations — https://doi.org/10.1007/978-3-032-11327-6_6</w:t>
      </w:r>
    </w:p>
    <w:p>
      <w:pPr/>
      <w:r>
        <w:rPr>
          <w:b/>
        </w:rPr>
        <w:t>Later source:</w:t>
      </w:r>
      <w:r>
        <w:t xml:space="preserve"> Mapping European mental health policies: a scoping review and policy recommendations — https://doi.org/10.1016/j.healthpol.2026.105698</w:t>
      </w:r>
    </w:p>
    <w:p>
      <w:pPr>
        <w:pStyle w:val="SourceNote"/>
      </w:pPr>
      <w:r>
        <w:rPr>
          <w:b/>
        </w:rPr>
        <w:t>Review status:</w:t>
      </w:r>
      <w:r>
        <w:t xml:space="preserve"> unchecked — possible relationship only</w:t>
      </w:r>
    </w:p>
    <w:p>
      <w:pPr>
        <w:pStyle w:val="Heading2"/>
      </w:pPr>
      <w:r>
        <w:t>414. Claim + two later sources: Situational analysis of EU renewable energy legislation</w:t>
      </w:r>
    </w:p>
    <w:p>
      <w:pPr>
        <w:pStyle w:val="SourceNote"/>
      </w:pPr>
      <w:r>
        <w:rPr>
          <w:b/>
        </w:rPr>
        <w:t>Group ID:</w:t>
      </w:r>
      <w:r>
        <w:t xml:space="preserve"> group-70110f0f1e460ea2a311</w:t>
      </w:r>
    </w:p>
    <w:p>
      <w:pPr>
        <w:pStyle w:val="SourceNote"/>
      </w:pPr>
      <w:r>
        <w:rPr>
          <w:b/>
        </w:rPr>
        <w:t>Original source:</w:t>
      </w:r>
      <w:r>
        <w:t xml:space="preserve"> https://doi.org/10.1080/14693062.2015.1135412</w:t>
      </w:r>
    </w:p>
    <w:p>
      <w:pPr/>
      <w:r>
        <w:rPr>
          <w:b/>
        </w:rPr>
        <w:t>Original future claim:</w:t>
      </w:r>
      <w:r>
        <w:t xml:space="preserve">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Later source:</w:t>
      </w:r>
      <w:r>
        <w:t xml:space="preserve"> Governing asylum seekers : logistics, differentiation, and failure in the European Union’s reception regime — https://doi.org/10.82444/warw.33757732</w:t>
      </w:r>
    </w:p>
    <w:p>
      <w:pPr/>
      <w:r>
        <w:rPr>
          <w:b/>
        </w:rPr>
        <w:t>Later source:</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pStyle w:val="SourceNote"/>
      </w:pPr>
      <w:r>
        <w:rPr>
          <w:b/>
        </w:rPr>
        <w:t>Review status:</w:t>
      </w:r>
      <w:r>
        <w:t xml:space="preserve"> unchecked — possible relationship only</w:t>
      </w:r>
    </w:p>
    <w:p>
      <w:pPr>
        <w:pStyle w:val="Heading2"/>
      </w:pPr>
      <w:r>
        <w:t>415. Claim + two later sources: Future transitions for the Bioeconomy towards Sustainable Development and a Climate-Neutral Economy - Knowledge Synthesis Final Report: WP1 - Knowledge synthesis and foresight</w:t>
      </w:r>
    </w:p>
    <w:p>
      <w:pPr>
        <w:pStyle w:val="SourceNote"/>
      </w:pPr>
      <w:r>
        <w:rPr>
          <w:b/>
        </w:rPr>
        <w:t>Group ID:</w:t>
      </w:r>
      <w:r>
        <w:t xml:space="preserve"> group-91692965f76931960676</w:t>
      </w:r>
    </w:p>
    <w:p>
      <w:pPr>
        <w:pStyle w:val="SourceNote"/>
      </w:pPr>
      <w:r>
        <w:rPr>
          <w:b/>
        </w:rPr>
        <w:t>Original source:</w:t>
      </w:r>
      <w:r>
        <w:t xml:space="preserve"> https://doi.org/10.2760/667966</w:t>
      </w:r>
    </w:p>
    <w:p>
      <w:pPr/>
      <w:r>
        <w:rPr>
          <w:b/>
        </w:rPr>
        <w:t>Original future claim:</w:t>
      </w:r>
      <w:r>
        <w:t xml:space="preserve">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Later source:</w:t>
      </w:r>
      <w:r>
        <w:t xml:space="preserve"> Unequal access to cardiovascular care: learning from European experience — https://doi.org/10.1093/eurheartj/ehaf1106</w:t>
      </w:r>
    </w:p>
    <w:p>
      <w:pPr/>
      <w:r>
        <w:rPr>
          <w:b/>
        </w:rPr>
        <w:t>Later source:</w:t>
      </w:r>
      <w:r>
        <w:t xml:space="preserve"> Left, right, or buy green? Political ideology and sustainable consumption in Europe — https://doi.org/10.9770/w3992782679</w:t>
      </w:r>
    </w:p>
    <w:p>
      <w:pPr>
        <w:pStyle w:val="SourceNote"/>
      </w:pPr>
      <w:r>
        <w:rPr>
          <w:b/>
        </w:rPr>
        <w:t>Review status:</w:t>
      </w:r>
      <w:r>
        <w:t xml:space="preserve"> unchecked — possible relationship only</w:t>
      </w:r>
    </w:p>
    <w:p>
      <w:pPr>
        <w:pStyle w:val="Heading2"/>
      </w:pPr>
      <w:r>
        <w:t>416. Claim + two later sources: Grassland futures in Great Britain – Productivity assessment and scenarios for land use change opportunities</w:t>
      </w:r>
    </w:p>
    <w:p>
      <w:pPr>
        <w:pStyle w:val="SourceNote"/>
      </w:pPr>
      <w:r>
        <w:rPr>
          <w:b/>
        </w:rPr>
        <w:t>Group ID:</w:t>
      </w:r>
      <w:r>
        <w:t xml:space="preserve"> group-519a9e7f564ae4765eed</w:t>
      </w:r>
    </w:p>
    <w:p>
      <w:pPr>
        <w:pStyle w:val="SourceNote"/>
      </w:pPr>
      <w:r>
        <w:rPr>
          <w:b/>
        </w:rPr>
        <w:t>Original source:</w:t>
      </w:r>
      <w:r>
        <w:t xml:space="preserve"> https://doi.org/10.1016/j.scitotenv.2018.03.395</w:t>
      </w:r>
    </w:p>
    <w:p>
      <w:pPr/>
      <w:r>
        <w:rPr>
          <w:b/>
        </w:rPr>
        <w:t>Original future claim:</w:t>
      </w:r>
      <w:r>
        <w:t xml:space="preserve">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Later source:</w:t>
      </w:r>
      <w:r>
        <w:t xml:space="preserve"> Integrating aviation’s non-CO2 effects into EU ETS: Impact of CO2e accounting on operational and technological climate mitigation measures — https://doi.org/10.1016/j.trpro.2026.02.025</w:t>
      </w:r>
    </w:p>
    <w:p>
      <w:pPr/>
      <w:r>
        <w:rPr>
          <w:b/>
        </w:rPr>
        <w:t>Later source:</w:t>
      </w:r>
      <w:r>
        <w:t xml:space="preserve"> Next-Gen Monitoring: Technological Interventions for Climate-Adaptive Agriculture — https://doi.org/10.5281/zenodo.19417401</w:t>
      </w:r>
    </w:p>
    <w:p>
      <w:pPr>
        <w:pStyle w:val="SourceNote"/>
      </w:pPr>
      <w:r>
        <w:rPr>
          <w:b/>
        </w:rPr>
        <w:t>Review status:</w:t>
      </w:r>
      <w:r>
        <w:t xml:space="preserve"> unchecked — possible relationship only</w:t>
      </w:r>
    </w:p>
    <w:p>
      <w:pPr>
        <w:pStyle w:val="Heading2"/>
      </w:pPr>
      <w:r>
        <w:t>417. Claim + two later sources: Demographic change and the European income distribution</w:t>
      </w:r>
    </w:p>
    <w:p>
      <w:pPr>
        <w:pStyle w:val="SourceNote"/>
      </w:pPr>
      <w:r>
        <w:rPr>
          <w:b/>
        </w:rPr>
        <w:t>Group ID:</w:t>
      </w:r>
      <w:r>
        <w:t xml:space="preserve"> group-9f930a5bf8ea42bbb5d2</w:t>
      </w:r>
    </w:p>
    <w:p>
      <w:pPr>
        <w:pStyle w:val="SourceNote"/>
      </w:pPr>
      <w:r>
        <w:rPr>
          <w:b/>
        </w:rPr>
        <w:t>Original source:</w:t>
      </w:r>
      <w:r>
        <w:t xml:space="preserve"> https://doi.org/10.1007/s10888-019-09411-z</w:t>
      </w:r>
    </w:p>
    <w:p>
      <w:pPr/>
      <w:r>
        <w:rPr>
          <w:b/>
        </w:rPr>
        <w:t>Original future claim:</w:t>
      </w:r>
      <w:r>
        <w:t xml:space="preserve">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Fiscal drag in Europe: Key facts — https://openalex.org/W7142563241</w:t>
      </w:r>
    </w:p>
    <w:p>
      <w:pPr>
        <w:pStyle w:val="SourceNote"/>
      </w:pPr>
      <w:r>
        <w:rPr>
          <w:b/>
        </w:rPr>
        <w:t>Review status:</w:t>
      </w:r>
      <w:r>
        <w:t xml:space="preserve"> unchecked — possible relationship only</w:t>
      </w:r>
    </w:p>
    <w:p>
      <w:pPr>
        <w:pStyle w:val="Heading2"/>
      </w:pPr>
      <w:r>
        <w:t>418. Claim + two later sources: A decision support system to find the best water allocation strategies in a Mediterranean river basin in future scenarios of global change</w:t>
      </w:r>
    </w:p>
    <w:p>
      <w:pPr>
        <w:pStyle w:val="SourceNote"/>
      </w:pPr>
      <w:r>
        <w:rPr>
          <w:b/>
        </w:rPr>
        <w:t>Group ID:</w:t>
      </w:r>
      <w:r>
        <w:t xml:space="preserve"> group-a02c589aff012631479d</w:t>
      </w:r>
    </w:p>
    <w:p>
      <w:pPr>
        <w:pStyle w:val="SourceNote"/>
      </w:pPr>
      <w:r>
        <w:rPr>
          <w:b/>
        </w:rPr>
        <w:t>Original source:</w:t>
      </w:r>
      <w:r>
        <w:t xml:space="preserve"> https://doi.org/10.1080/0952813x.2015.1024493</w:t>
      </w:r>
    </w:p>
    <w:p>
      <w:pPr/>
      <w:r>
        <w:rPr>
          <w:b/>
        </w:rPr>
        <w:t>Original future claim:</w:t>
      </w:r>
      <w:r>
        <w:t xml:space="preserve"> Several scenarios have been constructed to evaluate different sectorial water allocation policies to mitigate the water scarcity induced by global change.</w:t>
      </w:r>
    </w:p>
    <w:p>
      <w:pPr/>
      <w:r>
        <w:rPr>
          <w:b/>
        </w:rPr>
        <w:t>Later source:</w:t>
      </w:r>
      <w:r>
        <w:t xml:space="preserve"> Modelling the interplay between sectoral power asymmetries and the use of climate services — https://doi.org/10.1016/j.cliser.2026.100694</w:t>
      </w:r>
    </w:p>
    <w:p>
      <w:pPr/>
      <w:r>
        <w:rPr>
          <w:b/>
        </w:rPr>
        <w:t>Later source:</w:t>
      </w:r>
      <w:r>
        <w:t xml:space="preserve"> Make Any Collection Navigable: Methods for Constructing and Evaluating Hypergraph of Text — https://doi.org/10.48550/arxiv.2604.25906</w:t>
      </w:r>
    </w:p>
    <w:p>
      <w:pPr>
        <w:pStyle w:val="SourceNote"/>
      </w:pPr>
      <w:r>
        <w:rPr>
          <w:b/>
        </w:rPr>
        <w:t>Review status:</w:t>
      </w:r>
      <w:r>
        <w:t xml:space="preserve"> unchecked — possible relationship only</w:t>
      </w:r>
    </w:p>
    <w:p>
      <w:pPr>
        <w:pStyle w:val="Heading2"/>
      </w:pPr>
      <w:r>
        <w:t>419. Claim + two later sources: GLOBAL FORECAST OF US NATIONAL INTELLIGENCE COUNCIL</w:t>
      </w:r>
    </w:p>
    <w:p>
      <w:pPr>
        <w:pStyle w:val="SourceNote"/>
      </w:pPr>
      <w:r>
        <w:rPr>
          <w:b/>
        </w:rPr>
        <w:t>Group ID:</w:t>
      </w:r>
      <w:r>
        <w:t xml:space="preserve"> group-bdb747b96cb29f10d3c8</w:t>
      </w:r>
    </w:p>
    <w:p>
      <w:pPr>
        <w:pStyle w:val="SourceNote"/>
      </w:pPr>
      <w:r>
        <w:rPr>
          <w:b/>
        </w:rPr>
        <w:t>Original source:</w:t>
      </w:r>
      <w:r>
        <w:t xml:space="preserve"> https://doi.org/10.20542/0131-2227-2016-60-11-5-13</w:t>
      </w:r>
    </w:p>
    <w:p>
      <w:pPr/>
      <w:r>
        <w:rPr>
          <w:b/>
        </w:rPr>
        <w:t>Original future claim:</w:t>
      </w:r>
      <w:r>
        <w:t xml:space="preserve"> The paper gives an analysis of the background, main trends, scenarios and factors of the long-term development of the world till 2030 which are exposed in forecasts of the National Intelligence Council (NIC) in its report of 2012.</w:t>
      </w:r>
    </w:p>
    <w:p>
      <w:pPr/>
      <w:r>
        <w:rPr>
          <w:b/>
        </w:rPr>
        <w:t>Later source:</w:t>
      </w:r>
      <w:r>
        <w:t xml:space="preserve"> Factors Influencing Long-term Home Care for Patients with Tracheostomy from the Perspectives of their Family Members — https://doi.org/10.4103/ijnmr.ijnmr_379_24</w:t>
      </w:r>
    </w:p>
    <w:p>
      <w:pPr/>
      <w:r>
        <w:rPr>
          <w:b/>
        </w:rPr>
        <w:t>Later source:</w:t>
      </w:r>
      <w:r>
        <w:t xml:space="preserve"> I-P10Sky Projection of the Free-State Background — https://doi.org/10.5281/zenodo.21548281</w:t>
      </w:r>
    </w:p>
    <w:p>
      <w:pPr>
        <w:pStyle w:val="SourceNote"/>
      </w:pPr>
      <w:r>
        <w:rPr>
          <w:b/>
        </w:rPr>
        <w:t>Review status:</w:t>
      </w:r>
      <w:r>
        <w:t xml:space="preserve"> unchecked — possible relationship only</w:t>
      </w:r>
    </w:p>
    <w:p>
      <w:pPr>
        <w:pStyle w:val="Heading2"/>
      </w:pPr>
      <w:r>
        <w:t>420. Claim + two later sources: Prediction of population with Alzheimer's disease in the European Union using a system dynamics model</w:t>
      </w:r>
    </w:p>
    <w:p>
      <w:pPr>
        <w:pStyle w:val="SourceNote"/>
      </w:pPr>
      <w:r>
        <w:rPr>
          <w:b/>
        </w:rPr>
        <w:t>Group ID:</w:t>
      </w:r>
      <w:r>
        <w:t xml:space="preserve"> group-9020aa2f3e3a6c7ba2df</w:t>
      </w:r>
    </w:p>
    <w:p>
      <w:pPr>
        <w:pStyle w:val="SourceNote"/>
      </w:pPr>
      <w:r>
        <w:rPr>
          <w:b/>
        </w:rPr>
        <w:t>Original source:</w:t>
      </w:r>
      <w:r>
        <w:t xml:space="preserve"> https://doi.org/10.2147/ndt.s107969</w:t>
      </w:r>
    </w:p>
    <w:p>
      <w:pPr/>
      <w:r>
        <w:rPr>
          <w:b/>
        </w:rPr>
        <w:t>Original future claim:</w:t>
      </w:r>
      <w:r>
        <w:t xml:space="preserve"> In this research, population growth of the European Union (EU) until the year 2080 and the number of patients with AD are modeled.</w:t>
      </w:r>
    </w:p>
    <w:p>
      <w:pPr/>
      <w:r>
        <w:rPr>
          <w:b/>
        </w:rPr>
        <w:t>Later source:</w:t>
      </w:r>
      <w:r>
        <w:t xml:space="preserve"> The results of a comparative analysis of the population of the population of Ukraine and countries of the European region for HIV as a rationale for improving the pharmaceutical provision of patients with socially dangerous pathologies — https://doi.org/10.15587/2519-4852.2022.253507</w:t>
      </w:r>
    </w:p>
    <w:p>
      <w:pPr/>
      <w:r>
        <w:rPr>
          <w:b/>
        </w:rPr>
        <w:t>Later source:</w:t>
      </w:r>
      <w:r>
        <w:t xml:space="preserve"> Projected number of osteoarthritis patients in Austria for the next decades – quantifying the necessity of treatment and prevention strategies in Europe — https://doi.org/10.1186/s12891-022-05091-5</w:t>
      </w:r>
    </w:p>
    <w:p>
      <w:pPr>
        <w:pStyle w:val="SourceNote"/>
      </w:pPr>
      <w:r>
        <w:rPr>
          <w:b/>
        </w:rPr>
        <w:t>Review status:</w:t>
      </w:r>
      <w:r>
        <w:t xml:space="preserve"> unchecked — possible relationship only</w:t>
      </w:r>
    </w:p>
    <w:p>
      <w:pPr>
        <w:pStyle w:val="Heading2"/>
      </w:pPr>
      <w:r>
        <w:t>421. Claim + two later sources: European atmosphere in 2050, a regional air quality and climate perspective under CMIP5 scenarios</w:t>
      </w:r>
    </w:p>
    <w:p>
      <w:pPr>
        <w:pStyle w:val="SourceNote"/>
      </w:pPr>
      <w:r>
        <w:rPr>
          <w:b/>
        </w:rPr>
        <w:t>Group ID:</w:t>
      </w:r>
      <w:r>
        <w:t xml:space="preserve"> group-28253ad807f6c5018be8</w:t>
      </w:r>
    </w:p>
    <w:p>
      <w:pPr>
        <w:pStyle w:val="SourceNote"/>
      </w:pPr>
      <w:r>
        <w:rPr>
          <w:b/>
        </w:rPr>
        <w:t>Original source:</w:t>
      </w:r>
      <w:r>
        <w:t xml:space="preserve"> https://doi.org/10.5194/acp-13-7451-2013</w:t>
      </w:r>
    </w:p>
    <w:p>
      <w:pPr/>
      <w:r>
        <w:rPr>
          <w:b/>
        </w:rPr>
        <w:t>Original future claim:</w:t>
      </w:r>
      <w:r>
        <w:t xml:space="preserve">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Later source:</w:t>
      </w:r>
      <w:r>
        <w:t xml:space="preserve"> Impacts of drought on electricity production, fossil carbon emissions, and air pollution in Europe — https://doi.org/10.1016/j.nexus.2026.100652</w:t>
      </w:r>
    </w:p>
    <w:p>
      <w:pPr/>
      <w:r>
        <w:rPr>
          <w:b/>
        </w:rPr>
        <w:t>Later source:</w:t>
      </w:r>
      <w:r>
        <w:t xml:space="preserve"> Climate &amp; Air Quality projections over Europe for 2030 and 2050 — https://openalex.org/W7213705154</w:t>
      </w:r>
    </w:p>
    <w:p>
      <w:pPr>
        <w:pStyle w:val="SourceNote"/>
      </w:pPr>
      <w:r>
        <w:rPr>
          <w:b/>
        </w:rPr>
        <w:t>Review status:</w:t>
      </w:r>
      <w:r>
        <w:t xml:space="preserve"> unchecked — possible relationship only</w:t>
      </w:r>
    </w:p>
    <w:p>
      <w:pPr>
        <w:pStyle w:val="Heading2"/>
      </w:pPr>
      <w:r>
        <w:t>422. Claim + two later sources: Improved Consistency of Climate Projections over Europe after Accounting for Atmospheric Circulation Variability</w:t>
      </w:r>
    </w:p>
    <w:p>
      <w:pPr>
        <w:pStyle w:val="SourceNote"/>
      </w:pPr>
      <w:r>
        <w:rPr>
          <w:b/>
        </w:rPr>
        <w:t>Group ID:</w:t>
      </w:r>
      <w:r>
        <w:t xml:space="preserve"> group-417b0cc41f81981a1cf1</w:t>
      </w:r>
    </w:p>
    <w:p>
      <w:pPr>
        <w:pStyle w:val="SourceNote"/>
      </w:pPr>
      <w:r>
        <w:rPr>
          <w:b/>
        </w:rPr>
        <w:t>Original source:</w:t>
      </w:r>
      <w:r>
        <w:t xml:space="preserve"> https://doi.org/10.1175/jcli-d-16-0695.1</w:t>
      </w:r>
    </w:p>
    <w:p>
      <w:pPr/>
      <w:r>
        <w:rPr>
          <w:b/>
        </w:rPr>
        <w:t>Original future claim:</w:t>
      </w:r>
      <w:r>
        <w:t xml:space="preserve">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Later source:</w:t>
      </w:r>
      <w:r>
        <w:t xml:space="preserve"> Evaluating effects of the terrain on modelled winds in multiple atmospheric model datasets — https://doi.org/10.5194/wes-2026-24</w:t>
      </w:r>
    </w:p>
    <w:p>
      <w:pPr/>
      <w:r>
        <w:rPr>
          <w:b/>
        </w:rPr>
        <w:t>Later source:</w:t>
      </w:r>
      <w:r>
        <w:t xml:space="preserve"> Trends in short-term precipitation variability and their connection to atmospheric circulation — https://doi.org/10.5194/ems2026-287</w:t>
      </w:r>
    </w:p>
    <w:p>
      <w:pPr>
        <w:pStyle w:val="SourceNote"/>
      </w:pPr>
      <w:r>
        <w:rPr>
          <w:b/>
        </w:rPr>
        <w:t>Review status:</w:t>
      </w:r>
      <w:r>
        <w:t xml:space="preserve"> unchecked — possible relationship only</w:t>
      </w:r>
    </w:p>
    <w:p>
      <w:pPr>
        <w:pStyle w:val="Heading2"/>
      </w:pPr>
      <w:r>
        <w:t>423. Claim + two later sources: ‘Energy landscapes’: Meeting energy demands and human aspirations</w:t>
      </w:r>
    </w:p>
    <w:p>
      <w:pPr>
        <w:pStyle w:val="SourceNote"/>
      </w:pPr>
      <w:r>
        <w:rPr>
          <w:b/>
        </w:rPr>
        <w:t>Group ID:</w:t>
      </w:r>
      <w:r>
        <w:t xml:space="preserve"> group-cf3231f38d8cbbfc423f</w:t>
      </w:r>
    </w:p>
    <w:p>
      <w:pPr>
        <w:pStyle w:val="SourceNote"/>
      </w:pPr>
      <w:r>
        <w:rPr>
          <w:b/>
        </w:rPr>
        <w:t>Original source:</w:t>
      </w:r>
      <w:r>
        <w:t xml:space="preserve"> https://doi.org/10.1016/j.biombioe.2012.11.022</w:t>
      </w:r>
    </w:p>
    <w:p>
      <w:pPr/>
      <w:r>
        <w:rPr>
          <w:b/>
        </w:rPr>
        <w:t>Original future claim:</w:t>
      </w:r>
      <w:r>
        <w:t xml:space="preserve"> A critical question considered in this article is whether a massive expansion in the use of biomass will allow us to construct future scenarios while repositioning the 'energy landscape' as an object of study.</w:t>
      </w:r>
    </w:p>
    <w:p>
      <w:pPr/>
      <w:r>
        <w:rPr>
          <w:b/>
        </w:rPr>
        <w:t>Later source:</w:t>
      </w:r>
      <w:r>
        <w:t xml:space="preserve"> Hubble as a Unique Discovery Engine of the Fate of Massive Stars and Black Hole Formation — https://doi.org/10.48550/arxiv.2606.10710</w:t>
      </w:r>
    </w:p>
    <w:p>
      <w:pPr/>
      <w:r>
        <w:rPr>
          <w:b/>
        </w:rPr>
        <w:t>Later source:</w:t>
      </w:r>
      <w:r>
        <w:t xml:space="preserve"> Assembly of the most massive Black Holes in the Universe — https://doi.org/10.7488/era/7378</w:t>
      </w:r>
    </w:p>
    <w:p>
      <w:pPr>
        <w:pStyle w:val="SourceNote"/>
      </w:pPr>
      <w:r>
        <w:rPr>
          <w:b/>
        </w:rPr>
        <w:t>Review status:</w:t>
      </w:r>
      <w:r>
        <w:t xml:space="preserve"> unchecked — possible relationship only</w:t>
      </w:r>
    </w:p>
    <w:p>
      <w:pPr>
        <w:pStyle w:val="Heading2"/>
      </w:pPr>
      <w:r>
        <w:t>424. Claim + two later sources: Energy futures as societal futures: Co-evolutionary scenarios linking futures of society and decarbonized energy systems in Switzerland 2050</w:t>
      </w:r>
    </w:p>
    <w:p>
      <w:pPr>
        <w:pStyle w:val="SourceNote"/>
      </w:pPr>
      <w:r>
        <w:rPr>
          <w:b/>
        </w:rPr>
        <w:t>Group ID:</w:t>
      </w:r>
      <w:r>
        <w:t xml:space="preserve"> group-23f56039dcde5a48fd43</w:t>
      </w:r>
    </w:p>
    <w:p>
      <w:pPr>
        <w:pStyle w:val="SourceNote"/>
      </w:pPr>
      <w:r>
        <w:rPr>
          <w:b/>
        </w:rPr>
        <w:t>Original source:</w:t>
      </w:r>
      <w:r>
        <w:t xml:space="preserve"> https://doi.org/10.1016/j.futures.2022.102955</w:t>
      </w:r>
    </w:p>
    <w:p>
      <w:pPr/>
      <w:r>
        <w:rPr>
          <w:b/>
        </w:rPr>
        <w:t>Original future claim:</w:t>
      </w:r>
      <w:r>
        <w:t xml:space="preserve">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Later source:</w:t>
      </w:r>
      <w:r>
        <w:t xml:space="preserve"> Consensus-based optimization (CBO): Towards Global Optimality in Robotics — https://doi.org/10.15607/rss.2026.xxii.161</w:t>
      </w:r>
    </w:p>
    <w:p>
      <w:pPr/>
      <w:r>
        <w:rPr>
          <w:b/>
        </w:rPr>
        <w:t>Later source:</w:t>
      </w:r>
      <w:r>
        <w:t xml:space="preserve"> Consensus of marginally stable systems of reaction–diffusion equations with decentralized boundary control — https://doi.org/10.1016/j.automatica.2026.112887</w:t>
      </w:r>
    </w:p>
    <w:p>
      <w:pPr>
        <w:pStyle w:val="SourceNote"/>
      </w:pPr>
      <w:r>
        <w:rPr>
          <w:b/>
        </w:rPr>
        <w:t>Review status:</w:t>
      </w:r>
      <w:r>
        <w:t xml:space="preserve"> unchecked — possible relationship only</w:t>
      </w:r>
    </w:p>
    <w:p>
      <w:pPr>
        <w:pStyle w:val="Heading2"/>
      </w:pPr>
      <w:r>
        <w:t>425. Claim + two later sources: Imaginary scenarios: Literature and Democracy in Europe</w:t>
      </w:r>
    </w:p>
    <w:p>
      <w:pPr>
        <w:pStyle w:val="SourceNote"/>
      </w:pPr>
      <w:r>
        <w:rPr>
          <w:b/>
        </w:rPr>
        <w:t>Group ID:</w:t>
      </w:r>
      <w:r>
        <w:t xml:space="preserve"> group-6c28696562396c70f365</w:t>
      </w:r>
    </w:p>
    <w:p>
      <w:pPr>
        <w:pStyle w:val="SourceNote"/>
      </w:pPr>
      <w:r>
        <w:rPr>
          <w:b/>
        </w:rPr>
        <w:t>Original source:</w:t>
      </w:r>
      <w:r>
        <w:t xml:space="preserve"> https://doi.org/10.25071/2369-7326.40256</w:t>
      </w:r>
    </w:p>
    <w:p>
      <w:pPr/>
      <w:r>
        <w:rPr>
          <w:b/>
        </w:rPr>
        <w:t>Original future claim:</w:t>
      </w:r>
      <w:r>
        <w:t xml:space="preserve">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Later source:</w:t>
      </w:r>
      <w:r>
        <w:t xml:space="preserve"> Sociotechnical Imaginaries in Health and Biomedicine — https://doi.org/10.3390/encyclopedia6040090</w:t>
      </w:r>
    </w:p>
    <w:p>
      <w:pPr/>
      <w:r>
        <w:rPr>
          <w:b/>
        </w:rPr>
        <w:t>Later source:</w:t>
      </w:r>
      <w:r>
        <w:t xml:space="preserve"> Seeding Legitimacy, Framing the Future: Sociotechnical Imaginaries and European Governance of Agricultural Biotechnology (1990-2023) — https://openalex.org/W7165243110</w:t>
      </w:r>
    </w:p>
    <w:p>
      <w:pPr>
        <w:pStyle w:val="SourceNote"/>
      </w:pPr>
      <w:r>
        <w:rPr>
          <w:b/>
        </w:rPr>
        <w:t>Review status:</w:t>
      </w:r>
      <w:r>
        <w:t xml:space="preserve"> unchecked — possible relationship only</w:t>
      </w:r>
    </w:p>
    <w:p>
      <w:pPr>
        <w:pStyle w:val="Heading2"/>
      </w:pPr>
      <w:r>
        <w:t>426. Claim + two later sources: Possible Futures towards a Wood-Based Bioeconomy: A Scenario Analysis for Germany</w:t>
      </w:r>
    </w:p>
    <w:p>
      <w:pPr>
        <w:pStyle w:val="SourceNote"/>
      </w:pPr>
      <w:r>
        <w:rPr>
          <w:b/>
        </w:rPr>
        <w:t>Group ID:</w:t>
      </w:r>
      <w:r>
        <w:t xml:space="preserve"> group-304ff9d33017058058bf</w:t>
      </w:r>
    </w:p>
    <w:p>
      <w:pPr>
        <w:pStyle w:val="SourceNote"/>
      </w:pPr>
      <w:r>
        <w:rPr>
          <w:b/>
        </w:rPr>
        <w:t>Original source:</w:t>
      </w:r>
      <w:r>
        <w:t xml:space="preserve"> https://doi.org/10.3390/su8010098</w:t>
      </w:r>
    </w:p>
    <w:p>
      <w:pPr/>
      <w:r>
        <w:rPr>
          <w:b/>
        </w:rPr>
        <w:t>Original future claim:</w:t>
      </w:r>
      <w:r>
        <w:t xml:space="preserve">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Later source:</w:t>
      </w:r>
      <w:r>
        <w:t xml:space="preserve"> The Growing Business of Electric Vehicles: A Comprehensive Case Study in Europe — https://doi.org/10.20944/preprints202504.0457.v1</w:t>
      </w:r>
    </w:p>
    <w:p>
      <w:pPr/>
      <w:r>
        <w:rPr>
          <w:b/>
        </w:rPr>
        <w:t>Later source:</w:t>
      </w:r>
      <w:r>
        <w:t xml:space="preserve"> Economic Analysis of Fossil CO2 Emissions: A European Perspective on Sustainable Development — https://doi.org/10.3390/en18082106</w:t>
      </w:r>
    </w:p>
    <w:p>
      <w:pPr>
        <w:pStyle w:val="SourceNote"/>
      </w:pPr>
      <w:r>
        <w:rPr>
          <w:b/>
        </w:rPr>
        <w:t>Review status:</w:t>
      </w:r>
      <w:r>
        <w:t xml:space="preserve"> unchecked — possible relationship only</w:t>
      </w:r>
    </w:p>
    <w:p>
      <w:pPr>
        <w:pStyle w:val="Heading2"/>
      </w:pPr>
      <w:r>
        <w:t>427. Claim + two later sources: The Boundaries of Scientific Innovation in the EU Green Deal Context</w:t>
      </w:r>
    </w:p>
    <w:p>
      <w:pPr>
        <w:pStyle w:val="SourceNote"/>
      </w:pPr>
      <w:r>
        <w:rPr>
          <w:b/>
        </w:rPr>
        <w:t>Group ID:</w:t>
      </w:r>
      <w:r>
        <w:t xml:space="preserve"> group-044dcfe63ce93fb90d75</w:t>
      </w:r>
    </w:p>
    <w:p>
      <w:pPr>
        <w:pStyle w:val="SourceNote"/>
      </w:pPr>
      <w:r>
        <w:rPr>
          <w:b/>
        </w:rPr>
        <w:t>Original source:</w:t>
      </w:r>
      <w:r>
        <w:t xml:space="preserve"> https://doi.org/10.2478/rtuect-2022-0010</w:t>
      </w:r>
    </w:p>
    <w:p>
      <w:pPr/>
      <w:r>
        <w:rPr>
          <w:b/>
        </w:rPr>
        <w:t>Original future claim:</w:t>
      </w:r>
      <w:r>
        <w:t xml:space="preserve">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Later source:</w:t>
      </w:r>
      <w:r>
        <w:t xml:space="preserve"> Monetary standardization in the European Union — https://doi.org/10.47772/ijriss.2026.10100071</w:t>
      </w:r>
    </w:p>
    <w:p>
      <w:pPr/>
      <w:r>
        <w:rPr>
          <w:b/>
        </w:rPr>
        <w:t>Later source:</w:t>
      </w:r>
      <w:r>
        <w:t xml:space="preserve"> The European Union as a Political Hybrid — https://doi.org/10.1017/9781009682633.004</w:t>
      </w:r>
    </w:p>
    <w:p>
      <w:pPr>
        <w:pStyle w:val="SourceNote"/>
      </w:pPr>
      <w:r>
        <w:rPr>
          <w:b/>
        </w:rPr>
        <w:t>Review status:</w:t>
      </w:r>
      <w:r>
        <w:t xml:space="preserve"> unchecked — possible relationship only</w:t>
      </w:r>
    </w:p>
    <w:p>
      <w:pPr>
        <w:pStyle w:val="Heading2"/>
      </w:pPr>
      <w:r>
        <w:t>428. Claim + two later sources: Neglected futures. Considering overlooked poverty in Europe</w:t>
      </w:r>
    </w:p>
    <w:p>
      <w:pPr>
        <w:pStyle w:val="SourceNote"/>
      </w:pPr>
      <w:r>
        <w:rPr>
          <w:b/>
        </w:rPr>
        <w:t>Group ID:</w:t>
      </w:r>
      <w:r>
        <w:t xml:space="preserve"> group-344a0e67d97462eb43d5</w:t>
      </w:r>
    </w:p>
    <w:p>
      <w:pPr>
        <w:pStyle w:val="SourceNote"/>
      </w:pPr>
      <w:r>
        <w:rPr>
          <w:b/>
        </w:rPr>
        <w:t>Original source:</w:t>
      </w:r>
      <w:r>
        <w:t xml:space="preserve"> https://doi.org/10.1007/s40309-014-0057-2</w:t>
      </w:r>
    </w:p>
    <w:p>
      <w:pPr/>
      <w:r>
        <w:rPr>
          <w:b/>
        </w:rPr>
        <w:t>Original future claim:</w:t>
      </w:r>
      <w:r>
        <w:t xml:space="preserve"> This fact poses a major challenge for future planning and the future of social policies.</w:t>
      </w:r>
    </w:p>
    <w:p>
      <w:pPr/>
      <w:r>
        <w:rPr>
          <w:b/>
        </w:rPr>
        <w:t>Later source:</w:t>
      </w:r>
      <w:r>
        <w:t xml:space="preserve"> International Journal of European, Mediterranean and African Studies — https://doi.org/10.5281/zenodo.20641656</w:t>
      </w:r>
    </w:p>
    <w:p>
      <w:pPr/>
      <w:r>
        <w:rPr>
          <w:b/>
        </w:rPr>
        <w:t>Later source:</w:t>
      </w:r>
      <w:r>
        <w:t xml:space="preserve"> Metropolitan Spatial Planning for Functional Urban Areas in Europe — https://openalex.org/W7133591946</w:t>
      </w:r>
    </w:p>
    <w:p>
      <w:pPr>
        <w:pStyle w:val="SourceNote"/>
      </w:pPr>
      <w:r>
        <w:rPr>
          <w:b/>
        </w:rPr>
        <w:t>Review status:</w:t>
      </w:r>
      <w:r>
        <w:t xml:space="preserve"> unchecked — possible relationship only</w:t>
      </w:r>
    </w:p>
    <w:p>
      <w:pPr>
        <w:pStyle w:val="Heading2"/>
      </w:pPr>
      <w:r>
        <w:t>429. Claim + two later sources: EUHFORIA: European heliospheric forecasting information asset</w:t>
      </w:r>
    </w:p>
    <w:p>
      <w:pPr>
        <w:pStyle w:val="SourceNote"/>
      </w:pPr>
      <w:r>
        <w:rPr>
          <w:b/>
        </w:rPr>
        <w:t>Group ID:</w:t>
      </w:r>
      <w:r>
        <w:t xml:space="preserve"> group-b4ac6db5241648b3ec3f</w:t>
      </w:r>
    </w:p>
    <w:p>
      <w:pPr>
        <w:pStyle w:val="SourceNote"/>
      </w:pPr>
      <w:r>
        <w:rPr>
          <w:b/>
        </w:rPr>
        <w:t>Original source:</w:t>
      </w:r>
      <w:r>
        <w:t xml:space="preserve"> https://doi.org/10.1051/swsc/2018020</w:t>
      </w:r>
    </w:p>
    <w:p>
      <w:pPr/>
      <w:r>
        <w:rPr>
          <w:b/>
        </w:rPr>
        <w:t>Original future claim:</w:t>
      </w:r>
      <w:r>
        <w:t xml:space="preserve">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Later source:</w:t>
      </w:r>
      <w:r>
        <w:t xml:space="preserve"> Tailor a comprehensive design of OneArgo for its European implementation — https://doi.org/10.5194/egusphere-egu25-19623</w:t>
      </w:r>
    </w:p>
    <w:p>
      <w:pPr/>
      <w:r>
        <w:rPr>
          <w:b/>
        </w:rPr>
        <w:t>Later source:</w:t>
      </w:r>
      <w:r>
        <w:t xml:space="preserve"> Using codesign to support the implementation of a midwifery unit in Europe — https://doi.org/10.1016/j.midw.2025.104503</w:t>
      </w:r>
    </w:p>
    <w:p>
      <w:pPr>
        <w:pStyle w:val="SourceNote"/>
      </w:pPr>
      <w:r>
        <w:rPr>
          <w:b/>
        </w:rPr>
        <w:t>Review status:</w:t>
      </w:r>
      <w:r>
        <w:t xml:space="preserve"> unchecked — possible relationship only</w:t>
      </w:r>
    </w:p>
    <w:p>
      <w:pPr>
        <w:pStyle w:val="Heading2"/>
      </w:pPr>
      <w:r>
        <w:t>430. Claim + two later sources: Sociotechnical imaginaries of a secure future</w:t>
      </w:r>
    </w:p>
    <w:p>
      <w:pPr>
        <w:pStyle w:val="SourceNote"/>
      </w:pPr>
      <w:r>
        <w:rPr>
          <w:b/>
        </w:rPr>
        <w:t>Group ID:</w:t>
      </w:r>
      <w:r>
        <w:t xml:space="preserve"> group-bdd36052cb125c4d0da4</w:t>
      </w:r>
    </w:p>
    <w:p>
      <w:pPr>
        <w:pStyle w:val="SourceNote"/>
      </w:pPr>
      <w:r>
        <w:rPr>
          <w:b/>
        </w:rPr>
        <w:t>Original source:</w:t>
      </w:r>
      <w:r>
        <w:t xml:space="preserve"> https://doi.org/10.1186/s40309-021-00176-1</w:t>
      </w:r>
    </w:p>
    <w:p>
      <w:pPr/>
      <w:r>
        <w:rPr>
          <w:b/>
        </w:rPr>
        <w:t>Original future claim:</w:t>
      </w:r>
      <w:r>
        <w:t xml:space="preserve">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Later source:</w:t>
      </w:r>
      <w:r>
        <w:t xml:space="preserve"> Analyses of the Development and Challenges of Parkour Coaches’ Education in Europe — https://doi.org/10.35469/ak.2025.527</w:t>
      </w:r>
    </w:p>
    <w:p>
      <w:pPr/>
      <w:r>
        <w:rPr>
          <w:b/>
        </w:rPr>
        <w:t>Later source:</w:t>
      </w:r>
      <w:r>
        <w:t xml:space="preserve"> From Civilian Power to Emerging Security Provider? The European Union’s Evolving Role in Southeast Asia — https://doi.org/10.51870/ogzl9381</w:t>
      </w:r>
    </w:p>
    <w:p>
      <w:pPr>
        <w:pStyle w:val="SourceNote"/>
      </w:pPr>
      <w:r>
        <w:rPr>
          <w:b/>
        </w:rPr>
        <w:t>Review status:</w:t>
      </w:r>
      <w:r>
        <w:t xml:space="preserve"> unchecked — possible relationship only</w:t>
      </w:r>
    </w:p>
    <w:p>
      <w:pPr>
        <w:pStyle w:val="Heading2"/>
      </w:pPr>
      <w:r>
        <w:t>431. Claim + two later sources: Potential implications of future climate and land‐cover changes for the fate and distribution of persistent organic pollutants in Europe</w:t>
      </w:r>
    </w:p>
    <w:p>
      <w:pPr>
        <w:pStyle w:val="SourceNote"/>
      </w:pPr>
      <w:r>
        <w:rPr>
          <w:b/>
        </w:rPr>
        <w:t>Group ID:</w:t>
      </w:r>
      <w:r>
        <w:t xml:space="preserve"> group-c057ef0acbe9fa78dd6f</w:t>
      </w:r>
    </w:p>
    <w:p>
      <w:pPr>
        <w:pStyle w:val="SourceNote"/>
      </w:pPr>
      <w:r>
        <w:rPr>
          <w:b/>
        </w:rPr>
        <w:t>Original source:</w:t>
      </w:r>
      <w:r>
        <w:t xml:space="preserve"> https://doi.org/10.1111/j.1466-8238.2010.00547.x</w:t>
      </w:r>
    </w:p>
    <w:p>
      <w:pPr/>
      <w:r>
        <w:rPr>
          <w:b/>
        </w:rPr>
        <w:t>Original future claim:</w:t>
      </w:r>
      <w:r>
        <w:t xml:space="preserve">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Later source:</w:t>
      </w:r>
      <w:r>
        <w:t xml:space="preserve"> Europe’s extreme temperatures and rainfall in finer detail: strengths and limits of climate model downscaling — https://doi.org/10.1038/s41612-026-01504-7</w:t>
      </w:r>
    </w:p>
    <w:p>
      <w:pPr/>
      <w:r>
        <w:rPr>
          <w:b/>
        </w:rPr>
        <w:t>Later source:</w:t>
      </w:r>
      <w:r>
        <w:t xml:space="preserve"> Soil degradation in Europe is projected to accelerate under changing land use and climate — https://doi.org/10.1038/s44458-026-00064-4</w:t>
      </w:r>
    </w:p>
    <w:p>
      <w:pPr>
        <w:pStyle w:val="SourceNote"/>
      </w:pPr>
      <w:r>
        <w:rPr>
          <w:b/>
        </w:rPr>
        <w:t>Review status:</w:t>
      </w:r>
      <w:r>
        <w:t xml:space="preserve"> unchecked — possible relationship only</w:t>
      </w:r>
    </w:p>
    <w:p>
      <w:pPr>
        <w:pStyle w:val="Heading2"/>
      </w:pPr>
      <w:r>
        <w:t>432. Claim + two later sources: New EU-scale environmental scenarios until 2050 – Scenario process and initial scenario applications</w:t>
      </w:r>
    </w:p>
    <w:p>
      <w:pPr>
        <w:pStyle w:val="SourceNote"/>
      </w:pPr>
      <w:r>
        <w:rPr>
          <w:b/>
        </w:rPr>
        <w:t>Group ID:</w:t>
      </w:r>
      <w:r>
        <w:t xml:space="preserve"> group-65b0cbc7f084e6ecd4bc</w:t>
      </w:r>
    </w:p>
    <w:p>
      <w:pPr>
        <w:pStyle w:val="SourceNote"/>
      </w:pPr>
      <w:r>
        <w:rPr>
          <w:b/>
        </w:rPr>
        <w:t>Original source:</w:t>
      </w:r>
      <w:r>
        <w:t xml:space="preserve"> https://doi.org/10.1016/j.ecoser.2017.08.006</w:t>
      </w:r>
    </w:p>
    <w:p>
      <w:pPr/>
      <w:r>
        <w:rPr>
          <w:b/>
        </w:rPr>
        <w:t>Original future claim:</w:t>
      </w:r>
      <w:r>
        <w:t xml:space="preserve">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Mapping Participatory Approaches in Health Care Provision for Older Immigrants in Europe: A Scoping Review — https://doi.org/10.1007/s10903-026-01923-x</w:t>
      </w:r>
    </w:p>
    <w:p>
      <w:pPr>
        <w:pStyle w:val="SourceNote"/>
      </w:pPr>
      <w:r>
        <w:rPr>
          <w:b/>
        </w:rPr>
        <w:t>Review status:</w:t>
      </w:r>
      <w:r>
        <w:t xml:space="preserve"> unchecked — possible relationship only</w:t>
      </w:r>
    </w:p>
    <w:p>
      <w:pPr>
        <w:pStyle w:val="Heading2"/>
      </w:pPr>
      <w:r>
        <w:t>433. Claim + two later sources: EUropean Heliospheric FORecasting Information Asset 2.0</w:t>
      </w:r>
    </w:p>
    <w:p>
      <w:pPr>
        <w:pStyle w:val="SourceNote"/>
      </w:pPr>
      <w:r>
        <w:rPr>
          <w:b/>
        </w:rPr>
        <w:t>Group ID:</w:t>
      </w:r>
      <w:r>
        <w:t xml:space="preserve"> group-de369a6de6264708289a</w:t>
      </w:r>
    </w:p>
    <w:p>
      <w:pPr>
        <w:pStyle w:val="SourceNote"/>
      </w:pPr>
      <w:r>
        <w:rPr>
          <w:b/>
        </w:rPr>
        <w:t>Original source:</w:t>
      </w:r>
      <w:r>
        <w:t xml:space="preserve"> https://doi.org/10.1051/swsc/2020055</w:t>
      </w:r>
    </w:p>
    <w:p>
      <w:pPr/>
      <w:r>
        <w:rPr>
          <w:b/>
        </w:rPr>
        <w:t>Original future claim:</w:t>
      </w:r>
      <w:r>
        <w:t xml:space="preserve">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Later source:</w:t>
      </w:r>
      <w:r>
        <w:t xml:space="preserve"> Deep Learning Postprocessing to Enhance Subseasonal Soil Moisture Forecasts Across Europe — https://doi.org/10.5194/egusphere-egu25-168</w:t>
      </w:r>
    </w:p>
    <w:p>
      <w:pPr/>
      <w:r>
        <w:rPr>
          <w:b/>
        </w:rPr>
        <w:t>Later source:</w:t>
      </w:r>
      <w:r>
        <w:t xml:space="preserve"> The PIANOFORTE partnership: Elevating European research for enhanced radiation protection — https://doi.org/10.1051/epjn/2025009</w:t>
      </w:r>
    </w:p>
    <w:p>
      <w:pPr>
        <w:pStyle w:val="SourceNote"/>
      </w:pPr>
      <w:r>
        <w:rPr>
          <w:b/>
        </w:rPr>
        <w:t>Review status:</w:t>
      </w:r>
      <w:r>
        <w:t xml:space="preserve"> unchecked — possible relationship only</w:t>
      </w:r>
    </w:p>
    <w:p>
      <w:pPr>
        <w:pStyle w:val="Heading2"/>
      </w:pPr>
      <w:r>
        <w:t>434. Claim + two later sources: Application of the UK Foresight Obesity Model in Ireland: The Health and Economic Consequences of Projected Obesity Trends in Ireland</w:t>
      </w:r>
    </w:p>
    <w:p>
      <w:pPr>
        <w:pStyle w:val="SourceNote"/>
      </w:pPr>
      <w:r>
        <w:rPr>
          <w:b/>
        </w:rPr>
        <w:t>Group ID:</w:t>
      </w:r>
      <w:r>
        <w:t xml:space="preserve"> group-9bc0cb7a521298f5ed0b</w:t>
      </w:r>
    </w:p>
    <w:p>
      <w:pPr>
        <w:pStyle w:val="SourceNote"/>
      </w:pPr>
      <w:r>
        <w:rPr>
          <w:b/>
        </w:rPr>
        <w:t>Original source:</w:t>
      </w:r>
      <w:r>
        <w:t xml:space="preserve"> https://doi.org/10.1371/journal.pone.0079827</w:t>
      </w:r>
    </w:p>
    <w:p>
      <w:pPr/>
      <w:r>
        <w:rPr>
          <w:b/>
        </w:rPr>
        <w:t>Original future claim:</w:t>
      </w:r>
      <w:r>
        <w:t xml:space="preserve">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Later source:</w:t>
      </w:r>
      <w:r>
        <w:t xml:space="preserve"> Change in healthcare costs in Europe 2018–2023 (data report) — https://doi.org/10.3389/fpubh.2026.1774180</w:t>
      </w:r>
    </w:p>
    <w:p>
      <w:pPr/>
      <w:r>
        <w:rPr>
          <w:b/>
        </w:rPr>
        <w:t>Later source:</w:t>
      </w:r>
      <w:r>
        <w:t xml:space="preserve"> The Costs of Parkinson's Disease in Europe: Results of the Costs of Illness in Neurology Initiative — https://doi.org/10.1002/mds.70491</w:t>
      </w:r>
    </w:p>
    <w:p>
      <w:pPr>
        <w:pStyle w:val="SourceNote"/>
      </w:pPr>
      <w:r>
        <w:rPr>
          <w:b/>
        </w:rPr>
        <w:t>Review status:</w:t>
      </w:r>
      <w:r>
        <w:t xml:space="preserve"> unchecked — possible relationship only</w:t>
      </w:r>
    </w:p>
    <w:p>
      <w:pPr>
        <w:pStyle w:val="Heading2"/>
      </w:pPr>
      <w:r>
        <w:t>435. Claim + two later sources: Solar Photovoltaic Electricity Generation: A Lifeline for the European Coal Regions in Transition</w:t>
      </w:r>
    </w:p>
    <w:p>
      <w:pPr>
        <w:pStyle w:val="SourceNote"/>
      </w:pPr>
      <w:r>
        <w:rPr>
          <w:b/>
        </w:rPr>
        <w:t>Group ID:</w:t>
      </w:r>
      <w:r>
        <w:t xml:space="preserve"> group-665b788c47151b0bdd7f</w:t>
      </w:r>
    </w:p>
    <w:p>
      <w:pPr>
        <w:pStyle w:val="SourceNote"/>
      </w:pPr>
      <w:r>
        <w:rPr>
          <w:b/>
        </w:rPr>
        <w:t>Original source:</w:t>
      </w:r>
      <w:r>
        <w:t xml:space="preserve"> https://doi.org/10.3390/su11133703</w:t>
      </w:r>
    </w:p>
    <w:p>
      <w:pPr/>
      <w:r>
        <w:rPr>
          <w:b/>
        </w:rPr>
        <w:t>Original future claim:</w:t>
      </w:r>
      <w:r>
        <w:t xml:space="preserve"> According to the International Energy Agency, these emissions have to be reduced by more than 70% by 2040 to stay on track for the 1.5–2 °C scenario suggested by the Paris Agreement.</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CLUSTER ANALYSIS OF THE MEMBER COUNTRIES OF THE EUROPEAN UNION ACCORDING TO ENERGY, ENVIRONMENTAL AND ECONOMIC INDICATORS — https://doi.org/10.7251/emc2601131a</w:t>
      </w:r>
    </w:p>
    <w:p>
      <w:pPr>
        <w:pStyle w:val="SourceNote"/>
      </w:pPr>
      <w:r>
        <w:rPr>
          <w:b/>
        </w:rPr>
        <w:t>Review status:</w:t>
      </w:r>
      <w:r>
        <w:t xml:space="preserve"> unchecked — possible relationship only</w:t>
      </w:r>
    </w:p>
    <w:p>
      <w:pPr>
        <w:pStyle w:val="Heading2"/>
      </w:pPr>
      <w:r>
        <w:t>436. Claim + two later sources: When will European Muslim population be majority and in which country?</w:t>
      </w:r>
    </w:p>
    <w:p>
      <w:pPr>
        <w:pStyle w:val="SourceNote"/>
      </w:pPr>
      <w:r>
        <w:rPr>
          <w:b/>
        </w:rPr>
        <w:t>Group ID:</w:t>
      </w:r>
      <w:r>
        <w:t xml:space="preserve"> group-b94538c4442b461cd512</w:t>
      </w:r>
    </w:p>
    <w:p>
      <w:pPr>
        <w:pStyle w:val="SourceNote"/>
      </w:pPr>
      <w:r>
        <w:rPr>
          <w:b/>
        </w:rPr>
        <w:t>Original source:</w:t>
      </w:r>
      <w:r>
        <w:t xml:space="preserve"> https://doi.org/10.1108/prr-12-2018-0034</w:t>
      </w:r>
    </w:p>
    <w:p>
      <w:pPr/>
      <w:r>
        <w:rPr>
          <w:b/>
        </w:rPr>
        <w:t>Original future claim:</w:t>
      </w:r>
      <w:r>
        <w:t xml:space="preserve">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Later source:</w:t>
      </w:r>
      <w:r>
        <w:t xml:space="preserve"> Migration resistance as border politics : counter-imaginaries of EUrope — https://doi.org/10.82444/warw.33687625</w:t>
      </w:r>
    </w:p>
    <w:p>
      <w:pPr/>
      <w:r>
        <w:rPr>
          <w:b/>
        </w:rPr>
        <w:t>Later source:</w:t>
      </w:r>
      <w:r>
        <w:t xml:space="preserve"> Exploring the genetic diversity of recent Ralstonia pseudosolanacearum phylotype I findings in Europe — https://doi.org/10.1007/s10658-026-03191-9</w:t>
      </w:r>
    </w:p>
    <w:p>
      <w:pPr>
        <w:pStyle w:val="SourceNote"/>
      </w:pPr>
      <w:r>
        <w:rPr>
          <w:b/>
        </w:rPr>
        <w:t>Review status:</w:t>
      </w:r>
      <w:r>
        <w:t xml:space="preserve"> unchecked — possible relationship only</w:t>
      </w:r>
    </w:p>
    <w:p>
      <w:pPr>
        <w:pStyle w:val="Heading2"/>
      </w:pPr>
      <w:r>
        <w:t>437. Claim + two later sources: Future life expectancy in 35 industrialised countries: projections with a Bayesian model ensemble</w:t>
      </w:r>
    </w:p>
    <w:p>
      <w:pPr>
        <w:pStyle w:val="SourceNote"/>
      </w:pPr>
      <w:r>
        <w:rPr>
          <w:b/>
        </w:rPr>
        <w:t>Group ID:</w:t>
      </w:r>
      <w:r>
        <w:t xml:space="preserve"> group-1f69d08d5a66e2798196</w:t>
      </w:r>
    </w:p>
    <w:p>
      <w:pPr>
        <w:pStyle w:val="SourceNote"/>
      </w:pPr>
      <w:r>
        <w:rPr>
          <w:b/>
        </w:rPr>
        <w:t>Original source:</w:t>
      </w:r>
      <w:r>
        <w:t xml:space="preserve"> https://doi.org/10.1016/s0140-6736(16)32381-9</w:t>
      </w:r>
    </w:p>
    <w:p>
      <w:pPr/>
      <w:r>
        <w:rPr>
          <w:b/>
        </w:rPr>
        <w:t>Original future claim:</w:t>
      </w:r>
      <w:r>
        <w:t xml:space="preserve">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Later source:</w:t>
      </w:r>
      <w:r>
        <w:t xml:space="preserve"> Centering working-class women’s knowledge: a feminist geography of lone-motherhood over life-course in Scotland’s urban peripheries — https://doi.org/10.1080/0966369x.2026.2695995</w:t>
      </w:r>
    </w:p>
    <w:p>
      <w:pPr/>
      <w:r>
        <w:rPr>
          <w:b/>
        </w:rPr>
        <w:t>Later source:</w:t>
      </w:r>
      <w:r>
        <w:t xml:space="preserve"> Decoding life expectancy gaps: a long-term decomposition analysis of three WHO European Region country groups — https://doi.org/10.1080/23311886.2025.2486561</w:t>
      </w:r>
    </w:p>
    <w:p>
      <w:pPr>
        <w:pStyle w:val="SourceNote"/>
      </w:pPr>
      <w:r>
        <w:rPr>
          <w:b/>
        </w:rPr>
        <w:t>Review status:</w:t>
      </w:r>
      <w:r>
        <w:t xml:space="preserve"> unchecked — possible relationship only</w:t>
      </w:r>
    </w:p>
    <w:p>
      <w:pPr>
        <w:pStyle w:val="Heading2"/>
      </w:pPr>
      <w:r>
        <w:t>438. Claim + two later sources: The Role of BECCS in Achieving Climate Neutrality in the European Union</w:t>
      </w:r>
    </w:p>
    <w:p>
      <w:pPr>
        <w:pStyle w:val="SourceNote"/>
      </w:pPr>
      <w:r>
        <w:rPr>
          <w:b/>
        </w:rPr>
        <w:t>Group ID:</w:t>
      </w:r>
      <w:r>
        <w:t xml:space="preserve"> group-e8615746b12b48d551ea</w:t>
      </w:r>
    </w:p>
    <w:p>
      <w:pPr>
        <w:pStyle w:val="SourceNote"/>
      </w:pPr>
      <w:r>
        <w:rPr>
          <w:b/>
        </w:rPr>
        <w:t>Original source:</w:t>
      </w:r>
      <w:r>
        <w:t xml:space="preserve"> https://doi.org/10.3390/en14237842</w:t>
      </w:r>
    </w:p>
    <w:p>
      <w:pPr/>
      <w:r>
        <w:rPr>
          <w:b/>
        </w:rPr>
        <w:t>Original future claim:</w:t>
      </w:r>
      <w:r>
        <w:t xml:space="preserve">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Later source:</w:t>
      </w:r>
      <w:r>
        <w:t xml:space="preserve"> MAIZE BREEDING FOR ENHANCED ADAPTABILITY TO CLIMATE CHANGE IN EUROPE — https://doi.org/10.37128/2707-5826-2026-1-12</w:t>
      </w:r>
    </w:p>
    <w:p>
      <w:pPr/>
      <w:r>
        <w:rPr>
          <w:b/>
        </w:rPr>
        <w:t>Later source:</w:t>
      </w:r>
      <w:r>
        <w:t xml:space="preserve"> Optimization of Climate Neutrality for a Low-Energy Residential Building Complex in Poland — https://doi.org/10.3390/en19061568</w:t>
      </w:r>
    </w:p>
    <w:p>
      <w:pPr>
        <w:pStyle w:val="SourceNote"/>
      </w:pPr>
      <w:r>
        <w:rPr>
          <w:b/>
        </w:rPr>
        <w:t>Review status:</w:t>
      </w:r>
      <w:r>
        <w:t xml:space="preserve"> unchecked — possible relationship only</w:t>
      </w:r>
    </w:p>
    <w:p>
      <w:pPr>
        <w:pStyle w:val="Heading2"/>
      </w:pPr>
      <w:r>
        <w:t>439. Claim + two later sources: Ecosystem service provision in a changing Europe: adapting to the impacts of combined climate and socio-economic change</w:t>
      </w:r>
    </w:p>
    <w:p>
      <w:pPr>
        <w:pStyle w:val="SourceNote"/>
      </w:pPr>
      <w:r>
        <w:rPr>
          <w:b/>
        </w:rPr>
        <w:t>Group ID:</w:t>
      </w:r>
      <w:r>
        <w:t xml:space="preserve"> group-8d32033ba068687a70d3</w:t>
      </w:r>
    </w:p>
    <w:p>
      <w:pPr>
        <w:pStyle w:val="SourceNote"/>
      </w:pPr>
      <w:r>
        <w:rPr>
          <w:b/>
        </w:rPr>
        <w:t>Original source:</w:t>
      </w:r>
      <w:r>
        <w:t xml:space="preserve"> https://doi.org/10.1007/s10980-014-0148-2</w:t>
      </w:r>
    </w:p>
    <w:p>
      <w:pPr/>
      <w:r>
        <w:rPr>
          <w:b/>
        </w:rPr>
        <w:t>Original future claim:</w:t>
      </w:r>
      <w:r>
        <w:t xml:space="preserve">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Later source:</w:t>
      </w:r>
      <w:r>
        <w:t xml:space="preserve"> The economically optimal mix and timing of coastal adaptation in Europe to 2150 — https://doi.org/10.1038/s41467-026-74042-8</w:t>
      </w:r>
    </w:p>
    <w:p>
      <w:pPr/>
      <w:r>
        <w:rPr>
          <w:b/>
        </w:rPr>
        <w:t>Later source:</w:t>
      </w:r>
      <w:r>
        <w:t xml:space="preserve"> Multilevel Governance of Urban Climate Adaptation in the European Union: An Overview — https://doi.org/10.3390/urbansci10010050</w:t>
      </w:r>
    </w:p>
    <w:p>
      <w:pPr>
        <w:pStyle w:val="SourceNote"/>
      </w:pPr>
      <w:r>
        <w:rPr>
          <w:b/>
        </w:rPr>
        <w:t>Review status:</w:t>
      </w:r>
      <w:r>
        <w:t xml:space="preserve"> unchecked — possible relationship only</w:t>
      </w:r>
    </w:p>
    <w:p>
      <w:pPr>
        <w:pStyle w:val="Heading2"/>
      </w:pPr>
      <w:r>
        <w:t>440. Claim + two later sources: Future scenarios for a depressed region of England: the role of education in creating alternative futures</w:t>
      </w:r>
    </w:p>
    <w:p>
      <w:pPr>
        <w:pStyle w:val="SourceNote"/>
      </w:pPr>
      <w:r>
        <w:rPr>
          <w:b/>
        </w:rPr>
        <w:t>Group ID:</w:t>
      </w:r>
      <w:r>
        <w:t xml:space="preserve"> group-37ad6a253dd43dd96132</w:t>
      </w:r>
    </w:p>
    <w:p>
      <w:pPr>
        <w:pStyle w:val="SourceNote"/>
      </w:pPr>
      <w:r>
        <w:rPr>
          <w:b/>
        </w:rPr>
        <w:t>Original source:</w:t>
      </w:r>
      <w:r>
        <w:t xml:space="preserve"> https://doi.org/10.1108/14636681111179564</w:t>
      </w:r>
    </w:p>
    <w:p>
      <w:pPr/>
      <w:r>
        <w:rPr>
          <w:b/>
        </w:rPr>
        <w:t>Original future claim:</w:t>
      </w:r>
      <w:r>
        <w:t xml:space="preserve">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Later source:</w:t>
      </w:r>
      <w:r>
        <w:t xml:space="preserve"> The Effect of Government Health Expenditure on Infant Mortality Rates in the SADC Region: A Case of Four Countries — https://doi.org/10.47772/ijriss.2025.91200312</w:t>
      </w:r>
    </w:p>
    <w:p>
      <w:pPr/>
      <w:r>
        <w:rPr>
          <w:b/>
        </w:rPr>
        <w:t>Later source:</w:t>
      </w:r>
      <w:r>
        <w:t xml:space="preserve"> Developing a Four-Tier Concept Test on the Topic of Matter for Middle School Students — https://doi.org/10.55549/jeseh.885</w:t>
      </w:r>
    </w:p>
    <w:p>
      <w:pPr>
        <w:pStyle w:val="SourceNote"/>
      </w:pPr>
      <w:r>
        <w:rPr>
          <w:b/>
        </w:rPr>
        <w:t>Review status:</w:t>
      </w:r>
      <w:r>
        <w:t xml:space="preserve"> unchecked — possible relationship only</w:t>
      </w:r>
    </w:p>
    <w:p>
      <w:pPr>
        <w:pStyle w:val="Heading2"/>
      </w:pPr>
      <w:r>
        <w:t>441. Claim + two later sources: Future mobility in an ageing society – Where are we heading?</w:t>
      </w:r>
    </w:p>
    <w:p>
      <w:pPr>
        <w:pStyle w:val="SourceNote"/>
      </w:pPr>
      <w:r>
        <w:rPr>
          <w:b/>
        </w:rPr>
        <w:t>Group ID:</w:t>
      </w:r>
      <w:r>
        <w:t xml:space="preserve"> group-cd6a8a2162b73ff39886</w:t>
      </w:r>
    </w:p>
    <w:p>
      <w:pPr>
        <w:pStyle w:val="SourceNote"/>
      </w:pPr>
      <w:r>
        <w:rPr>
          <w:b/>
        </w:rPr>
        <w:t>Original source:</w:t>
      </w:r>
      <w:r>
        <w:t xml:space="preserve"> https://doi.org/10.1016/j.jth.2014.10.005</w:t>
      </w:r>
    </w:p>
    <w:p>
      <w:pPr/>
      <w:r>
        <w:rPr>
          <w:b/>
        </w:rPr>
        <w:t>Original future claim:</w:t>
      </w:r>
      <w:r>
        <w:t xml:space="preserve">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Later source:</w:t>
      </w:r>
      <w:r>
        <w:t xml:space="preserve"> My Back Exercise app Study - Statistical Analysis Plan — https://doi.org/10.17605/osf.io/9k724</w:t>
      </w:r>
    </w:p>
    <w:p>
      <w:pPr/>
      <w:r>
        <w:rPr>
          <w:b/>
        </w:rPr>
        <w:t>Later source:</w:t>
      </w:r>
      <w:r>
        <w:t xml:space="preserve"> If exercise is medicine, where is the dose? A call to improve reporting and monitoring of exercise interventions in fibromyalgia research — https://doi.org/10.3389/fspor.2026.1777261</w:t>
      </w:r>
    </w:p>
    <w:p>
      <w:pPr>
        <w:pStyle w:val="SourceNote"/>
      </w:pPr>
      <w:r>
        <w:rPr>
          <w:b/>
        </w:rPr>
        <w:t>Review status:</w:t>
      </w:r>
      <w:r>
        <w:t xml:space="preserve"> unchecked — possible relationship only</w:t>
      </w:r>
    </w:p>
    <w:p>
      <w:pPr>
        <w:pStyle w:val="Heading2"/>
      </w:pPr>
      <w:r>
        <w:t>442. Claim + two later sources: Long‐term trends of Nordic power market: A review</w:t>
      </w:r>
    </w:p>
    <w:p>
      <w:pPr>
        <w:pStyle w:val="SourceNote"/>
      </w:pPr>
      <w:r>
        <w:rPr>
          <w:b/>
        </w:rPr>
        <w:t>Group ID:</w:t>
      </w:r>
      <w:r>
        <w:t xml:space="preserve"> group-07baa1b194185408d1d5</w:t>
      </w:r>
    </w:p>
    <w:p>
      <w:pPr>
        <w:pStyle w:val="SourceNote"/>
      </w:pPr>
      <w:r>
        <w:rPr>
          <w:b/>
        </w:rPr>
        <w:t>Original source:</w:t>
      </w:r>
      <w:r>
        <w:t xml:space="preserve"> https://doi.org/10.1002/wene.413</w:t>
      </w:r>
    </w:p>
    <w:p>
      <w:pPr/>
      <w:r>
        <w:rPr>
          <w:b/>
        </w:rPr>
        <w:t>Original future claim:</w:t>
      </w:r>
      <w:r>
        <w:t xml:space="preserve">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Later source:</w:t>
      </w:r>
      <w:r>
        <w:t xml:space="preserve"> Matrix Approaches for Cumulative Impact Assessments in Decision-Making — https://doi.org/10.1177/19394071251413002</w:t>
      </w:r>
    </w:p>
    <w:p>
      <w:pPr/>
      <w:r>
        <w:rPr>
          <w:b/>
        </w:rPr>
        <w:t>Later source:</w:t>
      </w:r>
      <w:r>
        <w:t xml:space="preserve"> Outcome- and Impact-Based Professional Assessment Frameworks — https://doi.org/10.17605/osf.io/r3uyq</w:t>
      </w:r>
    </w:p>
    <w:p>
      <w:pPr>
        <w:pStyle w:val="SourceNote"/>
      </w:pPr>
      <w:r>
        <w:rPr>
          <w:b/>
        </w:rPr>
        <w:t>Review status:</w:t>
      </w:r>
      <w:r>
        <w:t xml:space="preserve"> unchecked — possible relationship only</w:t>
      </w:r>
    </w:p>
    <w:p>
      <w:pPr>
        <w:pStyle w:val="Heading2"/>
      </w:pPr>
      <w:r>
        <w:t>443. Claim + two later sources: The Economic Impact of Investment in Renewables in Croatia by 2030</w:t>
      </w:r>
    </w:p>
    <w:p>
      <w:pPr>
        <w:pStyle w:val="SourceNote"/>
      </w:pPr>
      <w:r>
        <w:rPr>
          <w:b/>
        </w:rPr>
        <w:t>Group ID:</w:t>
      </w:r>
      <w:r>
        <w:t xml:space="preserve"> group-4e29209a88375a01b386</w:t>
      </w:r>
    </w:p>
    <w:p>
      <w:pPr>
        <w:pStyle w:val="SourceNote"/>
      </w:pPr>
      <w:r>
        <w:rPr>
          <w:b/>
        </w:rPr>
        <w:t>Original source:</w:t>
      </w:r>
      <w:r>
        <w:t xml:space="preserve"> https://doi.org/10.3390/en14248215</w:t>
      </w:r>
    </w:p>
    <w:p>
      <w:pPr/>
      <w:r>
        <w:rPr>
          <w:b/>
        </w:rPr>
        <w:t>Original future claim:</w:t>
      </w:r>
      <w:r>
        <w:t xml:space="preserve"> At the beginning of 2020, the Strategy of the Republic of Croatia until 2030 with an outlook to 2050 was adopted. The Strategy analyzes two energy transition scenarios, the accelerated energy transition and the moderate energy transition.</w:t>
      </w:r>
    </w:p>
    <w:p>
      <w:pPr/>
      <w:r>
        <w:rPr>
          <w:b/>
        </w:rPr>
        <w:t>Later source:</w:t>
      </w:r>
      <w:r>
        <w:t xml:space="preserve"> Vessel Pooling as a Compliance Strategy in the European Shipping Energy Transition — https://doi.org/10.3390/en19051155</w:t>
      </w:r>
    </w:p>
    <w:p>
      <w:pPr/>
      <w:r>
        <w:rPr>
          <w:b/>
        </w:rPr>
        <w:t>Later source:</w:t>
      </w:r>
      <w:r>
        <w:t xml:space="preserve"> Balancing strategies of small states: The case of the Republic of Serbia and the issue of Kosovo and Metohija — https://doi.org/10.5937/bastina36-66586</w:t>
      </w:r>
    </w:p>
    <w:p>
      <w:pPr>
        <w:pStyle w:val="SourceNote"/>
      </w:pPr>
      <w:r>
        <w:rPr>
          <w:b/>
        </w:rPr>
        <w:t>Review status:</w:t>
      </w:r>
      <w:r>
        <w:t xml:space="preserve"> unchecked — possible relationship only</w:t>
      </w:r>
    </w:p>
    <w:p>
      <w:pPr>
        <w:pStyle w:val="Heading2"/>
      </w:pPr>
      <w:r>
        <w:t>444. Claim + two later sources: Use of Counterfactual Population Projections for Assessing the Demographic Determinants of Population Ageing</w:t>
      </w:r>
    </w:p>
    <w:p>
      <w:pPr>
        <w:pStyle w:val="SourceNote"/>
      </w:pPr>
      <w:r>
        <w:rPr>
          <w:b/>
        </w:rPr>
        <w:t>Group ID:</w:t>
      </w:r>
      <w:r>
        <w:t xml:space="preserve"> group-c68be2940e8d6463d959</w:t>
      </w:r>
    </w:p>
    <w:p>
      <w:pPr>
        <w:pStyle w:val="SourceNote"/>
      </w:pPr>
      <w:r>
        <w:rPr>
          <w:b/>
        </w:rPr>
        <w:t>Original source:</w:t>
      </w:r>
      <w:r>
        <w:t xml:space="preserve"> https://doi.org/10.1007/s10680-020-09567-9</w:t>
      </w:r>
    </w:p>
    <w:p>
      <w:pPr/>
      <w:r>
        <w:rPr>
          <w:b/>
        </w:rPr>
        <w:t>Original future claim:</w:t>
      </w:r>
      <w:r>
        <w:t xml:space="preserve">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Later source:</w:t>
      </w:r>
      <w:r>
        <w:t xml:space="preserve"> Demographic Shift and Health Care Services for Ageing People in Nepal — https://doi.org/10.3126/ed.v35i1.90364</w:t>
      </w:r>
    </w:p>
    <w:p>
      <w:pPr/>
      <w:r>
        <w:rPr>
          <w:b/>
        </w:rPr>
        <w:t>Later source:</w:t>
      </w:r>
      <w:r>
        <w:t xml:space="preserve"> Rheological Properties of Bitumen and Asphalt Mixtures Realised in Varying Laboratory and in Situ Ageing Protocols — https://doi.org/10.3390/coatings16020257</w:t>
      </w:r>
    </w:p>
    <w:p>
      <w:pPr>
        <w:pStyle w:val="SourceNote"/>
      </w:pPr>
      <w:r>
        <w:rPr>
          <w:b/>
        </w:rPr>
        <w:t>Review status:</w:t>
      </w:r>
      <w:r>
        <w:t xml:space="preserve"> unchecked — possible relationship only</w:t>
      </w:r>
    </w:p>
    <w:p>
      <w:pPr>
        <w:pStyle w:val="Heading2"/>
      </w:pPr>
      <w:r>
        <w:t>445. Claim + two later sources: Business ecosystems and the view from the future: The use of corporate foresight by stakeholders of the Ro-Ro shipping ecosystem in the Baltic Sea Region</w:t>
      </w:r>
    </w:p>
    <w:p>
      <w:pPr>
        <w:pStyle w:val="SourceNote"/>
      </w:pPr>
      <w:r>
        <w:rPr>
          <w:b/>
        </w:rPr>
        <w:t>Group ID:</w:t>
      </w:r>
      <w:r>
        <w:t xml:space="preserve"> group-064776b2affb4eb0f8a2</w:t>
      </w:r>
    </w:p>
    <w:p>
      <w:pPr>
        <w:pStyle w:val="SourceNote"/>
      </w:pPr>
      <w:r>
        <w:rPr>
          <w:b/>
        </w:rPr>
        <w:t>Original source:</w:t>
      </w:r>
      <w:r>
        <w:t xml:space="preserve"> https://doi.org/10.1016/j.techfore.2022.121966</w:t>
      </w:r>
    </w:p>
    <w:p>
      <w:pPr/>
      <w:r>
        <w:rPr>
          <w:b/>
        </w:rPr>
        <w:t>Original future claim:</w:t>
      </w:r>
      <w:r>
        <w:t xml:space="preserve">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Later source:</w:t>
      </w:r>
      <w:r>
        <w:t xml:space="preserve"> A Roadmap for Evaluating Foresight Initiatives — https://doi.org/10.5281/zenodo.18092300</w:t>
      </w:r>
    </w:p>
    <w:p>
      <w:pPr/>
      <w:r>
        <w:rPr>
          <w:b/>
        </w:rPr>
        <w:t>Later source:</w:t>
      </w:r>
      <w:r>
        <w:t xml:space="preserve"> Envisioning the future of European mountain value chains: a participatory foresight approach — https://doi.org/10.1007/s10113-025-02454-1</w:t>
      </w:r>
    </w:p>
    <w:p>
      <w:pPr>
        <w:pStyle w:val="SourceNote"/>
      </w:pPr>
      <w:r>
        <w:rPr>
          <w:b/>
        </w:rPr>
        <w:t>Review status:</w:t>
      </w:r>
      <w:r>
        <w:t xml:space="preserve"> unchecked — possible relationship only</w:t>
      </w:r>
    </w:p>
    <w:p>
      <w:pPr>
        <w:pStyle w:val="Heading2"/>
      </w:pPr>
      <w:r>
        <w:t>446. Claim + two later sources: FORECASTED TRENDS IN CHANGES OF VEGETATION IN THE EUROPEAN PART OF RUSSIA IN CONNECTION WITH GLOBAL WARMING</w:t>
      </w:r>
    </w:p>
    <w:p>
      <w:pPr>
        <w:pStyle w:val="SourceNote"/>
      </w:pPr>
      <w:r>
        <w:rPr>
          <w:b/>
        </w:rPr>
        <w:t>Group ID:</w:t>
      </w:r>
      <w:r>
        <w:t xml:space="preserve"> group-84c7f41ee5c77fa80524</w:t>
      </w:r>
    </w:p>
    <w:p>
      <w:pPr>
        <w:pStyle w:val="SourceNote"/>
      </w:pPr>
      <w:r>
        <w:rPr>
          <w:b/>
        </w:rPr>
        <w:t>Original source:</w:t>
      </w:r>
      <w:r>
        <w:t xml:space="preserve"> https://doi.org/10.24057/2071-9388-2012-5-4-4-16</w:t>
      </w:r>
    </w:p>
    <w:p>
      <w:pPr/>
      <w:r>
        <w:rPr>
          <w:b/>
        </w:rPr>
        <w:t>Original future claim:</w:t>
      </w:r>
      <w:r>
        <w:t xml:space="preserve"> The models are used to forecast changes in the boundaries of the vegetation sub-zones and of forest stands productivity in the European Part of Russia and on the adjacent areas for 2046–2065 under one of the scenarios of global warming.</w:t>
      </w:r>
    </w:p>
    <w:p>
      <w:pPr/>
      <w:r>
        <w:rPr>
          <w:b/>
        </w:rPr>
        <w:t>Later source:</w:t>
      </w:r>
      <w:r>
        <w:t xml:space="preserve"> Diversity and distribution of Raunkiær's life forms in European vegetation — https://doi.org/10.1111/jvs.13229</w:t>
      </w:r>
    </w:p>
    <w:p>
      <w:pPr/>
      <w:r>
        <w:rPr>
          <w:b/>
        </w:rPr>
        <w:t>Later source:</w:t>
      </w:r>
      <w:r>
        <w:t xml:space="preserve"> Climate-Adapted Potential Vegetation—A European Multiclass Model Estimating the Future Potential of Natural Vegetation — https://doi.org/10.3390/f14020239</w:t>
      </w:r>
    </w:p>
    <w:p>
      <w:pPr>
        <w:pStyle w:val="SourceNote"/>
      </w:pPr>
      <w:r>
        <w:rPr>
          <w:b/>
        </w:rPr>
        <w:t>Review status:</w:t>
      </w:r>
      <w:r>
        <w:t xml:space="preserve"> unchecked — possible relationship only</w:t>
      </w:r>
    </w:p>
    <w:p>
      <w:pPr>
        <w:pStyle w:val="Heading2"/>
      </w:pPr>
      <w:r>
        <w:t>447. Claim + two later sources: The role of transmission and energy storage in European decarbonization towards 2050</w:t>
      </w:r>
    </w:p>
    <w:p>
      <w:pPr>
        <w:pStyle w:val="SourceNote"/>
      </w:pPr>
      <w:r>
        <w:rPr>
          <w:b/>
        </w:rPr>
        <w:t>Group ID:</w:t>
      </w:r>
      <w:r>
        <w:t xml:space="preserve"> group-142d58f0ffb603c53b8c</w:t>
      </w:r>
    </w:p>
    <w:p>
      <w:pPr>
        <w:pStyle w:val="SourceNote"/>
      </w:pPr>
      <w:r>
        <w:rPr>
          <w:b/>
        </w:rPr>
        <w:t>Original source:</w:t>
      </w:r>
      <w:r>
        <w:t xml:space="preserve"> https://doi.org/10.1016/j.energy.2021.122159</w:t>
      </w:r>
    </w:p>
    <w:p>
      <w:pPr/>
      <w:r>
        <w:rPr>
          <w:b/>
        </w:rPr>
        <w:t>Original future claim:</w:t>
      </w:r>
      <w:r>
        <w:t xml:space="preserve">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Later source:</w:t>
      </w:r>
      <w:r>
        <w:t xml:space="preserve"> Long-duration electricity storage needs for coping with Dunkelflaute events in Europe — https://doi.org/10.1038/s41467-026-72681-5</w:t>
      </w:r>
    </w:p>
    <w:p>
      <w:pPr/>
      <w:r>
        <w:rPr>
          <w:b/>
        </w:rPr>
        <w:t>Later source:</w:t>
      </w:r>
      <w:r>
        <w:t xml:space="preserve"> Understanding the European energy crisis through structural causal models — https://doi.org/10.1038/s41467-026-75433-7</w:t>
      </w:r>
    </w:p>
    <w:p>
      <w:pPr>
        <w:pStyle w:val="SourceNote"/>
      </w:pPr>
      <w:r>
        <w:rPr>
          <w:b/>
        </w:rPr>
        <w:t>Review status:</w:t>
      </w:r>
      <w:r>
        <w:t xml:space="preserve"> unchecked — possible relationship only</w:t>
      </w:r>
    </w:p>
    <w:p>
      <w:pPr>
        <w:pStyle w:val="Heading2"/>
      </w:pPr>
      <w:r>
        <w:t>448. Claim + two later sources: Strategies for emerging research and innovation futures</w:t>
      </w:r>
    </w:p>
    <w:p>
      <w:pPr>
        <w:pStyle w:val="SourceNote"/>
      </w:pPr>
      <w:r>
        <w:rPr>
          <w:b/>
        </w:rPr>
        <w:t>Group ID:</w:t>
      </w:r>
      <w:r>
        <w:t xml:space="preserve"> group-1a80c7d4924ff8c7afb9</w:t>
      </w:r>
    </w:p>
    <w:p>
      <w:pPr>
        <w:pStyle w:val="SourceNote"/>
      </w:pPr>
      <w:r>
        <w:rPr>
          <w:b/>
        </w:rPr>
        <w:t>Original source:</w:t>
      </w:r>
      <w:r>
        <w:t xml:space="preserve"> https://doi.org/10.1108/fs-07-2014-0048</w:t>
      </w:r>
    </w:p>
    <w:p>
      <w:pPr/>
      <w:r>
        <w:rPr>
          <w:b/>
        </w:rPr>
        <w:t>Original future claim:</w:t>
      </w:r>
      <w:r>
        <w:t xml:space="preserve">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Later source:</w:t>
      </w:r>
      <w:r>
        <w:t xml:space="preserve"> Developing whole-life cost models for retrofit options in office buildings — https://doi.org/10.17869/enu.463388</w:t>
      </w:r>
    </w:p>
    <w:p>
      <w:pPr/>
      <w:r>
        <w:rPr>
          <w:b/>
        </w:rPr>
        <w:t>Later source:</w:t>
      </w:r>
      <w:r>
        <w:t xml:space="preserve"> Visible Light‐Mediated Photocatalytic Dearomative Hydroxylation of 2‐aryl‐3‐aryl/Alkyl Indoles — https://doi.org/10.1002/ajoc.70391</w:t>
      </w:r>
    </w:p>
    <w:p>
      <w:pPr>
        <w:pStyle w:val="SourceNote"/>
      </w:pPr>
      <w:r>
        <w:rPr>
          <w:b/>
        </w:rPr>
        <w:t>Review status:</w:t>
      </w:r>
      <w:r>
        <w:t xml:space="preserve"> unchecked — possible relationship only</w:t>
      </w:r>
    </w:p>
    <w:p>
      <w:pPr>
        <w:pStyle w:val="Heading2"/>
      </w:pPr>
      <w:r>
        <w:t>449. Claim + two later sources: Consistent economic cross-sectoral climate change impact scenario analysis: Method and application to Austria</w:t>
      </w:r>
    </w:p>
    <w:p>
      <w:pPr>
        <w:pStyle w:val="SourceNote"/>
      </w:pPr>
      <w:r>
        <w:rPr>
          <w:b/>
        </w:rPr>
        <w:t>Group ID:</w:t>
      </w:r>
      <w:r>
        <w:t xml:space="preserve"> group-b82572c4674b584f9d79</w:t>
      </w:r>
    </w:p>
    <w:p>
      <w:pPr>
        <w:pStyle w:val="SourceNote"/>
      </w:pPr>
      <w:r>
        <w:rPr>
          <w:b/>
        </w:rPr>
        <w:t>Original source:</w:t>
      </w:r>
      <w:r>
        <w:t xml:space="preserve"> https://doi.org/10.1016/j.cliser.2016.02.003</w:t>
      </w:r>
    </w:p>
    <w:p>
      <w:pPr/>
      <w:r>
        <w:rPr>
          <w:b/>
        </w:rPr>
        <w:t>Original future claim:</w:t>
      </w:r>
      <w:r>
        <w:t xml:space="preserve">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Later source:</w:t>
      </w:r>
      <w:r>
        <w:t xml:space="preserve"> European Energy Transition – Germany in the Heart of Europe — https://doi.org/10.34657/40040</w:t>
      </w:r>
    </w:p>
    <w:p>
      <w:pPr/>
      <w:r>
        <w:rPr>
          <w:b/>
        </w:rPr>
        <w:t>Later source:</w:t>
      </w:r>
      <w:r>
        <w:t xml:space="preserve"> In temperate Europe, fire is already here: The case of The Netherlands — https://doi.org/10.1007/s13280-023-01960-y</w:t>
      </w:r>
    </w:p>
    <w:p>
      <w:pPr>
        <w:pStyle w:val="SourceNote"/>
      </w:pPr>
      <w:r>
        <w:rPr>
          <w:b/>
        </w:rPr>
        <w:t>Review status:</w:t>
      </w:r>
      <w:r>
        <w:t xml:space="preserve"> unchecked — possible relationship only</w:t>
      </w:r>
    </w:p>
    <w:p>
      <w:pPr>
        <w:pStyle w:val="Heading2"/>
      </w:pPr>
      <w:r>
        <w:t>450. Claim + two later sources: POPULATION FORECAST WITH THE DATA PROCESSING GROUP METHOD (GMDH) type NEURAL NETWORK FOR EUROPEAN UNION COUNTRIES</w:t>
      </w:r>
    </w:p>
    <w:p>
      <w:pPr>
        <w:pStyle w:val="SourceNote"/>
      </w:pPr>
      <w:r>
        <w:rPr>
          <w:b/>
        </w:rPr>
        <w:t>Group ID:</w:t>
      </w:r>
      <w:r>
        <w:t xml:space="preserve"> group-fbe535bf239ded47d026</w:t>
      </w:r>
    </w:p>
    <w:p>
      <w:pPr>
        <w:pStyle w:val="SourceNote"/>
      </w:pPr>
      <w:r>
        <w:rPr>
          <w:b/>
        </w:rPr>
        <w:t>Original source:</w:t>
      </w:r>
      <w:r>
        <w:t xml:space="preserve"> https://doi.org/10.46872/pj.323</w:t>
      </w:r>
    </w:p>
    <w:p>
      <w:pPr/>
      <w:r>
        <w:rPr>
          <w:b/>
        </w:rPr>
        <w:t>Original future claim:</w:t>
      </w:r>
      <w:r>
        <w:t xml:space="preserve">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Later source:</w:t>
      </w:r>
      <w:r>
        <w:t xml:space="preserve"> Economic value of lost productivity attributable to premature cancer mortality and morbidity across Europe — https://doi.org/10.1080/13696998.2026.2633013</w:t>
      </w:r>
    </w:p>
    <w:p>
      <w:pPr/>
      <w:r>
        <w:rPr>
          <w:b/>
        </w:rPr>
        <w:t>Later source:</w:t>
      </w:r>
      <w:r>
        <w:t xml:space="preserve"> A database of eels and their freshwater habitats in southwestern Europe — https://doi.org/10.1038/s41597-026-07213-3</w:t>
      </w:r>
    </w:p>
    <w:p>
      <w:pPr>
        <w:pStyle w:val="SourceNote"/>
      </w:pPr>
      <w:r>
        <w:rPr>
          <w:b/>
        </w:rPr>
        <w:t>Review status:</w:t>
      </w:r>
      <w:r>
        <w:t xml:space="preserve"> unchecked — possible relationship only</w:t>
      </w:r>
    </w:p>
    <w:p>
      <w:pPr>
        <w:pStyle w:val="Heading2"/>
      </w:pPr>
      <w:r>
        <w:t>451. Claim + two later sources: Econometric Studies on the Development of Renewable Energy Sources to Support the European Union 2020–2030 Climate and Energy Framework: A Critical Appraisal</w:t>
      </w:r>
    </w:p>
    <w:p>
      <w:pPr>
        <w:pStyle w:val="SourceNote"/>
      </w:pPr>
      <w:r>
        <w:rPr>
          <w:b/>
        </w:rPr>
        <w:t>Group ID:</w:t>
      </w:r>
      <w:r>
        <w:t xml:space="preserve"> group-68fdf0f1733c1fa8eaf3</w:t>
      </w:r>
    </w:p>
    <w:p>
      <w:pPr>
        <w:pStyle w:val="SourceNote"/>
      </w:pPr>
      <w:r>
        <w:rPr>
          <w:b/>
        </w:rPr>
        <w:t>Original source:</w:t>
      </w:r>
      <w:r>
        <w:t xml:space="preserve"> https://doi.org/10.3390/su12124828</w:t>
      </w:r>
    </w:p>
    <w:p>
      <w:pPr/>
      <w:r>
        <w:rPr>
          <w:b/>
        </w:rPr>
        <w:t>Original future claim:</w:t>
      </w:r>
      <w:r>
        <w:t xml:space="preserve"> One of the key objectives of the European Union is the transition to a total decarbonization of the economy by 2050.</w:t>
      </w:r>
    </w:p>
    <w:p>
      <w:pPr/>
      <w:r>
        <w:rPr>
          <w:b/>
        </w:rPr>
        <w:t>Later source:</w:t>
      </w:r>
      <w:r>
        <w:t xml:space="preserve"> Electricity consumption in the mining sector in Spain: Key factors for the energy transition and the supply of critical raw materials to Europe — https://doi.org/10.1007/s13563-025-00567-x</w:t>
      </w:r>
    </w:p>
    <w:p>
      <w:pPr/>
      <w:r>
        <w:rPr>
          <w:b/>
        </w:rPr>
        <w:t>Later source:</w:t>
      </w:r>
      <w:r>
        <w:t xml:space="preserve"> Training for Operating Staff in Control Centres as One Key Factor for Operating Resilience — https://doi.org/10.2478/bhee-2026-0010</w:t>
      </w:r>
    </w:p>
    <w:p>
      <w:pPr>
        <w:pStyle w:val="SourceNote"/>
      </w:pPr>
      <w:r>
        <w:rPr>
          <w:b/>
        </w:rPr>
        <w:t>Review status:</w:t>
      </w:r>
      <w:r>
        <w:t xml:space="preserve"> unchecked — possible relationship only</w:t>
      </w:r>
    </w:p>
    <w:p>
      <w:pPr>
        <w:pStyle w:val="Heading2"/>
      </w:pPr>
      <w:r>
        <w:t>452. Claim + two later sources: The future of polarisation in Europe: relative cosmopolitanism and democracy</w:t>
      </w:r>
    </w:p>
    <w:p>
      <w:pPr>
        <w:pStyle w:val="SourceNote"/>
      </w:pPr>
      <w:r>
        <w:rPr>
          <w:b/>
        </w:rPr>
        <w:t>Group ID:</w:t>
      </w:r>
      <w:r>
        <w:t xml:space="preserve"> group-3609ef58b3f5d7dfa879</w:t>
      </w:r>
    </w:p>
    <w:p>
      <w:pPr>
        <w:pStyle w:val="SourceNote"/>
      </w:pPr>
      <w:r>
        <w:rPr>
          <w:b/>
        </w:rPr>
        <w:t>Original source:</w:t>
      </w:r>
      <w:r>
        <w:t xml:space="preserve"> https://doi.org/10.1186/s40309-021-00183-2</w:t>
      </w:r>
    </w:p>
    <w:p>
      <w:pPr/>
      <w:r>
        <w:rPr>
          <w:b/>
        </w:rPr>
        <w:t>Original future claim:</w:t>
      </w:r>
      <w:r>
        <w:t xml:space="preserve">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Later source:</w:t>
      </w:r>
      <w:r>
        <w:t xml:space="preserve"> Architecture in the context of socio-cultural polarisation: The case of Lviv (1991-2025) — https://doi.org/10.56318/as/1.2026.09</w:t>
      </w:r>
    </w:p>
    <w:p>
      <w:pPr/>
      <w:r>
        <w:rPr>
          <w:b/>
        </w:rPr>
        <w:t>Later source:</w:t>
      </w:r>
      <w:r>
        <w:t xml:space="preserve"> Martyrdom and Patience of Saint Eustathius of Mtskheta / Translation from Old Georgian, Introductory Article and Commentaries by N. Nazarov — https://doi.org/10.15407/orientw2026.03.109</w:t>
      </w:r>
    </w:p>
    <w:p>
      <w:pPr>
        <w:pStyle w:val="SourceNote"/>
      </w:pPr>
      <w:r>
        <w:rPr>
          <w:b/>
        </w:rPr>
        <w:t>Review status:</w:t>
      </w:r>
      <w:r>
        <w:t xml:space="preserve"> unchecked — possible relationship only</w:t>
      </w:r>
    </w:p>
    <w:p>
      <w:pPr>
        <w:pStyle w:val="Heading2"/>
      </w:pPr>
      <w:r>
        <w:t>453. Claim + two later sources: Energy Scenario Analysis for the Nordic Transport Sector: A Critical Review</w:t>
      </w:r>
    </w:p>
    <w:p>
      <w:pPr>
        <w:pStyle w:val="SourceNote"/>
      </w:pPr>
      <w:r>
        <w:rPr>
          <w:b/>
        </w:rPr>
        <w:t>Group ID:</w:t>
      </w:r>
      <w:r>
        <w:t xml:space="preserve"> group-6b237cd4d8b71ad58433</w:t>
      </w:r>
    </w:p>
    <w:p>
      <w:pPr>
        <w:pStyle w:val="SourceNote"/>
      </w:pPr>
      <w:r>
        <w:rPr>
          <w:b/>
        </w:rPr>
        <w:t>Original source:</w:t>
      </w:r>
      <w:r>
        <w:t xml:space="preserve"> https://doi.org/10.3390/en12122232</w:t>
      </w:r>
    </w:p>
    <w:p>
      <w:pPr/>
      <w:r>
        <w:rPr>
          <w:b/>
        </w:rPr>
        <w:t>Original future claim:</w:t>
      </w:r>
      <w:r>
        <w:t xml:space="preserve"> Relying on a rich and diversified portfolio of renewable sources and expertise, the Nordic countries could benefit from a common mitigation strategy by encompassing a larger variety of solutions and potential synergies.</w:t>
      </w:r>
    </w:p>
    <w:p>
      <w:pPr/>
      <w:r>
        <w:rPr>
          <w:b/>
        </w:rPr>
        <w:t>Later source:</w:t>
      </w:r>
      <w:r>
        <w:t xml:space="preserve"> Transition from Fossil Fuels to Renewables: A Comparative Analysis Between Energy-Rich and Energy-Poor Economies — https://doi.org/10.3390/commodities5020009</w:t>
      </w:r>
    </w:p>
    <w:p>
      <w:pPr/>
      <w:r>
        <w:rPr>
          <w:b/>
        </w:rPr>
        <w:t>Later source:</w:t>
      </w:r>
      <w:r>
        <w:t xml:space="preserve"> Downstream Diversification of Critical Mineral-Rich Countries — https://doi.org/10.1007/978-3-032-06139-3_1</w:t>
      </w:r>
    </w:p>
    <w:p>
      <w:pPr>
        <w:pStyle w:val="SourceNote"/>
      </w:pPr>
      <w:r>
        <w:rPr>
          <w:b/>
        </w:rPr>
        <w:t>Review status:</w:t>
      </w:r>
      <w:r>
        <w:t xml:space="preserve"> unchecked — possible relationship only</w:t>
      </w:r>
    </w:p>
    <w:p>
      <w:pPr>
        <w:pStyle w:val="Heading2"/>
      </w:pPr>
      <w:r>
        <w:t>454. Claim + two later sources: Delphi Prospection on Additive Manufacturing in 2030: Implications for Education and Employment in Spain</w:t>
      </w:r>
    </w:p>
    <w:p>
      <w:pPr>
        <w:pStyle w:val="SourceNote"/>
      </w:pPr>
      <w:r>
        <w:rPr>
          <w:b/>
        </w:rPr>
        <w:t>Group ID:</w:t>
      </w:r>
      <w:r>
        <w:t xml:space="preserve"> group-4885dea519dde8a3439e</w:t>
      </w:r>
    </w:p>
    <w:p>
      <w:pPr>
        <w:pStyle w:val="SourceNote"/>
      </w:pPr>
      <w:r>
        <w:rPr>
          <w:b/>
        </w:rPr>
        <w:t>Original source:</w:t>
      </w:r>
      <w:r>
        <w:t xml:space="preserve"> https://doi.org/10.3390/ma11091500</w:t>
      </w:r>
    </w:p>
    <w:p>
      <w:pPr/>
      <w:r>
        <w:rPr>
          <w:b/>
        </w:rPr>
        <w:t>Original future claim:</w:t>
      </w:r>
      <w:r>
        <w:t xml:space="preserve">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Later source:</w:t>
      </w:r>
      <w:r>
        <w:t xml:space="preserve"> Assessment of the competitiveness of PJSC "Zaporizhstal" in the conditions of European integration — https://doi.org/10.37634/efp.2026.6.4e</w:t>
      </w:r>
    </w:p>
    <w:p>
      <w:pPr/>
      <w:r>
        <w:rPr>
          <w:b/>
        </w:rPr>
        <w:t>Later source:</w:t>
      </w:r>
      <w:r>
        <w:t xml:space="preserve"> History of sustainable finance regulation: the European Odyssey — https://doi.org/10.1108/jfrc-11-2024-0226</w:t>
      </w:r>
    </w:p>
    <w:p>
      <w:pPr>
        <w:pStyle w:val="SourceNote"/>
      </w:pPr>
      <w:r>
        <w:rPr>
          <w:b/>
        </w:rPr>
        <w:t>Review status:</w:t>
      </w:r>
      <w:r>
        <w:t xml:space="preserve"> unchecked — possible relationship only</w:t>
      </w:r>
    </w:p>
    <w:p>
      <w:pPr>
        <w:pStyle w:val="Heading2"/>
      </w:pPr>
      <w:r>
        <w:t>455. Claim + two later sources: Suitability of European climate for the Asian tiger mosquito Aedes albopictus : recent trends and future scenarios</w:t>
      </w:r>
    </w:p>
    <w:p>
      <w:pPr>
        <w:pStyle w:val="SourceNote"/>
      </w:pPr>
      <w:r>
        <w:rPr>
          <w:b/>
        </w:rPr>
        <w:t>Group ID:</w:t>
      </w:r>
      <w:r>
        <w:t xml:space="preserve"> group-36b2de1bde624d18107b</w:t>
      </w:r>
    </w:p>
    <w:p>
      <w:pPr>
        <w:pStyle w:val="SourceNote"/>
      </w:pPr>
      <w:r>
        <w:rPr>
          <w:b/>
        </w:rPr>
        <w:t>Original source:</w:t>
      </w:r>
      <w:r>
        <w:t xml:space="preserve"> https://doi.org/10.1098/rsif.2012.0138</w:t>
      </w:r>
    </w:p>
    <w:p>
      <w:pPr/>
      <w:r>
        <w:rPr>
          <w:b/>
        </w:rPr>
        <w:t>Original future claim:</w:t>
      </w:r>
      <w:r>
        <w:t xml:space="preserve">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Later source:</w:t>
      </w:r>
      <w:r>
        <w:t xml:space="preserve"> Severe Convective Storms in a Changing Climate: Uncertainties in risk views across North America and Europe — https://doi.org/10.63024/dkee-9w5q</w:t>
      </w:r>
    </w:p>
    <w:p>
      <w:pPr/>
      <w:r>
        <w:rPr>
          <w:b/>
        </w:rPr>
        <w:t>Later source:</w:t>
      </w:r>
      <w:r>
        <w:t xml:space="preserve"> Trends in stroke prevalence caused by an elevated BMI in the European population — https://doi.org/10.5114/aoms/199362</w:t>
      </w:r>
    </w:p>
    <w:p>
      <w:pPr>
        <w:pStyle w:val="SourceNote"/>
      </w:pPr>
      <w:r>
        <w:rPr>
          <w:b/>
        </w:rPr>
        <w:t>Review status:</w:t>
      </w:r>
      <w:r>
        <w:t xml:space="preserve"> unchecked — possible relationship only</w:t>
      </w:r>
    </w:p>
    <w:p>
      <w:pPr>
        <w:pStyle w:val="Heading2"/>
      </w:pPr>
      <w:r>
        <w:t>456. Claim + two later sources: OPERATIONAL EARTHQUAKE FORECASTING. State of Knowledge and Guidelines for Utilization</w:t>
      </w:r>
    </w:p>
    <w:p>
      <w:pPr>
        <w:pStyle w:val="SourceNote"/>
      </w:pPr>
      <w:r>
        <w:rPr>
          <w:b/>
        </w:rPr>
        <w:t>Group ID:</w:t>
      </w:r>
      <w:r>
        <w:t xml:space="preserve"> group-7db9499a1575fe65b683</w:t>
      </w:r>
    </w:p>
    <w:p>
      <w:pPr>
        <w:pStyle w:val="SourceNote"/>
      </w:pPr>
      <w:r>
        <w:rPr>
          <w:b/>
        </w:rPr>
        <w:t>Original source:</w:t>
      </w:r>
      <w:r>
        <w:t xml:space="preserve"> https://doi.org/10.4401/ag-5350</w:t>
      </w:r>
    </w:p>
    <w:p>
      <w:pPr/>
      <w:r>
        <w:rPr>
          <w:b/>
        </w:rPr>
        <w:t>Original future claim:</w:t>
      </w:r>
      <w:r>
        <w:t xml:space="preserve">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Later source:</w:t>
      </w:r>
      <w:r>
        <w:t xml:space="preserve"> Long-term scenario for a decarbonised European energy system — https://openalex.org/W7141777866</w:t>
      </w:r>
    </w:p>
    <w:p>
      <w:pPr/>
      <w:r>
        <w:rPr>
          <w:b/>
        </w:rPr>
        <w:t>Later source:</w:t>
      </w:r>
      <w:r>
        <w:t xml:space="preserve"> Methodology of Threats Outlooks Development to EU Civil Security — https://doi.org/10.64211/oidaijsd190705</w:t>
      </w:r>
    </w:p>
    <w:p>
      <w:pPr>
        <w:pStyle w:val="SourceNote"/>
      </w:pPr>
      <w:r>
        <w:rPr>
          <w:b/>
        </w:rPr>
        <w:t>Review status:</w:t>
      </w:r>
      <w:r>
        <w:t xml:space="preserve"> unchecked — possible relationship only</w:t>
      </w:r>
    </w:p>
    <w:p>
      <w:pPr>
        <w:pStyle w:val="Heading2"/>
      </w:pPr>
      <w:r>
        <w:t>457. Claim + two later sources: The European Health Union: European Union’s Concern about Health for All. Concepts, Definition, and Scenarios</w:t>
      </w:r>
    </w:p>
    <w:p>
      <w:pPr>
        <w:pStyle w:val="SourceNote"/>
      </w:pPr>
      <w:r>
        <w:rPr>
          <w:b/>
        </w:rPr>
        <w:t>Group ID:</w:t>
      </w:r>
      <w:r>
        <w:t xml:space="preserve"> group-001937a2b9f74427b7fd</w:t>
      </w:r>
    </w:p>
    <w:p>
      <w:pPr>
        <w:pStyle w:val="SourceNote"/>
      </w:pPr>
      <w:r>
        <w:rPr>
          <w:b/>
        </w:rPr>
        <w:t>Original source:</w:t>
      </w:r>
      <w:r>
        <w:t xml:space="preserve"> https://doi.org/10.3390/healthcare9121741</w:t>
      </w:r>
    </w:p>
    <w:p>
      <w:pPr/>
      <w:r>
        <w:rPr>
          <w:b/>
        </w:rPr>
        <w:t>Original future claim:</w:t>
      </w:r>
      <w:r>
        <w:t xml:space="preserve">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Later source:</w:t>
      </w:r>
      <w:r>
        <w:t xml:space="preserve"> Insights into the development and key factors of five European governance innovations for forest ecosystem service provision — https://doi.org/10.1016/j.forpol.2026.103891</w:t>
      </w:r>
    </w:p>
    <w:p>
      <w:pPr/>
      <w:r>
        <w:rPr>
          <w:b/>
        </w:rPr>
        <w:t>Later source:</w:t>
      </w:r>
      <w:r>
        <w:t xml:space="preserve"> Natural Gas Transit from West Africa to Europe (Africa Atlantic Gas Pipeline) to Maximize Energy Security and Transit Revenues by 2050 — https://doi.org/10.62762/jgee.2025.372522</w:t>
      </w:r>
    </w:p>
    <w:p>
      <w:pPr>
        <w:pStyle w:val="SourceNote"/>
      </w:pPr>
      <w:r>
        <w:rPr>
          <w:b/>
        </w:rPr>
        <w:t>Review status:</w:t>
      </w:r>
      <w:r>
        <w:t xml:space="preserve"> unchecked — possible relationship only</w:t>
      </w:r>
    </w:p>
    <w:p>
      <w:pPr>
        <w:pStyle w:val="Heading2"/>
      </w:pPr>
      <w:r>
        <w:t>458. Claim + two later sources: Could domestic soybean production avoid Europe’s protein imports in 2050?</w:t>
      </w:r>
    </w:p>
    <w:p>
      <w:pPr>
        <w:pStyle w:val="SourceNote"/>
      </w:pPr>
      <w:r>
        <w:rPr>
          <w:b/>
        </w:rPr>
        <w:t>Group ID:</w:t>
      </w:r>
      <w:r>
        <w:t xml:space="preserve"> group-91314e99ea084d264d0e</w:t>
      </w:r>
    </w:p>
    <w:p>
      <w:pPr>
        <w:pStyle w:val="SourceNote"/>
      </w:pPr>
      <w:r>
        <w:rPr>
          <w:b/>
        </w:rPr>
        <w:t>Original source:</w:t>
      </w:r>
      <w:r>
        <w:t xml:space="preserve"> https://doi.org/10.1051/ocl/2022031</w:t>
      </w:r>
    </w:p>
    <w:p>
      <w:pPr/>
      <w:r>
        <w:rPr>
          <w:b/>
        </w:rPr>
        <w:t>Original future claim:</w:t>
      </w:r>
      <w:r>
        <w:t xml:space="preserve"> INRAE (France), 159 p + Annexes) concluded that, in some parts of Europe (defined here as the European Union-27 plus other Balkan countries, Switzerland, Norway and the United Kingdom), cropland requirements in 2050 may be lower than “2010” cropland areas given possible changes in European food demand (related to glooming demographic growth and under the assumption of healthy diets) and in crop yields (influenced by technological developments and climate change). In this study, we examine to what extent this “cropland surplus” could be used to increase soybean production in Europe and reduce the dependency ratio on protein imports.</w:t>
      </w:r>
    </w:p>
    <w:p>
      <w:pPr/>
      <w:r>
        <w:rPr>
          <w:b/>
        </w:rPr>
        <w:t>Later source:</w:t>
      </w:r>
      <w:r>
        <w:t xml:space="preserve"> Review of the French Agency for Food, Environmental and Occupational Health &amp; Safety (ANSES) on Ten years of phytopharmacovigilance in France: Review of the only organisation of its kind in Europe for post‐MA vigilance of plant protection products — https://doi.org/10.2903/fr.efsa.2026.fr-0094</w:t>
      </w:r>
    </w:p>
    <w:p>
      <w:pPr/>
      <w:r>
        <w:rPr>
          <w:b/>
        </w:rPr>
        <w:t>Later source:</w:t>
      </w:r>
      <w:r>
        <w:t xml:space="preserve"> Research on pastoralism in France: state of knowledge and current issues — https://doi.org/10.1051/cagri/2025040</w:t>
      </w:r>
    </w:p>
    <w:p>
      <w:pPr>
        <w:pStyle w:val="SourceNote"/>
      </w:pPr>
      <w:r>
        <w:rPr>
          <w:b/>
        </w:rPr>
        <w:t>Review status:</w:t>
      </w:r>
      <w:r>
        <w:t xml:space="preserve"> unchecked — possible relationship only</w:t>
      </w:r>
    </w:p>
    <w:p>
      <w:pPr>
        <w:pStyle w:val="Heading2"/>
      </w:pPr>
      <w:r>
        <w:t>459. Claim + two later sources: Ageing population and labour productivity in Bulgaria</w:t>
      </w:r>
    </w:p>
    <w:p>
      <w:pPr>
        <w:pStyle w:val="SourceNote"/>
      </w:pPr>
      <w:r>
        <w:rPr>
          <w:b/>
        </w:rPr>
        <w:t>Group ID:</w:t>
      </w:r>
      <w:r>
        <w:t xml:space="preserve"> group-b3638de4f8ee424bb5a6</w:t>
      </w:r>
    </w:p>
    <w:p>
      <w:pPr>
        <w:pStyle w:val="SourceNote"/>
      </w:pPr>
      <w:r>
        <w:rPr>
          <w:b/>
        </w:rPr>
        <w:t>Original source:</w:t>
      </w:r>
      <w:r>
        <w:t xml:space="preserve"> https://doi.org/10.5771/1435-2869-2011-4-521</w:t>
      </w:r>
    </w:p>
    <w:p>
      <w:pPr/>
      <w:r>
        <w:rPr>
          <w:b/>
        </w:rPr>
        <w:t>Original future claim:</w:t>
      </w:r>
      <w:r>
        <w:t xml:space="preserve">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Later source:</w:t>
      </w:r>
      <w:r>
        <w:t xml:space="preserve"> Measuring the third mission of European Universities: A systematic literature review — https://doi.org/10.1556/204.2023.00030</w:t>
      </w:r>
    </w:p>
    <w:p>
      <w:pPr/>
      <w:r>
        <w:rPr>
          <w:b/>
        </w:rPr>
        <w:t>Later source:</w:t>
      </w:r>
      <w:r>
        <w:t xml:space="preserve"> LITERATURE REVIEW AND ANALYSIS OF RESEARCH CONDUCTED IN EUROPE ON HEALTH LITERACY — https://doi.org/10.34739/zn.2023.61.13</w:t>
      </w:r>
    </w:p>
    <w:p>
      <w:pPr>
        <w:pStyle w:val="SourceNote"/>
      </w:pPr>
      <w:r>
        <w:rPr>
          <w:b/>
        </w:rPr>
        <w:t>Review status:</w:t>
      </w:r>
      <w:r>
        <w:t xml:space="preserve"> unchecked — possible relationship only</w:t>
      </w:r>
    </w:p>
    <w:p>
      <w:pPr>
        <w:pStyle w:val="Heading2"/>
      </w:pPr>
      <w:r>
        <w:t>460. Claim + two later sources: Analysing the potential of integrating wind and solar power in Europe using spatial optimisation under various scenarios</w:t>
      </w:r>
    </w:p>
    <w:p>
      <w:pPr>
        <w:pStyle w:val="SourceNote"/>
      </w:pPr>
      <w:r>
        <w:rPr>
          <w:b/>
        </w:rPr>
        <w:t>Group ID:</w:t>
      </w:r>
      <w:r>
        <w:t xml:space="preserve"> group-1fe13340d5702835d31c</w:t>
      </w:r>
    </w:p>
    <w:p>
      <w:pPr>
        <w:pStyle w:val="SourceNote"/>
      </w:pPr>
      <w:r>
        <w:rPr>
          <w:b/>
        </w:rPr>
        <w:t>Original source:</w:t>
      </w:r>
      <w:r>
        <w:t xml:space="preserve"> https://doi.org/10.1016/j.rser.2018.05.071</w:t>
      </w:r>
    </w:p>
    <w:p>
      <w:pPr/>
      <w:r>
        <w:rPr>
          <w:b/>
        </w:rPr>
        <w:t>Original future claim:</w:t>
      </w:r>
      <w:r>
        <w:t xml:space="preserve">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Later source:</w:t>
      </w:r>
      <w:r>
        <w:t xml:space="preserve"> From Innovation to Impact: Exploring the Economic Potential of Digital Twins in European and African Agriculture — https://openalex.org/W7125889396</w:t>
      </w:r>
    </w:p>
    <w:p>
      <w:pPr/>
      <w:r>
        <w:rPr>
          <w:b/>
        </w:rPr>
        <w:t>Later source:</w:t>
      </w:r>
      <w:r>
        <w:t xml:space="preserve"> Fluorescence testing of European beech in the Northern Podillia National Nature Park — https://doi.org/10.33730/2310-4678.1.2026.359979</w:t>
      </w:r>
    </w:p>
    <w:p>
      <w:pPr>
        <w:pStyle w:val="SourceNote"/>
      </w:pPr>
      <w:r>
        <w:rPr>
          <w:b/>
        </w:rPr>
        <w:t>Review status:</w:t>
      </w:r>
      <w:r>
        <w:t xml:space="preserve"> unchecked — possible relationship only</w:t>
      </w:r>
    </w:p>
    <w:p>
      <w:pPr>
        <w:pStyle w:val="Heading2"/>
      </w:pPr>
      <w:r>
        <w:t>461. Claim + two later sources: How Sustainable Development Goals interlinkages influence European Union countries’ progress towards the 2030 Agenda</w:t>
      </w:r>
    </w:p>
    <w:p>
      <w:pPr>
        <w:pStyle w:val="SourceNote"/>
      </w:pPr>
      <w:r>
        <w:rPr>
          <w:b/>
        </w:rPr>
        <w:t>Group ID:</w:t>
      </w:r>
      <w:r>
        <w:t xml:space="preserve"> group-b2b0cab1d71f1087e6b3</w:t>
      </w:r>
    </w:p>
    <w:p>
      <w:pPr>
        <w:pStyle w:val="SourceNote"/>
      </w:pPr>
      <w:r>
        <w:rPr>
          <w:b/>
        </w:rPr>
        <w:t>Original source:</w:t>
      </w:r>
      <w:r>
        <w:t xml:space="preserve"> https://doi.org/10.1002/sd.2290</w:t>
      </w:r>
    </w:p>
    <w:p>
      <w:pPr/>
      <w:r>
        <w:rPr>
          <w:b/>
        </w:rPr>
        <w:t>Original future claim:</w:t>
      </w:r>
      <w:r>
        <w:t xml:space="preserve">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Later source:</w:t>
      </w:r>
      <w:r>
        <w:t xml:space="preserve"> Spatial Modelling of Trade-offs between Carbon Stocks and Potential Timber Volume under Wildfire Risk in European Forests — https://doi.org/10.1007/s10342-026-01900-x</w:t>
      </w:r>
    </w:p>
    <w:p>
      <w:pPr/>
      <w:r>
        <w:rPr>
          <w:b/>
        </w:rPr>
        <w:t>Later source:</w:t>
      </w:r>
      <w:r>
        <w:t xml:space="preserve"> The role of GDP and the macroeconomic environment in shaping international trade and agri-food sector restructuring in Europe — https://doi.org/10.9770/p8538646793</w:t>
      </w:r>
    </w:p>
    <w:p>
      <w:pPr>
        <w:pStyle w:val="SourceNote"/>
      </w:pPr>
      <w:r>
        <w:rPr>
          <w:b/>
        </w:rPr>
        <w:t>Review status:</w:t>
      </w:r>
      <w:r>
        <w:t xml:space="preserve"> unchecked — possible relationship only</w:t>
      </w:r>
    </w:p>
    <w:p>
      <w:pPr>
        <w:pStyle w:val="Heading2"/>
      </w:pPr>
      <w:r>
        <w:t>462. Claim + two later sources: Decoupling transport-related greenhouse gas emissions and economic growth in the European Union countries</w:t>
      </w:r>
    </w:p>
    <w:p>
      <w:pPr>
        <w:pStyle w:val="SourceNote"/>
      </w:pPr>
      <w:r>
        <w:rPr>
          <w:b/>
        </w:rPr>
        <w:t>Group ID:</w:t>
      </w:r>
      <w:r>
        <w:t xml:space="preserve"> group-3736da4061816409788d</w:t>
      </w:r>
    </w:p>
    <w:p>
      <w:pPr>
        <w:pStyle w:val="SourceNote"/>
      </w:pPr>
      <w:r>
        <w:rPr>
          <w:b/>
        </w:rPr>
        <w:t>Original source:</w:t>
      </w:r>
      <w:r>
        <w:t xml:space="preserve"> https://doi.org/10.13044/j.sdewes.d9.0411</w:t>
      </w:r>
    </w:p>
    <w:p>
      <w:pPr/>
      <w:r>
        <w:rPr>
          <w:b/>
        </w:rPr>
        <w:t>Original future claim:</w:t>
      </w:r>
      <w:r>
        <w:t xml:space="preserve">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Later source:</w:t>
      </w:r>
      <w:r>
        <w:t xml:space="preserve"> The European Union and Latin America : normative encounters — https://doi.org/10.82444/warw.33769111</w:t>
      </w:r>
    </w:p>
    <w:p>
      <w:pPr/>
      <w:r>
        <w:rPr>
          <w:b/>
        </w:rPr>
        <w:t>Later source:</w:t>
      </w:r>
      <w:r>
        <w:t xml:space="preserve"> Externalisation within the migration policy of the European Union — https://doi.org/10.15170/pjiel.2025.2.2</w:t>
      </w:r>
    </w:p>
    <w:p>
      <w:pPr>
        <w:pStyle w:val="SourceNote"/>
      </w:pPr>
      <w:r>
        <w:rPr>
          <w:b/>
        </w:rPr>
        <w:t>Review status:</w:t>
      </w:r>
      <w:r>
        <w:t xml:space="preserve"> unchecked — possible relationship only</w:t>
      </w:r>
    </w:p>
    <w:p>
      <w:pPr>
        <w:pStyle w:val="Heading2"/>
      </w:pPr>
      <w:r>
        <w:t>463. Claim + two later sources: CROATIAN RURAL FUTURES IN 2030: FOUR ALTERNATIVE SCENARIOS FOR POSTSOCIALIST COUNTRYSIDE IN THE NEWEST E.U. MEMBER STATE</w:t>
      </w:r>
    </w:p>
    <w:p>
      <w:pPr>
        <w:pStyle w:val="SourceNote"/>
      </w:pPr>
      <w:r>
        <w:rPr>
          <w:b/>
        </w:rPr>
        <w:t>Group ID:</w:t>
      </w:r>
      <w:r>
        <w:t xml:space="preserve"> group-c33c8190a04444e67c5c</w:t>
      </w:r>
    </w:p>
    <w:p>
      <w:pPr>
        <w:pStyle w:val="SourceNote"/>
      </w:pPr>
      <w:r>
        <w:rPr>
          <w:b/>
        </w:rPr>
        <w:t>Original source:</w:t>
      </w:r>
      <w:r>
        <w:t xml:space="preserve"> https://doi.org/10.1080/00167428.2020.1871298</w:t>
      </w:r>
    </w:p>
    <w:p>
      <w:pPr/>
      <w:r>
        <w:rPr>
          <w:b/>
        </w:rPr>
        <w:t>Original future claim:</w:t>
      </w:r>
      <w:r>
        <w:t xml:space="preserve">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Later source:</w:t>
      </w:r>
      <w:r>
        <w:t xml:space="preserve"> Reliability and Construct Validity of the Short Physical Performance Battery in Croatian Older Adults — https://doi.org/10.3390/geriatrics11020033</w:t>
      </w:r>
    </w:p>
    <w:p>
      <w:pPr/>
      <w:r>
        <w:rPr>
          <w:b/>
        </w:rPr>
        <w:t>Later source:</w:t>
      </w:r>
      <w:r>
        <w:t xml:space="preserve"> Study of asymptotes in upper secondary mathematics education: A praxeological analysis of textbooks in Croatia — https://doi.org/10.29333/iejme/18924</w:t>
      </w:r>
    </w:p>
    <w:p>
      <w:pPr>
        <w:pStyle w:val="SourceNote"/>
      </w:pPr>
      <w:r>
        <w:rPr>
          <w:b/>
        </w:rPr>
        <w:t>Review status:</w:t>
      </w:r>
      <w:r>
        <w:t xml:space="preserve"> unchecked — possible relationship only</w:t>
      </w:r>
    </w:p>
    <w:p>
      <w:pPr>
        <w:pStyle w:val="Heading2"/>
      </w:pPr>
      <w:r>
        <w:t>464. Claim + two later sources: Modelling street level PM 10 concentrations across Europe: source apportionment and possible futures</w:t>
      </w:r>
    </w:p>
    <w:p>
      <w:pPr>
        <w:pStyle w:val="SourceNote"/>
      </w:pPr>
      <w:r>
        <w:rPr>
          <w:b/>
        </w:rPr>
        <w:t>Group ID:</w:t>
      </w:r>
      <w:r>
        <w:t xml:space="preserve"> group-a3bfc9d5b952491bc0c7</w:t>
      </w:r>
    </w:p>
    <w:p>
      <w:pPr>
        <w:pStyle w:val="SourceNote"/>
      </w:pPr>
      <w:r>
        <w:rPr>
          <w:b/>
        </w:rPr>
        <w:t>Original source:</w:t>
      </w:r>
      <w:r>
        <w:t xml:space="preserve"> https://doi.org/10.5194/acp-15-1539-2015</w:t>
      </w:r>
    </w:p>
    <w:p>
      <w:pPr/>
      <w:r>
        <w:rPr>
          <w:b/>
        </w:rPr>
        <w:t>Original future claim:</w:t>
      </w:r>
      <w:r>
        <w:t xml:space="preserve">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Later source:</w:t>
      </w:r>
      <w:r>
        <w:t xml:space="preserve"> A transformer approach to forecasting PM10 concentration in the Arctic and Northern Europe — https://doi.org/10.1038/s44407-026-00071-8</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465. Claim + two later sources: Futures of robotics. Human work in digital transformation</w:t>
      </w:r>
    </w:p>
    <w:p>
      <w:pPr>
        <w:pStyle w:val="SourceNote"/>
      </w:pPr>
      <w:r>
        <w:rPr>
          <w:b/>
        </w:rPr>
        <w:t>Group ID:</w:t>
      </w:r>
      <w:r>
        <w:t xml:space="preserve"> group-e5c1b06273cd67a81c53</w:t>
      </w:r>
    </w:p>
    <w:p>
      <w:pPr>
        <w:pStyle w:val="SourceNote"/>
      </w:pPr>
      <w:r>
        <w:rPr>
          <w:b/>
        </w:rPr>
        <w:t>Original source:</w:t>
      </w:r>
      <w:r>
        <w:t xml:space="preserve"> https://doi.org/10.1504/ijtm.2017.10004003</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Global research on AI-empowering academic evaluation: advances, trends, and prospects — https://doi.org/10.1108/el-01-2026-0028</w:t>
      </w:r>
    </w:p>
    <w:p>
      <w:pPr>
        <w:pStyle w:val="SourceNote"/>
      </w:pPr>
      <w:r>
        <w:rPr>
          <w:b/>
        </w:rPr>
        <w:t>Review status:</w:t>
      </w:r>
      <w:r>
        <w:t xml:space="preserve"> unchecked — possible relationship only</w:t>
      </w:r>
    </w:p>
    <w:p>
      <w:pPr>
        <w:pStyle w:val="Heading2"/>
      </w:pPr>
      <w:r>
        <w:t>466. Claim + two later sources: Ensemble projections of future streamflow droughts in Europe</w:t>
      </w:r>
    </w:p>
    <w:p>
      <w:pPr>
        <w:pStyle w:val="SourceNote"/>
      </w:pPr>
      <w:r>
        <w:rPr>
          <w:b/>
        </w:rPr>
        <w:t>Group ID:</w:t>
      </w:r>
      <w:r>
        <w:t xml:space="preserve"> group-543dbbd5ec9a0dc310d5</w:t>
      </w:r>
    </w:p>
    <w:p>
      <w:pPr>
        <w:pStyle w:val="SourceNote"/>
      </w:pPr>
      <w:r>
        <w:rPr>
          <w:b/>
        </w:rPr>
        <w:t>Original source:</w:t>
      </w:r>
      <w:r>
        <w:t xml:space="preserve"> https://doi.org/10.5194/hess-18-85-2014</w:t>
      </w:r>
    </w:p>
    <w:p>
      <w:pPr/>
      <w:r>
        <w:rPr>
          <w:b/>
        </w:rPr>
        <w:t>Original future claim:</w:t>
      </w:r>
      <w:r>
        <w:t xml:space="preserve">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Later source:</w:t>
      </w:r>
      <w:r>
        <w:t xml:space="preserve"> Coupling hydrological, geotechnical and machine learning models to enhance landslide prediction for an early warning system: application to Upper Garonne River Basin, Pyrenees, Spain — https://doi.org/10.1007/s10346-025-02685-7</w:t>
      </w:r>
    </w:p>
    <w:p>
      <w:pPr/>
      <w:r>
        <w:rPr>
          <w:b/>
        </w:rPr>
        <w:t>Later source:</w:t>
      </w:r>
      <w:r>
        <w:t xml:space="preserve"> Ecosystem service trade-offs of upstream afforestation: an integrated hydrological-economic assessment in the Sorraia basin, Portugal — https://doi.org/10.3389/fenvs.2026.1838037</w:t>
      </w:r>
    </w:p>
    <w:p>
      <w:pPr>
        <w:pStyle w:val="SourceNote"/>
      </w:pPr>
      <w:r>
        <w:rPr>
          <w:b/>
        </w:rPr>
        <w:t>Review status:</w:t>
      </w:r>
      <w:r>
        <w:t xml:space="preserve"> unchecked — possible relationship only</w:t>
      </w:r>
    </w:p>
    <w:p>
      <w:pPr>
        <w:pStyle w:val="Heading2"/>
      </w:pPr>
      <w:r>
        <w:t>467. Claim + two later sources: Improving the use of crop models for risk assessment and climate change adaptation</w:t>
      </w:r>
    </w:p>
    <w:p>
      <w:pPr>
        <w:pStyle w:val="SourceNote"/>
      </w:pPr>
      <w:r>
        <w:rPr>
          <w:b/>
        </w:rPr>
        <w:t>Group ID:</w:t>
      </w:r>
      <w:r>
        <w:t xml:space="preserve"> group-188a488c05849ec51263</w:t>
      </w:r>
    </w:p>
    <w:p>
      <w:pPr>
        <w:pStyle w:val="SourceNote"/>
      </w:pPr>
      <w:r>
        <w:rPr>
          <w:b/>
        </w:rPr>
        <w:t>Original source:</w:t>
      </w:r>
      <w:r>
        <w:t xml:space="preserve"> https://doi.org/10.1016/j.agsy.2017.07.010</w:t>
      </w:r>
    </w:p>
    <w:p>
      <w:pPr/>
      <w:r>
        <w:rPr>
          <w:b/>
        </w:rPr>
        <w:t>Original future claim:</w:t>
      </w:r>
      <w:r>
        <w:t xml:space="preserve"> The analysis highlights the limitations of focussing only on projections of future impacts and adaptation options using pre-determined time slices.</w:t>
      </w:r>
    </w:p>
    <w:p>
      <w:pPr/>
      <w:r>
        <w:rPr>
          <w:b/>
        </w:rPr>
        <w:t>Later source:</w:t>
      </w:r>
      <w:r>
        <w:t xml:space="preserve"> Reliability Assessment and Statistical Calibration of SAI Ensemble Projections in Southeast Asia — https://doi.org/10.5194/egusphere-egu26-8408</w:t>
      </w:r>
    </w:p>
    <w:p>
      <w:pPr/>
      <w:r>
        <w:rPr>
          <w:b/>
        </w:rPr>
        <w:t>Later source:</w:t>
      </w:r>
      <w:r>
        <w:t xml:space="preserve"> More Frequent Extreme Floods Revealed by Observation-Constrained Projections — https://doi.org/10.5194/egusphere-egu26-6594</w:t>
      </w:r>
    </w:p>
    <w:p>
      <w:pPr>
        <w:pStyle w:val="SourceNote"/>
      </w:pPr>
      <w:r>
        <w:rPr>
          <w:b/>
        </w:rPr>
        <w:t>Review status:</w:t>
      </w:r>
      <w:r>
        <w:t xml:space="preserve"> unchecked — possible relationship only</w:t>
      </w:r>
    </w:p>
    <w:p>
      <w:pPr>
        <w:pStyle w:val="Heading2"/>
      </w:pPr>
      <w:r>
        <w:t>468. Claim + two later sources: Brexit deal and demographics drag on long‐term outlook</w:t>
      </w:r>
    </w:p>
    <w:p>
      <w:pPr>
        <w:pStyle w:val="SourceNote"/>
      </w:pPr>
      <w:r>
        <w:rPr>
          <w:b/>
        </w:rPr>
        <w:t>Group ID:</w:t>
      </w:r>
      <w:r>
        <w:t xml:space="preserve"> group-5c68ca39283731572518</w:t>
      </w:r>
    </w:p>
    <w:p>
      <w:pPr>
        <w:pStyle w:val="SourceNote"/>
      </w:pPr>
      <w:r>
        <w:rPr>
          <w:b/>
        </w:rPr>
        <w:t>Original source:</w:t>
      </w:r>
      <w:r>
        <w:t xml:space="preserve"> https://doi.org/10.1111/1468-0319.12461</w:t>
      </w:r>
    </w:p>
    <w:p>
      <w:pPr/>
      <w:r>
        <w:rPr>
          <w:b/>
        </w:rPr>
        <w:t>Original future claim:</w:t>
      </w:r>
      <w:r>
        <w:t xml:space="preserve">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Later source:</w:t>
      </w:r>
      <w:r>
        <w:t xml:space="preserve"> Geopolitical and climate change risks affect FDI inflows: a bayesian panel data analysis — https://doi.org/10.1080/15140326.2026.2691367</w:t>
      </w:r>
    </w:p>
    <w:p>
      <w:pPr/>
      <w:r>
        <w:rPr>
          <w:b/>
        </w:rPr>
        <w:t>Later source:</w:t>
      </w:r>
      <w:r>
        <w:t xml:space="preserve"> Damage — https://doi.org/10.1093/he/9780198949695.003.0035</w:t>
      </w:r>
    </w:p>
    <w:p>
      <w:pPr>
        <w:pStyle w:val="SourceNote"/>
      </w:pPr>
      <w:r>
        <w:rPr>
          <w:b/>
        </w:rPr>
        <w:t>Review status:</w:t>
      </w:r>
      <w:r>
        <w:t xml:space="preserve"> unchecked — possible relationship only</w:t>
      </w:r>
    </w:p>
    <w:p>
      <w:pPr>
        <w:pStyle w:val="Heading2"/>
      </w:pPr>
      <w:r>
        <w:t>469. Claim + two later sources: Analyst earnings forecast revision activity around profit warnings across four European countries</w:t>
      </w:r>
    </w:p>
    <w:p>
      <w:pPr>
        <w:pStyle w:val="SourceNote"/>
      </w:pPr>
      <w:r>
        <w:rPr>
          <w:b/>
        </w:rPr>
        <w:t>Group ID:</w:t>
      </w:r>
      <w:r>
        <w:t xml:space="preserve"> group-3cd5c124895829f136bc</w:t>
      </w:r>
    </w:p>
    <w:p>
      <w:pPr>
        <w:pStyle w:val="SourceNote"/>
      </w:pPr>
      <w:r>
        <w:rPr>
          <w:b/>
        </w:rPr>
        <w:t>Original source:</w:t>
      </w:r>
      <w:r>
        <w:t xml:space="preserve"> https://doi.org/10.1108/jaar-01-2013-0005</w:t>
      </w:r>
    </w:p>
    <w:p>
      <w:pPr/>
      <w:r>
        <w:rPr>
          <w:b/>
        </w:rPr>
        <w:t>Original future claim:</w:t>
      </w:r>
      <w:r>
        <w:t xml:space="preserve">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Later source:</w:t>
      </w:r>
      <w:r>
        <w:t xml:space="preserve"> ESG Score and Firm Performance: A Comparative Analysis of Nordic and European Companies — https://doi.org/10.3390/su18031707</w:t>
      </w:r>
    </w:p>
    <w:p>
      <w:pPr/>
      <w:r>
        <w:rPr>
          <w:b/>
        </w:rPr>
        <w:t>Later source:</w:t>
      </w:r>
      <w:r>
        <w:t xml:space="preserve"> Circulation Patterns, Genetic Diversity, and Public Health Implications of Enterovirus D68, Europe, 2014–2024 — https://doi.org/10.3201/eid3204.251022</w:t>
      </w:r>
    </w:p>
    <w:p>
      <w:pPr>
        <w:pStyle w:val="SourceNote"/>
      </w:pPr>
      <w:r>
        <w:rPr>
          <w:b/>
        </w:rPr>
        <w:t>Review status:</w:t>
      </w:r>
      <w:r>
        <w:t xml:space="preserve"> unchecked — possible relationship only</w:t>
      </w:r>
    </w:p>
    <w:p>
      <w:pPr>
        <w:pStyle w:val="Heading2"/>
      </w:pPr>
      <w:r>
        <w:t>470. Claim + two later sources: A multi-model, multi-scenario, and multi-domain analysis of regional climate projections for the Mediterranean</w:t>
      </w:r>
    </w:p>
    <w:p>
      <w:pPr>
        <w:pStyle w:val="SourceNote"/>
      </w:pPr>
      <w:r>
        <w:rPr>
          <w:b/>
        </w:rPr>
        <w:t>Group ID:</w:t>
      </w:r>
      <w:r>
        <w:t xml:space="preserve"> group-ebe2d2500c3a2e0237a1</w:t>
      </w:r>
    </w:p>
    <w:p>
      <w:pPr>
        <w:pStyle w:val="SourceNote"/>
      </w:pPr>
      <w:r>
        <w:rPr>
          <w:b/>
        </w:rPr>
        <w:t>Original source:</w:t>
      </w:r>
      <w:r>
        <w:t xml:space="preserve"> https://doi.org/10.1007/s10113-019-01565-w</w:t>
      </w:r>
    </w:p>
    <w:p>
      <w:pPr/>
      <w:r>
        <w:rPr>
          <w:b/>
        </w:rPr>
        <w:t>Original future claim:</w:t>
      </w:r>
      <w:r>
        <w:t xml:space="preserve">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Later source:</w:t>
      </w:r>
      <w:r>
        <w:t xml:space="preserve"> Multi-scenario responses of ecological security networks in the Yangtze River Delta under a multi-model framework — https://doi.org/10.3389/fevo.2026.1977267</w:t>
      </w:r>
    </w:p>
    <w:p>
      <w:pPr/>
      <w:r>
        <w:rPr>
          <w:b/>
        </w:rPr>
        <w:t>Later source:</w:t>
      </w:r>
      <w:r>
        <w:t xml:space="preserve"> Designing integrated and resilient multi-energy systems via multi-objective optimization and scenario analysis — https://doi.org/10.1016/j.apenergy.2025.125281</w:t>
      </w:r>
    </w:p>
    <w:p>
      <w:pPr>
        <w:pStyle w:val="SourceNote"/>
      </w:pPr>
      <w:r>
        <w:rPr>
          <w:b/>
        </w:rPr>
        <w:t>Review status:</w:t>
      </w:r>
      <w:r>
        <w:t xml:space="preserve"> unchecked — possible relationship only</w:t>
      </w:r>
    </w:p>
    <w:p>
      <w:pPr>
        <w:pStyle w:val="Heading2"/>
      </w:pPr>
      <w:r>
        <w:t>471. Claim + two later sources: A comparison of low carbon investment needs between China and Europe in stringent climate policy scenarios</w:t>
      </w:r>
    </w:p>
    <w:p>
      <w:pPr>
        <w:pStyle w:val="SourceNote"/>
      </w:pPr>
      <w:r>
        <w:rPr>
          <w:b/>
        </w:rPr>
        <w:t>Group ID:</w:t>
      </w:r>
      <w:r>
        <w:t xml:space="preserve"> group-9e106f7e8dc2dad988e5</w:t>
      </w:r>
    </w:p>
    <w:p>
      <w:pPr>
        <w:pStyle w:val="SourceNote"/>
      </w:pPr>
      <w:r>
        <w:rPr>
          <w:b/>
        </w:rPr>
        <w:t>Original source:</w:t>
      </w:r>
      <w:r>
        <w:t xml:space="preserve"> https://doi.org/10.1088/1748-9326/ab0dd8</w:t>
      </w:r>
    </w:p>
    <w:p>
      <w:pPr/>
      <w:r>
        <w:rPr>
          <w:b/>
        </w:rPr>
        <w:t>Original future claim:</w:t>
      </w:r>
      <w:r>
        <w:t xml:space="preserve">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Later source:</w:t>
      </w:r>
      <w:r>
        <w:t xml:space="preserve"> Trade and Investment Connectivity in Europe and the Chinese Influence — https://doi.org/10.25353/ubtr-90f2-6aed-a60d</w:t>
      </w:r>
    </w:p>
    <w:p>
      <w:pPr/>
      <w:r>
        <w:rPr>
          <w:b/>
        </w:rPr>
        <w:t>Later source:</w:t>
      </w:r>
      <w:r>
        <w:t xml:space="preserve"> Electrification pathways for passenger cars: A comparative analysis of China and Europe — https://doi.org/10.1016/j.esr.2026.102369</w:t>
      </w:r>
    </w:p>
    <w:p>
      <w:pPr>
        <w:pStyle w:val="SourceNote"/>
      </w:pPr>
      <w:r>
        <w:rPr>
          <w:b/>
        </w:rPr>
        <w:t>Review status:</w:t>
      </w:r>
      <w:r>
        <w:t xml:space="preserve"> unchecked — possible relationship only</w:t>
      </w:r>
    </w:p>
    <w:p>
      <w:pPr>
        <w:pStyle w:val="Heading2"/>
      </w:pPr>
      <w:r>
        <w:t>472. Claim + two later sources: Will we reach the Sustainable Development Goals target for tuberculosis in the European Union/European Economic Area by 2030?</w:t>
      </w:r>
    </w:p>
    <w:p>
      <w:pPr>
        <w:pStyle w:val="SourceNote"/>
      </w:pPr>
      <w:r>
        <w:rPr>
          <w:b/>
        </w:rPr>
        <w:t>Group ID:</w:t>
      </w:r>
      <w:r>
        <w:t xml:space="preserve"> group-84115525b3a5027dc6c6</w:t>
      </w:r>
    </w:p>
    <w:p>
      <w:pPr>
        <w:pStyle w:val="SourceNote"/>
      </w:pPr>
      <w:r>
        <w:rPr>
          <w:b/>
        </w:rPr>
        <w:t>Original source:</w:t>
      </w:r>
      <w:r>
        <w:t xml:space="preserve"> https://doi.org/10.2807/1560-7917.es.2019.24.12.1900153</w:t>
      </w:r>
    </w:p>
    <w:p>
      <w:pPr/>
      <w:r>
        <w:rPr>
          <w:b/>
        </w:rPr>
        <w:t>Original future claim:</w:t>
      </w:r>
      <w:r>
        <w:t xml:space="preserve"> With the current average decline in notification rate and number of TB deaths however, the EU/EEA will not reach the targets by 2030.</w:t>
      </w:r>
    </w:p>
    <w:p>
      <w:pPr/>
      <w:r>
        <w:rPr>
          <w:b/>
        </w:rPr>
        <w:t>Later source:</w:t>
      </w:r>
      <w:r>
        <w:t xml:space="preserve"> Alarming decline in the carbon sink of European forests driven by disturbances — https://doi.org/10.1093/nsr/nwag354</w:t>
      </w:r>
    </w:p>
    <w:p>
      <w:pPr/>
      <w:r>
        <w:rPr>
          <w:b/>
        </w:rPr>
        <w:t>Later source:</w:t>
      </w:r>
      <w:r>
        <w:t xml:space="preserve"> Alarming decline in the carbon sink of European forests driven by disturbances. — https://doi.org/10.1093/nsr/nwag354</w:t>
      </w:r>
    </w:p>
    <w:p>
      <w:pPr>
        <w:pStyle w:val="SourceNote"/>
      </w:pPr>
      <w:r>
        <w:rPr>
          <w:b/>
        </w:rPr>
        <w:t>Review status:</w:t>
      </w:r>
      <w:r>
        <w:t xml:space="preserve"> unchecked — possible relationship only</w:t>
      </w:r>
    </w:p>
    <w:p>
      <w:pPr>
        <w:pStyle w:val="Heading2"/>
      </w:pPr>
      <w:r>
        <w:t>473. Claim + two later sources: Wood utilization scenarios and their sustainability impacts in Finland</w:t>
      </w:r>
    </w:p>
    <w:p>
      <w:pPr>
        <w:pStyle w:val="SourceNote"/>
      </w:pPr>
      <w:r>
        <w:rPr>
          <w:b/>
        </w:rPr>
        <w:t>Group ID:</w:t>
      </w:r>
      <w:r>
        <w:t xml:space="preserve"> group-cb163150ceeb926d07e8</w:t>
      </w:r>
    </w:p>
    <w:p>
      <w:pPr>
        <w:pStyle w:val="SourceNote"/>
      </w:pPr>
      <w:r>
        <w:rPr>
          <w:b/>
        </w:rPr>
        <w:t>Original source:</w:t>
      </w:r>
      <w:r>
        <w:t xml:space="preserve"> https://doi.org/10.14214/df.292</w:t>
      </w:r>
    </w:p>
    <w:p>
      <w:pPr/>
      <w:r>
        <w:rPr>
          <w:b/>
        </w:rPr>
        <w:t>Original future claim:</w:t>
      </w:r>
      <w:r>
        <w:t xml:space="preserve">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Later source:</w:t>
      </w:r>
      <w:r>
        <w:t xml:space="preserve"> Compounding hazards increase flood economic losses across Europe — https://doi.org/10.1038/s41467-026-73248-0</w:t>
      </w:r>
    </w:p>
    <w:p>
      <w:pPr/>
      <w:r>
        <w:rPr>
          <w:b/>
        </w:rPr>
        <w:t>Later source:</w:t>
      </w:r>
      <w:r>
        <w:t xml:space="preserve"> Social Sustainability Practices: A Balancing Act of Economic, Environmental, and Social Considerations — https://doi.org/10.1108/s1745-88622026000020a014</w:t>
      </w:r>
    </w:p>
    <w:p>
      <w:pPr>
        <w:pStyle w:val="SourceNote"/>
      </w:pPr>
      <w:r>
        <w:rPr>
          <w:b/>
        </w:rPr>
        <w:t>Review status:</w:t>
      </w:r>
      <w:r>
        <w:t xml:space="preserve"> unchecked — possible relationship only</w:t>
      </w:r>
    </w:p>
    <w:p>
      <w:pPr>
        <w:pStyle w:val="Heading2"/>
      </w:pPr>
      <w:r>
        <w:t>474. Claim + two later sources: South East Europe electricity roadmap – modelling energy transition in the electricity sectors</w:t>
      </w:r>
    </w:p>
    <w:p>
      <w:pPr>
        <w:pStyle w:val="SourceNote"/>
      </w:pPr>
      <w:r>
        <w:rPr>
          <w:b/>
        </w:rPr>
        <w:t>Group ID:</w:t>
      </w:r>
      <w:r>
        <w:t xml:space="preserve"> group-9d2f8a68a34f7395a595</w:t>
      </w:r>
    </w:p>
    <w:p>
      <w:pPr>
        <w:pStyle w:val="SourceNote"/>
      </w:pPr>
      <w:r>
        <w:rPr>
          <w:b/>
        </w:rPr>
        <w:t>Original source:</w:t>
      </w:r>
      <w:r>
        <w:t xml:space="preserve"> https://doi.org/10.1080/14693062.2018.1532390</w:t>
      </w:r>
    </w:p>
    <w:p>
      <w:pPr/>
      <w:r>
        <w:rPr>
          <w:b/>
        </w:rPr>
        <w:t>Original future claim:</w:t>
      </w:r>
      <w:r>
        <w:t xml:space="preserve">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Later source:</w:t>
      </w:r>
      <w:r>
        <w:t xml:space="preserve"> Refugee entrepreneurship in context: Exploring dimensions of diversity across Europe, the Middle East, and Pakistan — https://openalex.org/W7112831393</w:t>
      </w:r>
    </w:p>
    <w:p>
      <w:pPr/>
      <w:r>
        <w:rPr>
          <w:b/>
        </w:rPr>
        <w:t>Later source:</w:t>
      </w:r>
      <w:r>
        <w:t xml:space="preserve"> Unveiling the environmental impact of earthquakes in Europe — https://doi.org/10.1038/s41467-025-68120-6</w:t>
      </w:r>
    </w:p>
    <w:p>
      <w:pPr>
        <w:pStyle w:val="SourceNote"/>
      </w:pPr>
      <w:r>
        <w:rPr>
          <w:b/>
        </w:rPr>
        <w:t>Review status:</w:t>
      </w:r>
      <w:r>
        <w:t xml:space="preserve"> unchecked — possible relationship only</w:t>
      </w:r>
    </w:p>
    <w:p>
      <w:pPr>
        <w:pStyle w:val="Heading2"/>
      </w:pPr>
      <w:r>
        <w:t>475. Claim + two later sources: European Scenario Studies on Future In-Stream Nutrient Concentrations</w:t>
      </w:r>
    </w:p>
    <w:p>
      <w:pPr>
        <w:pStyle w:val="SourceNote"/>
      </w:pPr>
      <w:r>
        <w:rPr>
          <w:b/>
        </w:rPr>
        <w:t>Group ID:</w:t>
      </w:r>
      <w:r>
        <w:t xml:space="preserve"> group-89cccc85f1a7cc75bd85</w:t>
      </w:r>
    </w:p>
    <w:p>
      <w:pPr>
        <w:pStyle w:val="SourceNote"/>
      </w:pPr>
      <w:r>
        <w:rPr>
          <w:b/>
        </w:rPr>
        <w:t>Original source:</w:t>
      </w:r>
      <w:r>
        <w:t xml:space="preserve"> https://doi.org/10.13031/trans.56.9961</w:t>
      </w:r>
    </w:p>
    <w:p>
      <w:pPr/>
      <w:r>
        <w:rPr>
          <w:b/>
        </w:rPr>
        <w:t>Original future claim:</w:t>
      </w:r>
      <w:r>
        <w:t xml:space="preserve">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Later source:</w:t>
      </w:r>
      <w:r>
        <w:t xml:space="preserve"> Intact polar lipids as biomarkers for nitrogen fixation and nitrification in European soils — https://doi.org/10.5194/egusphere-egu26-12957</w:t>
      </w:r>
    </w:p>
    <w:p>
      <w:pPr/>
      <w:r>
        <w:rPr>
          <w:b/>
        </w:rPr>
        <w:t>Later source:</w:t>
      </w:r>
      <w:r>
        <w:t xml:space="preserve"> The Critical Role of Wetland Conservation and Restoration in Mitigating Nitrogen Pollution Across European River Basins — https://doi.org/10.5194/egusphere-egu26-23188</w:t>
      </w:r>
    </w:p>
    <w:p>
      <w:pPr>
        <w:pStyle w:val="SourceNote"/>
      </w:pPr>
      <w:r>
        <w:rPr>
          <w:b/>
        </w:rPr>
        <w:t>Review status:</w:t>
      </w:r>
      <w:r>
        <w:t xml:space="preserve"> unchecked — possible relationship only</w:t>
      </w:r>
    </w:p>
    <w:p>
      <w:pPr>
        <w:pStyle w:val="Heading2"/>
      </w:pPr>
      <w:r>
        <w:t>476. Claim + two later sources: Imagining the future with citizens: participatory foresight and democratic policy design in Marcoussis, France</w:t>
      </w:r>
    </w:p>
    <w:p>
      <w:pPr>
        <w:pStyle w:val="SourceNote"/>
      </w:pPr>
      <w:r>
        <w:rPr>
          <w:b/>
        </w:rPr>
        <w:t>Group ID:</w:t>
      </w:r>
      <w:r>
        <w:t xml:space="preserve"> group-94f1ea4efa8e39d9c018</w:t>
      </w:r>
    </w:p>
    <w:p>
      <w:pPr>
        <w:pStyle w:val="SourceNote"/>
      </w:pPr>
      <w:r>
        <w:rPr>
          <w:b/>
        </w:rPr>
        <w:t>Original source:</w:t>
      </w:r>
      <w:r>
        <w:t xml:space="preserve"> https://doi.org/10.1080/25741292.2021.1930687</w:t>
      </w:r>
    </w:p>
    <w:p>
      <w:pPr/>
      <w:r>
        <w:rPr>
          <w:b/>
        </w:rPr>
        <w:t>Original future claim:</w:t>
      </w:r>
      <w:r>
        <w:t xml:space="preserve">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Later source:</w:t>
      </w:r>
      <w:r>
        <w:t xml:space="preserve"> Towards effective and integrated riparian wetland monitoring in Europe: challenges and opportunities — https://doi.org/10.3897/natureconservation.62.167089</w:t>
      </w:r>
    </w:p>
    <w:p>
      <w:pPr/>
      <w:r>
        <w:rPr>
          <w:b/>
        </w:rPr>
        <w:t>Later source:</w:t>
      </w:r>
      <w:r>
        <w:t xml:space="preserve"> Regulating AI-Driven Triage: Fundamental Rights and Compliance Challenges in the European Union — https://doi.org/10.3390/ai7030086</w:t>
      </w:r>
    </w:p>
    <w:p>
      <w:pPr>
        <w:pStyle w:val="SourceNote"/>
      </w:pPr>
      <w:r>
        <w:rPr>
          <w:b/>
        </w:rPr>
        <w:t>Review status:</w:t>
      </w:r>
      <w:r>
        <w:t xml:space="preserve"> unchecked — possible relationship only</w:t>
      </w:r>
    </w:p>
    <w:p>
      <w:pPr>
        <w:pStyle w:val="Heading2"/>
      </w:pPr>
      <w:r>
        <w:t>477. Claim + two later sources: Brexit adds to gloom over long‐term growth prospects</w:t>
      </w:r>
    </w:p>
    <w:p>
      <w:pPr>
        <w:pStyle w:val="SourceNote"/>
      </w:pPr>
      <w:r>
        <w:rPr>
          <w:b/>
        </w:rPr>
        <w:t>Group ID:</w:t>
      </w:r>
      <w:r>
        <w:t xml:space="preserve"> group-8e8a23f7c770c92304fc</w:t>
      </w:r>
    </w:p>
    <w:p>
      <w:pPr>
        <w:pStyle w:val="SourceNote"/>
      </w:pPr>
      <w:r>
        <w:rPr>
          <w:b/>
        </w:rPr>
        <w:t>Original source:</w:t>
      </w:r>
      <w:r>
        <w:t xml:space="preserve"> https://doi.org/10.1111/1468-0319.12257</w:t>
      </w:r>
    </w:p>
    <w:p>
      <w:pPr/>
      <w:r>
        <w:rPr>
          <w:b/>
        </w:rPr>
        <w:t>Original future claim:</w:t>
      </w:r>
      <w:r>
        <w:t xml:space="preserve"> Our forecasts show potential output growth of just 1.6% a year from 2017–2030.</w:t>
      </w:r>
    </w:p>
    <w:p>
      <w:pPr/>
      <w:r>
        <w:rPr>
          <w:b/>
        </w:rPr>
        <w:t>Later source:</w:t>
      </w:r>
      <w:r>
        <w:t xml:space="preserve"> Forecasting Quasi-Linear Convective System Tornado Potential Using the Warn-on-Forecast System (WoFS) — https://doi.org/10.1175/waf-d-25-0092.1</w:t>
      </w:r>
    </w:p>
    <w:p>
      <w:pPr/>
      <w:r>
        <w:rPr>
          <w:b/>
        </w:rPr>
        <w:t>Later source:</w:t>
      </w:r>
      <w:r>
        <w:t xml:space="preserve"> The ecological forecast limit revisited: Potential, absolute and relative system predictability — https://doi.org/10.1111/2041-210x.70049</w:t>
      </w:r>
    </w:p>
    <w:p>
      <w:pPr>
        <w:pStyle w:val="SourceNote"/>
      </w:pPr>
      <w:r>
        <w:rPr>
          <w:b/>
        </w:rPr>
        <w:t>Review status:</w:t>
      </w:r>
      <w:r>
        <w:t xml:space="preserve"> unchecked — possible relationship only</w:t>
      </w:r>
    </w:p>
    <w:p>
      <w:pPr>
        <w:pStyle w:val="Heading2"/>
      </w:pPr>
      <w:r>
        <w:t>478. Claim + two later sources: The European forest sector: past and future carbon budget and fluxes under different management scenarios</w:t>
      </w:r>
    </w:p>
    <w:p>
      <w:pPr>
        <w:pStyle w:val="SourceNote"/>
      </w:pPr>
      <w:r>
        <w:rPr>
          <w:b/>
        </w:rPr>
        <w:t>Group ID:</w:t>
      </w:r>
      <w:r>
        <w:t xml:space="preserve"> group-8b6a88bea956d7933e33</w:t>
      </w:r>
    </w:p>
    <w:p>
      <w:pPr>
        <w:pStyle w:val="SourceNote"/>
      </w:pPr>
      <w:r>
        <w:rPr>
          <w:b/>
        </w:rPr>
        <w:t>Original source:</w:t>
      </w:r>
      <w:r>
        <w:t xml:space="preserve"> https://doi.org/10.5194/bg-14-2387-2017</w:t>
      </w:r>
    </w:p>
    <w:p>
      <w:pPr/>
      <w:r>
        <w:rPr>
          <w:b/>
        </w:rPr>
        <w:t>Original future claim:</w:t>
      </w:r>
      <w:r>
        <w:t xml:space="preserve">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Later source:</w:t>
      </w:r>
      <w:r>
        <w:t xml:space="preserve"> Understanding Europe's Forest Harvesting Regimes — https://doi.org/10.1029/2024ef005225</w:t>
      </w:r>
    </w:p>
    <w:p>
      <w:pPr/>
      <w:r>
        <w:rPr>
          <w:b/>
        </w:rPr>
        <w:t>Later source:</w:t>
      </w:r>
      <w:r>
        <w:t xml:space="preserve"> Preliminary results of dandelion cultivation under different seeding rates and harvest regimes — https://doi.org/10.1002/agg2.20521</w:t>
      </w:r>
    </w:p>
    <w:p>
      <w:pPr>
        <w:pStyle w:val="SourceNote"/>
      </w:pPr>
      <w:r>
        <w:rPr>
          <w:b/>
        </w:rPr>
        <w:t>Review status:</w:t>
      </w:r>
      <w:r>
        <w:t xml:space="preserve"> unchecked — possible relationship only</w:t>
      </w:r>
    </w:p>
    <w:p>
      <w:pPr>
        <w:pStyle w:val="Heading2"/>
      </w:pPr>
      <w:r>
        <w:t>479. Claim + two later sources: Foresight in Higher Education Institutions: Evidence from Poland</w:t>
      </w:r>
    </w:p>
    <w:p>
      <w:pPr>
        <w:pStyle w:val="SourceNote"/>
      </w:pPr>
      <w:r>
        <w:rPr>
          <w:b/>
        </w:rPr>
        <w:t>Group ID:</w:t>
      </w:r>
      <w:r>
        <w:t xml:space="preserve"> group-f49d2c27cc4d3e36cdf2</w:t>
      </w:r>
    </w:p>
    <w:p>
      <w:pPr>
        <w:pStyle w:val="SourceNote"/>
      </w:pPr>
      <w:r>
        <w:rPr>
          <w:b/>
        </w:rPr>
        <w:t>Original source:</w:t>
      </w:r>
      <w:r>
        <w:t xml:space="preserve"> https://doi.org/10.17323/2500-2597.2019.1.77.89</w:t>
      </w:r>
    </w:p>
    <w:p>
      <w:pPr/>
      <w:r>
        <w:rPr>
          <w:b/>
        </w:rPr>
        <w:t>Original future claim:</w:t>
      </w:r>
      <w:r>
        <w:t xml:space="preserve">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Later source:</w:t>
      </w:r>
      <w:r>
        <w:t xml:space="preserve"> The European Council turns 50: Studying and analyzing a key institution of the European Union — https://doi.org/10.1017/s1682098325100106</w:t>
      </w:r>
    </w:p>
    <w:p>
      <w:pPr/>
      <w:r>
        <w:rPr>
          <w:b/>
        </w:rPr>
        <w:t>Later source:</w:t>
      </w:r>
      <w:r>
        <w:t xml:space="preserve"> European defence as a political project for European integration, the case study of France — https://openalex.org/W7164449219</w:t>
      </w:r>
    </w:p>
    <w:p>
      <w:pPr>
        <w:pStyle w:val="SourceNote"/>
      </w:pPr>
      <w:r>
        <w:rPr>
          <w:b/>
        </w:rPr>
        <w:t>Review status:</w:t>
      </w:r>
      <w:r>
        <w:t xml:space="preserve"> unchecked — possible relationship only</w:t>
      </w:r>
    </w:p>
    <w:p>
      <w:pPr>
        <w:pStyle w:val="Heading2"/>
      </w:pPr>
      <w:r>
        <w:t>480. Claim + two later sources: The Future of Rural Poland: the Main Trends and Possible Scenarios.</w:t>
      </w:r>
    </w:p>
    <w:p>
      <w:pPr>
        <w:pStyle w:val="SourceNote"/>
      </w:pPr>
      <w:r>
        <w:rPr>
          <w:b/>
        </w:rPr>
        <w:t>Group ID:</w:t>
      </w:r>
      <w:r>
        <w:t xml:space="preserve"> group-8f9c56bdbc4925b65675</w:t>
      </w:r>
    </w:p>
    <w:p>
      <w:pPr>
        <w:pStyle w:val="SourceNote"/>
      </w:pPr>
      <w:r>
        <w:rPr>
          <w:b/>
        </w:rPr>
        <w:t>Original source:</w:t>
      </w:r>
      <w:r>
        <w:t xml:space="preserve"> https://doi.org/10.1515/eec-2017-0004</w:t>
      </w:r>
    </w:p>
    <w:p>
      <w:pPr/>
      <w:r>
        <w:rPr>
          <w:b/>
        </w:rPr>
        <w:t>Original future claim:</w:t>
      </w:r>
      <w:r>
        <w:t xml:space="preserve">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Later source:</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Later source:</w:t>
      </w:r>
      <w:r>
        <w:t xml:space="preserve"> On national and civilizational identification: polemical notes on R. Brubaker’s concept, drawing on the ideas of L.M. Drobizheva — https://doi.org/10.22378/he.2026-11-1.101-115</w:t>
      </w:r>
    </w:p>
    <w:p>
      <w:pPr>
        <w:pStyle w:val="SourceNote"/>
      </w:pPr>
      <w:r>
        <w:rPr>
          <w:b/>
        </w:rPr>
        <w:t>Review status:</w:t>
      </w:r>
      <w:r>
        <w:t xml:space="preserve"> unchecked — possible relationship only</w:t>
      </w:r>
    </w:p>
    <w:p>
      <w:pPr>
        <w:pStyle w:val="Heading2"/>
      </w:pPr>
      <w:r>
        <w:t>481. Claim + two later sources: Future Projections of Heat Mortality Risk for Major European Cities</w:t>
      </w:r>
    </w:p>
    <w:p>
      <w:pPr>
        <w:pStyle w:val="SourceNote"/>
      </w:pPr>
      <w:r>
        <w:rPr>
          <w:b/>
        </w:rPr>
        <w:t>Group ID:</w:t>
      </w:r>
      <w:r>
        <w:t xml:space="preserve"> group-b51e8b68b5b176dc8c4a</w:t>
      </w:r>
    </w:p>
    <w:p>
      <w:pPr>
        <w:pStyle w:val="SourceNote"/>
      </w:pPr>
      <w:r>
        <w:rPr>
          <w:b/>
        </w:rPr>
        <w:t>Original source:</w:t>
      </w:r>
      <w:r>
        <w:t xml:space="preserve"> https://doi.org/10.1175/wcas-d-20-0142.1</w:t>
      </w:r>
    </w:p>
    <w:p>
      <w:pPr/>
      <w:r>
        <w:rPr>
          <w:b/>
        </w:rPr>
        <w:t>Original future claim:</w:t>
      </w:r>
      <w:r>
        <w:t xml:space="preserve">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Later source:</w:t>
      </w:r>
      <w:r>
        <w:t xml:space="preserve"> Electric Vehicle Fleet Penetration and Air Pollution Mortality in Europe — https://doi.org/10.32388/vkflrm</w:t>
      </w:r>
    </w:p>
    <w:p>
      <w:pPr/>
      <w:r>
        <w:rPr>
          <w:b/>
        </w:rPr>
        <w:t>Later source:</w:t>
      </w:r>
      <w:r>
        <w:t xml:space="preserve"> Frailty and Socioeconomic Development in the European Region—Associations with Mortality in Middle-Aged and Older Adults — https://doi.org/10.3390/ijerph23030307</w:t>
      </w:r>
    </w:p>
    <w:p>
      <w:pPr>
        <w:pStyle w:val="SourceNote"/>
      </w:pPr>
      <w:r>
        <w:rPr>
          <w:b/>
        </w:rPr>
        <w:t>Review status:</w:t>
      </w:r>
      <w:r>
        <w:t xml:space="preserve"> unchecked — possible relationship only</w:t>
      </w:r>
    </w:p>
    <w:p>
      <w:pPr>
        <w:pStyle w:val="Heading2"/>
      </w:pPr>
      <w:r>
        <w:t>482. Claim + two later sources: Pathways to Deep Decarbonization in Italy</w:t>
      </w:r>
    </w:p>
    <w:p>
      <w:pPr>
        <w:pStyle w:val="SourceNote"/>
      </w:pPr>
      <w:r>
        <w:rPr>
          <w:b/>
        </w:rPr>
        <w:t>Group ID:</w:t>
      </w:r>
      <w:r>
        <w:t xml:space="preserve"> group-6a84fc8116f82a33013e</w:t>
      </w:r>
    </w:p>
    <w:p>
      <w:pPr>
        <w:pStyle w:val="SourceNote"/>
      </w:pPr>
      <w:r>
        <w:rPr>
          <w:b/>
        </w:rPr>
        <w:t>Original source:</w:t>
      </w:r>
      <w:r>
        <w:t xml:space="preserve"> https://doi.org/10.22004/ag.econ.230582</w:t>
      </w:r>
    </w:p>
    <w:p>
      <w:pPr/>
      <w:r>
        <w:rPr>
          <w:b/>
        </w:rPr>
        <w:t>Original future claim:</w:t>
      </w:r>
      <w:r>
        <w:t xml:space="preserve">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Later source:</w:t>
      </w:r>
      <w:r>
        <w:t xml:space="preserve"> Cellular agriculture in the media: newspaper coverage in Australia, Brazil, Germany, and India — https://doi.org/10.5194/gh-81-255-2026</w:t>
      </w:r>
    </w:p>
    <w:p>
      <w:pPr/>
      <w:r>
        <w:rPr>
          <w:b/>
        </w:rPr>
        <w:t>Later source:</w:t>
      </w:r>
      <w:r>
        <w:t xml:space="preserve"> BOOK REVIEW: OPEN AND DISTANCE EDUCATION IN AUSTRALIA, EUROPE AND THE AMERICAS: NATIONAL PERSPECTIVES IN A DIGITAL AGE — https://openalex.org/W7167292450</w:t>
      </w:r>
    </w:p>
    <w:p>
      <w:pPr>
        <w:pStyle w:val="SourceNote"/>
      </w:pPr>
      <w:r>
        <w:rPr>
          <w:b/>
        </w:rPr>
        <w:t>Review status:</w:t>
      </w:r>
      <w:r>
        <w:t xml:space="preserve"> unchecked — possible relationship only</w:t>
      </w:r>
    </w:p>
    <w:p>
      <w:pPr>
        <w:pStyle w:val="Heading2"/>
      </w:pPr>
      <w:r>
        <w:t>483. Claim + two later sources: COVID-19 and European maritime futures: different pathways to deal with the pandemic</w:t>
      </w:r>
    </w:p>
    <w:p>
      <w:pPr>
        <w:pStyle w:val="SourceNote"/>
      </w:pPr>
      <w:r>
        <w:rPr>
          <w:b/>
        </w:rPr>
        <w:t>Group ID:</w:t>
      </w:r>
      <w:r>
        <w:t xml:space="preserve"> group-e823fe09fbf972cd2350</w:t>
      </w:r>
    </w:p>
    <w:p>
      <w:pPr>
        <w:pStyle w:val="SourceNote"/>
      </w:pPr>
      <w:r>
        <w:rPr>
          <w:b/>
        </w:rPr>
        <w:t>Original source:</w:t>
      </w:r>
      <w:r>
        <w:t xml:space="preserve"> https://doi.org/10.1007/s40152-021-00216-3</w:t>
      </w:r>
    </w:p>
    <w:p>
      <w:pPr/>
      <w:r>
        <w:rPr>
          <w:b/>
        </w:rPr>
        <w:t>Original future claim:</w:t>
      </w:r>
      <w:r>
        <w:t xml:space="preserve"> The maritime futures give insight into the enabling and constraining conditions to deal with the aftermath of the COVID-19 pandemic in specific, and how the maritime futures will affect the sustainable development of maritime sectors in general.</w:t>
      </w:r>
    </w:p>
    <w:p>
      <w:pPr/>
      <w:r>
        <w:rPr>
          <w:b/>
        </w:rPr>
        <w:t>Later source:</w:t>
      </w:r>
      <w:r>
        <w:t xml:space="preserve"> Governing Critical Maritime Infrastructure in the European Union; Path-Dependent Transformation and Institutional Change — https://doi.org/10.1007/s41125-026-00113-y</w:t>
      </w:r>
    </w:p>
    <w:p>
      <w:pPr/>
      <w:r>
        <w:rPr>
          <w:b/>
        </w:rPr>
        <w:t>Later source:</w:t>
      </w:r>
      <w:r>
        <w:t xml:space="preserve"> FACTORS CONSTRAINING OPERATIONAL EFFICIENCY IN MARITIME TRANSPORTATION: A COMPARATIVE ANALYSIS OF QUANTITATIVE DECISION SUPPORT MODELS AND FIELD REALITIES — https://doi.org/10.17753/sosekev.1889137</w:t>
      </w:r>
    </w:p>
    <w:p>
      <w:pPr>
        <w:pStyle w:val="SourceNote"/>
      </w:pPr>
      <w:r>
        <w:rPr>
          <w:b/>
        </w:rPr>
        <w:t>Review status:</w:t>
      </w:r>
      <w:r>
        <w:t xml:space="preserve"> unchecked — possible relationship only</w:t>
      </w:r>
    </w:p>
    <w:p>
      <w:pPr>
        <w:pStyle w:val="Heading2"/>
      </w:pPr>
      <w:r>
        <w:t>484. Claim + two later sources: The Impact of Decarbonization Scenarios on Air Quality and Human Health in Poland—Analysis of Scenarios up to 2050</w:t>
      </w:r>
    </w:p>
    <w:p>
      <w:pPr>
        <w:pStyle w:val="SourceNote"/>
      </w:pPr>
      <w:r>
        <w:rPr>
          <w:b/>
        </w:rPr>
        <w:t>Group ID:</w:t>
      </w:r>
      <w:r>
        <w:t xml:space="preserve"> group-f0de2d50e80eda1f2592</w:t>
      </w:r>
    </w:p>
    <w:p>
      <w:pPr>
        <w:pStyle w:val="SourceNote"/>
      </w:pPr>
      <w:r>
        <w:rPr>
          <w:b/>
        </w:rPr>
        <w:t>Original source:</w:t>
      </w:r>
      <w:r>
        <w:t xml:space="preserve"> https://doi.org/10.3390/atmos11111222</w:t>
      </w:r>
    </w:p>
    <w:p>
      <w:pPr/>
      <w:r>
        <w:rPr>
          <w:b/>
        </w:rPr>
        <w:t>Original future claim:</w:t>
      </w:r>
      <w:r>
        <w:t xml:space="preserve">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Later source:</w:t>
      </w:r>
      <w:r>
        <w:t xml:space="preserve"> Emission Scenarios for Europe under the CATALYSE Project: Beyond the Green Deal — https://openalex.org/W7125621332</w:t>
      </w:r>
    </w:p>
    <w:p>
      <w:pPr/>
      <w:r>
        <w:rPr>
          <w:b/>
        </w:rPr>
        <w:t>Later source:</w:t>
      </w:r>
      <w:r>
        <w:t xml:space="preserve"> Laboratory Experiments on Savannah and European Boreal Forest Fire Emissions — https://doi.org/10.1029/2025jd044543</w:t>
      </w:r>
    </w:p>
    <w:p>
      <w:pPr>
        <w:pStyle w:val="SourceNote"/>
      </w:pPr>
      <w:r>
        <w:rPr>
          <w:b/>
        </w:rPr>
        <w:t>Review status:</w:t>
      </w:r>
      <w:r>
        <w:t xml:space="preserve"> unchecked — possible relationship only</w:t>
      </w:r>
    </w:p>
    <w:p>
      <w:pPr>
        <w:pStyle w:val="Heading2"/>
      </w:pPr>
      <w:r>
        <w:t>485. Claim + two later sources: Regional growth and disparities in a post‐COVID Europe: A new normality scenario</w:t>
      </w:r>
    </w:p>
    <w:p>
      <w:pPr>
        <w:pStyle w:val="SourceNote"/>
      </w:pPr>
      <w:r>
        <w:rPr>
          <w:b/>
        </w:rPr>
        <w:t>Group ID:</w:t>
      </w:r>
      <w:r>
        <w:t xml:space="preserve"> group-0d7ed826283110160868</w:t>
      </w:r>
    </w:p>
    <w:p>
      <w:pPr>
        <w:pStyle w:val="SourceNote"/>
      </w:pPr>
      <w:r>
        <w:rPr>
          <w:b/>
        </w:rPr>
        <w:t>Original source:</w:t>
      </w:r>
      <w:r>
        <w:t xml:space="preserve"> https://doi.org/10.1111/jors.12542</w:t>
      </w:r>
    </w:p>
    <w:p>
      <w:pPr/>
      <w:r>
        <w:rPr>
          <w:b/>
        </w:rPr>
        <w:t>Original future claim:</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Later source:</w:t>
      </w:r>
      <w:r>
        <w:t xml:space="preserve"> The European Green Deal and Sustainability: A Model for Better Governance Solutions for Latvia — https://doi.org/10.20900/jsr20260022</w:t>
      </w:r>
    </w:p>
    <w:p>
      <w:pPr/>
      <w:r>
        <w:rPr>
          <w:b/>
        </w:rPr>
        <w:t>Later source:</w:t>
      </w:r>
      <w:r>
        <w:t xml:space="preserve"> Addressing food and nutrition insecurity in European countries: a scoping review of strategies and policies. — https://doi.org/10.4415/ann_26_02_09</w:t>
      </w:r>
    </w:p>
    <w:p>
      <w:pPr>
        <w:pStyle w:val="SourceNote"/>
      </w:pPr>
      <w:r>
        <w:rPr>
          <w:b/>
        </w:rPr>
        <w:t>Review status:</w:t>
      </w:r>
      <w:r>
        <w:t xml:space="preserve"> unchecked — possible relationship only</w:t>
      </w:r>
    </w:p>
    <w:p>
      <w:pPr>
        <w:pStyle w:val="Heading2"/>
      </w:pPr>
      <w:r>
        <w:t>486. Claim + two later sources: Developing scenarios for the Norwegian travel industry 2025</w:t>
      </w:r>
    </w:p>
    <w:p>
      <w:pPr>
        <w:pStyle w:val="SourceNote"/>
      </w:pPr>
      <w:r>
        <w:rPr>
          <w:b/>
        </w:rPr>
        <w:t>Group ID:</w:t>
      </w:r>
      <w:r>
        <w:t xml:space="preserve"> group-e7a9e2010f836edace23</w:t>
      </w:r>
    </w:p>
    <w:p>
      <w:pPr>
        <w:pStyle w:val="SourceNote"/>
      </w:pPr>
      <w:r>
        <w:rPr>
          <w:b/>
        </w:rPr>
        <w:t>Original source:</w:t>
      </w:r>
      <w:r>
        <w:t xml:space="preserve"> https://doi.org/10.1108/jtf-12-2014-0018</w:t>
      </w:r>
    </w:p>
    <w:p>
      <w:pPr/>
      <w:r>
        <w:rPr>
          <w:b/>
        </w:rPr>
        <w:t>Original future claim:</w:t>
      </w:r>
      <w:r>
        <w:t xml:space="preserve"> Accordingly, a common understanding of future drivers and different scenarios for the industry is needed. This resulted in four scenarios: Money Rules, The Urban Diamond, Opportunities for All, and Master Plan.</w:t>
      </w:r>
    </w:p>
    <w:p>
      <w:pPr/>
      <w:r>
        <w:rPr>
          <w:b/>
        </w:rPr>
        <w:t>Later source:</w:t>
      </w:r>
      <w:r>
        <w:t xml:space="preserve"> Navigating Inclusive Education: Understanding the Common Challenges Faced by Regular Teachers in an Inclusive Classroom Environment — https://openalex.org/W7161658658</w:t>
      </w:r>
    </w:p>
    <w:p>
      <w:pPr/>
      <w:r>
        <w:rPr>
          <w:b/>
        </w:rPr>
        <w:t>Later source:</w:t>
      </w:r>
      <w:r>
        <w:t xml:space="preserve"> Understanding negative feedback and classical conditioning of autonomic responses in physiological regulation — https://doi.org/10.3389/fphys.2026.1912305</w:t>
      </w:r>
    </w:p>
    <w:p>
      <w:pPr>
        <w:pStyle w:val="SourceNote"/>
      </w:pPr>
      <w:r>
        <w:rPr>
          <w:b/>
        </w:rPr>
        <w:t>Review status:</w:t>
      </w:r>
      <w:r>
        <w:t xml:space="preserve"> unchecked — possible relationship only</w:t>
      </w:r>
    </w:p>
    <w:p>
      <w:pPr>
        <w:pStyle w:val="Heading2"/>
      </w:pPr>
      <w:r>
        <w:t>487. Claim + two later sources: Investigating scenario planning – a European tourism perspective</w:t>
      </w:r>
    </w:p>
    <w:p>
      <w:pPr>
        <w:pStyle w:val="SourceNote"/>
      </w:pPr>
      <w:r>
        <w:rPr>
          <w:b/>
        </w:rPr>
        <w:t>Group ID:</w:t>
      </w:r>
      <w:r>
        <w:t xml:space="preserve"> group-29f0822483a0acc36df5</w:t>
      </w:r>
    </w:p>
    <w:p>
      <w:pPr>
        <w:pStyle w:val="SourceNote"/>
      </w:pPr>
      <w:r>
        <w:rPr>
          <w:b/>
        </w:rPr>
        <w:t>Original source:</w:t>
      </w:r>
      <w:r>
        <w:t xml:space="preserve"> https://doi.org/10.1108/jtf-12-2014-0020</w:t>
      </w:r>
    </w:p>
    <w:p>
      <w:pPr/>
      <w:r>
        <w:rPr>
          <w:b/>
        </w:rPr>
        <w:t>Original future claim:</w:t>
      </w:r>
      <w:r>
        <w:t xml:space="preserve">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Later source:</w:t>
      </w:r>
      <w:r>
        <w:t xml:space="preserve"> European Wild Bees: moving from assessment to conservation planning — https://doi.org/10.2779/5662020kh-01-25-230</w:t>
      </w:r>
    </w:p>
    <w:p>
      <w:pPr/>
      <w:r>
        <w:rPr>
          <w:b/>
        </w:rPr>
        <w:t>Later source:</w:t>
      </w:r>
      <w:r>
        <w:t xml:space="preserve"> Recycling data for Marine Spatial Planning: A review of maritime plans in Europe — https://doi.org/10.46298/jimis.13496</w:t>
      </w:r>
    </w:p>
    <w:p>
      <w:pPr>
        <w:pStyle w:val="SourceNote"/>
      </w:pPr>
      <w:r>
        <w:rPr>
          <w:b/>
        </w:rPr>
        <w:t>Review status:</w:t>
      </w:r>
      <w:r>
        <w:t xml:space="preserve"> unchecked — possible relationship only</w:t>
      </w:r>
    </w:p>
    <w:p>
      <w:pPr>
        <w:pStyle w:val="Heading2"/>
      </w:pPr>
      <w:r>
        <w:t>488. Claim + two later sources: Integrating field data into individual-based models of the migration of European eel larvae</w:t>
      </w:r>
    </w:p>
    <w:p>
      <w:pPr>
        <w:pStyle w:val="SourceNote"/>
      </w:pPr>
      <w:r>
        <w:rPr>
          <w:b/>
        </w:rPr>
        <w:t>Group ID:</w:t>
      </w:r>
      <w:r>
        <w:t xml:space="preserve"> group-cab8e22524181d169474</w:t>
      </w:r>
    </w:p>
    <w:p>
      <w:pPr>
        <w:pStyle w:val="SourceNote"/>
      </w:pPr>
      <w:r>
        <w:rPr>
          <w:b/>
        </w:rPr>
        <w:t>Original source:</w:t>
      </w:r>
      <w:r>
        <w:t xml:space="preserve"> https://doi.org/10.3354/meps10368</w:t>
      </w:r>
    </w:p>
    <w:p>
      <w:pPr/>
      <w:r>
        <w:rPr>
          <w:b/>
        </w:rPr>
        <w:t>Original future claim:</w:t>
      </w:r>
      <w:r>
        <w:t xml:space="preserve"> We contrasted different model settings and identified the most plausible migration scenario by comparing simulation results against experimental data.</w:t>
      </w:r>
    </w:p>
    <w:p>
      <w:pPr/>
      <w:r>
        <w:rPr>
          <w:b/>
        </w:rPr>
        <w:t>Later source:</w:t>
      </w:r>
      <w:r>
        <w:t xml:space="preserve"> Prediction models show differences in highly pathogenic avian influenza outbreaks in Japan and South Korea compared to Europe — https://doi.org/10.1038/s41598-025-91384-3</w:t>
      </w:r>
    </w:p>
    <w:p>
      <w:pPr/>
      <w:r>
        <w:rPr>
          <w:b/>
        </w:rPr>
        <w:t>Later source:</w:t>
      </w:r>
      <w:r>
        <w:t xml:space="preserve"> Burden of intracerebral haemorrhage in Europe: forecasting incidence and mortality between 2019 and 2050 — https://doi.org/10.1016/j.lanepe.2024.100842</w:t>
      </w:r>
    </w:p>
    <w:p>
      <w:pPr>
        <w:pStyle w:val="SourceNote"/>
      </w:pPr>
      <w:r>
        <w:rPr>
          <w:b/>
        </w:rPr>
        <w:t>Review status:</w:t>
      </w:r>
      <w:r>
        <w:t xml:space="preserve"> unchecked — possible relationship only</w:t>
      </w:r>
    </w:p>
    <w:p>
      <w:pPr>
        <w:pStyle w:val="Heading2"/>
      </w:pPr>
      <w:r>
        <w:t>489. Claim + two later sources: Wild cards in transport</w:t>
      </w:r>
    </w:p>
    <w:p>
      <w:pPr>
        <w:pStyle w:val="SourceNote"/>
      </w:pPr>
      <w:r>
        <w:rPr>
          <w:b/>
        </w:rPr>
        <w:t>Group ID:</w:t>
      </w:r>
      <w:r>
        <w:t xml:space="preserve"> group-fca6debf49073d73297d</w:t>
      </w:r>
    </w:p>
    <w:p>
      <w:pPr>
        <w:pStyle w:val="SourceNote"/>
      </w:pPr>
      <w:r>
        <w:rPr>
          <w:b/>
        </w:rPr>
        <w:t>Original source:</w:t>
      </w:r>
      <w:r>
        <w:t xml:space="preserve"> https://doi.org/10.1007/s40309-015-0066-9</w:t>
      </w:r>
    </w:p>
    <w:p>
      <w:pPr/>
      <w:r>
        <w:rPr>
          <w:b/>
        </w:rPr>
        <w:t>Original future claim:</w:t>
      </w:r>
      <w:r>
        <w:t xml:space="preserve"> Several Wild Cards reach high likelihood in 2040 or beyond, while the time by which full impact is reached varies.</w:t>
      </w:r>
    </w:p>
    <w:p>
      <w:pPr/>
      <w:r>
        <w:rPr>
          <w:b/>
        </w:rPr>
        <w:t>Later source:</w:t>
      </w:r>
      <w:r>
        <w:t xml:space="preserve"> Mapping Wild Boar Capture Likelihood Using Public Surveillance Records: A Maxent-Based Case Study in Northern Nara, Japan — https://doi.org/10.48084/etasr.18889</w:t>
      </w:r>
    </w:p>
    <w:p>
      <w:pPr/>
      <w:r>
        <w:rPr>
          <w:b/>
        </w:rPr>
        <w:t>Later source:</w:t>
      </w:r>
      <w:r>
        <w:t xml:space="preserve"> Arboreal stone tool use in wild chimpanzees — https://doi.org/10.1016/j.anbehav.2026.123731</w:t>
      </w:r>
    </w:p>
    <w:p>
      <w:pPr>
        <w:pStyle w:val="SourceNote"/>
      </w:pPr>
      <w:r>
        <w:rPr>
          <w:b/>
        </w:rPr>
        <w:t>Review status:</w:t>
      </w:r>
      <w:r>
        <w:t xml:space="preserve"> unchecked — possible relationship only</w:t>
      </w:r>
    </w:p>
    <w:p>
      <w:pPr>
        <w:pStyle w:val="Heading2"/>
      </w:pPr>
      <w:r>
        <w:t>490. Claim + two later sources: Perspective of comprehensive and comprehensible multi-model energy and climate science in Europe</w:t>
      </w:r>
    </w:p>
    <w:p>
      <w:pPr>
        <w:pStyle w:val="SourceNote"/>
      </w:pPr>
      <w:r>
        <w:rPr>
          <w:b/>
        </w:rPr>
        <w:t>Group ID:</w:t>
      </w:r>
      <w:r>
        <w:t xml:space="preserve"> group-a1471bb0913852669a4c</w:t>
      </w:r>
    </w:p>
    <w:p>
      <w:pPr>
        <w:pStyle w:val="SourceNote"/>
      </w:pPr>
      <w:r>
        <w:rPr>
          <w:b/>
        </w:rPr>
        <w:t>Original source:</w:t>
      </w:r>
      <w:r>
        <w:t xml:space="preserve"> https://doi.org/10.1016/j.energy.2020.119153</w:t>
      </w:r>
    </w:p>
    <w:p>
      <w:pPr/>
      <w:r>
        <w:rPr>
          <w:b/>
        </w:rPr>
        <w:t>Original future claim:</w:t>
      </w:r>
      <w:r>
        <w:t xml:space="preserve">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Later source:</w:t>
      </w:r>
      <w:r>
        <w:t xml:space="preserve"> Perceived Social Exclusion during the COVID-19 Pandemic: a European Perspective — https://doi.org/10.1007/s11205-025-03748-x</w:t>
      </w:r>
    </w:p>
    <w:p>
      <w:pPr/>
      <w:r>
        <w:rPr>
          <w:b/>
        </w:rPr>
        <w:t>Later source:</w:t>
      </w:r>
      <w:r>
        <w:t xml:space="preserve"> Learning under pressure: Welfare state responses to Covid-19 in Southern Europe — https://doi.org/10.1177/09589287261419976</w:t>
      </w:r>
    </w:p>
    <w:p>
      <w:pPr>
        <w:pStyle w:val="SourceNote"/>
      </w:pPr>
      <w:r>
        <w:rPr>
          <w:b/>
        </w:rPr>
        <w:t>Review status:</w:t>
      </w:r>
      <w:r>
        <w:t xml:space="preserve"> unchecked — possible relationship only</w:t>
      </w:r>
    </w:p>
    <w:p>
      <w:pPr>
        <w:pStyle w:val="Heading2"/>
      </w:pPr>
      <w:r>
        <w:t>491. Claim + two later sources: Realising transition pathways for a more electric, low-carbon energy system in the United Kingdom: Challenges, insights and opportunities</w:t>
      </w:r>
    </w:p>
    <w:p>
      <w:pPr>
        <w:pStyle w:val="SourceNote"/>
      </w:pPr>
      <w:r>
        <w:rPr>
          <w:b/>
        </w:rPr>
        <w:t>Group ID:</w:t>
      </w:r>
      <w:r>
        <w:t xml:space="preserve"> group-0a958dfa4e4c18ded6c1</w:t>
      </w:r>
    </w:p>
    <w:p>
      <w:pPr>
        <w:pStyle w:val="SourceNote"/>
      </w:pPr>
      <w:r>
        <w:rPr>
          <w:b/>
        </w:rPr>
        <w:t>Original source:</w:t>
      </w:r>
      <w:r>
        <w:t xml:space="preserve"> https://doi.org/10.1177/0957650917695448</w:t>
      </w:r>
    </w:p>
    <w:p>
      <w:pPr/>
      <w:r>
        <w:rPr>
          <w:b/>
        </w:rPr>
        <w:t>Original future claim:</w:t>
      </w:r>
      <w:r>
        <w:t xml:space="preserve">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Later source:</w:t>
      </w:r>
      <w:r>
        <w:t xml:space="preserve"> United Kingdom energy transition: Taxes on energy, transport, and pollution resources — https://doi.org/10.1186/s12302-025-01288-2</w:t>
      </w:r>
    </w:p>
    <w:p>
      <w:pPr/>
      <w:r>
        <w:rPr>
          <w:b/>
        </w:rPr>
        <w:t>Later source:</w:t>
      </w:r>
      <w:r>
        <w:t xml:space="preserve"> Taking stock of twenty-five years of devolution in the United Kingdom — https://doi.org/10.1080/02606755.2026.2616934</w:t>
      </w:r>
    </w:p>
    <w:p>
      <w:pPr>
        <w:pStyle w:val="SourceNote"/>
      </w:pPr>
      <w:r>
        <w:rPr>
          <w:b/>
        </w:rPr>
        <w:t>Review status:</w:t>
      </w:r>
      <w:r>
        <w:t xml:space="preserve"> unchecked — possible relationship only</w:t>
      </w:r>
    </w:p>
    <w:p>
      <w:pPr>
        <w:pStyle w:val="Heading2"/>
      </w:pPr>
      <w:r>
        <w:t>492. Claim + two later sources: By 2050 the Mitigation Effects of EU Forests Could Nearly Double through Climate Smart Forestry</w:t>
      </w:r>
    </w:p>
    <w:p>
      <w:pPr>
        <w:pStyle w:val="SourceNote"/>
      </w:pPr>
      <w:r>
        <w:rPr>
          <w:b/>
        </w:rPr>
        <w:t>Group ID:</w:t>
      </w:r>
      <w:r>
        <w:t xml:space="preserve"> group-6e6c9519be020aad96b9</w:t>
      </w:r>
    </w:p>
    <w:p>
      <w:pPr>
        <w:pStyle w:val="SourceNote"/>
      </w:pPr>
      <w:r>
        <w:rPr>
          <w:b/>
        </w:rPr>
        <w:t>Original source:</w:t>
      </w:r>
      <w:r>
        <w:t xml:space="preserve"> https://doi.org/10.3390/f8120484</w:t>
      </w:r>
    </w:p>
    <w:p>
      <w:pPr/>
      <w:r>
        <w:rPr>
          <w:b/>
        </w:rPr>
        <w:t>Original future claim:</w:t>
      </w:r>
      <w:r>
        <w:t xml:space="preserve">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Later source:</w:t>
      </w:r>
      <w:r>
        <w:t xml:space="preserve"> Mechanisms for monitoring the implementation of the European Social Charter and their significance for the Member States — https://doi.org/10.63341/naia-herald/1.2025.60</w:t>
      </w:r>
    </w:p>
    <w:p>
      <w:pPr/>
      <w:r>
        <w:rPr>
          <w:b/>
        </w:rPr>
        <w:t>Later source:</w:t>
      </w:r>
      <w:r>
        <w:t xml:space="preserve"> The Right to Abortion – Between the Need for Protection at the European Level and Respect for the Constitutional Traditions of the Member States — https://doi.org/10.54148/eltelj.2025.2.9</w:t>
      </w:r>
    </w:p>
    <w:p>
      <w:pPr>
        <w:pStyle w:val="SourceNote"/>
      </w:pPr>
      <w:r>
        <w:rPr>
          <w:b/>
        </w:rPr>
        <w:t>Review status:</w:t>
      </w:r>
      <w:r>
        <w:t xml:space="preserve"> unchecked — possible relationship only</w:t>
      </w:r>
    </w:p>
    <w:p>
      <w:pPr>
        <w:pStyle w:val="Heading2"/>
      </w:pPr>
      <w:r>
        <w:t>493. Claim + two later sources: Long-term transport decarbonization pathways in the European Union: a strategic energy-economy analysis</w:t>
      </w:r>
    </w:p>
    <w:p>
      <w:pPr>
        <w:pStyle w:val="SourceNote"/>
      </w:pPr>
      <w:r>
        <w:rPr>
          <w:b/>
        </w:rPr>
        <w:t>Group ID:</w:t>
      </w:r>
      <w:r>
        <w:t xml:space="preserve"> group-6a6c151c2499f865f39d</w:t>
      </w:r>
    </w:p>
    <w:p>
      <w:pPr>
        <w:pStyle w:val="SourceNote"/>
      </w:pPr>
      <w:r>
        <w:rPr>
          <w:b/>
        </w:rPr>
        <w:t>Original source:</w:t>
      </w:r>
      <w:r>
        <w:t xml:space="preserve"> https://doi.org/10.1080/15567249.2022.2101712</w:t>
      </w:r>
    </w:p>
    <w:p>
      <w:pPr/>
      <w:r>
        <w:rPr>
          <w:b/>
        </w:rPr>
        <w:t>Original future claim:</w:t>
      </w:r>
      <w:r>
        <w:t xml:space="preserve">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Later source:</w:t>
      </w:r>
      <w:r>
        <w:t xml:space="preserve"> Assessing the importance of the European armament sector: a multiregional approach — https://doi.org/10.1080/10242694.2026.2673058</w:t>
      </w:r>
    </w:p>
    <w:p>
      <w:pPr/>
      <w:r>
        <w:rPr>
          <w:b/>
        </w:rPr>
        <w:t>Later source:</w:t>
      </w:r>
      <w:r>
        <w:t xml:space="preserve"> Budget Impact Analysis of Vacuum-Assisted Excision Versus Surgical Excision for the Assessment of Breast Lesions of Uncertain Malignant Potential in Italy — https://doi.org/10.1007/s41669-026-00663-w</w:t>
      </w:r>
    </w:p>
    <w:p>
      <w:pPr>
        <w:pStyle w:val="SourceNote"/>
      </w:pPr>
      <w:r>
        <w:rPr>
          <w:b/>
        </w:rPr>
        <w:t>Review status:</w:t>
      </w:r>
      <w:r>
        <w:t xml:space="preserve"> unchecked — possible relationship only</w:t>
      </w:r>
    </w:p>
    <w:p>
      <w:pPr>
        <w:pStyle w:val="Heading2"/>
      </w:pPr>
      <w:r>
        <w:t>494. Claim + two later sources: Towards the 2030 Agenda: Measuring the Progress of the European Union Countries through the SDGs Achievement Index</w:t>
      </w:r>
    </w:p>
    <w:p>
      <w:pPr>
        <w:pStyle w:val="SourceNote"/>
      </w:pPr>
      <w:r>
        <w:rPr>
          <w:b/>
        </w:rPr>
        <w:t>Group ID:</w:t>
      </w:r>
      <w:r>
        <w:t xml:space="preserve"> group-452f6717ce3f3801d4e2</w:t>
      </w:r>
    </w:p>
    <w:p>
      <w:pPr>
        <w:pStyle w:val="SourceNote"/>
      </w:pPr>
      <w:r>
        <w:rPr>
          <w:b/>
        </w:rPr>
        <w:t>Original source:</w:t>
      </w:r>
      <w:r>
        <w:t xml:space="preserve"> https://doi.org/10.3390/su14063563</w:t>
      </w:r>
    </w:p>
    <w:p>
      <w:pPr/>
      <w:r>
        <w:rPr>
          <w:b/>
        </w:rPr>
        <w:t>Original future claim:</w:t>
      </w:r>
      <w:r>
        <w:t xml:space="preserve"> The use of such an index will also be useful to understand the effect of the pandemic on the development.</w:t>
      </w:r>
    </w:p>
    <w:p>
      <w:pPr/>
      <w:r>
        <w:rPr>
          <w:b/>
        </w:rPr>
        <w:t>Later source:</w:t>
      </w:r>
      <w:r>
        <w:t xml:space="preserve"> Assessing Farm-Level Digital Maturity in European Agriculture: The Digital Farm Index and Investment Barriers to Agriculture 4.0 — https://doi.org/10.3390/agriculture16141565</w:t>
      </w:r>
    </w:p>
    <w:p>
      <w:pPr/>
      <w:r>
        <w:rPr>
          <w:b/>
        </w:rPr>
        <w:t>Later source:</w:t>
      </w:r>
      <w:r>
        <w:t xml:space="preserve"> Causal effects of body mass index on glycaemic traits in African and European populations: a Mendelian randomization study — https://doi.org/10.64898/2026.10.02.26364581</w:t>
      </w:r>
    </w:p>
    <w:p>
      <w:pPr>
        <w:pStyle w:val="SourceNote"/>
      </w:pPr>
      <w:r>
        <w:rPr>
          <w:b/>
        </w:rPr>
        <w:t>Review status:</w:t>
      </w:r>
      <w:r>
        <w:t xml:space="preserve"> unchecked — possible relationship only</w:t>
      </w:r>
    </w:p>
    <w:p>
      <w:pPr>
        <w:pStyle w:val="Heading2"/>
      </w:pPr>
      <w:r>
        <w:t>495. Claim + two later sources: Enabling forecasts of environmental exposure to chemicals in European agriculture under global change</w:t>
      </w:r>
    </w:p>
    <w:p>
      <w:pPr>
        <w:pStyle w:val="SourceNote"/>
      </w:pPr>
      <w:r>
        <w:rPr>
          <w:b/>
        </w:rPr>
        <w:t>Group ID:</w:t>
      </w:r>
      <w:r>
        <w:t xml:space="preserve"> group-c1063db8387d9c448d07</w:t>
      </w:r>
    </w:p>
    <w:p>
      <w:pPr>
        <w:pStyle w:val="SourceNote"/>
      </w:pPr>
      <w:r>
        <w:rPr>
          <w:b/>
        </w:rPr>
        <w:t>Original source:</w:t>
      </w:r>
      <w:r>
        <w:t xml:space="preserve"> https://doi.org/10.1016/j.scitotenv.2022.156478</w:t>
      </w:r>
    </w:p>
    <w:p>
      <w:pPr/>
      <w:r>
        <w:rPr>
          <w:b/>
        </w:rPr>
        <w:t>Original future claim:</w:t>
      </w:r>
      <w:r>
        <w:t xml:space="preserve">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Later source:</w:t>
      </w:r>
      <w:r>
        <w:t xml:space="preserve"> Mapping the landscape of mycological organizations in europe: where citizen science meets professional mycology — https://doi.org/10.1007/s10531-025-03219-2</w:t>
      </w:r>
    </w:p>
    <w:p>
      <w:pPr/>
      <w:r>
        <w:rPr>
          <w:b/>
        </w:rPr>
        <w:t>Later source:</w:t>
      </w:r>
      <w:r>
        <w:t xml:space="preserve"> From Garden to Weed: Invasive Ornamental Plants in Europe and Emerging Challenges for Biodiversity, Agroecosystems, Agriculture and Management — https://doi.org/10.3390/horticulturae12020257</w:t>
      </w:r>
    </w:p>
    <w:p>
      <w:pPr>
        <w:pStyle w:val="SourceNote"/>
      </w:pPr>
      <w:r>
        <w:rPr>
          <w:b/>
        </w:rPr>
        <w:t>Review status:</w:t>
      </w:r>
      <w:r>
        <w:t xml:space="preserve"> unchecked — possible relationship only</w:t>
      </w:r>
    </w:p>
    <w:p>
      <w:pPr>
        <w:pStyle w:val="Heading2"/>
      </w:pPr>
      <w:r>
        <w:t>496. Claim + two later sources: Climate change mitigation: evidences from the European scenario</w:t>
      </w:r>
    </w:p>
    <w:p>
      <w:pPr>
        <w:pStyle w:val="SourceNote"/>
      </w:pPr>
      <w:r>
        <w:rPr>
          <w:b/>
        </w:rPr>
        <w:t>Group ID:</w:t>
      </w:r>
      <w:r>
        <w:t xml:space="preserve"> group-42dd37105576decab46e</w:t>
      </w:r>
    </w:p>
    <w:p>
      <w:pPr>
        <w:pStyle w:val="SourceNote"/>
      </w:pPr>
      <w:r>
        <w:rPr>
          <w:b/>
        </w:rPr>
        <w:t>Original source:</w:t>
      </w:r>
      <w:r>
        <w:t xml:space="preserve"> https://doi.org/10.1504/ijmne.2018.10016474</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Carbon emissions of a public engagement event: The case of Sharper European researchers' night — https://doi.org/10.1016/j.cesys.2026.100429</w:t>
      </w:r>
    </w:p>
    <w:p>
      <w:pPr>
        <w:pStyle w:val="SourceNote"/>
      </w:pPr>
      <w:r>
        <w:rPr>
          <w:b/>
        </w:rPr>
        <w:t>Review status:</w:t>
      </w:r>
      <w:r>
        <w:t xml:space="preserve"> unchecked — possible relationship only</w:t>
      </w:r>
    </w:p>
    <w:p>
      <w:pPr>
        <w:pStyle w:val="Heading2"/>
      </w:pPr>
      <w:r>
        <w:t>497. Claim + two later sources: Seeds of good anthropocenes: developing sustainability scenarios for Northern Europe</w:t>
      </w:r>
    </w:p>
    <w:p>
      <w:pPr>
        <w:pStyle w:val="SourceNote"/>
      </w:pPr>
      <w:r>
        <w:rPr>
          <w:b/>
        </w:rPr>
        <w:t>Group ID:</w:t>
      </w:r>
      <w:r>
        <w:t xml:space="preserve"> group-b6c85acafe7c08548685</w:t>
      </w:r>
    </w:p>
    <w:p>
      <w:pPr>
        <w:pStyle w:val="SourceNote"/>
      </w:pPr>
      <w:r>
        <w:rPr>
          <w:b/>
        </w:rPr>
        <w:t>Original source:</w:t>
      </w:r>
      <w:r>
        <w:t xml:space="preserve"> https://doi.org/10.1007/s11625-019-00714-8</w:t>
      </w:r>
    </w:p>
    <w:p>
      <w:pPr/>
      <w:r>
        <w:rPr>
          <w:b/>
        </w:rPr>
        <w:t>Original future claim:</w:t>
      </w:r>
      <w:r>
        <w:t xml:space="preserve">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Later source:</w:t>
      </w:r>
      <w:r>
        <w:t xml:space="preserve"> Hydrological drought but not flood synchronicity increases over Europe — https://doi.org/10.5194/egusphere-egu26-4770</w:t>
      </w:r>
    </w:p>
    <w:p>
      <w:pPr/>
      <w:r>
        <w:rPr>
          <w:b/>
        </w:rPr>
        <w:t>Later source:</w:t>
      </w:r>
      <w:r>
        <w:t xml:space="preserve"> A systematic review of the role of community science in European wildlife governance — https://openalex.org/W7202009244</w:t>
      </w:r>
    </w:p>
    <w:p>
      <w:pPr>
        <w:pStyle w:val="SourceNote"/>
      </w:pPr>
      <w:r>
        <w:rPr>
          <w:b/>
        </w:rPr>
        <w:t>Review status:</w:t>
      </w:r>
      <w:r>
        <w:t xml:space="preserve"> unchecked — possible relationship only</w:t>
      </w:r>
    </w:p>
    <w:p>
      <w:pPr>
        <w:pStyle w:val="Heading2"/>
      </w:pPr>
      <w:r>
        <w:t>498. Claim + two later sources: PROJEKCJA ZMIAN WIELKOŚCI PLONÓW PSZENICY W POLSCE I UNII EUROPEJSKIEJ W LATACH 2030 I 2050 NA PODSTAWIE MODELU CAPRI</w:t>
      </w:r>
    </w:p>
    <w:p>
      <w:pPr>
        <w:pStyle w:val="SourceNote"/>
      </w:pPr>
      <w:r>
        <w:rPr>
          <w:b/>
        </w:rPr>
        <w:t>Group ID:</w:t>
      </w:r>
      <w:r>
        <w:t xml:space="preserve"> group-eadd580b555c383fb325</w:t>
      </w:r>
    </w:p>
    <w:p>
      <w:pPr>
        <w:pStyle w:val="SourceNote"/>
      </w:pPr>
      <w:r>
        <w:rPr>
          <w:b/>
        </w:rPr>
        <w:t>Original source:</w:t>
      </w:r>
      <w:r>
        <w:t xml:space="preserve"> https://doi.org/10.22004/ag.econ.233132</w:t>
      </w:r>
    </w:p>
    <w:p>
      <w:pPr/>
      <w:r>
        <w:rPr>
          <w:b/>
        </w:rPr>
        <w:t>Original future claim:</w:t>
      </w:r>
      <w:r>
        <w:t xml:space="preserve">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Later source:</w:t>
      </w:r>
      <w:r>
        <w:t xml:space="preserve"> Emission Scenarios for Europe under the CATALYSE Project: Beyond the Green Deal — https://openalex.org/W7125621332</w:t>
      </w:r>
    </w:p>
    <w:p>
      <w:pPr/>
      <w:r>
        <w:rPr>
          <w:b/>
        </w:rPr>
        <w:t>Later source:</w:t>
      </w:r>
      <w:r>
        <w:t xml:space="preserve"> TIME-SERIES ANALYSIS AND ARIMA-BASED FORECASTING OF AGRICULTURAL RAW MATERIAL IMPORTS IN CENTRAL AND EASTERN EUROPE — https://doi.org/10.52846/mnmk.24.1.11</w:t>
      </w:r>
    </w:p>
    <w:p>
      <w:pPr>
        <w:pStyle w:val="SourceNote"/>
      </w:pPr>
      <w:r>
        <w:rPr>
          <w:b/>
        </w:rPr>
        <w:t>Review status:</w:t>
      </w:r>
      <w:r>
        <w:t xml:space="preserve"> unchecked — possible relationship only</w:t>
      </w:r>
    </w:p>
    <w:p>
      <w:pPr>
        <w:pStyle w:val="Heading2"/>
      </w:pPr>
      <w:r>
        <w:t>499. Claim + two later sources: Recycling of European plastic is a pathway for plastic debris in the ocean</w:t>
      </w:r>
    </w:p>
    <w:p>
      <w:pPr>
        <w:pStyle w:val="SourceNote"/>
      </w:pPr>
      <w:r>
        <w:rPr>
          <w:b/>
        </w:rPr>
        <w:t>Group ID:</w:t>
      </w:r>
      <w:r>
        <w:t xml:space="preserve"> group-919bbf782154e01931c4</w:t>
      </w:r>
    </w:p>
    <w:p>
      <w:pPr>
        <w:pStyle w:val="SourceNote"/>
      </w:pPr>
      <w:r>
        <w:rPr>
          <w:b/>
        </w:rPr>
        <w:t>Original source:</w:t>
      </w:r>
      <w:r>
        <w:t xml:space="preserve"> https://doi.org/10.1016/j.envint.2020.105893</w:t>
      </w:r>
    </w:p>
    <w:p>
      <w:pPr/>
      <w:r>
        <w:rPr>
          <w:b/>
        </w:rPr>
        <w:t>Original future claim:</w:t>
      </w:r>
      <w:r>
        <w:t xml:space="preserve"> Data uncertainty was reflected in three scenarios representing high, low and average recovery efficiency factors in material recovery facilities and reprocessing facilities, and different ocean debris fate factors.</w:t>
      </w:r>
    </w:p>
    <w:p>
      <w:pPr/>
      <w:r>
        <w:rPr>
          <w:b/>
        </w:rPr>
        <w:t>Later source:</w:t>
      </w:r>
      <w:r>
        <w:t xml:space="preserve"> Economic Policy Uncertainty and Income Inequality Across Europe — https://openalex.org/W7128567058</w:t>
      </w:r>
    </w:p>
    <w:p>
      <w:pPr/>
      <w:r>
        <w:rPr>
          <w:b/>
        </w:rPr>
        <w:t>Later source:</w:t>
      </w:r>
      <w:r>
        <w:t xml:space="preserve"> 3D Glacial Isostatic Adjustment along the deglacial forebulge of the Atlantic coasts of North America and Europe — https://doi.org/10.5194/egusphere-egu26-15680</w:t>
      </w:r>
    </w:p>
    <w:p>
      <w:pPr>
        <w:pStyle w:val="SourceNote"/>
      </w:pPr>
      <w:r>
        <w:rPr>
          <w:b/>
        </w:rPr>
        <w:t>Review status:</w:t>
      </w:r>
      <w:r>
        <w:t xml:space="preserve"> unchecked — possible relationship only</w:t>
      </w:r>
    </w:p>
    <w:p>
      <w:pPr>
        <w:pStyle w:val="Heading2"/>
      </w:pPr>
      <w:r>
        <w:t>500. Claim + two later sources: The Futures of Europe: Society 5.0 and Industry 5.0 as Driving Forces of Future Universities</w:t>
      </w:r>
    </w:p>
    <w:p>
      <w:pPr>
        <w:pStyle w:val="SourceNote"/>
      </w:pPr>
      <w:r>
        <w:rPr>
          <w:b/>
        </w:rPr>
        <w:t>Group ID:</w:t>
      </w:r>
      <w:r>
        <w:t xml:space="preserve"> group-940e0dbd97b53547e2a0</w:t>
      </w:r>
    </w:p>
    <w:p>
      <w:pPr>
        <w:pStyle w:val="SourceNote"/>
      </w:pPr>
      <w:r>
        <w:rPr>
          <w:b/>
        </w:rPr>
        <w:t>Original source:</w:t>
      </w:r>
      <w:r>
        <w:t xml:space="preserve"> https://doi.org/10.1007/s13132-021-00854-2</w:t>
      </w:r>
    </w:p>
    <w:p>
      <w:pPr/>
      <w:r>
        <w:rPr>
          <w:b/>
        </w:rPr>
        <w:t>Original future claim:</w:t>
      </w:r>
      <w:r>
        <w:t xml:space="preserve">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Later source:</w:t>
      </w:r>
      <w:r>
        <w:t xml:space="preserve"> Updated PM2.5 Mortality Estimates for Europe in Coming Decades via the CATALYSE Project — https://doi.org/10.5194/egusphere-egu26-18901</w:t>
      </w:r>
    </w:p>
    <w:p>
      <w:pPr/>
      <w:r>
        <w:rPr>
          <w:b/>
        </w:rPr>
        <w:t>Later source:</w:t>
      </w:r>
      <w:r>
        <w:t xml:space="preserve"> Inclusion and Gender Empowerment in European Civil Society Organisations — https://openalex.org/W7137625942</w:t>
      </w:r>
    </w:p>
    <w:p>
      <w:pPr>
        <w:pStyle w:val="SourceNote"/>
      </w:pPr>
      <w:r>
        <w:rPr>
          <w:b/>
        </w:rPr>
        <w:t>Review status:</w:t>
      </w:r>
      <w:r>
        <w:t xml:space="preserve"> unchecked — possible relationship only</w:t>
      </w:r>
    </w:p>
    <w:p>
      <w:pPr>
        <w:pStyle w:val="Heading2"/>
      </w:pPr>
      <w:r>
        <w:t>501. Claim + two later sources: Land use implications of future energy system trajectories—The case of the UK 2050 Carbon Plan</w:t>
      </w:r>
    </w:p>
    <w:p>
      <w:pPr>
        <w:pStyle w:val="SourceNote"/>
      </w:pPr>
      <w:r>
        <w:rPr>
          <w:b/>
        </w:rPr>
        <w:t>Group ID:</w:t>
      </w:r>
      <w:r>
        <w:t xml:space="preserve"> group-dfdb406a5469fc78f6f3</w:t>
      </w:r>
    </w:p>
    <w:p>
      <w:pPr>
        <w:pStyle w:val="SourceNote"/>
      </w:pPr>
      <w:r>
        <w:rPr>
          <w:b/>
        </w:rPr>
        <w:t>Original source:</w:t>
      </w:r>
      <w:r>
        <w:t xml:space="preserve"> https://doi.org/10.1016/j.enpol.2015.07.008</w:t>
      </w:r>
    </w:p>
    <w:p>
      <w:pPr/>
      <w:r>
        <w:rPr>
          <w:b/>
        </w:rPr>
        <w:t>Original future claim:</w:t>
      </w:r>
      <w:r>
        <w:t xml:space="preserve">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Later source:</w:t>
      </w:r>
      <w:r>
        <w:t xml:space="preserve"> Institutional pathways to TCM psychological acceptance abroad: A fuzzy Delphi evaluation of four Chinese colleges — https://doi.org/10.1016/j.actpsy.2026.106659</w:t>
      </w:r>
    </w:p>
    <w:p>
      <w:pPr/>
      <w:r>
        <w:rPr>
          <w:b/>
        </w:rPr>
        <w:t>Later source:</w:t>
      </w:r>
      <w:r>
        <w:t xml:space="preserve"> Robotic artistry: Four surprise pathways for generative artificial intelligence-assisted abductive theorization — https://doi.org/10.1177/14761270261448648</w:t>
      </w:r>
    </w:p>
    <w:p>
      <w:pPr>
        <w:pStyle w:val="SourceNote"/>
      </w:pPr>
      <w:r>
        <w:rPr>
          <w:b/>
        </w:rPr>
        <w:t>Review status:</w:t>
      </w:r>
      <w:r>
        <w:t xml:space="preserve"> unchecked — possible relationship only</w:t>
      </w:r>
    </w:p>
    <w:p>
      <w:pPr>
        <w:pStyle w:val="Heading2"/>
      </w:pPr>
      <w:r>
        <w:t>502. Claim + two later sources: Future projections of temperature and mixing regime of  European temperate lakes</w:t>
      </w:r>
    </w:p>
    <w:p>
      <w:pPr>
        <w:pStyle w:val="SourceNote"/>
      </w:pPr>
      <w:r>
        <w:rPr>
          <w:b/>
        </w:rPr>
        <w:t>Group ID:</w:t>
      </w:r>
      <w:r>
        <w:t xml:space="preserve"> group-9590a6b8bd5715794b32</w:t>
      </w:r>
    </w:p>
    <w:p>
      <w:pPr>
        <w:pStyle w:val="SourceNote"/>
      </w:pPr>
      <w:r>
        <w:rPr>
          <w:b/>
        </w:rPr>
        <w:t>Original source:</w:t>
      </w:r>
      <w:r>
        <w:t xml:space="preserve"> https://doi.org/10.5194/hess-23-1533-2019</w:t>
      </w:r>
    </w:p>
    <w:p>
      <w:pPr/>
      <w:r>
        <w:rPr>
          <w:b/>
        </w:rPr>
        <w:t>Original future claim:</w:t>
      </w:r>
      <w:r>
        <w:t xml:space="preserve">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Later source:</w:t>
      </w:r>
      <w:r>
        <w:t xml:space="preserve"> Northern Greenland transect stacked ice cores as a proxy for winter extreme events in Europe — https://doi.org/10.5194/cp-22-935-2026</w:t>
      </w:r>
    </w:p>
    <w:p>
      <w:pPr/>
      <w:r>
        <w:rPr>
          <w:b/>
        </w:rPr>
        <w:t>Later source:</w:t>
      </w:r>
      <w:r>
        <w:t xml:space="preserve"> Forced reorganisation of the North Atlantic SST–NAO relationship and implications for European winter predictability — https://doi.org/10.5194/egusphere-2026-2686</w:t>
      </w:r>
    </w:p>
    <w:p>
      <w:pPr>
        <w:pStyle w:val="SourceNote"/>
      </w:pPr>
      <w:r>
        <w:rPr>
          <w:b/>
        </w:rPr>
        <w:t>Review status:</w:t>
      </w:r>
      <w:r>
        <w:t xml:space="preserve"> unchecked — possible relationship only</w:t>
      </w:r>
    </w:p>
    <w:p>
      <w:pPr>
        <w:pStyle w:val="Heading2"/>
      </w:pPr>
      <w:r>
        <w:t>503. Claim + two later sources: Lyme Disease Risks in Europe under Multiple Uncertain Drivers of Change</w:t>
      </w:r>
    </w:p>
    <w:p>
      <w:pPr>
        <w:pStyle w:val="SourceNote"/>
      </w:pPr>
      <w:r>
        <w:rPr>
          <w:b/>
        </w:rPr>
        <w:t>Group ID:</w:t>
      </w:r>
      <w:r>
        <w:t xml:space="preserve"> group-026bfb33637288f2dd25</w:t>
      </w:r>
    </w:p>
    <w:p>
      <w:pPr>
        <w:pStyle w:val="SourceNote"/>
      </w:pPr>
      <w:r>
        <w:rPr>
          <w:b/>
        </w:rPr>
        <w:t>Original source:</w:t>
      </w:r>
      <w:r>
        <w:t xml:space="preserve"> https://doi.org/10.1289/ehp4615</w:t>
      </w:r>
    </w:p>
    <w:p>
      <w:pPr/>
      <w:r>
        <w:rPr>
          <w:b/>
        </w:rPr>
        <w:t>Original future claim:</w:t>
      </w:r>
      <w:r>
        <w:t xml:space="preserve">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Later source:</w:t>
      </w:r>
      <w:r>
        <w:t xml:space="preserve"> Machine Learning-Based Bias-Corrected Future Projections of Ozone Concentrations from a Chemistry-Climate Model — https://doi.org/10.1021/acs.est.5c11992</w:t>
      </w:r>
    </w:p>
    <w:p>
      <w:pPr/>
      <w:r>
        <w:rPr>
          <w:b/>
        </w:rPr>
        <w:t>Later source:</w:t>
      </w:r>
      <w:r>
        <w:t xml:space="preserve"> Widespread increase in frequency and duration of European wind droughts based on CMIP6 projections — https://doi.org/10.1016/j.isci.2026.115075</w:t>
      </w:r>
    </w:p>
    <w:p>
      <w:pPr>
        <w:pStyle w:val="SourceNote"/>
      </w:pPr>
      <w:r>
        <w:rPr>
          <w:b/>
        </w:rPr>
        <w:t>Review status:</w:t>
      </w:r>
      <w:r>
        <w:t xml:space="preserve"> unchecked — possible relationship only</w:t>
      </w:r>
    </w:p>
    <w:p>
      <w:pPr>
        <w:pStyle w:val="Heading2"/>
      </w:pPr>
      <w:r>
        <w:t>504. Claim + two later sources: Imagining energy futures: Sociotechnical imaginaries of the future Smart Grid in Norway</w:t>
      </w:r>
    </w:p>
    <w:p>
      <w:pPr>
        <w:pStyle w:val="SourceNote"/>
      </w:pPr>
      <w:r>
        <w:rPr>
          <w:b/>
        </w:rPr>
        <w:t>Group ID:</w:t>
      </w:r>
      <w:r>
        <w:t xml:space="preserve"> group-3821d3644338be0eb1da</w:t>
      </w:r>
    </w:p>
    <w:p>
      <w:pPr>
        <w:pStyle w:val="SourceNote"/>
      </w:pPr>
      <w:r>
        <w:rPr>
          <w:b/>
        </w:rPr>
        <w:t>Original source:</w:t>
      </w:r>
      <w:r>
        <w:t xml:space="preserve"> https://doi.org/10.1016/j.erss.2015.08.015</w:t>
      </w:r>
    </w:p>
    <w:p>
      <w:pPr/>
      <w:r>
        <w:rPr>
          <w:b/>
        </w:rPr>
        <w:t>Original future claim:</w:t>
      </w:r>
      <w:r>
        <w:t xml:space="preserve">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Later source:</w:t>
      </w:r>
      <w:r>
        <w:t xml:space="preserve"> Smart Grids and Renewable Energy Communities in Pakistan and the Middle East: Present Situation, Perspectives, Future Developments, and Comparison with EU — https://doi.org/10.3390/en19020535</w:t>
      </w:r>
    </w:p>
    <w:p>
      <w:pPr/>
      <w:r>
        <w:rPr>
          <w:b/>
        </w:rPr>
        <w:t>Later source:</w:t>
      </w:r>
      <w:r>
        <w:t xml:space="preserve"> Towards consumer-oriented smart grids : investigating consumer perspectives on the adoption of smart technologies and services — https://openalex.org/W7222853900</w:t>
      </w:r>
    </w:p>
    <w:p>
      <w:pPr>
        <w:pStyle w:val="SourceNote"/>
      </w:pPr>
      <w:r>
        <w:rPr>
          <w:b/>
        </w:rPr>
        <w:t>Review status:</w:t>
      </w:r>
      <w:r>
        <w:t xml:space="preserve"> unchecked — possible relationship only</w:t>
      </w:r>
    </w:p>
    <w:p>
      <w:pPr>
        <w:pStyle w:val="Heading2"/>
      </w:pPr>
      <w:r>
        <w:t>505. Claim + two later sources: Long-Term Projection of Renewable Energy Technology Diffusion</w:t>
      </w:r>
    </w:p>
    <w:p>
      <w:pPr>
        <w:pStyle w:val="SourceNote"/>
      </w:pPr>
      <w:r>
        <w:rPr>
          <w:b/>
        </w:rPr>
        <w:t>Group ID:</w:t>
      </w:r>
      <w:r>
        <w:t xml:space="preserve"> group-39251f8244526b30c051</w:t>
      </w:r>
    </w:p>
    <w:p>
      <w:pPr>
        <w:pStyle w:val="SourceNote"/>
      </w:pPr>
      <w:r>
        <w:rPr>
          <w:b/>
        </w:rPr>
        <w:t>Original source:</w:t>
      </w:r>
      <w:r>
        <w:t xml:space="preserve"> https://doi.org/10.3390/en12224261</w:t>
      </w:r>
    </w:p>
    <w:p>
      <w:pPr/>
      <w:r>
        <w:rPr>
          <w:b/>
        </w:rPr>
        <w:t>Original future claim:</w:t>
      </w:r>
      <w:r>
        <w:t xml:space="preserve">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Later source:</w:t>
      </w:r>
      <w:r>
        <w:t xml:space="preserve"> Care Home Staff Experiences of Implementing the Recommended Summary Plan for Emergency Care and Treatment, ‘ReSPECT’, with Residents in Their Care: Implications for Their Role and Practice — https://doi.org/10.31389/jltc.417</w:t>
      </w:r>
    </w:p>
    <w:p>
      <w:pPr/>
      <w:r>
        <w:rPr>
          <w:b/>
        </w:rPr>
        <w:t>Later source:</w:t>
      </w:r>
      <w:r>
        <w:t xml:space="preserve"> Global Energy Project for the Future of Humanity — https://doi.org/10.5281/zenodo.20648321</w:t>
      </w:r>
    </w:p>
    <w:p>
      <w:pPr>
        <w:pStyle w:val="SourceNote"/>
      </w:pPr>
      <w:r>
        <w:rPr>
          <w:b/>
        </w:rPr>
        <w:t>Review status:</w:t>
      </w:r>
      <w:r>
        <w:t xml:space="preserve"> unchecked — possible relationship only</w:t>
      </w:r>
    </w:p>
    <w:p>
      <w:pPr>
        <w:pStyle w:val="Heading2"/>
      </w:pPr>
      <w:r>
        <w:t>506. Claim + two later sources: Climate change mitigation: evidences from the European scenario</w:t>
      </w:r>
    </w:p>
    <w:p>
      <w:pPr>
        <w:pStyle w:val="SourceNote"/>
      </w:pPr>
      <w:r>
        <w:rPr>
          <w:b/>
        </w:rPr>
        <w:t>Group ID:</w:t>
      </w:r>
      <w:r>
        <w:t xml:space="preserve"> group-2d6cd5256347aaca5a4c</w:t>
      </w:r>
    </w:p>
    <w:p>
      <w:pPr>
        <w:pStyle w:val="SourceNote"/>
      </w:pPr>
      <w:r>
        <w:rPr>
          <w:b/>
        </w:rPr>
        <w:t>Original source:</w:t>
      </w:r>
      <w:r>
        <w:t xml:space="preserve"> https://doi.org/10.1504/ijmne.2018.095079</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Carbon emissions of a public engagement event: The case of Sharper European researchers' night — https://doi.org/10.1016/j.cesys.2026.100429</w:t>
      </w:r>
    </w:p>
    <w:p>
      <w:pPr>
        <w:pStyle w:val="SourceNote"/>
      </w:pPr>
      <w:r>
        <w:rPr>
          <w:b/>
        </w:rPr>
        <w:t>Review status:</w:t>
      </w:r>
      <w:r>
        <w:t xml:space="preserve"> unchecked — possible relationship only</w:t>
      </w:r>
    </w:p>
    <w:p>
      <w:pPr>
        <w:pStyle w:val="Heading2"/>
      </w:pPr>
      <w:r>
        <w:t>507. Claim + two later sources: Losses of Ammonia and Nitrate from Agriculture and Their Effect on Nitrogen Recovery in the European Union and the United States between 1900 and 2050</w:t>
      </w:r>
    </w:p>
    <w:p>
      <w:pPr>
        <w:pStyle w:val="SourceNote"/>
      </w:pPr>
      <w:r>
        <w:rPr>
          <w:b/>
        </w:rPr>
        <w:t>Group ID:</w:t>
      </w:r>
      <w:r>
        <w:t xml:space="preserve"> group-7bc7fa9f5b5949081f8a</w:t>
      </w:r>
    </w:p>
    <w:p>
      <w:pPr>
        <w:pStyle w:val="SourceNote"/>
      </w:pPr>
      <w:r>
        <w:rPr>
          <w:b/>
        </w:rPr>
        <w:t>Original source:</w:t>
      </w:r>
      <w:r>
        <w:t xml:space="preserve"> https://doi.org/10.2134/jeq2014.03.0102</w:t>
      </w:r>
    </w:p>
    <w:p>
      <w:pPr/>
      <w:r>
        <w:rPr>
          <w:b/>
        </w:rPr>
        <w:t>Original future claim:</w:t>
      </w:r>
      <w:r>
        <w:t xml:space="preserve">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Later source:</w:t>
      </w:r>
      <w:r>
        <w:t xml:space="preserve"> ESG and Its Components: Impact on Stock Returns Across Firm Sizes in Europe and the United States — https://doi.org/10.3390/risks14010004</w:t>
      </w:r>
    </w:p>
    <w:p>
      <w:pPr/>
      <w:r>
        <w:rPr>
          <w:b/>
        </w:rPr>
        <w:t>Later source:</w:t>
      </w:r>
      <w:r>
        <w:t xml:space="preserve"> United States and European Union aid cuts risk exacerbating links between aid, trade, and human and environmental crises — https://doi.org/10.1038/s44458-025-00011-9</w:t>
      </w:r>
    </w:p>
    <w:p>
      <w:pPr>
        <w:pStyle w:val="SourceNote"/>
      </w:pPr>
      <w:r>
        <w:rPr>
          <w:b/>
        </w:rPr>
        <w:t>Review status:</w:t>
      </w:r>
      <w:r>
        <w:t xml:space="preserve"> unchecked — possible relationship only</w:t>
      </w:r>
    </w:p>
    <w:p>
      <w:pPr>
        <w:pStyle w:val="Heading2"/>
      </w:pPr>
      <w:r>
        <w:t>508. Claim + two later sources: Assessing the EU’s 2030 Climate and Energy Policy Framework: Incremental change toward radical transformation?</w:t>
      </w:r>
    </w:p>
    <w:p>
      <w:pPr>
        <w:pStyle w:val="SourceNote"/>
      </w:pPr>
      <w:r>
        <w:rPr>
          <w:b/>
        </w:rPr>
        <w:t>Group ID:</w:t>
      </w:r>
      <w:r>
        <w:t xml:space="preserve"> group-0ed9092df2000bc27b86</w:t>
      </w:r>
    </w:p>
    <w:p>
      <w:pPr>
        <w:pStyle w:val="SourceNote"/>
      </w:pPr>
      <w:r>
        <w:rPr>
          <w:b/>
        </w:rPr>
        <w:t>Original source:</w:t>
      </w:r>
      <w:r>
        <w:t xml:space="preserve"> https://doi.org/10.1111/reel.12358</w:t>
      </w:r>
    </w:p>
    <w:p>
      <w:pPr/>
      <w:r>
        <w:rPr>
          <w:b/>
        </w:rPr>
        <w:t>Original future claim:</w:t>
      </w:r>
      <w:r>
        <w:t xml:space="preserve">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Later source:</w:t>
      </w:r>
      <w:r>
        <w:t xml:space="preserve"> Convergence and divergence: strategic narratives and relationality across the African Union/European Union Partnership — https://doi.org/10.1080/23745118.2026.2639999</w:t>
      </w:r>
    </w:p>
    <w:p>
      <w:pPr/>
      <w:r>
        <w:rPr>
          <w:b/>
        </w:rPr>
        <w:t>Later source:</w:t>
      </w:r>
      <w:r>
        <w:t xml:space="preserve"> Addressing Medical Deserts in Europe: Lessons From a Comparative Analysis — https://doi.org/10.1111/hex.70606</w:t>
      </w:r>
    </w:p>
    <w:p>
      <w:pPr>
        <w:pStyle w:val="SourceNote"/>
      </w:pPr>
      <w:r>
        <w:rPr>
          <w:b/>
        </w:rPr>
        <w:t>Review status:</w:t>
      </w:r>
      <w:r>
        <w:t xml:space="preserve"> unchecked — possible relationship only</w:t>
      </w:r>
    </w:p>
    <w:p>
      <w:pPr>
        <w:pStyle w:val="Heading2"/>
      </w:pPr>
      <w:r>
        <w:t>509. Claim + two later sources: Society in need of transformation. Citizen-Foresight as a method to co-create urban future</w:t>
      </w:r>
    </w:p>
    <w:p>
      <w:pPr>
        <w:pStyle w:val="SourceNote"/>
      </w:pPr>
      <w:r>
        <w:rPr>
          <w:b/>
        </w:rPr>
        <w:t>Group ID:</w:t>
      </w:r>
      <w:r>
        <w:t xml:space="preserve"> group-de7f6126da9f9bd53d11</w:t>
      </w:r>
    </w:p>
    <w:p>
      <w:pPr>
        <w:pStyle w:val="SourceNote"/>
      </w:pPr>
      <w:r>
        <w:rPr>
          <w:b/>
        </w:rPr>
        <w:t>Original source:</w:t>
      </w:r>
      <w:r>
        <w:t xml:space="preserve"> https://doi.org/10.14746/fped.2016.5.2.21</w:t>
      </w:r>
    </w:p>
    <w:p>
      <w:pPr/>
      <w:r>
        <w:rPr>
          <w:b/>
        </w:rPr>
        <w:t>Original future claim:</w:t>
      </w:r>
      <w:r>
        <w:t xml:space="preserve"> Third, we show how this can work in reality by shortly outlining two Citizen-Foresight cases with elderlies and, fourth, we derive selection-criteria for methods aiming at transforming mental images, maps and behaviour.</w:t>
      </w:r>
    </w:p>
    <w:p>
      <w:pPr/>
      <w:r>
        <w:rPr>
          <w:b/>
        </w:rPr>
        <w:t>Later source:</w:t>
      </w:r>
      <w:r>
        <w:t xml:space="preserve"> The Third Temple of Panjakent — https://doi.org/10.1163/31173802-20250105</w:t>
      </w:r>
    </w:p>
    <w:p>
      <w:pPr/>
      <w:r>
        <w:rPr>
          <w:b/>
        </w:rPr>
        <w:t>Later source:</w:t>
      </w:r>
      <w:r>
        <w:t xml:space="preserve"> The Third Path: The Fiction of Sytze Backer — https://doi.org/10.5281/zenodo.19139896</w:t>
      </w:r>
    </w:p>
    <w:p>
      <w:pPr>
        <w:pStyle w:val="SourceNote"/>
      </w:pPr>
      <w:r>
        <w:rPr>
          <w:b/>
        </w:rPr>
        <w:t>Review status:</w:t>
      </w:r>
      <w:r>
        <w:t xml:space="preserve"> unchecked — possible relationship only</w:t>
      </w:r>
    </w:p>
    <w:p>
      <w:pPr>
        <w:pStyle w:val="Heading2"/>
      </w:pPr>
      <w:r>
        <w:t>510. Claim + two later sources: Emerging smart city, transport and energy trends in urban settings: Results of a pan-European foresight exercise with 120 experts</w:t>
      </w:r>
    </w:p>
    <w:p>
      <w:pPr>
        <w:pStyle w:val="SourceNote"/>
      </w:pPr>
      <w:r>
        <w:rPr>
          <w:b/>
        </w:rPr>
        <w:t>Group ID:</w:t>
      </w:r>
      <w:r>
        <w:t xml:space="preserve"> group-a506033db80f35ecd12d</w:t>
      </w:r>
    </w:p>
    <w:p>
      <w:pPr>
        <w:pStyle w:val="SourceNote"/>
      </w:pPr>
      <w:r>
        <w:rPr>
          <w:b/>
        </w:rPr>
        <w:t>Original source:</w:t>
      </w:r>
      <w:r>
        <w:t xml:space="preserve"> https://doi.org/10.1016/j.techfore.2022.121915</w:t>
      </w:r>
    </w:p>
    <w:p>
      <w:pPr/>
      <w:r>
        <w:rPr>
          <w:b/>
        </w:rPr>
        <w:t>Original future claim:</w:t>
      </w:r>
      <w:r>
        <w:t xml:space="preserve">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Later source:</w:t>
      </w:r>
      <w:r>
        <w:t xml:space="preserve"> Link-based European road transport emissions for CAMS-REG v8.1 and a comparison to city inventories — https://doi.org/10.5194/essd-18-3959-2026</w:t>
      </w:r>
    </w:p>
    <w:p>
      <w:pPr/>
      <w:r>
        <w:rPr>
          <w:b/>
        </w:rPr>
        <w:t>Later source:</w:t>
      </w:r>
      <w:r>
        <w:t xml:space="preserve"> Fostering energy transition and transport fluidity in European port cities — https://doi.org/10.4324/9781003639589-3</w:t>
      </w:r>
    </w:p>
    <w:p>
      <w:pPr>
        <w:pStyle w:val="SourceNote"/>
      </w:pPr>
      <w:r>
        <w:rPr>
          <w:b/>
        </w:rPr>
        <w:t>Review status:</w:t>
      </w:r>
      <w:r>
        <w:t xml:space="preserve"> unchecked — possible relationship only</w:t>
      </w:r>
    </w:p>
    <w:p>
      <w:pPr>
        <w:pStyle w:val="Heading2"/>
      </w:pPr>
      <w:r>
        <w:t>511. Claim + two later sources: European carbon storage resource requirements of climate change mitigation targets</w:t>
      </w:r>
    </w:p>
    <w:p>
      <w:pPr>
        <w:pStyle w:val="SourceNote"/>
      </w:pPr>
      <w:r>
        <w:rPr>
          <w:b/>
        </w:rPr>
        <w:t>Group ID:</w:t>
      </w:r>
      <w:r>
        <w:t xml:space="preserve"> group-5c611a94b04b6e168244</w:t>
      </w:r>
    </w:p>
    <w:p>
      <w:pPr>
        <w:pStyle w:val="SourceNote"/>
      </w:pPr>
      <w:r>
        <w:rPr>
          <w:b/>
        </w:rPr>
        <w:t>Original source:</w:t>
      </w:r>
      <w:r>
        <w:t xml:space="preserve"> https://doi.org/10.1016/j.ijggc.2021.103568</w:t>
      </w:r>
    </w:p>
    <w:p>
      <w:pPr/>
      <w:r>
        <w:rPr>
          <w:b/>
        </w:rPr>
        <w:t>Original future claim:</w:t>
      </w:r>
      <w:r>
        <w:t xml:space="preserve">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Later source:</w:t>
      </w:r>
      <w:r>
        <w:t xml:space="preserve"> Operationalising the Climate Change Action Plan of the European Central Bank — https://doi.org/10.1017/9781009450423.013</w:t>
      </w:r>
    </w:p>
    <w:p>
      <w:pPr/>
      <w:r>
        <w:rPr>
          <w:b/>
        </w:rPr>
        <w:t>Later source:</w:t>
      </w:r>
      <w:r>
        <w:t xml:space="preserve"> Climate plan for municipality of Utsjoki — https://openalex.org/W7152954980</w:t>
      </w:r>
    </w:p>
    <w:p>
      <w:pPr>
        <w:pStyle w:val="SourceNote"/>
      </w:pPr>
      <w:r>
        <w:rPr>
          <w:b/>
        </w:rPr>
        <w:t>Review status:</w:t>
      </w:r>
      <w:r>
        <w:t xml:space="preserve"> unchecked — possible relationship only</w:t>
      </w:r>
    </w:p>
    <w:p>
      <w:pPr>
        <w:pStyle w:val="Heading2"/>
      </w:pPr>
      <w:r>
        <w:t>512. Claim + two later sources: Transition pathways to sustainability in greater than 2 °C climate futures of Europe</w:t>
      </w:r>
    </w:p>
    <w:p>
      <w:pPr>
        <w:pStyle w:val="SourceNote"/>
      </w:pPr>
      <w:r>
        <w:rPr>
          <w:b/>
        </w:rPr>
        <w:t>Group ID:</w:t>
      </w:r>
      <w:r>
        <w:t xml:space="preserve"> group-ddd03fb09938c83fac87</w:t>
      </w:r>
    </w:p>
    <w:p>
      <w:pPr>
        <w:pStyle w:val="SourceNote"/>
      </w:pPr>
      <w:r>
        <w:rPr>
          <w:b/>
        </w:rPr>
        <w:t>Original source:</w:t>
      </w:r>
      <w:r>
        <w:t xml:space="preserve"> https://doi.org/10.1007/s10113-019-01475-x</w:t>
      </w:r>
    </w:p>
    <w:p>
      <w:pPr/>
      <w:r>
        <w:rPr>
          <w:b/>
        </w:rPr>
        <w:t>Original future claim:</w:t>
      </w:r>
      <w:r>
        <w:t xml:space="preserve">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Later source:</w:t>
      </w:r>
      <w:r>
        <w:t xml:space="preserve"> Anti-amyloid therapies and the transformation of Alzheimer's care pathways: early lessons from the frontline — https://doi.org/10.1016/j.lanepe.2026.101609</w:t>
      </w:r>
    </w:p>
    <w:p>
      <w:pPr/>
      <w:r>
        <w:rPr>
          <w:b/>
        </w:rPr>
        <w:t>Later source:</w:t>
      </w:r>
      <w:r>
        <w:t xml:space="preserve"> Moving forward AKIS research and practice for agroecological transitions in Europe — https://doi.org/10.1080/1389224x.2026.2640918</w:t>
      </w:r>
    </w:p>
    <w:p>
      <w:pPr>
        <w:pStyle w:val="SourceNote"/>
      </w:pPr>
      <w:r>
        <w:rPr>
          <w:b/>
        </w:rPr>
        <w:t>Review status:</w:t>
      </w:r>
      <w:r>
        <w:t xml:space="preserve"> unchecked — possible relationship only</w:t>
      </w:r>
    </w:p>
    <w:p>
      <w:pPr>
        <w:pStyle w:val="Heading2"/>
      </w:pPr>
      <w:r>
        <w:t>513. Claim + two later sources: European packaging industry foresight study—identifying global drivers and driven packaging industry implications of the global megatrends</w:t>
      </w:r>
    </w:p>
    <w:p>
      <w:pPr>
        <w:pStyle w:val="SourceNote"/>
      </w:pPr>
      <w:r>
        <w:rPr>
          <w:b/>
        </w:rPr>
        <w:t>Group ID:</w:t>
      </w:r>
      <w:r>
        <w:t xml:space="preserve"> group-9ccab0c0f9cf673c94d0</w:t>
      </w:r>
    </w:p>
    <w:p>
      <w:pPr>
        <w:pStyle w:val="SourceNote"/>
      </w:pPr>
      <w:r>
        <w:rPr>
          <w:b/>
        </w:rPr>
        <w:t>Original source:</w:t>
      </w:r>
      <w:r>
        <w:t xml:space="preserve"> https://doi.org/10.1007/s40309-014-0039-4</w:t>
      </w:r>
    </w:p>
    <w:p>
      <w:pPr/>
      <w:r>
        <w:rPr>
          <w:b/>
        </w:rPr>
        <w:t>Original future claim:</w:t>
      </w:r>
      <w:r>
        <w:t xml:space="preserve">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Later source:</w:t>
      </w:r>
      <w:r>
        <w:t xml:space="preserve"> Draghi Plan and Implications for the European Legislative Framework — https://doi.org/10.24818/eblj/2025/4/1.06</w:t>
      </w:r>
    </w:p>
    <w:p>
      <w:pPr/>
      <w:r>
        <w:rPr>
          <w:b/>
        </w:rPr>
        <w:t>Later source:</w:t>
      </w:r>
      <w:r>
        <w:t xml:space="preserve"> Food waste in European Households: A Meta-Analysis of behavioural drivers and quantitative trends — https://doi.org/10.1016/j.wasman.2026.115536</w:t>
      </w:r>
    </w:p>
    <w:p>
      <w:pPr>
        <w:pStyle w:val="SourceNote"/>
      </w:pPr>
      <w:r>
        <w:rPr>
          <w:b/>
        </w:rPr>
        <w:t>Review status:</w:t>
      </w:r>
      <w:r>
        <w:t xml:space="preserve"> unchecked — possible relationship only</w:t>
      </w:r>
    </w:p>
    <w:p>
      <w:pPr>
        <w:pStyle w:val="Heading2"/>
      </w:pPr>
      <w:r>
        <w:t>514. Claim + two later sources: Trends and forecast of obesity in Finland</w:t>
      </w:r>
    </w:p>
    <w:p>
      <w:pPr>
        <w:pStyle w:val="SourceNote"/>
      </w:pPr>
      <w:r>
        <w:rPr>
          <w:b/>
        </w:rPr>
        <w:t>Group ID:</w:t>
      </w:r>
      <w:r>
        <w:t xml:space="preserve"> group-0e34b73c3471b0a2f55d</w:t>
      </w:r>
    </w:p>
    <w:p>
      <w:pPr>
        <w:pStyle w:val="SourceNote"/>
      </w:pPr>
      <w:r>
        <w:rPr>
          <w:b/>
        </w:rPr>
        <w:t>Original source:</w:t>
      </w:r>
      <w:r>
        <w:t xml:space="preserve"> https://doi.org/10.1093/eurpub/cky214.146</w:t>
      </w:r>
    </w:p>
    <w:p>
      <w:pPr/>
      <w:r>
        <w:rPr>
          <w:b/>
        </w:rPr>
        <w:t>Original future claim:</w:t>
      </w:r>
      <w:r>
        <w:t xml:space="preserve"> The increase in the prevalence of obesity is projected to continue: every third adult is expected to be obese in 2028.</w:t>
      </w:r>
    </w:p>
    <w:p>
      <w:pPr/>
      <w:r>
        <w:rPr>
          <w:b/>
        </w:rPr>
        <w:t>Later source:</w:t>
      </w:r>
      <w:r>
        <w:t xml:space="preserve"> Increasing Obesity Rates Worldwide from 1976 to 2016: The Obesity Epidemic — https://doi.org/10.3390/jcm15010394</w:t>
      </w:r>
    </w:p>
    <w:p>
      <w:pPr/>
      <w:r>
        <w:rPr>
          <w:b/>
        </w:rPr>
        <w:t>Later source:</w:t>
      </w:r>
      <w:r>
        <w:t xml:space="preserve"> The updated global burden of chronic kidney disease: one death every 20 seconds — https://doi.org/10.1093/ndt/gfag040</w:t>
      </w:r>
    </w:p>
    <w:p>
      <w:pPr>
        <w:pStyle w:val="SourceNote"/>
      </w:pPr>
      <w:r>
        <w:rPr>
          <w:b/>
        </w:rPr>
        <w:t>Review status:</w:t>
      </w:r>
      <w:r>
        <w:t xml:space="preserve"> unchecked — possible relationship only</w:t>
      </w:r>
    </w:p>
    <w:p>
      <w:pPr>
        <w:pStyle w:val="Heading2"/>
      </w:pPr>
      <w:r>
        <w:t>515. Claim + two later sources: The role of gases in the European energy transition</w:t>
      </w:r>
    </w:p>
    <w:p>
      <w:pPr>
        <w:pStyle w:val="SourceNote"/>
      </w:pPr>
      <w:r>
        <w:rPr>
          <w:b/>
        </w:rPr>
        <w:t>Group ID:</w:t>
      </w:r>
      <w:r>
        <w:t xml:space="preserve"> group-b9b39a121b46575e3fa0</w:t>
      </w:r>
    </w:p>
    <w:p>
      <w:pPr>
        <w:pStyle w:val="SourceNote"/>
      </w:pPr>
      <w:r>
        <w:rPr>
          <w:b/>
        </w:rPr>
        <w:t>Original source:</w:t>
      </w:r>
      <w:r>
        <w:t xml:space="preserve"> https://doi.org/10.32609/j.ruje.6.55105</w:t>
      </w:r>
    </w:p>
    <w:p>
      <w:pPr/>
      <w:r>
        <w:rPr>
          <w:b/>
        </w:rPr>
        <w:t>Original future claim:</w:t>
      </w:r>
      <w:r>
        <w:t xml:space="preserve">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Later source:</w:t>
      </w:r>
      <w:r>
        <w:t xml:space="preserve"> Global Pathways to Net Zero — https://doi.org/10.4018/979-8-3373-5238-1.ch014</w:t>
      </w:r>
    </w:p>
    <w:p>
      <w:pPr/>
      <w:r>
        <w:rPr>
          <w:b/>
        </w:rPr>
        <w:t>Later source:</w:t>
      </w:r>
      <w:r>
        <w:t xml:space="preserve"> Net Zero Emissions and Positive Energy Districts: A Potential Solution to Achieve the European Climate Targets — https://doi.org/10.1109/tia.2026.3661957</w:t>
      </w:r>
    </w:p>
    <w:p>
      <w:pPr>
        <w:pStyle w:val="SourceNote"/>
      </w:pPr>
      <w:r>
        <w:rPr>
          <w:b/>
        </w:rPr>
        <w:t>Review status:</w:t>
      </w:r>
      <w:r>
        <w:t xml:space="preserve"> unchecked — possible relationship only</w:t>
      </w:r>
    </w:p>
    <w:p>
      <w:pPr>
        <w:pStyle w:val="Heading2"/>
      </w:pPr>
      <w:r>
        <w:t>516. Individual research leads — not grouped</w:t>
      </w:r>
    </w:p>
    <w:p>
      <w:pPr/>
      <w:r>
        <w:t>These are single claim–paper research leads, not claim + paper A + paper B proposals. A paper in a rejected group may still be useful in a different combination.</w:t>
      </w:r>
    </w:p>
    <w:p>
      <w:pPr>
        <w:pStyle w:val="Heading2"/>
      </w:pPr>
      <w:r>
        <w:t>517. (Re)politicization of climate change mitigating projects: environmental forms and motives of the Seine Nord Europe canal</w:t>
      </w:r>
    </w:p>
    <w:p>
      <w:pPr>
        <w:pStyle w:val="SourceNote"/>
      </w:pPr>
      <w:r>
        <w:rPr>
          <w:b/>
        </w:rPr>
        <w:t>Original source (2022):</w:t>
      </w:r>
      <w:r>
        <w:t xml:space="preserve"> https://doi.org/10.1186/s40309-022-00195-6</w:t>
      </w:r>
    </w:p>
    <w:p>
      <w:pPr/>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POSSIBLE 2026:</w:t>
      </w:r>
      <w:r>
        <w:t xml:space="preserve"> Economic Agents and Economic Motives — https://doi.org/10.4324/9781003381099</w:t>
      </w:r>
    </w:p>
    <w:p>
      <w:pPr/>
      <w:r>
        <w:rPr>
          <w:b/>
        </w:rPr>
        <w:t>Shared claim-specific concepts:</w:t>
      </w:r>
      <w:r>
        <w:t xml:space="preserve"> concepts, forms, motives, alternative; EU scope not established. This is a provisional connection, not an outcome finding.</w:t>
      </w:r>
    </w:p>
    <w:p>
      <w:pPr>
        <w:pStyle w:val="SourceNote"/>
      </w:pPr>
      <w:r>
        <w:rPr>
          <w:b/>
        </w:rPr>
        <w:t>Available abstract (not full text):</w:t>
      </w:r>
      <w:r>
        <w:t xml:space="preserve"> Economics has long been shaped by the figure of the self-interested individual. Yet many forms of economic action cannot be adequately understood through the lens of self-interest alone. This book reconstructs Amartya Sen’s understanding of economic agents and economic motives, showing how concepts such as commitment, self-sacrifice, agency, responsibility, and capabilities contribute to an alternative view of economic behavior grounded in social relationships. Drawing on the history of economic thought, economic methodology, and social economics, the book situates Sen’s reflections within a broader intellectual tradition that includes Aristotle, Adam Smith, and the civil economy tradition. It argues that Sen developed an implicit but coherent conception of economic agents as socially embedded individuals whose decisions are shaped not only by personal advantage but also by ethical commitments, concern for others, and participation in collective life. The book further explores the strengths and limitations of this perspective through a dialogue with contemporary interpretations of Sen’s work and examines its relevance for understanding hybrid organizations, particularly social enterprises. By connecting Sen’s ideas to questions of reciprocity, cooperation, and social responsibility, it offers a novel framework for analysing economic action beyond the conventional model of homo </w:t>
      </w:r>
    </w:p>
    <w:p>
      <w:pPr/>
      <w:r>
        <w:rPr>
          <w:b/>
        </w:rPr>
        <w:t>POSSIBLE 2026:</w:t>
      </w:r>
      <w:r>
        <w:t xml:space="preserve"> Environmental risks and ecological integrity: the new european rules on nature restoration — https://doi.org/10.5194/egusphere-egu26-17987</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In May 1998, the area of the Sarno district in Campania was hit by an exceptional rainfall event, which caused rivers of mud, 161 deaths and numerous injuries.The tragedy was caused by various factors: the morphology of this territory, rainfall, reduced vegetation cover and the lack of an efficient network of stormwater drainage channels. The vegetation cover of the ground is essential on these slopes, because trees play a decisive role in the stability of the slopes. In those areas, in previous years, large fires had reduced the forest area and therefore stability. Furthermore, the lack of a valid warning system and risk communication contributed to the collective tragedy.The event marked a regulatory turning point in Italy, leading to the approval of the so-called "Sarno Decree," which introduced the requirement for municipalities to map areas at hydrogeological risk.The response of the law, in an attempt to stem these catastrophic events, was immediate. However, in relation to vegetation protection, in 2024 must be cited the approval of the Nature Restoration Law, an expression of the new path taken by European environmental law. Its prerequisites appear to be based on urgency, immediacy, and the need to pursue environmental objectives within a certain timeframe and monitor them over time, thus ensuring the survival of living beings in an intact environment.Indeed, it seems </w:t>
      </w:r>
    </w:p>
    <w:p>
      <w:pPr/>
      <w:r>
        <w:rPr>
          <w:b/>
        </w:rPr>
        <w:t>POSSIBLE 2026:</w:t>
      </w:r>
      <w:r>
        <w:t xml:space="preserve"> War and the Good Life: Reconstructing Conflict through Plato and Hegel — https://doi.org/10.11575/prism/52029</w:t>
      </w:r>
    </w:p>
    <w:p>
      <w:pPr/>
      <w:r>
        <w:rPr>
          <w:b/>
        </w:rPr>
        <w:t>Shared claim-specific concepts:</w:t>
      </w:r>
      <w:r>
        <w:t xml:space="preserve"> concepts, them, three; EU scope not established. This is a provisional connection, not an outcome finding.</w:t>
      </w:r>
    </w:p>
    <w:p>
      <w:pPr>
        <w:pStyle w:val="SourceNote"/>
      </w:pPr>
      <w:r>
        <w:rPr>
          <w:b/>
        </w:rPr>
        <w:t>Available abstract (not full text):</w:t>
      </w:r>
      <w:r>
        <w:t xml:space="preserve"> In this thesis, I examine the broad question of war’s place in the good life. To answer this question, I first analyze the existing literature on war, including scholarship in International Relations (IR) and conflict studies, psychological studies and personal memoirs, the strategic classics of Sun Tzu, Thucydides, and Carl von Clausewitz, and existing philosophical works on war. I argue that each of these traditions implicitly raises the question of war’s relationship to the good life but ultimately fall short of developing a systematic account of their intrinsic relationship. I therefore turn to the political philosophies of Plato and Hegel, both of whom theorize the concepts of war, the individual, the state, and the good life, as well as the systematic relationship among them. This thesis makes three principal contributions. First, in contrast to the conflict studies tradition, it offers a new ethical framework for conceptualizing war beyond the state. Second, it demonstrates the importance of individual ethics within the broader field of international affairs. By emphasizing virtue and freedom, it provides a philosophical foundation for rejecting the rational reduction of human lives to cost-benefit calculations. Third, it rehabilitates the political philosophies of Plato and Hegel by demonstrating their continued relevance for understanding the ethical and political chal</w:t>
      </w:r>
    </w:p>
    <w:p>
      <w:pPr/>
      <w:r>
        <w:rPr>
          <w:b/>
        </w:rPr>
        <w:t>POSSIBLE 2026:</w:t>
      </w:r>
      <w:r>
        <w:t xml:space="preserve"> THE RELATIONSHIP BETWEEN THE ENVIRONMENTAL COMPONENT OF ESG REPORTING AND THE FINANCIAL PERFORMANCE OF EUROPEAN COMPANIES — https://doi.org/10.54318/czf.2026.iv.016</w:t>
      </w:r>
    </w:p>
    <w:p>
      <w:pPr/>
      <w:r>
        <w:rPr>
          <w:b/>
        </w:rPr>
        <w:t>Shared claim-specific concepts:</w:t>
      </w:r>
      <w:r>
        <w:t xml:space="preserve"> based, environmental, project; EU scope visible. This is a provisional connection, not an outcome finding.</w:t>
      </w:r>
    </w:p>
    <w:p>
      <w:pPr>
        <w:pStyle w:val="SourceNote"/>
      </w:pPr>
      <w:r>
        <w:rPr>
          <w:b/>
        </w:rPr>
        <w:t>Available abstract (not full text):</w:t>
      </w:r>
      <w:r>
        <w:t xml:space="preserve"> Changes in the business environment and growing stakeholder expectations are directing companies’ attention toward the responsible management of the impacts of their operations on the environment, society, and corporate governance. These aspects of business operations are integrated through the ESG concept, while ESG reporting represents an important mechanism for the transparent presentation of the aforementioned aspects of business operations and a basis for assessing their relationship with companies’ financial performance. Based on the foregoing, the main objective of this paper is to determine whether there is a relationship between the E component of ESG reporting, expressed through the environmental component index calculated as the ratio of the total number of disclosed environmental indicators to the total number of environmental reporting indicators defined in accordance with the GRI Standards, and companies’ financial performance, expressed by the return on assets and return on equity. The research methodology is based, on the one hand, on a qualitative approach, which was applied in the analysis of relevant literature and the formulation of research hypotheses, and, on the other hand, on statistical analysis using descriptive statistics and Spearman’s correlation coefficient. The research included companies headquartered in fifteen European countries that received t</w:t>
      </w:r>
    </w:p>
    <w:p>
      <w:pPr/>
      <w:r>
        <w:rPr>
          <w:b/>
        </w:rPr>
        <w:t>POSSIBLE 2026:</w:t>
      </w:r>
      <w:r>
        <w:t xml:space="preserve"> The Earth Cannot Be Saved by Management Alone: The Omega Heat Dome and the Ontological Limits of European Environmentalism The Nominalization of European Environmentalism and the Transition toward an E = ΦR Climate Ethics — https://doi.org/10.5281/zenodo.21097288</w:t>
      </w:r>
    </w:p>
    <w:p>
      <w:pPr/>
      <w:r>
        <w:rPr>
          <w:b/>
        </w:rPr>
        <w:t>Shared claim-specific concepts:</w:t>
      </w:r>
      <w:r>
        <w:t xml:space="preserve"> concepts, environmental, discourse, them; EU scope visible. This is a provisional connection, not an outcome finding.</w:t>
      </w:r>
    </w:p>
    <w:p>
      <w:pPr>
        <w:pStyle w:val="SourceNote"/>
      </w:pPr>
      <w:r>
        <w:rPr>
          <w:b/>
        </w:rPr>
        <w:t>Available abstract (not full text):</w:t>
      </w:r>
      <w:r>
        <w:t xml:space="preserve"> Central Claim in One Sentence The central claim of this paper is that the limit of European environmentalism lies not in its attempt to protect the Earth, but in its crystallization of that ideal into nominal objects such as CO2, decarbonization, renewables, EVs, energy efficiency, and sustainability, thereby losing contact with the dynamic generative resonance of the Earth-system, including human life. Description This paper develops an ontological critique of European environmentalism through the case of the Omega Heat Dome and heatwave-related deaths in Europe. Rather than rejecting environmentalism, decarbonization, renewable energy, energy efficiency, or sustainability, the paper argues that these concepts become problematic when they are treated as final ethical nouns rather than provisional structures serving the living relations of the Earth-system. Drawing on Universal Phase Crystallization Theory, the paper distinguishes between an E = S ontology, in which existence is reduced to objects, metrics, systems, and manageable structures, and an E = ΦR ontology, in which existence is understood as the dynamic movement of generative possibility and relational resonance. The paper argues that heatwave deaths reveal more than meteorological abnormality. They expose failures in the relations among bodies, homes, cities, cooling technologies, labour routines, care networks, publ</w:t>
      </w:r>
    </w:p>
    <w:p>
      <w:pPr/>
      <w:r>
        <w:rPr>
          <w:b/>
        </w:rPr>
        <w:t>POSSIBLE 2026:</w:t>
      </w:r>
      <w:r>
        <w:t xml:space="preserve"> Sustainable environmentally-oriented development of the Ukrainian Carpathians as a key direction of the european integration progress of post-war Ukraine — https://doi.org/10.26565/1727-6667-2026-1-09</w:t>
      </w:r>
    </w:p>
    <w:p>
      <w:pPr/>
      <w:r>
        <w:rPr>
          <w:b/>
        </w:rPr>
        <w:t>Shared claim-specific concepts:</w:t>
      </w:r>
      <w:r>
        <w:t xml:space="preserve"> based, environmental, territorial; EU scope visible. This is a provisional connection, not an outcome finding.</w:t>
      </w:r>
    </w:p>
    <w:p>
      <w:pPr>
        <w:pStyle w:val="SourceNote"/>
      </w:pPr>
      <w:r>
        <w:rPr>
          <w:b/>
        </w:rPr>
        <w:t>Available abstract (not full text):</w:t>
      </w:r>
      <w:r>
        <w:t xml:space="preserve"> The article presents the results of a scientific and applied analysis of the problems and prospects for sustainable environmentally-oriented development of territorial communities in the Ukrainian Carpathians in the context of decentralization, European integration, and post-war recovery. The research is conducted within the framework of deepening decentralization processes, implementing the European integration course, and addressing the needs of post-war reconstruction. The aim of the work is to generalize the current state of mountain communities, identify key constraints on their socio-economic and environmental capacity, and substantiate directions for improving local development policies through the implementation of European approaches to supporting mountain areas. It is argued that the local government reform has expanded the administrative and financial capacities of communities in the Carpathian region; however, their practical implementation is complicated by a shortage of qualified personnel, misalignment of priorities between the population and authorities, demographic and migration shifts, as well as the escalation of environmental risks exacerbated by military actions. The necessity of integrating environmental constraints and territorial potential into strategic planning processes is substantiated. This involves combining infrastructure restoration with the deve</w:t>
      </w:r>
    </w:p>
    <w:p>
      <w:pPr/>
      <w:r>
        <w:rPr>
          <w:b/>
        </w:rPr>
        <w:t>POSSIBLE 2026:</w:t>
      </w:r>
      <w:r>
        <w:t xml:space="preserve"> Environmental inspection in Europe: comparative analysis and methodological proposal based on the spanish case — https://doi.org/10.1007/s41207-026-01093-0</w:t>
      </w:r>
    </w:p>
    <w:p>
      <w:pPr/>
      <w:r>
        <w:rPr>
          <w:b/>
        </w:rPr>
        <w:t>Shared claim-specific concepts:</w:t>
      </w:r>
      <w:r>
        <w:t xml:space="preserve"> based, environmental, three, show; EU scope visible. This is a provisional connection, not an outcome finding.</w:t>
      </w:r>
    </w:p>
    <w:p>
      <w:pPr>
        <w:pStyle w:val="SourceNote"/>
      </w:pPr>
      <w:r>
        <w:rPr>
          <w:b/>
        </w:rPr>
        <w:t>Available abstract (not full text):</w:t>
      </w:r>
      <w:r>
        <w:t xml:space="preserve"> Abstract This study comparatively analyses the environmental inspection systems implemented in different European countries with the aim of contextualising and strengthening the evaluation of the model developed in Spain, taking the case of the Valencian Community as a reference. Based on an applied, comparative and mixed approach, the research is structured in three phases: a documentary and regulatory review of the European and regional legal framework; a technical and comparative analysis of environmental inspection programmes, considering their degree of compliance, prioritisation by risk and transparency; and the design of an improved methodological proposal aimed at optimising the planning and execution of inspections. The results show similarities with the most advanced European models, such as those in the Netherlands and Denmark, and highlight the need to strengthen institutional coordination, transparency and the evaluation of results in environmental management. The proposed methodology allows for the rationalisation of resources, the prioritisation of interventions according to risk and the establishment of mechanisms for continuous improvement, contributing to more effective and adaptive environmental governance. Overall, the study provides a practical and transferable tool for moving towards more strategic and integrated environmental oversight that is consistent </w:t>
      </w:r>
    </w:p>
    <w:p>
      <w:pPr/>
      <w:r>
        <w:rPr>
          <w:b/>
        </w:rPr>
        <w:t>POSSIBLE 2026:</w:t>
      </w:r>
      <w:r>
        <w:t xml:space="preserve"> Science-based targets for material use: A systematic review of analytical concepts and approaches in Europe — https://doi.org/10.1016/j.resconrec.2026.109111</w:t>
      </w:r>
    </w:p>
    <w:p>
      <w:pPr/>
      <w:r>
        <w:rPr>
          <w:b/>
        </w:rPr>
        <w:t>Shared claim-specific concepts:</w:t>
      </w:r>
      <w:r>
        <w:t xml:space="preserve"> based, concepts, environmental, three; EU scope visible. This is a provisional connection, not an outcome finding.</w:t>
      </w:r>
    </w:p>
    <w:p>
      <w:pPr>
        <w:pStyle w:val="SourceNote"/>
      </w:pPr>
      <w:r>
        <w:rPr>
          <w:b/>
        </w:rPr>
        <w:t>Available abstract (not full text):</w:t>
      </w:r>
      <w:r>
        <w:t xml:space="preserve"> Science-based targets (SBTs) are increasingly proposed to align raw material use with environmental and societal goals, yet no consensus exists on what constitutes sustainable levels of material use. This paper reviews the scientific literature on material-use targets (2000–2025) and combines it with a dedicated review of resource-use and circular-economy targets in European policy documents. Three main approaches to setting material targets are identified: retrospective boundaries based on historically “safe” extraction levels; materials availability focusing on the accessibility and availability of resources; and impact-based approaches that derive targets from planetary boundaries or from the material requirements of sustainability scenarios. Impact-based approaches have become most prominent, supported by advances in scenario analysis, while retrospective boundaries remain influential in policy debates. The European policy inventory reveals widespread but highly heterogeneous material and wider resource targets. Most targets are strategic and non-binding, centered on economy-wide indicators (e.g., material footprints or circular use rates), with fewer sectoral or sub-national targets and substantial variation in baselines, reference years, and accounting perspectives. We find that the scientific basis behind these targets is often not clearly articulated. We argue that SBTs</w:t>
      </w:r>
    </w:p>
    <w:p>
      <w:pPr/>
      <w:r>
        <w:rPr>
          <w:b/>
        </w:rPr>
        <w:t>POSSIBLE 2026:</w:t>
      </w:r>
      <w:r>
        <w:t xml:space="preserve"> Leisure-time physical activity motives and gains for individuals with spinal cord injury: A qualitative study — https://doi.org/10.1016/j.ssaho.2026.103380</w:t>
      </w:r>
    </w:p>
    <w:p>
      <w:pPr/>
      <w:r>
        <w:rPr>
          <w:b/>
        </w:rPr>
        <w:t>Shared claim-specific concepts:</w:t>
      </w:r>
      <w:r>
        <w:t xml:space="preserve"> motives, them, three; EU scope not established. This is a provisional connection, not an outcome finding.</w:t>
      </w:r>
    </w:p>
    <w:p>
      <w:pPr>
        <w:pStyle w:val="SourceNote"/>
      </w:pPr>
      <w:r>
        <w:rPr>
          <w:b/>
        </w:rPr>
        <w:t>Available abstract (not full text):</w:t>
      </w:r>
      <w:r>
        <w:t xml:space="preserve"> Objective To explore the motives for, and perceived gains from, leisure-time physical activity (LTPA) participation in people with spinal cord injury (SCI). Methods This qualitative study consisted of six focus groups, each comprising six individuals. We used a phenomenological theoretical approach to describe the experiences of those living with an SCI when engaging in LTPA. Purposive participant selection was used to ensure participants were proportionately represented from the broader Australian population with an SCI. Data was analysed using Reflexive Thematic Analysis. Results A total of nine themes were identified in the analysis. Four themes pertained to motives, three to perceived gains, and two to both motives and perceived gains. Whilst health promotion and prevention of injury and illness were frequently reported as both motives for and gains from LTPA, other psychosocial aspects had a significant influence over LTPA behaviour for people with SCI. These included positive, preventive physical changes, a sense of autonomy and reduced burden on those around them, rebuilding identity, and a sense of belonging and inclusion. Conclusions The motives for, and perceived gains of, participation in LTPA among people with SCI encompassed multiple physical and psychosocial health domains, extending beyond the commonly assumed physical health improvements. Service providers shoul</w:t>
      </w:r>
    </w:p>
    <w:p>
      <w:pPr/>
      <w:r>
        <w:rPr>
          <w:b/>
        </w:rPr>
        <w:t>POSSIBLE 2026:</w:t>
      </w:r>
      <w:r>
        <w:t xml:space="preserve"> Ambient air quality assessment in the Kremenchuk Territorial Community based on the environmental risk concept — https://doi.org/10.63341/esbur/1.2026.101</w:t>
      </w:r>
    </w:p>
    <w:p>
      <w:pPr/>
      <w:r>
        <w:rPr>
          <w:b/>
        </w:rPr>
        <w:t>Shared claim-specific concepts:</w:t>
      </w:r>
      <w:r>
        <w:t xml:space="preserve"> based, environmental, territorial; EU scope not established. This is a provisional connection, not an outcome finding.</w:t>
      </w:r>
    </w:p>
    <w:p>
      <w:pPr>
        <w:pStyle w:val="SourceNote"/>
      </w:pPr>
      <w:r>
        <w:rPr>
          <w:b/>
        </w:rPr>
        <w:t>Available abstract (not full text):</w:t>
      </w:r>
      <w:r>
        <w:t xml:space="preserve"> Under conditions of urban transformation and increasing anthropogenic pressure, the assessment of ambient air quality and associated environmental risks is becoming increasingly important. A significant role in the formation of environmental hazards is played by short-term peaks in pollutant concentrations, which are often not taken into account by conventional monitoring methods. The aim of this study was to substantiate an approach to the operational assessment of environmental hazard states of ambient air at the territorial community level, taking into account natural and anthropogenic factors. The study employed methods of logical analysis of scientific research findings, system analysis of factors influencing air quality formation, elements of mathematical modelling of pollutant dispersion processes, and a risk-oriented approach to assessing the impact of pollution on the population. The concept of natural-anthropogenic fluctuations in ambient air quality within a territorial community was substantiated, taking into account natural factors, emergency and war-related events, and anthropogenic hazard sources. An Increased Environmental Risk Index (IER) was introduced as an analytical indicator for assessing the short-term effects of air pollution on public health. An integrated model for environmental assessment was proposed, combining mathematical modelling (Gaussian, jet, </w:t>
      </w:r>
    </w:p>
    <w:p>
      <w:pPr/>
      <w:r>
        <w:rPr>
          <w:b/>
        </w:rPr>
        <w:t>POSSIBLE 2025:</w:t>
      </w:r>
      <w:r>
        <w:t xml:space="preserve"> The History of Environmental Resource Management in Europe: Sustainable Practices Through Time — https://openalex.org/W7222858373</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pPr/>
      <w:r>
        <w:rPr>
          <w:b/>
        </w:rPr>
        <w:t>POSSIBLE 2025:</w:t>
      </w:r>
      <w:r>
        <w:t xml:space="preserve"> Environmental education on the European Green Deal. Implications and promotion of the concept through different channels in Romania — https://doi.org/10.33727/jriss.2025.1.20:193-203</w:t>
      </w:r>
    </w:p>
    <w:p>
      <w:pPr/>
      <w:r>
        <w:rPr>
          <w:b/>
        </w:rPr>
        <w:t>Shared claim-specific concepts:</w:t>
      </w:r>
      <w:r>
        <w:t xml:space="preserve"> based, environmental, show; EU scope visible. This is a provisional connection, not an outcome finding.</w:t>
      </w:r>
    </w:p>
    <w:p>
      <w:pPr>
        <w:pStyle w:val="SourceNote"/>
      </w:pPr>
      <w:r>
        <w:rPr>
          <w:b/>
        </w:rPr>
        <w:t>Available abstract (not full text):</w:t>
      </w:r>
      <w:r>
        <w:t xml:space="preserve">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pPr>
        <w:pStyle w:val="Heading2"/>
      </w:pPr>
      <w:r>
        <w:t>518. A new approach on renewable energy as a support for regional economic development among the European Union</w:t>
      </w:r>
    </w:p>
    <w:p>
      <w:pPr>
        <w:pStyle w:val="SourceNote"/>
      </w:pPr>
      <w:r>
        <w:rPr>
          <w:b/>
        </w:rPr>
        <w:t>Original source (2022):</w:t>
      </w:r>
      <w:r>
        <w:t xml:space="preserve"> https://doi.org/10.1016/j.techfore.2022.121998</w:t>
      </w:r>
    </w:p>
    <w:p>
      <w:pPr/>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POSSIBLE 2026:</w:t>
      </w:r>
      <w:r>
        <w:t xml:space="preserve"> Architecting IT governance: A value-alignment model for IT-enabled public innovation — https://doi.org/10.59490/6a91ad516096c5874dfb3702</w:t>
      </w:r>
    </w:p>
    <w:p>
      <w:pPr/>
      <w:r>
        <w:rPr>
          <w:b/>
        </w:rPr>
        <w:t>Shared claim-specific concepts:</w:t>
      </w:r>
      <w:r>
        <w:t xml:space="preserve"> creation, sustainability, literature, review; EU scope visible. This is a provisional connection, not an outcome finding.</w:t>
      </w:r>
    </w:p>
    <w:p>
      <w:pPr>
        <w:pStyle w:val="SourceNote"/>
      </w:pPr>
      <w:r>
        <w:rPr>
          <w:b/>
        </w:rPr>
        <w:t>Available abstract (not full text):</w:t>
      </w:r>
      <w:r>
        <w:t xml:space="preserve">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pPr/>
      <w:r>
        <w:rPr>
          <w:b/>
        </w:rPr>
        <w:t>POSSIBLE 2026:</w:t>
      </w:r>
      <w:r>
        <w:t xml:space="preserve"> Environmental performance and institutions quality in Europe: A Bayesian model averaging approach — https://doi.org/10.1016/j.najef.2026.102591</w:t>
      </w:r>
    </w:p>
    <w:p>
      <w:pPr/>
      <w:r>
        <w:rPr>
          <w:b/>
        </w:rPr>
        <w:t>Shared claim-specific concepts:</w:t>
      </w:r>
      <w:r>
        <w:t xml:space="preserve"> creation, energy, used; EU scope visible. This is a provisional connection, not an outcome finding.</w:t>
      </w:r>
    </w:p>
    <w:p>
      <w:pPr>
        <w:pStyle w:val="SourceNote"/>
      </w:pPr>
      <w:r>
        <w:rPr>
          <w:b/>
        </w:rPr>
        <w:t>Available abstract (not full text):</w:t>
      </w:r>
      <w:r>
        <w:t xml:space="preserve">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pPr/>
      <w:r>
        <w:rPr>
          <w:b/>
        </w:rPr>
        <w:t>POSSIBLE 2026:</w:t>
      </w:r>
      <w:r>
        <w:t xml:space="preserve"> The Human Agency Deficit in AI ‐Enabled Knowledge Creation — https://doi.org/10.1002/kpm.70165</w:t>
      </w:r>
    </w:p>
    <w:p>
      <w:pPr/>
      <w:r>
        <w:rPr>
          <w:b/>
        </w:rPr>
        <w:t>Shared claim-specific concepts:</w:t>
      </w:r>
      <w:r>
        <w:t xml:space="preserve"> creation, literature, review; EU scope not established. This is a provisional connection, not an outcome finding.</w:t>
      </w:r>
    </w:p>
    <w:p>
      <w:pPr>
        <w:pStyle w:val="SourceNote"/>
      </w:pPr>
      <w:r>
        <w:rPr>
          <w:b/>
        </w:rPr>
        <w:t>Available abstract (not full text):</w:t>
      </w:r>
      <w:r>
        <w:t xml:space="preserve">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sustainability, profile, literature;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Maturity Model for Cognitive Twin-Enabled Sustainable Supply Chains — https://doi.org/10.3390/su18073635</w:t>
      </w:r>
    </w:p>
    <w:p>
      <w:pPr/>
      <w:r>
        <w:rPr>
          <w:b/>
        </w:rPr>
        <w:t>Shared claim-specific concepts:</w:t>
      </w:r>
      <w:r>
        <w:t xml:space="preserve"> sustainability, literature, review; EU scope not established. This is a provisional connection, not an outcome finding.</w:t>
      </w:r>
    </w:p>
    <w:p>
      <w:pPr>
        <w:pStyle w:val="SourceNote"/>
      </w:pPr>
      <w:r>
        <w:rPr>
          <w:b/>
        </w:rPr>
        <w:t>Available abstract (not full text):</w:t>
      </w:r>
      <w:r>
        <w:t xml:space="preserve"> The growing digitalization of supply chains and increasing sustainability requirements create the need for structured tools that assess organizational readiness for Cognitive Twin (CT) adoption. However, existing digital twin and sustainability maturity models rarely integrate technological architecture, governance, and circularity within a unified framework. To address this gap, the study proposes the Supply Chain Twin Sustainability–Cognitive Maturity Model (SCT-SCMM), a novel framework that explicitly integrates governance structures, sustainability objectives, and a hierarchical system architecture into the assessment of Cognitive Twin readiness. Unlike existing models, the proposed framework captures the interdependencies between technological capabilities, decision intelligence, and governance mechanisms across multiple system layers, providing a systemic perspective on sustainable digital transformation. The framework structures organizational readiness through five interdependent layers: Physical, Control, Communication, Decision-making, and Governance, and defines staged maturity levels reflecting progression toward sustainable cognitive autonomy. This layered architecture enables the simultaneous evaluation of operational automation, digital intelligence, and institutional governance as co-evolving dimensions of Cognitive Twin adoption. The model was developed through</w:t>
      </w:r>
    </w:p>
    <w:p>
      <w:pPr/>
      <w:r>
        <w:rPr>
          <w:b/>
        </w:rPr>
        <w:t>POSSIBLE 2026:</w:t>
      </w:r>
      <w:r>
        <w:t xml:space="preserve"> Measuring Governance-Enabled Sustainability in Central and Eastern Europe: Development of a Corporate Governance–Sustainability Index (CGSI–CEE) — https://doi.org/10.3390/su18073350</w:t>
      </w:r>
    </w:p>
    <w:p>
      <w:pPr/>
      <w:r>
        <w:rPr>
          <w:b/>
        </w:rPr>
        <w:t>Shared claim-specific concepts:</w:t>
      </w:r>
      <w:r>
        <w:t xml:space="preserve"> enable, creation, sustainability; EU scope visible. This is a provisional connection, not an outcome finding.</w:t>
      </w:r>
    </w:p>
    <w:p>
      <w:pPr>
        <w:pStyle w:val="SourceNote"/>
      </w:pPr>
      <w:r>
        <w:rPr>
          <w:b/>
        </w:rPr>
        <w:t>Available abstract (not full text):</w:t>
      </w:r>
      <w:r>
        <w:t xml:space="preserve"> Corporate governance is increasingly recognised as a key mechanism supporting sustainability transparency, accountability, and long-term value creation. While prior research has examined governance–performance relationships and sustainability outcomes using proprietary ESG ratings, evidence on how governance structures enable sustainability disclosure remains limited, particularly in Central and Eastern Europe (CEE). This gap reflects heterogeneous institutional environments and uneven ESG data availability in emerging European markets. To address this limitation, this study develops and applies a Corporate Governance–Sustainability Index for Central and Eastern Europe (CGSI–CEE). The index integrates core governance mechanisms (such as board effectiveness, leadership structure and ownership discipline) with sustainability transparency indicators, namely ESG report publication and CO2 emissions disclosure. The CGSI–CEE is constructed using publicly available firm-level data from CEE blue-chip companies over the 2018–2024 period and follows a transparent, theory-driven weighting scheme. The results reveal substantial heterogeneity in governance-enabled sustainability capacity across firms, sectors, and countries. Bivariate results indicate a negative association with short-term accounting profitability and a positive association with market valuation; however, these relationship</w:t>
      </w:r>
    </w:p>
    <w:p>
      <w:pPr/>
      <w:r>
        <w:rPr>
          <w:b/>
        </w:rPr>
        <w:t>POSSIBLE 2026:</w:t>
      </w:r>
      <w:r>
        <w:t xml:space="preserve"> Sustainable cultural digitization enabled by eco efficient deep learning models — https://doi.org/10.1038/s41598-026-66861-y</w:t>
      </w:r>
    </w:p>
    <w:p>
      <w:pPr/>
      <w:r>
        <w:rPr>
          <w:b/>
        </w:rPr>
        <w:t>Shared claim-specific concepts:</w:t>
      </w:r>
      <w:r>
        <w:t xml:space="preserve"> energy, methods, used; EU scope not established. This is a provisional connection, not an outcome finding.</w:t>
      </w:r>
    </w:p>
    <w:p>
      <w:pPr>
        <w:pStyle w:val="SourceNote"/>
      </w:pPr>
      <w:r>
        <w:rPr>
          <w:b/>
        </w:rPr>
        <w:t>Available abstract (not full text):</w:t>
      </w:r>
      <w:r>
        <w:t xml:space="preserve"> This study presents an Eco-Efficient Deep Learning (EEDL) framework for cultural digitization that integrates visual data and contextual cultural metadata within a lightweight multimodal architecture. The framework is designed to balance classification performance and computational efficiency in resource-constrained cultural heritage environments. A multimodal dataset comprising 3,000 cultural heritage records was used to evaluate the proposed approach across six artifact classes. Experimental results demonstrated that the EEDL framework achieved the highest classification performance among all evaluated models, obtaining an accuracy of 0.918 and an F1-score of 0.912 while reducing parameter count, computational complexity, inference latency, and energy consumption relative to the uncompressed baseline. Comparative experiments with MobileNetV3, EfficientNet-Lite, MobileViT, TinyViT, and reproduced state-of-the-art methods confirmed the effectiveness of the proposed framework. Ablation and multimodal fusion analyses further demonstrated that contextual metadata contributes substantially to classification performance and reduces ambiguity among visually similar artifact categories. Statistical validation across repeated runs confirmed the robustness and reproducibility of the reported results. The findings suggest that combining multimodal metadata integration with eco-efficient </w:t>
      </w:r>
    </w:p>
    <w:p>
      <w:pPr/>
      <w:r>
        <w:rPr>
          <w:b/>
        </w:rPr>
        <w:t>POSSIBLE 2026:</w:t>
      </w:r>
      <w:r>
        <w:t xml:space="preserve"> Sustained Effectiveness of Lanadelumab in Preventing Hereditary Angioedema Attacks: The ENABLE Study — https://doi.org/10.1002/clt2.70190</w:t>
      </w:r>
    </w:p>
    <w:p>
      <w:pPr/>
      <w:r>
        <w:rPr>
          <w:b/>
        </w:rPr>
        <w:t>Shared claim-specific concepts:</w:t>
      </w:r>
      <w:r>
        <w:t xml:space="preserve"> enable, profile, methods; EU scope visible. This is a provisional connection, not an outcome finding.</w:t>
      </w:r>
    </w:p>
    <w:p>
      <w:pPr>
        <w:pStyle w:val="SourceNote"/>
      </w:pPr>
      <w:r>
        <w:rPr>
          <w:b/>
        </w:rPr>
        <w:t>Available abstract (not full text):</w:t>
      </w:r>
      <w:r>
        <w:t xml:space="preserve"> BACKGROUND: Lanadelumab has been approved for hereditary angioedema (HAE) long-term prophylaxis since 2018. The Phase 4, prospective ENABLE Study (NCT04130191) evaluated the long-term effectiveness and safety of lanadelumab in clinical practice across Europe and the Middle East. METHODS: Patients with HAE aged ≥ 12 years initiating lanadelumab treatment (300 mg every 2 weeks) per approved product labeling were recruited from Austria, Germany, Israel, Italy, Kuwait, Spain, and Switzerland and followed for up to 36 months (± 30 days). The primary objective was to evaluate lanadelumab effectiveness for HAE attack prevention. Safety and patient-reported health-related quality of life (HRQoL) were also evaluated. RESULTS: Outcomes were analyzed in 138 patients (mean [range] age: 41.0 [14-79] years; 62.3% female; 92.0% HAE-C1INH-Type1), of whom &gt; 60% extended dosing intervals by Month 12. Over a mean ± SD treatment duration of 28.6 ± 9.8 months, mean ± SD patient-reported HAE attack rate decreased from 3.88 ± 3.43 attacks/month pre-lanadelumab to 0.30 ± 0.53 attacks/month (mean decrease, 84% [median 96%]). The incidence-rate ratio was 0.07 (95% CI: 0.06-0.10), reflecting a 93% reduction from modeled pre-lanadelumab rates. Overall, 95/138 patients reported treatment-emergent adverse events (TEAEs); most were unrelated to lanadelumab (82.3%). Of the 17.7% of TEAEs considered treatment-</w:t>
      </w:r>
    </w:p>
    <w:p>
      <w:pPr/>
      <w:r>
        <w:rPr>
          <w:b/>
        </w:rPr>
        <w:t>POSSIBLE 2026:</w:t>
      </w:r>
      <w:r>
        <w:t xml:space="preserve"> Urban sustainability through multiple pathways: insights from the European Green Leaf Award winning cities — https://doi.org/10.1007/s43762-026-00282-5</w:t>
      </w:r>
    </w:p>
    <w:p>
      <w:pPr/>
      <w:r>
        <w:rPr>
          <w:b/>
        </w:rPr>
        <w:t>Shared claim-specific concepts:</w:t>
      </w:r>
      <w:r>
        <w:t xml:space="preserve"> enable, sustainability, transition, represented; EU scope visible. This is a provisional connection, not an outcome finding.</w:t>
      </w:r>
    </w:p>
    <w:p>
      <w:pPr>
        <w:pStyle w:val="SourceNote"/>
      </w:pPr>
      <w:r>
        <w:rPr>
          <w:b/>
        </w:rPr>
        <w:t>Available abstract (not full text):</w:t>
      </w:r>
      <w:r>
        <w:t xml:space="preserve"> Abstract Urban sustainability has become a central challenge for cities, requiring rigorous frameworks to measure environmental performance and support evidence-based policy. Indicator-based benchmarking systems enable comparison and learning. At the European Union level, and specifically at the municipal level, these are most commonly represented by the European Green Leaf Award (EGLA) and the European Green Capital Award (EGCA), which play an increasing role in shaping urban sustainability agendas. The paper examines environmental characteristics of the 18 EGLA-winning cities between 2015 and 2026 and is guided by two research questions: (1) What patterns of environmental characteristics can be identified among EGLA-winning cities? (2) Do these cities converge toward a common environmental model, or do they exhibit multiple sustainability pathways? The study addresses these questions by using a multivariate, data-driven approach: environmental indicators across key domains are examined through Multiple Factor Analysis (MFA) and k-means clustering to identify patterns of similarity. The results indicate substantial differences in sustainability performance and heterogeneity: EGLA-winning cities do not converge toward a single model but exhibit distinct environmental profiles reflecting different policy priorities and local conditions. The results may provide information for mu</w:t>
      </w:r>
    </w:p>
    <w:p>
      <w:pPr/>
      <w:r>
        <w:rPr>
          <w:b/>
        </w:rPr>
        <w:t>POSSIBLE 2026:</w:t>
      </w:r>
      <w:r>
        <w:t xml:space="preserve"> GREEN ENTREPRENEURSHIP AND THE CIRCULAR ECONOMY IN THE EUROPEAN UNION: INNOVATIVE MODELS FOR THE AGRI-FOOD SECTOR — https://doi.org/10.24818/cike2025.72</w:t>
      </w:r>
    </w:p>
    <w:p>
      <w:pPr/>
      <w:r>
        <w:rPr>
          <w:b/>
        </w:rPr>
        <w:t>Shared claim-specific concepts:</w:t>
      </w:r>
      <w:r>
        <w:t xml:space="preserve"> enable, energy, policies, literature, review; EU scope visible. This is a provisional connection, not an outcome finding.</w:t>
      </w:r>
    </w:p>
    <w:p>
      <w:pPr>
        <w:pStyle w:val="SourceNote"/>
      </w:pPr>
      <w:r>
        <w:rPr>
          <w:b/>
        </w:rPr>
        <w:t>Available abstract (not full text):</w:t>
      </w:r>
      <w:r>
        <w:t xml:space="preserve"> This article investigates how green entrepreneurship and the circular economy are reshaping the European agri-food sector in the post-pandemic period (2020–2025) and distils lessons relevant to the Republic of Moldova. The study pursues two aims: (i) to map innovative models that reduce waste, close resource loops, and decarbonize agri-food value chains; and (ii) to assess the policy and market conditions that enable their scaling. Methodologically, we conduct a structured review of recent peer-reviewed literature and EU policy documents (European Green Deal, Circular Economy Action Plan, Farm to Fork Strategy, and the 2023–2027 CAP), complemented by comparative analysis and a synthesis of Member-State case studies. Findings indicate that the EU has established a robust strategic and financing architecture that incentivizes viable circular models—such as biogas from agricultural residues, valorization of secondary biomass streams, alternative proteins, food-waste reduction, and organic farming—yet implementation remains uneven across countries. Key constraints include high upfront investment needs, regulatory uncertainty, infrastructure deficits, and skills gaps. Enablers include dedicated green finance, green public procurement, extended producer-responsibility schemes, coordinated multi-level governance, and local innovation ecosystems (incubators and agri-bio consortia). We </w:t>
      </w:r>
    </w:p>
    <w:p>
      <w:pPr/>
      <w:r>
        <w:rPr>
          <w:b/>
        </w:rPr>
        <w:t>POSSIBLE 2026:</w:t>
      </w:r>
      <w:r>
        <w:t xml:space="preserve"> Integrating Resilience and Sustainability in Manufacturing: Enablers, Barriers, and Measurement Approaches — https://doi.org/10.1007/s43615-026-01087-8</w:t>
      </w:r>
    </w:p>
    <w:p>
      <w:pPr/>
      <w:r>
        <w:rPr>
          <w:b/>
        </w:rPr>
        <w:t>Shared claim-specific concepts:</w:t>
      </w:r>
      <w:r>
        <w:t xml:space="preserve"> sustainability, critical, literature, review; EU scope not established. This is a provisional connection, not an outcome finding.</w:t>
      </w:r>
    </w:p>
    <w:p>
      <w:pPr>
        <w:pStyle w:val="SourceNote"/>
      </w:pPr>
      <w:r>
        <w:rPr>
          <w:b/>
        </w:rPr>
        <w:t>Available abstract (not full text):</w:t>
      </w:r>
      <w:r>
        <w:t xml:space="preserve"> Abstract Resilience and sustainability (R&amp;S) are critical capabilities, yet their integration remains poorly understood with fragmented theoretical perspectives and limited empirical evidence. This systematic literature review synthesises 65 empirical studies on R&amp;S integration in manufacturing contexts and presents a structured multi-level framework. Through bibliometric mapping and qualitative content analysis we trace intellectual structure and extract integration mechanisms, enablers, and barriers. Results reveal four key findings: First, R&amp;S demonstrate bidirectional causality, resilience enables sustainability while sustainability practices build resilience, challenging linear perspectives. Second, enablers operate across nine categories. Third, barriers represent paradoxical effects where traditional strengths become liabilities beyond optimal thresholds. Fourth, approximately 64% of R&amp;S relationships operate indirectly through mediating mechanisms. The study contributes a multi-level taxonomy of integration mechanisms and a socio-technical framework capturing enabler-barrier interactions across organisational levels. Findings reflect synthesis of empirical evidence rather than primary empirical testing, and generalisability is bounded by the corpus' geographic and methodological composition. For practitioners, results offer actionable guidance for capability bundling, r</w:t>
      </w:r>
    </w:p>
    <w:p>
      <w:pPr/>
      <w:r>
        <w:rPr>
          <w:b/>
        </w:rPr>
        <w:t>POSSIBLE 2026:</w:t>
      </w:r>
      <w:r>
        <w:t xml:space="preserve"> A maturity model for sustainable servitization in manufacturing — https://doi.org/10.1080/09537287.2026.2687605</w:t>
      </w:r>
    </w:p>
    <w:p>
      <w:pPr/>
      <w:r>
        <w:rPr>
          <w:b/>
        </w:rPr>
        <w:t>Shared claim-specific concepts:</w:t>
      </w:r>
      <w:r>
        <w:t xml:space="preserve"> enable, transition, used, literature, review; EU scope not established. This is a provisional connection, not an outcome finding.</w:t>
      </w:r>
    </w:p>
    <w:p>
      <w:pPr>
        <w:pStyle w:val="SourceNote"/>
      </w:pPr>
      <w:r>
        <w:rPr>
          <w:b/>
        </w:rPr>
        <w:t>Available abstract (not full text):</w:t>
      </w:r>
      <w:r>
        <w:t xml:space="preserve"> Despite increasing managerial interest, many firms struggle to scale sustainable servitization initiatives beyond pilot projects, facing capability misalignments, measurement challenges and governance complexities. This paper proposes a maturity model to assess and support manufacturing firms’ transition towards sustainable servitization. We structure and populate the model through a systematic literature review complemented by 19 interviews with managers, consultants and academics, and we subsequently test and deploy it in four companies. Our analysis shows that sustainable servitization is enabled by 11 capabilities, which we articulate into 62 items. These items populate 7 maturity dimensions and can be evaluated on five-level scales. The resulting model consolidates the fragmented sustainable servitization literature by identifying the capabilities that enable this transformation. In practice, it can be used to identify structured maturity profiles, support both internal analysis and cross-company benchmarking, guide targeted capability-development roadmaps and raise awareness of sustainable servitization opportunities, even in low-maturity contexts.</w:t>
      </w:r>
    </w:p>
    <w:p>
      <w:pPr>
        <w:pStyle w:val="Heading2"/>
      </w:pPr>
      <w:r>
        <w:t>519. Achieving agricultural greenhouse gas emission reductions in the EU post‐2030: What options do we have?</w:t>
      </w:r>
    </w:p>
    <w:p>
      <w:pPr>
        <w:pStyle w:val="SourceNote"/>
      </w:pPr>
      <w:r>
        <w:rPr>
          <w:b/>
        </w:rPr>
        <w:t>Original source (2022):</w:t>
      </w:r>
      <w:r>
        <w:t xml:space="preserve"> https://doi.org/10.1111/reel.12448</w:t>
      </w:r>
    </w:p>
    <w:p>
      <w:pPr/>
      <w:r>
        <w:t>Original wording (abstract; indexed_source_text_not_full_document_verified):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POSSIBLE 2026:</w:t>
      </w:r>
      <w:r>
        <w:t xml:space="preserve"> Sustainable pharmaceutical packaging under the European Union regulatory framework — https://doi.org/10.1007/s43621-026-04534-6</w:t>
      </w:r>
    </w:p>
    <w:p>
      <w:pPr/>
      <w:r>
        <w:rPr>
          <w:b/>
        </w:rPr>
        <w:t>Shared claim-specific concepts:</w:t>
      </w:r>
      <w:r>
        <w:t xml:space="preserve"> union, must, regulatory, not, only, reduce; EU scope visible. This is a provisional connection, not an outcome finding.</w:t>
      </w:r>
    </w:p>
    <w:p>
      <w:pPr>
        <w:pStyle w:val="SourceNote"/>
      </w:pPr>
      <w:r>
        <w:rPr>
          <w:b/>
        </w:rPr>
        <w:t>Available abstract (not full text):</w:t>
      </w:r>
      <w:r>
        <w:t xml:space="preserve"> Pharmaceutical packaging must protect medicinal product quality and patient safety while responding to increasing pressure to reduce material use, greenhouse-gas emissions, and packaging waste. This structured integrative review examines how the European Union Packaging and Packaging Waste Regulation, life-cycle evidence, material innovation and digital information systems affect pharmaceutical packaging decisions. Peer-reviewed studies, official legislation, standards and regulatory guidance were critically synthesised, while company data were used only when independently verifiable evidence was unavailable and were explicitly labelled as industry evidence. Published life-cycle assessments show that environmental rankings depend strongly on the functional unit, system boundary, dosage format, secondary packaging, energy mix and end-of-life assumptions; therefore, broad claims that a single material consistently delivers fixed carbon reductions are not scientifically transferable. High-density polyethylene, polypropylene, paper-based structures, polylactic acid and cyclic olefin polymers offer specific opportunities, but each presents trade-offs involving barrier variability, pharmaceutical-grade purity, extractables and leachables, sterilisation, forming performance, recycling infrastructure and regulatory requalification. The PPWR introduces important circularity requirements</w:t>
      </w:r>
    </w:p>
    <w:p>
      <w:pPr/>
      <w:r>
        <w:rPr>
          <w:b/>
        </w:rPr>
        <w:t>POSSIBLE 2026:</w:t>
      </w:r>
      <w:r>
        <w:t xml:space="preserve"> The Regulatory Framework for Crypto-Assets in the European Union — https://doi.org/10.18616/rdhs.v9i2.10712</w:t>
      </w:r>
    </w:p>
    <w:p>
      <w:pPr/>
      <w:r>
        <w:rPr>
          <w:b/>
        </w:rPr>
        <w:t>Shared claim-specific concepts:</w:t>
      </w:r>
      <w:r>
        <w:t xml:space="preserve"> union, regulatory, instruments, resilience; EU scope visible. This is a provisional connection, not an outcome finding.</w:t>
      </w:r>
    </w:p>
    <w:p>
      <w:pPr>
        <w:pStyle w:val="SourceNote"/>
      </w:pPr>
      <w:r>
        <w:rPr>
          <w:b/>
        </w:rPr>
        <w:t>Available abstract (not full text):</w:t>
      </w:r>
      <w:r>
        <w:t xml:space="preserve"> This article offers a comprehensive analysis of the legal regulation of crypto-assets in the European Union (EU). It examines the principal EU legislative instruments in this field, including Regulation (EU) 2023/1114 on Markets in Crypto-Assets (MiCA); Regulation (EU) 2023/1113 on information accompanying transfers of funds and certain crypto-assets (the Transfer of Funds Regulation, or TFR), which introduces the EU Travel Rule; Regulation (EU) 2024/1624 on the prevention of the use of the financial system for the purposes of money laundering or terrorist financing (AMLR); Regulation (EU) 2024/1620 establishing the European Authority for Anti-Money Laundering and Countering the Financing of Terrorism (AMLA); Regulation (EU) 2022/2554 on the digital operational resilience of the financial sector (DORA); and Regulation (EU) 2022/858 on a pilot regime for market infrastructures based on distributed ledger technology (the DLT Pilot Regime). The article concludes that the European Union’s legal framework for crypto-assets represents a systematic, comprehensive, and balanced approach to regulation.</w:t>
      </w:r>
    </w:p>
    <w:p>
      <w:pPr/>
      <w:r>
        <w:rPr>
          <w:b/>
        </w:rPr>
        <w:t>POSSIBLE 2026:</w:t>
      </w:r>
      <w:r>
        <w:t xml:space="preserve"> Perspective Chapter: AI Regulatory Landscape in the European Union — https://doi.org/10.5772/intechopen.1014965</w:t>
      </w:r>
    </w:p>
    <w:p>
      <w:pPr/>
      <w:r>
        <w:rPr>
          <w:b/>
        </w:rPr>
        <w:t>Shared claim-specific concepts:</w:t>
      </w:r>
      <w:r>
        <w:t xml:space="preserve"> union, regulatory, but, also, resilience, areas; EU scope visible. This is a provisional connection, not an outcome finding.</w:t>
      </w:r>
    </w:p>
    <w:p>
      <w:pPr>
        <w:pStyle w:val="SourceNote"/>
      </w:pPr>
      <w:r>
        <w:rPr>
          <w:b/>
        </w:rPr>
        <w:t>Available abstract (not full text):</w:t>
      </w:r>
      <w:r>
        <w:t xml:space="preserve"> This book chapter analyses the evolving regulatory landscape for artificial intelligence (AI) in the European Union (EU), focusing on the AI Act as the world’s first comprehensive horizontal, risk-based framework for AI governance. It examines how the Act translates the principles of proportionality, accountability and transparency into a differentiated regulatory architecture, ranging from prohibited practices to extensive obligations for high-risk AI systems, while allocating responsibilities across providers, deployers and other actors in increasingly complex AI value chains. The chapter situates the AI Act within the EU’s broader, multi-layered digital regulatory ecosystem, particularly its interaction with the General Data Protection Regulation (GDPR), the Digital Operational Resilience Act (DORA), sector-specific regulation and product-liability rules. It identifies areas of regulatory complementarity, but also tensions concerning risk management, data governance, automated decision-making, third-party dependencies, operational continuity and responsibility allocation. Particular attention is devoted to the withdrawal of the proposed AI Liability Directive, which was intended to address evidentiary and causation difficulties faced by victims of AI-related harm. The chapter argues that its withdrawal leaves a significant gap between the AI Act’s ex ante compliance framewor</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union, must, place, not, but, agricultural;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2026:</w:t>
      </w:r>
      <w:r>
        <w:t xml:space="preserve"> European Union — https://openalex.org/W7204068056</w:t>
      </w:r>
    </w:p>
    <w:p>
      <w:pPr/>
      <w:r>
        <w:rPr>
          <w:b/>
        </w:rPr>
        <w:t>Shared claim-specific concepts:</w:t>
      </w:r>
      <w:r>
        <w:t xml:space="preserve"> union, regulatory, not, also; EU scope visible. This is a provisional connection, not an outcome finding.</w:t>
      </w:r>
    </w:p>
    <w:p>
      <w:pPr>
        <w:pStyle w:val="SourceNote"/>
      </w:pPr>
      <w:r>
        <w:rPr>
          <w:b/>
        </w:rPr>
        <w:t>Available abstract (not full text):</w:t>
      </w:r>
      <w:r>
        <w:t xml:space="preserve"> The post–Cold War beliefs that once sustained the European project have unraveled. Economic integration no longer guarantees political harmony. Also, soft power by itself does not secure a continent. In an era of hard-edged rivalry, the European Union faces a stark paradox: it is a global regulatory superpower, yet increasingly strained by internal fragmentation. How can the EU endure when its founding certainties fade? European Union: Ideas for the Future moves beyond the stale binary of “more or less Europe” to confront the defining dialectic of the mid-2020s: the tension between strategic unity abroad and democratic legitimacy at home. The book presents nine scholarly perspectives spanning governance, democracy, and geopolitics. It explores the EU as a geopolitical actor, its democratic capacity to defend cohesion against illiberal drift, and how science and innovation can be harnessed in a multipolar world with pressing climate and digital challenges. Written for scholars, policymakers, and citizens who refuse to accept the fraying of the European project, this book offers a bold vision of a Europe capable of wielding power without sacrificing legitimacy, combining the protection of a superpower with the intimacy of local democracy.</w:t>
      </w:r>
    </w:p>
    <w:p>
      <w:pPr/>
      <w:r>
        <w:rPr>
          <w:b/>
        </w:rPr>
        <w:t>POSSIBLE 2026:</w:t>
      </w:r>
      <w:r>
        <w:t xml:space="preserve"> Decentralized Energy Systems in the European Union — https://doi.org/10.4324/9781003781127-4</w:t>
      </w:r>
    </w:p>
    <w:p>
      <w:pPr/>
      <w:r>
        <w:rPr>
          <w:b/>
        </w:rPr>
        <w:t>Shared claim-specific concepts:</w:t>
      </w:r>
      <w:r>
        <w:t xml:space="preserve"> union, must, regulatory;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Algorithmic management in the European Union: regulatory gaps and future pathways — https://openalex.org/W7221413296</w:t>
      </w:r>
    </w:p>
    <w:p>
      <w:pPr/>
      <w:r>
        <w:rPr>
          <w:b/>
        </w:rPr>
        <w:t>Shared claim-specific concepts:</w:t>
      </w:r>
      <w:r>
        <w:t xml:space="preserve"> union, regulatory, instruments; EU scope visible. This is a provisional connection, not an outcome finding.</w:t>
      </w:r>
    </w:p>
    <w:p>
      <w:pPr>
        <w:pStyle w:val="SourceNote"/>
      </w:pPr>
      <w:r>
        <w:rPr>
          <w:b/>
        </w:rPr>
        <w:t>Available abstract (not full text):</w:t>
      </w:r>
      <w:r>
        <w:t xml:space="preserve"> The widespread implementation of algorithmic technologies in the workplace is profoundly changing work organisation and working conditions, posing new regulatory and practical challenges. This contribution evaluates the extent to which the European Union existing law is capable of addressing these challenges and identifies the main regulatory gaps that emerge in the governance of algorithmic management. Chapter 1 lays the conceptual foundations and explores how algorithmic practices transform the exercise of managerial authority and therefore reshape the employment relationship. Chapter 2 critically assesses the principal EU instruments applicable to algorithmic management, focusing on the General Data Protection Regulation (GDPR) and the Artificial Intelligence Act (AIA), exploring both their relevance and their structural deficits. Finally, chapter 3, drawing on the promises contained in the recent Platform Work Directive (PWD), explores possible pathways towards a broader and more effective regulatory framework capable of properly addressing algorithmic management in the workplace.</w:t>
      </w:r>
    </w:p>
    <w:p>
      <w:pPr/>
      <w:r>
        <w:rPr>
          <w:b/>
        </w:rPr>
        <w:t>POSSIBLE 2026:</w:t>
      </w:r>
      <w:r>
        <w:t xml:space="preserve"> Regulatory Models for Artificial Intelligence in Education in European Union Countries — https://doi.org/10.62768/adjuris/2026/7/14</w:t>
      </w:r>
    </w:p>
    <w:p>
      <w:pPr/>
      <w:r>
        <w:rPr>
          <w:b/>
        </w:rPr>
        <w:t>Shared claim-specific concepts:</w:t>
      </w:r>
      <w:r>
        <w:t xml:space="preserve"> union, regulatory, but, also, contribute; EU scope visible. This is a provisional connection, not an outcome finding.</w:t>
      </w:r>
    </w:p>
    <w:p>
      <w:pPr>
        <w:pStyle w:val="SourceNote"/>
      </w:pPr>
      <w:r>
        <w:rPr>
          <w:b/>
        </w:rPr>
        <w:t>Available abstract (not full text):</w:t>
      </w:r>
      <w:r>
        <w:t xml:space="preserve"> In the context in which artificial intelligence (AI) is permeating education services, it becomes necessary to establish regulatory frameworks for the ethical use of AI, limiting negative effects and maximizing benefits of using AI for students and teachers.The purpose of this comparative study is to investigate how the EU countries regulate the use of AI in education.The objectives of the study are: evaluating the normative and methodological framework applicable to the use of AI in education, identifying and analyzing the rights and obligations of students and teachers related to the use of AI, identifying and analyzing elements of convergence and divergence of regulatory frameworks of EU states.The study sample consist of five EU countries (Greece, Estonia, Czech, Denmark and Romania).The research methodology includes a qualitative content analysis of the laws, strategies, methodological guides developed by member states and the European regulatory framework.This is complemented by a comparative evaluation grid.The results highlight different concerns of the member states regarding the regulation of AI in education, but also convergence elements relating to the importance of GDPR.The conclusions contribute to substantiating the regulatory framework in Romania based on good practices taken from the member states.</w:t>
      </w:r>
    </w:p>
    <w:p>
      <w:pPr/>
      <w:r>
        <w:rPr>
          <w:b/>
        </w:rPr>
        <w:t>POSSIBLE 2026:</w:t>
      </w:r>
      <w:r>
        <w:t xml:space="preserve"> Human rights as a component of the values of the European Union in the context of Ukraine’s accession — https://doi.org/10.33663/0869-2491-2026-37-231-243</w:t>
      </w:r>
    </w:p>
    <w:p>
      <w:pPr/>
      <w:r>
        <w:rPr>
          <w:b/>
        </w:rPr>
        <w:t>Shared claim-specific concepts:</w:t>
      </w:r>
      <w:r>
        <w:t xml:space="preserve"> union, must, place, not, only, also; EU scope visible. This is a provisional connection, not an outcome finding.</w:t>
      </w:r>
    </w:p>
    <w:p>
      <w:pPr>
        <w:pStyle w:val="SourceNote"/>
      </w:pPr>
      <w:r>
        <w:rPr>
          <w:b/>
        </w:rPr>
        <w:t>Available abstract (not full text):</w:t>
      </w:r>
      <w:r>
        <w:t xml:space="preserve"> Introduction. The article, in connection with Ukraine obtaining the status of a candidate country for accession to the European Union, examines the issues of legal implementation in the context of Ukraine’s adherence to European values and the adaptation of national legislation to EU law. Ukraine’s efforts to join the European Union community are natural and are an actual problem of today. This is a multifaceted process in which legal science plays one of the key roles, including not only the development of legal norms as a result of law-making activities to adapt Ukrainian legislation to EU legislation, and also activities in the direction of law implementation. A special place in this process is occupied by issues of the implementation of human rights and freedoms. Solving these pressing problems, which is most evident in our time of active interaction with European partners, can be considered both as a process and as the final result of compliance with European values by Ukrainian legislation. The purpose of the work is to study the compliance of Ukrainian legislation with the values of democracy in the EU legal system, taking into account modern challenges, focusing on the component related to the implementation of human rights and freedoms in the context of the relationship between the state and the individual in a democratic society. Results. It is underlined that the val</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union, place, not, only, but;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European Union, 2025 — https://doi.org/10.2478/admin-2026-0007</w:t>
      </w:r>
    </w:p>
    <w:p>
      <w:pPr/>
      <w:r>
        <w:rPr>
          <w:b/>
        </w:rPr>
        <w:t>Shared claim-specific concepts:</w:t>
      </w:r>
      <w:r>
        <w:t xml:space="preserve"> union, resilience, areas; EU scope visible. This is a provisional connection, not an outcome finding.</w:t>
      </w:r>
    </w:p>
    <w:p>
      <w:pPr>
        <w:pStyle w:val="SourceNote"/>
      </w:pPr>
      <w:r>
        <w:rPr>
          <w:b/>
        </w:rPr>
        <w:t>Available abstract (not full text):</w:t>
      </w:r>
      <w:r>
        <w:t xml:space="preserve"> Introduction: Between an increasingly unpredictable America and an ambitious China, in strategic alliance with an aggressive Russia, Europe moves to adapt to new global realitiesWe have entered an era of harsh geostrategic competition.The world's major economies are vying for access to raw materials, new technologies and global trade routes … Europe is ready for change. Ursula von der Leyen, President European Commission at the World Economic Forum in Davos, Switzerland, 21 January 2025With geopolitical challenges to the east (China, Russia) and to the west (Trump 2.0), amid global geoeconomic fragmentation, Europe became painfully aware of its dependencies and, hence, its vulnerabilities across a host of policy areas.Ensuring supply chain resilience for inter alia critical raw materials, while access to new innovative technologies, trade, energy, as well as security and defence, emerged as new and urgent strategic priorities.The European Union (EU) and its member states sought to embrace open strategic autonomy as the necessary response to the emergence of a systemic 'great power' rivalry between Donald J. Trump's United States of America on the one hand and Xi Jinping's China strategically aligned with Vladimir Putin's Russia on the other.</w:t>
      </w:r>
    </w:p>
    <w:p>
      <w:pPr/>
      <w:r>
        <w:rPr>
          <w:b/>
        </w:rPr>
        <w:t>POSSIBLE 2026:</w:t>
      </w:r>
      <w:r>
        <w:t xml:space="preserve"> Britain and the European Union — https://doi.org/10.4324/9781003563365</w:t>
      </w:r>
    </w:p>
    <w:p>
      <w:pPr/>
      <w:r>
        <w:rPr>
          <w:b/>
        </w:rPr>
        <w:t>Shared claim-specific concepts:</w:t>
      </w:r>
      <w:r>
        <w:t xml:space="preserve"> union, also, areas; EU scope visible. This is a provisional connection, not an outcome finding.</w:t>
      </w:r>
    </w:p>
    <w:p>
      <w:pPr>
        <w:pStyle w:val="SourceNote"/>
      </w:pPr>
      <w:r>
        <w:rPr>
          <w:b/>
        </w:rPr>
        <w:t>Available abstract (not full text):</w:t>
      </w:r>
      <w:r>
        <w:t xml:space="preserve"> This timely and engaging third edition offers the student and general reader a compact, highly readable analysis of British membership of the European Union (EU). With detailed coverage of the period from 1973 up until the present day, it also examines the 1945–1972 period to account for Britain's absence from the formation of the EU. Providing a highly distilled and accessible overview of some of the parameters and recurring features of Britain’s membership, it touches on all the major facets at this critical time in Britain’s relationship with Europe. Key features of the new edition: unrivalled combination of breadth and depth in its multidimensional treatment of Britain and the EU 1945–2026 on the tenth anniversary of the 2016 referendum. detailed coverage of the impact of Brexit since 2020, and current – and likely future – issues and topics. the constant and changing character, problems, and paradoxes of the British relationship with the EU. exploratory, balanced, and questioning, providing questions and perspectives for debate and discussion. full of illuminating insights, vivid detail, a rich variety of sources, and a large array of explanations/interpretations. This book will be of key interest to scholars, students and the generally interested reader in the areas of European Politics/Studies, British Politics, EU Politics/Studies, Area Studies, and International Relati</w:t>
      </w:r>
    </w:p>
    <w:p>
      <w:pPr>
        <w:pStyle w:val="Heading2"/>
      </w:pPr>
      <w:r>
        <w:t>520. Agent‐Based Modeling of Alternative Futures in the British Land Use System</w:t>
      </w:r>
    </w:p>
    <w:p>
      <w:pPr>
        <w:pStyle w:val="SourceNote"/>
      </w:pPr>
      <w:r>
        <w:rPr>
          <w:b/>
        </w:rPr>
        <w:t>Original source (2022):</w:t>
      </w:r>
      <w:r>
        <w:t xml:space="preserve"> https://doi.org/10.1029/2022ef002905</w:t>
      </w:r>
    </w:p>
    <w:p>
      <w:pPr/>
      <w:r>
        <w:t>Original wording (abstract; indexed_source_text_not_full_document_verified):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POSSIBLE 2026:</w:t>
      </w:r>
      <w:r>
        <w:t xml:space="preserve"> Abstract DP015: Integrating Systemic and Socio-economic Factors Into Stroke Prognostic Models: Findings From the ELAN International Survey — https://doi.org/10.1161/str.57.suppl_1.dp015</w:t>
      </w:r>
    </w:p>
    <w:p>
      <w:pPr/>
      <w:r>
        <w:rPr>
          <w:b/>
        </w:rPr>
        <w:t>Shared claim-specific concepts:</w:t>
      </w:r>
      <w:r>
        <w:t xml:space="preserve"> abstract, widely, but; EU scope not established. This is a provisional connection, not an outcome finding.</w:t>
      </w:r>
    </w:p>
    <w:p>
      <w:pPr>
        <w:pStyle w:val="SourceNote"/>
      </w:pPr>
      <w:r>
        <w:rPr>
          <w:b/>
        </w:rPr>
        <w:t>Available abstract (not full text):</w:t>
      </w:r>
      <w:r>
        <w:t xml:space="preserve">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pPr/>
      <w:r>
        <w:rPr>
          <w:b/>
        </w:rPr>
        <w:t>POSSIBLE 2026:</w:t>
      </w:r>
      <w:r>
        <w:t xml:space="preserve"> Global gridded data for the Shared Socio-economic Pathways — https://doi.org/10.18174/sesmo.18850</w:t>
      </w:r>
    </w:p>
    <w:p>
      <w:pPr/>
      <w:r>
        <w:rPr>
          <w:b/>
        </w:rPr>
        <w:t>Shared claim-specific concepts:</w:t>
      </w:r>
      <w:r>
        <w:t xml:space="preserve"> shared, pathways, ssps, used, representing, them; EU scope not established. This is a provisional connection, not an outcome finding.</w:t>
      </w:r>
    </w:p>
    <w:p>
      <w:pPr>
        <w:pStyle w:val="SourceNote"/>
      </w:pPr>
      <w:r>
        <w:rPr>
          <w:b/>
        </w:rPr>
        <w:t>Available abstract (not full text):</w:t>
      </w:r>
      <w:r>
        <w:t xml:space="preserve"> The shared socio-economic pathways (SSPs) provide storylines for plausible future global developments under a consistent set of assumptions. Primarily, the SSPs have been used to derive quantitative scenarios of greenhouse gas emissions for use in general circulation models and other large-scale, physically based models of environmental change. Their use in large-scale socio-environmental simulation modelling has been less forthcoming. Behavioural models of land systems, typically operating within agent-based frameworks, attempt to explicitly represent the varied socio-environmental factors that characterise the SSP storylines. Such simulation models are often geospatial and grid-based, capable of representing dynamics at resolutions of up to 10s km2 over large extents (continental to global). However, such approaches demand geospatial (usually gridded) input data for multiple social and human variables - often together known as capitals - such as education levels and infrastructure. The lack of such input data for the future SSP storylines has been a substantial limitation in the application of large-scale behavioural models of land systems specifically and of socio-environmental modelling more generally. Here, we present global gridded data for socio-economic capitals useful for simulation models and consistent with the SSP storylines, disaggregated spatially to a 0.25o grid.</w:t>
      </w:r>
    </w:p>
    <w:p>
      <w:pPr/>
      <w:r>
        <w:rPr>
          <w:b/>
        </w:rPr>
        <w:t>POSSIBLE 2026:</w:t>
      </w:r>
      <w:r>
        <w:t xml:space="preserve"> Modelling human values within the shared socio-economic pathways — https://doi.org/10.5287/ora-prm67xp8k</w:t>
      </w:r>
    </w:p>
    <w:p>
      <w:pPr/>
      <w:r>
        <w:rPr>
          <w:b/>
        </w:rPr>
        <w:t>Shared claim-specific concepts:</w:t>
      </w:r>
      <w:r>
        <w:t xml:space="preserve"> shared, socioeconomic, pathways, ssps, but, representing; EU scope not established. This is a provisional connection, not an outcome finding.</w:t>
      </w:r>
    </w:p>
    <w:p>
      <w:pPr>
        <w:pStyle w:val="SourceNote"/>
      </w:pPr>
      <w:r>
        <w:rPr>
          <w:b/>
        </w:rPr>
        <w:t>Available abstract (not full text):</w:t>
      </w:r>
      <w:r>
        <w:t xml:space="preserve"> Human values are increasingly recognised as important drivers of sustainability transitions. The Shared Socioeconomic Pathways (SSPs) provide a framework of alternative development trajectories that vary in their challenges to climate change mitigation and adaptation. While SSP narratives implicitly reflect differing societal priorities, values are not explicitly formalised or quantified. Here we develop an approach for making value dynamics explicit in scenario analysis. We frame 8 value categories using substantive value frameworks. Using World Values Survey data (2000–2023) we confirm four distinct value types: an Eco-centric type characterised by environmental concern; a Security–order type characterised by governance and social stability; a Conformity type characterised by adherence to prevailing norms, and hierarchical social structures; and an Achievement type characterised by wealth and personal success. We demonstrate our approach through futures modelling under SSP1 alongside trajectories of improving human development as measured by the Human Development Index (HDI). We use our modelling to show how the four value types co-evolve. With rising human development we find a slow shift towards sustainability-oriented value types. Eco-centric values strengthen over time but do not become the largest global type until the mid-21st century (around 2055), with earlier transit</w:t>
      </w:r>
    </w:p>
    <w:p>
      <w:pPr/>
      <w:r>
        <w:rPr>
          <w:b/>
        </w:rPr>
        <w:t>POSSIBLE 2026:</w:t>
      </w:r>
      <w:r>
        <w:t xml:space="preserve"> High-resolution modelling of biodiversity under the shared socio-economic scenarios — https://doi.org/10.32942/x2h958</w:t>
      </w:r>
    </w:p>
    <w:p>
      <w:pPr/>
      <w:r>
        <w:rPr>
          <w:b/>
        </w:rPr>
        <w:t>Shared claim-specific concepts:</w:t>
      </w:r>
      <w:r>
        <w:t xml:space="preserve"> shared, socioeconomic, pathways, impacts; EU scope not established. This is a provisional connection, not an outcome finding.</w:t>
      </w:r>
    </w:p>
    <w:p>
      <w:pPr>
        <w:pStyle w:val="SourceNote"/>
      </w:pPr>
      <w:r>
        <w:rPr>
          <w:b/>
        </w:rPr>
        <w:t>Available abstract (not full text):</w:t>
      </w:r>
      <w:r>
        <w:t xml:space="preserve"> Impacts on biodiversity from global climate and land use change manifest through changes in habitat availability and suitability for species. We currently lack fine grain predictions about how species and their habitats respond at the local level to global drivers of change, particularly under future scenarios of coupled climate and land use change. Policies for biodiversity management often place an emphasis on management and protection of threatened and socially important species and their habitat. This requires modelling many species individually to inform national policy design and decisions. However, most multi-species modelling systems focus on the role of bioclimatic drivers of species distribution and abundance to the exclusion of the land use variables needed to understand and predict outcomes of socio-economic drivers of biodiversity change. We provide high-quality predictive species distribution models that capture the impacts of change in land use and other environmental drivers, and a comprehensive biodiversity dataset for Australia for thousands of species at high spatial resolution. We model the response of 1,488 species, including 592 birds, 254 mammals and 642 reptiles under coupled land-use (Shared Socioeconomic Pathways) and climate (Representative Concentration Pathways) scenarios. Our analyses present new possibilities for developing bespoke species-specifi</w:t>
      </w:r>
    </w:p>
    <w:p>
      <w:pPr/>
      <w:r>
        <w:rPr>
          <w:b/>
        </w:rPr>
        <w:t>POSSIBLE 2026:</w:t>
      </w:r>
      <w:r>
        <w:t xml:space="preserve"> Environmental and Socio-Economic Impacts of Shared Mobility Services in the City of Kigali, Rwanda — https://doi.org/10.9734/ajgr/2026/v9i4458</w:t>
      </w:r>
    </w:p>
    <w:p>
      <w:pPr/>
      <w:r>
        <w:rPr>
          <w:b/>
        </w:rPr>
        <w:t>Shared claim-specific concepts:</w:t>
      </w:r>
      <w:r>
        <w:t xml:space="preserve"> shared, impacts, representing; EU scope not established. This is a provisional connection, not an outcome finding.</w:t>
      </w:r>
    </w:p>
    <w:p>
      <w:pPr>
        <w:pStyle w:val="SourceNote"/>
      </w:pPr>
      <w:r>
        <w:rPr>
          <w:b/>
        </w:rPr>
        <w:t>Available abstract (not full text):</w:t>
      </w:r>
      <w:r>
        <w:t xml:space="preserve"> Aims: This study assessed the environmental and socio-economic impacts of shared mobility services in the City of Kigali, Rwanda, with particular emphasis on their contribution to sustainable urban transport, environmental improvement, and livelihood enhancement. Study Design: A convergent parallel mixed-methods research design was employed. Place and Duration of Study: The study was conducted in the City of Kigali, Rwanda, among users of various shared mobility services, including bus commuters, motorbike-taxi users, ride-hailing users, and private car owners. Data collection was carried out in 2026. Methodology: Quantitative data were collected from 400 respondents using structured questionnaires, while qualitative information was obtained through semi-structured interviews with nine key informants representing urban planning institutions, transport regulatory agencies, and mobility service providers. Quantitative data were analysed using descriptive statistics, Pearson correlation, and multiple regression analysis, whereas qualitative data were analysed thematically. Results: The findings revealed that all shared mobility components examined, namely car and bus sharing, motorbike-taxi sharing, digital mobility platforms, and ride-hailing services, were positively and significantly associated with respondents' perceived socio-economic and environmental outcomes (p &lt; 0.05); be</w:t>
      </w:r>
    </w:p>
    <w:p>
      <w:pPr/>
      <w:r>
        <w:rPr>
          <w:b/>
        </w:rPr>
        <w:t>POSSIBLE 2026:</w:t>
      </w:r>
      <w:r>
        <w:t xml:space="preserve"> Impact of climate change on the proposed Pwalugu hydropower plant based on shared socio-economic pathway (SSP) scenarios — https://doi.org/10.1007/s43621-025-01056-5</w:t>
      </w:r>
    </w:p>
    <w:p>
      <w:pPr/>
      <w:r>
        <w:rPr>
          <w:b/>
        </w:rPr>
        <w:t>Shared claim-specific concepts:</w:t>
      </w:r>
      <w:r>
        <w:t xml:space="preserve"> shared, ssps; EU scope not established. This is a provisional connection, not an outcome finding.</w:t>
      </w:r>
    </w:p>
    <w:p>
      <w:pPr>
        <w:pStyle w:val="SourceNote"/>
      </w:pPr>
      <w:r>
        <w:rPr>
          <w:b/>
        </w:rPr>
        <w:t>Available abstract (not full text):</w:t>
      </w:r>
      <w:r>
        <w:t xml:space="preserve"> In this study, we examined the two main factors of climate change (precipitation and temperature) based on SSP1-2.6, SSP2-4.5, and SSP5-8.5, under three future periods: near future (2015–2043), mid-far future (2044–2072), and far future (2073–2100). Three machine learning models: Artificial Neural Network (ANN), Long Short-Term Memory (LSTM), and Support Vector Machine (SVM) were compared using statistical metrics: Nash–Sutcliffe Efficiency (NSE), Percent Bias (PBias), and R-squared (R 2 ). The ANN outperforms LSTM and SVM in terms of training and testing metrics, particularly NSE and R 2 . The findings showed that temperature and precipitation patterns would increase especially by the end of the century. In the Near Future, SSP5-8.5 estimates a maximum temperature of 43.32 °C, SSP1-2.6’s 41.74 °C, and SSP2-4.5’s 41.66 °C. Minimum temperatures in the Near Future estimate SSP5-8.5 of 47 °C, SSP1-2.6 of 37.97 °C, and SSP2-4.5 is 36.30 °C. Precipitation patterns exhibit notable variations across the different SSPs and future periods. In the Near Future, SSP5-8.5 estimates the highest maximum precipitation at 340.91 mm, compared to SSP1-2.6 at 308.34 mm and SSP2-4.5 at 329.53 mm. This trend of increasing maximum precipitation continues into the mid- and far-future, with SSP5-8.5 maintaining the highest values. Precipitation and temperature projections suggest significant climate ch</w:t>
      </w:r>
    </w:p>
    <w:p>
      <w:pPr/>
      <w:r>
        <w:rPr>
          <w:b/>
        </w:rPr>
        <w:t>POSSIBLE 2026:</w:t>
      </w:r>
      <w:r>
        <w:t xml:space="preserve"> Future Timber Cities: Global Scenarios for GHG Mitigation aligned with Shared Socio-economic Pathways (SSPs) - Data repository — https://doi.org/10.5281/zenodo.23158550</w:t>
      </w:r>
    </w:p>
    <w:p>
      <w:pPr/>
      <w:r>
        <w:rPr>
          <w:b/>
        </w:rPr>
        <w:t>Shared claim-specific concepts:</w:t>
      </w:r>
      <w:r>
        <w:t xml:space="preserve"> shared, pathways, ssps;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Mudarabah (A Profit Sharing Partnership) as a Shari'ah Compliant Financial Institution: Wisdom and Socio-Economic Implications — https://doi.org/10.5281/zenodo.21738158</w:t>
      </w:r>
    </w:p>
    <w:p>
      <w:pPr/>
      <w:r>
        <w:rPr>
          <w:b/>
        </w:rPr>
        <w:t>Shared claim-specific concepts:</w:t>
      </w:r>
      <w:r>
        <w:t xml:space="preserve"> shared, widely, analytical; EU scope not established. This is a provisional connection, not an outcome finding.</w:t>
      </w:r>
    </w:p>
    <w:p>
      <w:pPr>
        <w:pStyle w:val="SourceNote"/>
      </w:pPr>
      <w:r>
        <w:rPr>
          <w:b/>
        </w:rPr>
        <w:t>Available abstract (not full text):</w:t>
      </w:r>
      <w:r>
        <w:t xml:space="preserve"> Abstract In Islamic Financial institutions Mudarabah is one of the fundamental profit-and-loss sharing instruments recognized under Islamic commercial law and widely regarded as a Shari’ah-compliant alternative to conventional interest-based financing system. This paper examines Mudarabah as a Shari’ah-compliant financial institution, with particular emphasis on its underlying wisdom and socio-economic implications. The study explores the concept, historical evolution, legal foundations, essential elements, and operational structure of Mudarabah within the framework of Islamic jurisprudence. It further highlights the objectives and rationale behind the institution of Mudarabah, especially its role in promoting justice, risk-sharing, mutual cooperation, and equitable distribution of wealth. The paper also analyses the socio-economic significance of Mudarabah in fostering entrepreneurship, reducing poverty, encouraging productive investment, and enhancing economic development within society. In addition, the study discusses the responsibilities of the contracting parties, the need for transparency and accountability, and the importance of ensuring Shari’ah compliance in all Mudarabah transactions. The research adopts quantitative, doctrinal, and analytical methods through the examination of relevant Qur’anic verses, ahadith, classical juristic opinions, and contemporary scholarly</w:t>
      </w:r>
    </w:p>
    <w:p>
      <w:pPr/>
      <w:r>
        <w:rPr>
          <w:b/>
        </w:rPr>
        <w:t>POSSIBLE 2026:</w:t>
      </w:r>
      <w:r>
        <w:t xml:space="preserve"> Climate Change Projections for Mediterranean Arid Regions: Shared Socio-economic Pathways for Algerian Sahara — https://doi.org/10.56093/aaz.v65i1.173393</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Arid regions in northern part of Algerian Sahara are highly vulnerable to climate change, facing rising temperatures and declining precipitation that intensify droughts and strain ecosystems and water resources. These shifts jeopardize agriculture and livelihoods, making future climate predictions vital for developing effective adaptation strategies. This study aims to explore the scenarios of climate change in Biskra region under various Shared Socio-economic Pathways (SSP) scenarios for 2035, 2055 and 2075; and highlights key trends in precipitation and temperature. Main findings show a general decline in average precipitation, dropping from 138.3 mm in 2035 to 122.4 mm in 2075, with variations across scenarios. In the optimistic SSP1-1.9 scenario (low emissions), precipitation remains relatively stable, while high-emission scenarios like SSP3-7 and SSP5-8.5 project sharper declines to 102.5 mm and 110.2 mm by 2075, respectively. Temperature forecasts indicate a steady rise in maximum, minimum and average temperature values. In SSP1-1.9, maximum temperatures slightly decrease from 27.9°C in 2035 to 27.8°C in 2075 and minimum temperatures dip from 16.8°C to 16.7°C. Conversely, in the severe (SSP5-8.5) scenario, maximum temperatures climb from 28.2°C to 31°C and minimum temperatures reach 19.8°C by 2075. Optimistic scenarios (SSP1-1.9, SSP1-2.6) show modest temperature increase</w:t>
      </w:r>
    </w:p>
    <w:p>
      <w:pPr/>
      <w:r>
        <w:rPr>
          <w:b/>
        </w:rPr>
        <w:t>POSSIBLE 2026:</w:t>
      </w:r>
      <w:r>
        <w:t xml:space="preserve"> Climatic Variation Impacts on Water Resources Systems with and without Shared Socio-Economic Pathways Consideration – A Review — https://doi.org/10.1007/s11269-026-04876-w</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Exploring historical discontinuities in global climate scenarios: A model-based reappraisal of the shared socio-economic pathways — https://doi.org/10.1016/j.ecolmodel.2026.111758</w:t>
      </w:r>
    </w:p>
    <w:p>
      <w:pPr/>
      <w:r>
        <w:rPr>
          <w:b/>
        </w:rPr>
        <w:t>Shared claim-specific concepts:</w:t>
      </w:r>
      <w:r>
        <w:t xml:space="preserve"> shared,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Global pesticide use scenarios up to 2050 along the shared socio-economic pathways — https://doi.org/10.1016/j.crsust.2026.100358</w:t>
      </w:r>
    </w:p>
    <w:p>
      <w:pPr/>
      <w:r>
        <w:rPr>
          <w:b/>
        </w:rPr>
        <w:t>Shared claim-specific concepts:</w:t>
      </w:r>
      <w:r>
        <w:t xml:space="preserve"> shared, socioeconomic, pathways, ssps; EU scope not established. This is a provisional connection, not an outcome finding.</w:t>
      </w:r>
    </w:p>
    <w:p>
      <w:pPr>
        <w:pStyle w:val="SourceNote"/>
      </w:pPr>
      <w:r>
        <w:rPr>
          <w:b/>
        </w:rPr>
        <w:t>Available abstract (not full text):</w:t>
      </w:r>
      <w:r>
        <w:t xml:space="preserve"> Pesticide use has significant advantages in modern agricultural production. However, it can negatively impact human health and ecosystems. Yet, no scenarios exist for possible future pesticide use. We fill this knowledge gap by developing global pesticide use scenarios following the storylines of four Shared Socioeconomic Pathways (SSPs) for six crop types and two pesticides, glyphosate and chlorpyrifos. The global pesticide use scenarios are developed by combining map-based pesticide application rates from the PEST-CHEMGRIDS database with crop harvested area projections from the IMAGE 3.3 integrated assessment model. Crop-specific pesticide use maps identify China, South America, Africa, the USA, and South Asia as future hotspots of pesticide use. Pesticide use increases in SSP2 and SSP3, ranging from 5.2 to 6.5 million tonnes for vegetables and fruits in 2050. Glyphosate use shows an upsurge in SSP2 and SSP3 across global regions, while overall chlorpyrifos use decreases in SSP3, except in some regions. SSP1 shows a reduction in pesticide use by 2050 for certain crops, ranging from −40% for rice to −8% for vegetables and fruits, due to higher environmental regulation, awareness, and technology acceptance, thereby leading to lower pesticide application. Combining SSP1 with the implementation of the low-meat Eat-Lancet diet leads to a reduction in global pesticide use in feed c</w:t>
      </w:r>
    </w:p>
    <w:p>
      <w:pPr>
        <w:pStyle w:val="Heading2"/>
      </w:pPr>
      <w:r>
        <w:t>521. Are the EU climate ambitions reflected on member-state level for greenhouse gas reductions and renewable energy consumption shares?</w:t>
      </w:r>
    </w:p>
    <w:p>
      <w:pPr>
        <w:pStyle w:val="SourceNote"/>
      </w:pPr>
      <w:r>
        <w:rPr>
          <w:b/>
        </w:rPr>
        <w:t>Original source (2022):</w:t>
      </w:r>
      <w:r>
        <w:t xml:space="preserve"> https://doi.org/10.1016/j.esr.2022.100936</w:t>
      </w:r>
    </w:p>
    <w:p>
      <w:pPr/>
      <w:r>
        <w:t>Original wording (abstract; indexed_source_text_not_full_document_verified):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POSSIBLE 2026:</w:t>
      </w:r>
      <w:r>
        <w:t xml:space="preserve"> Spatial contexts and educational inequalities in European countries — https://doi.org/10.5281/zenodo.18377623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Despite high overall levels of educational attainment, European countries continue to face persistent inequalities in educational opportunity rooted in social origin. This article synthesizes findings from nine case-study countries in the LEARN project to examine how individual social background, educational systems, and spatial contexts jointly shape educational trajectories. Drawing on high-quality longitudinal survey and register data, the contributions analyse key educational transitions and assess the role of school, classroom, and neighbourhood composition across diverse welfare regimes and tracking structures. Across all countries, individual socioeconomic background emerges as a strong and consistent predictor of educational outcomes. Contextual effects at the school, classroom, and neighbourhood level are also evident, though generally more modest and highly contingent on institutional settings, particularly the timing and rigidity of tracking. Early selection systems substantially limit the potential for later compensatory effects. Overall, the findings highlight the importance of early interventions, institutional design, and policies addressing social and spatial segregation to reduce educational inequalities across Europe.</w:t>
      </w:r>
    </w:p>
    <w:p>
      <w:pPr/>
      <w:r>
        <w:rPr>
          <w:b/>
        </w:rPr>
        <w:t>POSSIBLE 2026:</w:t>
      </w:r>
      <w:r>
        <w:t xml:space="preserve"> Accessible Tourism After the European Accessibility Act: Signalling in Hotels and Private Accommodation Across Four European Union Countries — https://doi.org/10.3390/tourhosp7100343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The European Accessibility Act (Directive (EU) 2019/882) has applied, since June 2025, extending binding accessibility requirements to the e-commerce infrastructure through which tourism is sold. Whether that obligation is visible in tourism markets remains largely untested, and existing evidence covers hotels alone. Accessibility is examined across three layers in four member states differing in the operational maturity of their accessible tourism policies: Croatia, France, Greece and Portugal. The study documents national programmes and transposition, audits thirty-two tourist board websites and records the features advertised by 400 providers, half hotels and half private accommodation, across twenty cities matched by destination type. Providers in countries with operationally mature programmes advertise more (mean index 1.25 against 0.70 on a 0–10 scale), though with four countries, this compares cases rather than testing a policy effect. The gap between accommodation segments is larger and is measured within cities: private accommodation advertises 0.38 against 1.58 for hotels, in every country and in eighteen of the twenty cities (p &lt; 0.001). Sensory features are advertised by 3.0% of properties against 37.0% for mobility, and one of the twenty-seven audited websites with an assessable listing interface displays accessibility on provider listing cards. The pattern is cons</w:t>
      </w:r>
    </w:p>
    <w:p>
      <w:pPr/>
      <w:r>
        <w:rPr>
          <w:b/>
        </w:rPr>
        <w:t>POSSIBLE 2026:</w:t>
      </w:r>
      <w:r>
        <w:t xml:space="preserve"> GHG emissions of all world countries — https://doi.org/10.2760/7717504</w:t>
      </w:r>
    </w:p>
    <w:p>
      <w:pPr/>
      <w:r>
        <w:rPr>
          <w:b/>
        </w:rPr>
        <w:t>Shared claim-specific concepts:</w:t>
      </w:r>
      <w:r>
        <w:t xml:space="preserve"> countries, ghg, until;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Mitigating farm-gate GHG emissions in low- and middle-income countries: The role of agricultural productivity — https://doi.org/10.1007/s11027-026-10316-2</w:t>
      </w:r>
    </w:p>
    <w:p>
      <w:pPr/>
      <w:r>
        <w:rPr>
          <w:b/>
        </w:rPr>
        <w:t>Shared claim-specific concepts:</w:t>
      </w:r>
      <w:r>
        <w:t xml:space="preserve"> countries, consistent, ghg, but, increased; EU scope not established. This is a provisional connection, not an outcome finding.</w:t>
      </w:r>
    </w:p>
    <w:p>
      <w:pPr>
        <w:pStyle w:val="SourceNote"/>
      </w:pPr>
      <w:r>
        <w:rPr>
          <w:b/>
        </w:rPr>
        <w:t>Available abstract (not full text):</w:t>
      </w:r>
      <w:r>
        <w:t xml:space="preserve"> Abstract Agriculture significantly contributes to global greenhouse gas emissions while facing increasing climate risks, raising concerns about balancing mitigation and food security. Productivity improvements consistent with Climate-Smart Agriculture are often seen as a way to reconcile this trade-off, but empirical evidence on their effects across sectors and development levels remains limited. This study examines the relationship between agricultural total factor productivity and emissions across farm-gate, crop, and livestock systems in low- to upper-middle-income countries spanning 1993–2021. Results show that population growth and food production are the primary drivers of emissions, reflecting strong production scale effects. In contrast, higher agricultural total factor productivity generally reduces emissions, partially offsetting pressures from increased output. However, this effect varies by income level and sector. Mitigation benefits are strongest in low-income countries and weaken with development, likely due to diminishing efficiency gains and rebound effects. Sectorally, productivity-driven emission reductions are most robust in crop production, moderate at the aggregate farm-gate level, and weakest in livestock systems, likely due to biological constraints. Overall, agricultural productivity growth can mitigates without compromising food security, but its effec</w:t>
      </w:r>
    </w:p>
    <w:p>
      <w:pPr/>
      <w:r>
        <w:rPr>
          <w:b/>
        </w:rPr>
        <w:t>POSSIBLE 2026:</w:t>
      </w:r>
      <w:r>
        <w:t xml:space="preserve"> The cost and benefit of GHG emissions and default risk — https://doi.org/10.1007/s10479-026-07193-y</w:t>
      </w:r>
    </w:p>
    <w:p>
      <w:pPr/>
      <w:r>
        <w:rPr>
          <w:b/>
        </w:rPr>
        <w:t>Shared claim-specific concepts:</w:t>
      </w:r>
      <w:r>
        <w:t xml:space="preserve"> ghg, reduction, per, increased;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rate;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countries, consistent, increased;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Monetary Determinants of House Prices in the European Countries — https://doi.org/10.15678/krem.18747</w:t>
      </w:r>
    </w:p>
    <w:p>
      <w:pPr/>
      <w:r>
        <w:rPr>
          <w:b/>
        </w:rPr>
        <w:t>Shared claim-specific concepts:</w:t>
      </w:r>
      <w:r>
        <w:t xml:space="preserve"> though, countries, rate, objective; EU scope visible. This is a provisional connection, not an outcome finding.</w:t>
      </w:r>
    </w:p>
    <w:p>
      <w:pPr>
        <w:pStyle w:val="SourceNote"/>
      </w:pPr>
      <w:r>
        <w:rPr>
          <w:b/>
        </w:rPr>
        <w:t>Available abstract (not full text):</w:t>
      </w:r>
      <w:r>
        <w:t xml:space="preserve"> Objective: The aim of this article is to investigate monetary policy effects on the house prices for the panel of 12 Central and Eastern European (CEE-12) countries, 12 small European countries (EU-12) and 5 largest European countries plus the UK (EU-6). Research Design &amp; Methods: A five-variable Panel Vector Autoregressive (PVAR) model is estimated for quarterly data from 2010Q1 to 2023Q2. Findings: An increase in the short-term interest rate has a depressing effect on the house prices in the European countries, along with higher inflation and exchange rate depreciation (to less extent). An increase of output over the business cycle brings about a temporary decrease in house prices in both CEE-12 and the EU-12 countries. As intuitively expected, a housing boom is expansionary and inflationary in all European countries, though with a different time profile. There is strong evidence of the interest rate response to house prices in the CEE-12 countries and the EU-12 countries (at longer horizons). Implications / Recommendations: This paper supports the proposals for using monetary tightening in response to the boom in the housing market. It is especially the case for the CEE countries where a two-way causality between the short-term interest rates and house prices seems to be particularly strong. Contribution: This paper contributes to studies of stabilisation properties of monet</w:t>
      </w:r>
    </w:p>
    <w:p>
      <w:pPr/>
      <w:r>
        <w:rPr>
          <w:b/>
        </w:rPr>
        <w:t>POSSIBLE 2026:</w:t>
      </w:r>
      <w:r>
        <w:t xml:space="preserve"> Modeling GHG Emissions Across Selected South Asian Countries Using a Unit Log‐Log Quantile Mixed Model — https://doi.org/10.1002/env.70132</w:t>
      </w:r>
    </w:p>
    <w:p>
      <w:pPr/>
      <w:r>
        <w:rPr>
          <w:b/>
        </w:rPr>
        <w:t>Shared claim-specific concepts:</w:t>
      </w:r>
      <w:r>
        <w:t xml:space="preserve"> countries, ghg; EU scope not established. This is a provisional connection, not an outcome finding.</w:t>
      </w:r>
    </w:p>
    <w:p>
      <w:pPr>
        <w:pStyle w:val="SourceNote"/>
      </w:pPr>
      <w:r>
        <w:rPr>
          <w:b/>
        </w:rPr>
        <w:t>Available abstract (not full text):</w:t>
      </w:r>
      <w:r>
        <w:t xml:space="preserve"> ABSTRACT This study examines greenhouse gas (GHG) emissions in South Asian countries by analyzing both their proportion relative to global emissions and total emissions, along with key country‐level determinants. To address the bounded (0‐1) and correlated nature of the GHG proportion, this study proposes a new Bayesian Unit Log‐Log Quantile Mixed Model (ULLQMM), and its performance was evaluated through Monte Carlo simulation. The ULLQMM is applied to investigate the associations between GHG proportion and time, population size, log(GDP), urban population growth, and renewable energy share in selected South Asian countries. Results show that time, population size, and urban population growth are positively associated with the proportion of GHG emissions, whereas renewable energy share and log(GDP) are negatively associated with the proportion of GHG emissions. Additionally, the association between total GHG emissions and key determinants: time, population size, log(GDP), urban population growth, and renewable energy share was analyzed using a Bayesian general linear mixed model. The results show that time, population size, and log(GDP) are positively associated with total GHG emissions, whereas renewable energy share and urban population growth are negatively associated. These findings underscore the critical role of demographic, economic, and energy‐related factors in shaping</w:t>
      </w:r>
    </w:p>
    <w:p>
      <w:pPr/>
      <w:r>
        <w:rPr>
          <w:b/>
        </w:rPr>
        <w:t>POSSIBLE 2026:</w:t>
      </w:r>
      <w:r>
        <w:t xml:space="preserve"> Solar Thermosyphon Energy Savings &amp; GHG Reduction Assessment Methods — https://doi.org/10.18777/ieashc-task69-2026-0004</w:t>
      </w:r>
    </w:p>
    <w:p>
      <w:pPr/>
      <w:r>
        <w:rPr>
          <w:b/>
        </w:rPr>
        <w:t>Shared claim-specific concepts:</w:t>
      </w:r>
      <w:r>
        <w:t xml:space="preserve"> countries, ghg, reduction, but; EU scope not established. This is a provisional connection, not an outcome finding.</w:t>
      </w:r>
    </w:p>
    <w:p>
      <w:pPr>
        <w:pStyle w:val="SourceNote"/>
      </w:pPr>
      <w:r>
        <w:rPr>
          <w:b/>
        </w:rPr>
        <w:t>Available abstract (not full text):</w:t>
      </w:r>
      <w:r>
        <w:t xml:space="preserve"> This report provides a comprehensive analysis of four primary methodologies for quantifying carbon emissions reduction in solar water heating (SWH) systems: the Clean Development Mechanism (CDM), Life Cycle Assessment (LCA), project-level technical specifications, and White Certification schemes. The CDM methodology, established under the Kyoto Protocol, offers a standardized framework for certifying emission reductions (CERs) through rigorous baseline scenario determination, project emission monitoring, and third-party verification. It has proven particularly effective in developing countries like China and India, where abundant solar resources and strong hot water demand create ideal conditions for SWH deployment. By displacing conventional energy sources (e.g., electricity, coal, or gas), CDM-compliant SWH projects demonstrate measurable GHG reductions, with transparency ensured through certified monitoring plans and UNFCCC-approved calculation formulas. For instance, baseline emissions are calculated using regional grid emission factors or IPCC fuel coefficients, while project emissions account for auxiliary energy consumption, ensuring accurate quantification of net carbon mitigation. This methodology not only supports global climate goals but also generates economic benefits through carbon credit trading, making it a cornerstone for international carbon mitigation project</w:t>
      </w:r>
    </w:p>
    <w:p>
      <w:pPr/>
      <w:r>
        <w:rPr>
          <w:b/>
        </w:rPr>
        <w:t>POSSIBLE 2026:</w:t>
      </w:r>
      <w:r>
        <w:t xml:space="preserve"> Does Digital Transformation Drive Economic Growth? Evidence From Asian And European Countries — https://doi.org/10.53866/ajirss.v5i1.1272</w:t>
      </w:r>
    </w:p>
    <w:p>
      <w:pPr/>
      <w:r>
        <w:rPr>
          <w:b/>
        </w:rPr>
        <w:t>Shared claim-specific concepts:</w:t>
      </w:r>
      <w:r>
        <w:t xml:space="preserve"> countries, per; EU scope visible. This is a provisional connection, not an outcome finding.</w:t>
      </w:r>
    </w:p>
    <w:p>
      <w:pPr>
        <w:pStyle w:val="SourceNote"/>
      </w:pPr>
      <w:r>
        <w:rPr>
          <w:b/>
        </w:rPr>
        <w:t>Available abstract (not full text):</w:t>
      </w:r>
      <w:r>
        <w:t xml:space="preserve"> This study investigates the impact of digital transformation on economic growth using panel data from selected Asian and European countries. It examines how key digitalization indicators shape differences in economic performance across regions with distinct structural and developmental characteristics. The analysis employs a fixed-effects panel model to control for unobserved country-specific heterogeneity. Descriptive statistics, correlation analysis, and robustness tests using Driscoll–Kraay standard errors are applied to address heteroscedasticity, autocorrelation, and cross-sectional dependence. Economic growth is measured by GDP per capita. Digital transformation is captured through internet usage, mobile subscriptions, ICT service exports, and high-technology exports. The model also includes control variables for infrastructure availability and trade openness. The results show that digital transformation significantly supports economic growth, although its effects vary across regions. Internet penetration, mobile connectivity, and ICT service exports have positive and statistically significant effects on GDP per capita, particularly in Asian economies. In contrast, high-technology exports are negatively associated with growth, indicating possible structural limitations and adjustment costs in technology-intensive sectors. The regional analysis suggests that Asian countrie</w:t>
      </w:r>
    </w:p>
    <w:p>
      <w:pPr/>
      <w:r>
        <w:rPr>
          <w:b/>
        </w:rPr>
        <w:t>POSSIBLE 2026:</w:t>
      </w:r>
      <w:r>
        <w:t xml:space="preserve"> Association between national regulatory frameworks and compulsory undergraduate palliative care education in Europe: a cross-sectional study of 55 countries — https://doi.org/10.1016/j.lanepe.2026.101871</w:t>
      </w:r>
    </w:p>
    <w:p>
      <w:pPr/>
      <w:r>
        <w:rPr>
          <w:b/>
        </w:rPr>
        <w:t>Shared claim-specific concepts:</w:t>
      </w:r>
      <w:r>
        <w:t xml:space="preserve"> though, countries, but; EU scope visible. This is a provisional connection, not an outcome finding.</w:t>
      </w:r>
    </w:p>
    <w:p>
      <w:pPr>
        <w:pStyle w:val="SourceNote"/>
      </w:pPr>
      <w:r>
        <w:rPr>
          <w:b/>
        </w:rPr>
        <w:t>Available abstract (not full text):</w:t>
      </w:r>
      <w:r>
        <w:t xml:space="preserve"> Background Universal access to basic palliative care (PC) requires that future health professionals receive undergraduate training. Despite long-standing European and international commitments, compulsory undergraduate PC education remains unevenly implemented. National regulatory frameworks may determine whether PC is systematically included in medical curricula. We examined whether the existence and type of national regulatory frameworks are associated with compulsory undergraduate PC education in medicine across 55 European countries. Methods We conducted a cross-sectional observational study using harmonised indicators from the European Association for Palliative Care (EAPC) Atlas of Palliative Care in Europe 2025 to assess compulsory and optional PC teaching in medical schools across 55 European countries, together with national academic capacity. A targeted documentary review classified regulatory frameworks as Binding, Non-Binding, or No Regulation. Differences in coverage were analysed using Kruskal–Wallis and Mann–Whitney U tests with Bonferroni adjustment. Findings Fifteen of 55 countries (27%) achieved full compulsory PC teaching in all medical schools, while 17 of 55 (31%) reported none. Among the remaining countries, 9 of 55 (16%) showed high but incomplete coverage (50–99% of medical schools) and 10 of 55 (18%) showed low but non-zero coverage (below 50%); four of</w:t>
      </w:r>
    </w:p>
    <w:p>
      <w:pPr>
        <w:pStyle w:val="Heading2"/>
      </w:pPr>
      <w:r>
        <w:t>522. Balancing GHG mitigation and land-use conflicts: Alternative Northern European energy system scenarios</w:t>
      </w:r>
    </w:p>
    <w:p>
      <w:pPr>
        <w:pStyle w:val="SourceNote"/>
      </w:pPr>
      <w:r>
        <w:rPr>
          <w:b/>
        </w:rPr>
        <w:t>Original source (2022):</w:t>
      </w:r>
      <w:r>
        <w:t xml:space="preserve"> https://doi.org/10.1016/j.apenergy.2022.118557</w:t>
      </w:r>
    </w:p>
    <w:p>
      <w:pPr/>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show, least-cost, countries, energy, less, system;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2026:</w:t>
      </w:r>
      <w:r>
        <w:t xml:space="preserve"> Modelling land use transition through social learning — https://openalex.org/W7158432336</w:t>
      </w:r>
    </w:p>
    <w:p>
      <w:pPr/>
      <w:r>
        <w:rPr>
          <w:b/>
        </w:rPr>
        <w:t>Shared claim-specific concepts:</w:t>
      </w:r>
      <w:r>
        <w:t xml:space="preserve"> show, land, both, less; EU scope not established. This is a provisional connection, not an outcome finding.</w:t>
      </w:r>
    </w:p>
    <w:p>
      <w:pPr>
        <w:pStyle w:val="SourceNote"/>
      </w:pPr>
      <w:r>
        <w:rPr>
          <w:b/>
        </w:rPr>
        <w:t>Available abstract (not full text):</w:t>
      </w:r>
      <w:r>
        <w:t xml:space="preserve"> Land use transition toward multifunctional practices is greatly affected by social learning, yet the temporal interaction between learning mechanisms and network structure remains underexplored. This study examines two social learning channels, information exchange and normative pressure, and how network architecture shapes their effects on transition outcomes. We developed SALT (Social learning in Agent-based Land use Transitions), a spatially explicit model that integrates the Consumat framework and reinforcement learning. The model is parameterized using a Swedish forestry context, simulating landowner adaptive decisions under integrated and modular social networks. Results show that the two channels play distinct roles across transition phases. Lack of knowledge limits adoption in early adoption. Individual experience is the main source of knowledge accumulation, and social learning alone cannot close the knowledge gap. As adoption spreads, normative pressure constrains implementation intensity to the prevailing local average, explaining the gap between behavioral and actual landscape changes. Network architecture shapes both channels. Integrated networks widen information exchange and allow alternative-use norms to strengthen over time, while modular networks restrict information circulation and lock in low-implementation local norms. Landscape change organizes along socia</w:t>
      </w:r>
    </w:p>
    <w:p>
      <w:pPr/>
      <w:r>
        <w:rPr>
          <w:b/>
        </w:rPr>
        <w:t>POSSIBLE 2026:</w:t>
      </w:r>
      <w:r>
        <w:t xml:space="preserve"> Interannual weather variability reshapes Europe’s cost-optimal hydrogen supply strategy — https://doi.org/10.1016/j.crsus.2026.100836</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design of the future European energy system depends heavily on how Europe balances its domestic hydrogen production against its reliance on imports. This study reveals that neither extreme—full self-sufficiency nor complete reliance on imports—is economically optimal through 2050. Using a high-resolution energy system model accounting for interannual weather variability, we find import cost thresholds favoring green domestic production decrease from €90/MWh (2030) to €75/MWh (2050). However, weather can shift the optimal import share by up to 60% points at constant prices. Strategies with a high import share minimize the need for domestic renewable energy and electrolyzers but require significant investment in long-distance transportation, backup electricity capacity, and storage. Conversely, achieving full self-sufficiency demands massive domestic infrastructure, including around 1,300 GW of electrolysis by 2050. These findings highlight the critical need for diversified hydrogen strategies that balance cost, system flexibility, and energy sovereignty.</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land, also, less;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Geospatial Planning for Least-Cost Electrification in Developing Countries — https://doi.org/10.3390/en18071784</w:t>
      </w:r>
    </w:p>
    <w:p>
      <w:pPr/>
      <w:r>
        <w:rPr>
          <w:b/>
        </w:rPr>
        <w:t>Shared claim-specific concepts:</w:t>
      </w:r>
      <w:r>
        <w:t xml:space="preserve"> least-cost, countries, also, both; EU scope not established. This is a provisional connection, not an outcome finding.</w:t>
      </w:r>
    </w:p>
    <w:p>
      <w:pPr>
        <w:pStyle w:val="SourceNote"/>
      </w:pPr>
      <w:r>
        <w:rPr>
          <w:b/>
        </w:rPr>
        <w:t>Available abstract (not full text):</w:t>
      </w:r>
      <w:r>
        <w:t xml:space="preserve">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show, land, modeled, countries, wind, solar;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Assimilating ESA CCI land surface temperature into the ORCHIDEE land surface model: insights from a multi-site study across Europe — https://doi.org/10.5194/hess-29-261-2025</w:t>
      </w:r>
    </w:p>
    <w:p>
      <w:pPr/>
      <w:r>
        <w:rPr>
          <w:b/>
        </w:rPr>
        <w:t>Shared claim-specific concepts:</w:t>
      </w:r>
      <w:r>
        <w:t xml:space="preserve"> land, modeled, energy, also, both, system; EU scope visible. This is a provisional connection, not an outcome finding.</w:t>
      </w:r>
    </w:p>
    <w:p>
      <w:pPr>
        <w:pStyle w:val="SourceNote"/>
      </w:pPr>
      <w:r>
        <w:rPr>
          <w:b/>
        </w:rPr>
        <w:t>Available abstract (not full text):</w:t>
      </w:r>
      <w:r>
        <w:t xml:space="preserve"> Abstract. Land surface temperature (LST) plays an essential role in water and energy exchanges between Earth’s surface and atmosphere. Recent advancements in high-quality satellite-derived LST data and land data assimilation systems present a unique opportunity to bridge the gap between global observational data and land surface models (LSMs) to better constrain the water/energy budgets in a changing climate. In this vein, this study focuses on the assimilation of the ESA-CCI LST product into the ORCHIDEE LSM (the continental part of the IPSL Earth System Model) with the aim of optimizing key parameters to improve the simulations of LST and surface energy fluxes. We use the land data assimilation system for the ORCHIDEE model (ORCHIDAS) to conduct a series of synthetic twin data assimilation experiments accounting for real data availability and uncertainty from ESA-CCI LST to find an optimal strategy for assimilating LST. Here, we test different strategies of assimilation, notably investigating: i) two optimization methods (random-search and gradient-based) and ii) different ways to assimilate LST using the only raw data and/or different characteristics of the LST diurnal cycle (e.g. mean daily, daily amplitude, maximum and minimum temperatures, morning and afternoon gradients). Upon identifying the optimal approach, we use it to assimilate ESA-CCI LST data across 34 sites in E</w:t>
      </w:r>
    </w:p>
    <w:p>
      <w:pPr/>
      <w:r>
        <w:rPr>
          <w:b/>
        </w:rPr>
        <w:t>POSSIBLE 2025:</w:t>
      </w:r>
      <w:r>
        <w:t xml:space="preserve"> Estimating the Economic Cost of Land Degradation and Desertification in Morocco — https://doi.org/10.3390/land14040837</w:t>
      </w:r>
    </w:p>
    <w:p>
      <w:pPr/>
      <w:r>
        <w:rPr>
          <w:b/>
        </w:rPr>
        <w:t>Shared claim-specific concepts:</w:t>
      </w:r>
      <w:r>
        <w:t xml:space="preserve"> land, wind; EU scope not established. This is a provisional connection, not an outcome finding.</w:t>
      </w:r>
    </w:p>
    <w:p>
      <w:pPr>
        <w:pStyle w:val="SourceNote"/>
      </w:pPr>
      <w:r>
        <w:rPr>
          <w:b/>
        </w:rPr>
        <w:t>Available abstract (not full text):</w:t>
      </w:r>
      <w:r>
        <w:t xml:space="preserve"> Desertification affects over 90% of Moroccan territory, leading to soil degradation that reduces agricultural productivity, diminishes biodiversity, and alters environmental functions. This study estimates the total economic cost of desertification in Morocco using a zonal approach based on regional sensitivity. The methodology includes two stages: quantifying productivity losses from water and wind erosion, salinization, overgrazing, silting of dams, carbon storage loss, and land-use changes; and monetizing impacts using methods such as productivity change, replacement cost, and the social cost of carbon. The total cost is estimated at USD 2.1 billion per year, with 78.02% from agricultural and grazing land productivity losses, 2.95% from dam silting, 18.47% from carbon storage loss, and 0.56% from land-use changes. These findings underscore the urgency of public policies, including land use planning, sustainable agriculture, irrigation modernization, and community engagement. Drawing on successful initiatives in the MENA region and globally, Morocco can mitigate desertification’s impacts and foster sustainable development.</w:t>
      </w:r>
    </w:p>
    <w:p>
      <w:pPr/>
      <w:r>
        <w:rPr>
          <w:b/>
        </w:rPr>
        <w:t>POSSIBLE 2025:</w:t>
      </w:r>
      <w:r>
        <w:t xml:space="preserve"> The Cost-Effectiveness of Renewable Energy Sources in the European Union’s Ecological Economic Framework — https://doi.org/10.3390/su17104715</w:t>
      </w:r>
    </w:p>
    <w:p>
      <w:pPr/>
      <w:r>
        <w:rPr>
          <w:b/>
        </w:rPr>
        <w:t>Shared claim-specific concepts:</w:t>
      </w:r>
      <w:r>
        <w:t xml:space="preserve"> countries, onshore, wind, solar, energy, offshore; EU scope visible. This is a provisional connection, not an outcome finding.</w:t>
      </w:r>
    </w:p>
    <w:p>
      <w:pPr>
        <w:pStyle w:val="SourceNote"/>
      </w:pPr>
      <w:r>
        <w:rPr>
          <w:b/>
        </w:rPr>
        <w:t>Available abstract (not full text):</w:t>
      </w:r>
      <w:r>
        <w:t xml:space="preserve"> Evaluating the competitiveness of electricity is the most important issue. The main aim of this study was to determine the cost-effectiveness of renewable energy production in the European Union (EU) using the levelized cost competitiveness of renewable energy sources. The weighted average cost of capital (WACC) for onshore wind was calculated for European (EU) countries. The levelized cost of electricity (LCOE) approach was used to evaluate the energy costs of renewable energy sources. Energy production costs were compared across different technologies. The capital expenditures associated with solar PV are expected to decrease from USD 810/kW in 2021 to USD 360/kW in 2050. The power factor will remain stable at 14% during the analyzed period. Fuel, CO2, and operation and maintenance (O&amp;M) costs will be maintained at USD 10/MWh at all three time points of the analysis (2021, 2030, and 2050), whereas the LCOE will decrease from USD 50/MWh in 2021 to USD 25/MWh in 2050. The capital expenditures associated with onshore wind energy will decrease from USD 1590/kW in 2021 to USD 1410/kW in 2050. The power factor will increase from 29% to 30%, and fuel, CO2, and O&amp;M costs will reach USD 15/MWh in all three years. The LCOE will decrease from USD 55/MWh in 2021 to USD 45/MWh in 2050. In offshore wind projects, capital expenditures are expected to decrease considerably from USD 3040/kW i</w:t>
      </w:r>
    </w:p>
    <w:p>
      <w:pPr/>
      <w:r>
        <w:rPr>
          <w:b/>
        </w:rPr>
        <w:t>POSSIBLE 2025:</w:t>
      </w:r>
      <w:r>
        <w:t xml:space="preserve"> Land of opportunities: aligning organic farming and conservation targets in Europe — https://doi.org/10.1080/09640568.2025.2504520</w:t>
      </w:r>
    </w:p>
    <w:p>
      <w:pPr/>
      <w:r>
        <w:rPr>
          <w:b/>
        </w:rPr>
        <w:t>Shared claim-specific concepts:</w:t>
      </w:r>
      <w:r>
        <w:t xml:space="preserve"> land, both, areas, less; EU scope visible. This is a provisional connection, not an outcome finding.</w:t>
      </w:r>
    </w:p>
    <w:p>
      <w:pPr>
        <w:pStyle w:val="SourceNote"/>
      </w:pPr>
      <w:r>
        <w:rPr>
          <w:b/>
        </w:rPr>
        <w:t>Available abstract (not full text):</w:t>
      </w:r>
      <w:r>
        <w:t xml:space="preserve"> In the face of growing environmental challenges, the European Green Deal sets ambitious targets for 2030, including strictly protecting 10% of the EU’s land area and expanding organic farming to 25% of agricultural land. To navigate the potentially competing land use demands of these goals, we develop a spatially explicit partial equilibrium model that analyzes the implementation of these targets both independently and concurrently at the EU and national levels. Results indicate that the 25% organic farming target is the restricting constraint with high marginal costs, leading to less cropland use, higher land prices, and higher farming revenues. Consumers would see an increase in average commodity prices of up to 50%. Policy instruments could counteract these effects to ensure the acceptance and increased demand for organic products and reduce environmental leakage to the rest of the world. Less than 1% of cropland area in the EU is needed to fulfill the strict protection target. Hence, the co-fulfillment of both targets incurs minimal land-use conflicts. Half of the newly strictly protected areas are re-designations of already protected areas. Thus, a comprehensive approach that combines expansion with proper management is crucial to achieving conservation goals. This study highlights the need for a comprehensive approach that balances biodiversity conservation and agricultur</w:t>
      </w:r>
    </w:p>
    <w:p>
      <w:pPr/>
      <w:r>
        <w:rPr>
          <w:b/>
        </w:rPr>
        <w:t>POSSIBLE 2025:</w:t>
      </w:r>
      <w:r>
        <w:t xml:space="preserve"> Prediction of Spot Instances prices in AWS Automated solution for cost optimization — https://doi.org/10.58944/libs8413</w:t>
      </w:r>
    </w:p>
    <w:p>
      <w:pPr/>
      <w:r>
        <w:rPr>
          <w:b/>
        </w:rPr>
        <w:t>Shared claim-specific concepts:</w:t>
      </w:r>
      <w:r>
        <w:t xml:space="preserve"> solution, also, system; EU scope not established. This is a provisional connection, not an outcome finding.</w:t>
      </w:r>
    </w:p>
    <w:p>
      <w:pPr>
        <w:pStyle w:val="SourceNote"/>
      </w:pPr>
      <w:r>
        <w:rPr>
          <w:b/>
        </w:rPr>
        <w:t>Available abstract (not full text):</w:t>
      </w:r>
      <w:r>
        <w:t xml:space="preserve"> Developing applications for managing and optimizing cloud resources is a necessity in the modern era, especially for startups looking to increase performance with a limited budget. This paper focuses on creating a system for predicting Spot Instances prices on Amazon Web Services (AWS), using a data-driven approach and artificial intelligence to help users make automated decisions on the use of cloud resources. The problem addressed by this study is related to the volatility and unpredictability of Spot instance prices, which, although offering a low-cost alternative to on-demand instances, can lead to unexpected service outages if not managed properly. To address this challenge, this paper explores the possibility of building a reliable ML model that aims to predict Spot Instances prices by analyzing historical data. The proposed approach aims to assess whether the use of this model can help Albanian startups optimize the cost of cloud infrastructure and make more informed decisions about the use of instances. To achieve this objective, a methodology was followed that combines historical data analysis, training a regression model with the XGBoost algorithm, and its implementation through cloud-native technologies. The model was packaged with Docker and distributed on AWS via Elastic Container Registry (ECR), while execution was performed in an AWS Lambda function connected to </w:t>
      </w:r>
    </w:p>
    <w:p>
      <w:pPr/>
      <w:r>
        <w:rPr>
          <w:b/>
        </w:rPr>
        <w:t>POSSIBLE 2025:</w:t>
      </w:r>
      <w:r>
        <w:t xml:space="preserve"> Are Deposit–Return Schemes an Optimal Solution for Beverage Container Collection in the European Union? An Evidence Review — https://doi.org/10.3390/su17198791</w:t>
      </w:r>
    </w:p>
    <w:p>
      <w:pPr/>
      <w:r>
        <w:rPr>
          <w:b/>
        </w:rPr>
        <w:t>Shared claim-specific concepts:</w:t>
      </w:r>
      <w:r>
        <w:t xml:space="preserve"> solution, countries, both, reduced; EU scope visible. This is a provisional connection, not an outcome finding.</w:t>
      </w:r>
    </w:p>
    <w:p>
      <w:pPr>
        <w:pStyle w:val="SourceNote"/>
      </w:pPr>
      <w:r>
        <w:rPr>
          <w:b/>
        </w:rPr>
        <w:t>Available abstract (not full text):</w:t>
      </w:r>
      <w:r>
        <w:t xml:space="preserve"> The insufficient effectiveness of the European packaging waste policy has prompted the European Union to adopt more decisive measures in 2025. The Packaging and Packaging Waste Regulation of 2024 obliges Member States to use deposit–return systems to achieve high collection rates for beverage packaging and, as a result, to enhance packaging circularity. As evidence supporting this approach, i.e., that deposit systems indeed are an efficient solution for packaging waste collection, is still scattered, this article provides a systematic review of the evidence on various aspects of the use of deposit systems. A key finding of our review is that both scientific and empirical evidence support the European Union’s decision to make deposit–return systems mandatory: in European countries that have fully operational systems, the collection rates of packaging covered by these systems exceeded 85%. In addition to this positive contribution to packaging circularity, a significant (40–60%) reduction in littering is reported after implementation of the deposit systems. A significant novelty of this review is the presentation of the latest empirical data suggesting that deposit systems may be comparable to alternative collection methods in terms of costs to producers. Comprehensive assessments conducted using the cost–benefit analysis methods confirm that deposit systems generate net social b</w:t>
      </w:r>
    </w:p>
    <w:p>
      <w:pPr>
        <w:pStyle w:val="Heading2"/>
      </w:pPr>
      <w:r>
        <w:t>523. Business ecosystems and the view from the future: The use of corporate foresight by stakeholders of the Ro-Ro shipping ecosystem in the Baltic Sea Region</w:t>
      </w:r>
    </w:p>
    <w:p>
      <w:pPr>
        <w:pStyle w:val="SourceNote"/>
      </w:pPr>
      <w:r>
        <w:rPr>
          <w:b/>
        </w:rPr>
        <w:t>Original source (2022):</w:t>
      </w:r>
      <w:r>
        <w:t xml:space="preserve"> https://doi.org/10.1016/j.techfore.2022.121966</w:t>
      </w:r>
    </w:p>
    <w:p>
      <w:pPr/>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POSSIBLE 2026:</w:t>
      </w:r>
      <w:r>
        <w:t xml:space="preserve"> Corporate foresight and innovation: The mediating role of innovation culture — https://openalex.org/W7221733502</w:t>
      </w:r>
    </w:p>
    <w:p>
      <w:pPr/>
      <w:r>
        <w:rPr>
          <w:b/>
        </w:rPr>
        <w:t>Shared claim-specific concepts:</w:t>
      </w:r>
      <w:r>
        <w:t xml:space="preserve"> corporate, foresight, complementary; EU scope visible. This is a provisional connection, not an outcome finding.</w:t>
      </w:r>
    </w:p>
    <w:p>
      <w:pPr>
        <w:pStyle w:val="SourceNote"/>
      </w:pPr>
      <w:r>
        <w:rPr>
          <w:b/>
        </w:rPr>
        <w:t>Available abstract (not full text):</w:t>
      </w:r>
      <w:r>
        <w:t xml:space="preserve">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pPr/>
      <w:r>
        <w:rPr>
          <w:b/>
        </w:rPr>
        <w:t>POSSIBLE 2026:</w:t>
      </w:r>
      <w:r>
        <w:t xml:space="preserve"> Anticipating tomorrow: The role of corporate foresight and prospective sensemaking in managing digital changes by established organizations — https://doi.org/10.1111/emre.70054</w:t>
      </w:r>
    </w:p>
    <w:p>
      <w:pPr/>
      <w:r>
        <w:rPr>
          <w:b/>
        </w:rPr>
        <w:t>Shared claim-specific concepts:</w:t>
      </w:r>
      <w:r>
        <w:t xml:space="preserve"> corporate, foresight, tools; EU scope visible. This is a provisional connection, not an outcome finding.</w:t>
      </w:r>
    </w:p>
    <w:p>
      <w:pPr>
        <w:pStyle w:val="SourceNote"/>
      </w:pPr>
      <w:r>
        <w:rPr>
          <w:b/>
        </w:rPr>
        <w:t>Available abstract (not full text):</w:t>
      </w:r>
      <w:r>
        <w:t xml:space="preserve">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pPr/>
      <w:r>
        <w:rPr>
          <w:b/>
        </w:rPr>
        <w:t>POSSIBLE 2026:</w:t>
      </w:r>
      <w:r>
        <w:t xml:space="preserve"> Foresight: the general course. Foresight technology as a tool for innovative development — https://doi.org/10.12737/2223654</w:t>
      </w:r>
    </w:p>
    <w:p>
      <w:pPr/>
      <w:r>
        <w:rPr>
          <w:b/>
        </w:rPr>
        <w:t>Shared claim-specific concepts:</w:t>
      </w:r>
      <w:r>
        <w:t xml:space="preserve"> corporate, foresight, applied, including; EU scope not established. This is a provisional connection, not an outcome finding.</w:t>
      </w:r>
    </w:p>
    <w:p>
      <w:pPr>
        <w:pStyle w:val="SourceNote"/>
      </w:pPr>
      <w:r>
        <w:rPr>
          <w:b/>
        </w:rPr>
        <w:t>Available abstract (not full text):</w:t>
      </w:r>
      <w:r>
        <w:t xml:space="preserve">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pPr/>
      <w:r>
        <w:rPr>
          <w:b/>
        </w:rPr>
        <w:t>POSSIBLE 2026:</w:t>
      </w:r>
      <w:r>
        <w:t xml:space="preserve"> Double AI Simulations Supported by Synthetic Data in Smart Tourism Innovation for Corporate Foresight — https://doi.org/10.4324/9781003661368-11</w:t>
      </w:r>
    </w:p>
    <w:p>
      <w:pPr/>
      <w:r>
        <w:rPr>
          <w:b/>
        </w:rPr>
        <w:t>Shared claim-specific concepts:</w:t>
      </w:r>
      <w:r>
        <w:t xml:space="preserve"> corporate, foresight, applied, only; EU scope not established. This is a provisional connection, not an outcome finding.</w:t>
      </w:r>
    </w:p>
    <w:p>
      <w:pPr>
        <w:pStyle w:val="SourceNote"/>
      </w:pPr>
      <w:r>
        <w:rPr>
          <w:b/>
        </w:rPr>
        <w:t>Available abstract (not full text):</w:t>
      </w:r>
      <w:r>
        <w:t xml:space="preserve">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pPr/>
      <w:r>
        <w:rPr>
          <w:b/>
        </w:rPr>
        <w:t>POSSIBLE 2026:</w:t>
      </w:r>
      <w:r>
        <w:t xml:space="preserve"> Evaluating the Role of Strategic Foresight in Enhancing Corporate Governance: An Analytical Study at the Baghdad Provincial Council — https://doi.org/10.59992/ijfaes.2026.v5n4p4</w:t>
      </w:r>
    </w:p>
    <w:p>
      <w:pPr/>
      <w:r>
        <w:rPr>
          <w:b/>
        </w:rPr>
        <w:t>Shared claim-specific concepts:</w:t>
      </w:r>
      <w:r>
        <w:t xml:space="preserve"> corporate, foresight, including; EU scope not established. This is a provisional connection, not an outcome finding.</w:t>
      </w:r>
    </w:p>
    <w:p>
      <w:pPr>
        <w:pStyle w:val="SourceNote"/>
      </w:pPr>
      <w:r>
        <w:rPr>
          <w:b/>
        </w:rPr>
        <w:t>Available abstract (not full text):</w:t>
      </w:r>
      <w:r>
        <w:t xml:space="preserve">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pPr/>
      <w:r>
        <w:rPr>
          <w:b/>
        </w:rPr>
        <w:t>POSSIBLE 2026:</w:t>
      </w:r>
      <w:r>
        <w:t xml:space="preserve"> Decision-Oriented Foresight for Transforming Entrepreneurial Ecosystems toward 2040 — https://doi.org/10.24023/futurejournal/2175-5825/2026.v18i1.986</w:t>
      </w:r>
    </w:p>
    <w:p>
      <w:pPr/>
      <w:r>
        <w:rPr>
          <w:b/>
        </w:rPr>
        <w:t>Shared claim-specific concepts:</w:t>
      </w:r>
      <w:r>
        <w:t xml:space="preserve"> foresight, applied, ecosystem; EU scope not established. This is a provisional connection, not an outcome finding.</w:t>
      </w:r>
    </w:p>
    <w:p>
      <w:pPr>
        <w:pStyle w:val="SourceNote"/>
      </w:pPr>
      <w:r>
        <w:rPr>
          <w:b/>
        </w:rPr>
        <w:t>Available abstract (not full text):</w:t>
      </w:r>
      <w:r>
        <w:t xml:space="preserve"> Objective: This study aims to identify and operationalize the most strategic future scenario for transforming Ecuador’s entrepreneurial ecosystem toward 2040, addressing the gap between high entrepreneurial activity and limited structural transformation through a decision-oriented foresight approach. Originality/Value: The article advances strategic foresight by shifting the focus from scenario construction to scenario selection and commitment. It introduces a transparent and replicable framework that integrates participatory criteria definition and multi-criteria decision analysis to legitimize strategic choice in fragmented and uncertain contexts. Methods: A multi-method design was applied. Causal Layered Analysis was used to construct four alternative future scenarios. A high-competence expert panel was selected using the K coefficient method. Strategic evaluation criteria were prioritized through the Régnier Abacus, and scenarios were ranked using the Analytic Hierarchy Process. The selected scenario was operationalized through strategic roadmapping with backcasting to 2040. Results: The results identify a science- and technology-based entrepreneurial ecosystem as the most strategic scenario, achieving the highest global priority by balancing relevance, feasibility, desirability, and transformative capacity. Relevance and feasibility were weighted more strongly than radical</w:t>
      </w:r>
    </w:p>
    <w:p>
      <w:pPr/>
      <w:r>
        <w:rPr>
          <w:b/>
        </w:rPr>
        <w:t>POSSIBLE 2026:</w:t>
      </w:r>
      <w:r>
        <w:t xml:space="preserve"> Architecting Multi-Agent Generative AI Ecosystems for Predictive Market Simulation and Strategic Foresight — https://doi.org/10.48175/ijarsct-35811</w:t>
      </w:r>
    </w:p>
    <w:p>
      <w:pPr/>
      <w:r>
        <w:rPr>
          <w:b/>
        </w:rPr>
        <w:t>Shared claim-specific concepts:</w:t>
      </w:r>
      <w:r>
        <w:t xml:space="preserve"> foresight, actors, including; EU scope not established. This is a provisional connection, not an outcome finding.</w:t>
      </w:r>
    </w:p>
    <w:p>
      <w:pPr>
        <w:pStyle w:val="SourceNote"/>
      </w:pPr>
      <w:r>
        <w:rPr>
          <w:b/>
        </w:rPr>
        <w:t>Available abstract (not full text):</w:t>
      </w:r>
      <w:r>
        <w:t xml:space="preserve"> Traditional business analytics relies heavily on historical data, rendering it ineffective at predicting unprecedented market disruptions, non-linear consumer behavioural shifts, or structural black swan events. This paper introduces a ground breaking framework: Generative Predictive Market Simulation (GPMS). By utilizing specialized, multi-agent Large Language Model (LLM) ecosystems, we construct highly expressive synthetic market environments. These autonomous digital agents are encoded with specific psychographic profiles, architectural memory constraints, budgetary limitations, and historical cognitive biases. Unlike traditional rule-based agent models, these generative actors exhibit semantic reasoning, emergent micro-interactions, and adaptive decision-making capabilities. We detail the three-tiered system architecture consisting of an Agent Definition Layer, a Simulation Environment, and an Analytics Extraction Layer. Furthermore, we evaluate empirical results from a 1,000-agent validation deployment simulating consumer response to a disruptive subscription-based financial technology service over a 12-month horizon. The simulation generated an adoption curve highly congruent with subsequent empirical test-market trajectories, achieving an R² value of 0.88, while capturing complex qualitative market dynamics such as privacy-related consumer backlashes. Finally, we explore</w:t>
      </w:r>
    </w:p>
    <w:p>
      <w:pPr/>
      <w:r>
        <w:rPr>
          <w:b/>
        </w:rPr>
        <w:t>POSSIBLE 2026:</w:t>
      </w:r>
      <w:r>
        <w:t xml:space="preserve"> Corporate foresight among small- and medium-sized enterprises in forest-based bioeconomy: conceptual framework and empirical evidence from Finland — https://doi.org/10.1139/cjfr-2025-0274</w:t>
      </w:r>
    </w:p>
    <w:p>
      <w:pPr/>
      <w:r>
        <w:rPr>
          <w:b/>
        </w:rPr>
        <w:t>Shared claim-specific concepts:</w:t>
      </w:r>
      <w:r>
        <w:t xml:space="preserve"> corporate, foresight, complementary, rather; EU scope visible. This is a provisional connection, not an outcome finding.</w:t>
      </w:r>
    </w:p>
    <w:p>
      <w:pPr>
        <w:pStyle w:val="SourceNote"/>
      </w:pPr>
      <w:r>
        <w:rPr>
          <w:b/>
        </w:rPr>
        <w:t>Available abstract (not full text):</w:t>
      </w:r>
      <w:r>
        <w:t xml:space="preserve"> Empirical evidence on how corporate foresight is conducted in small- and medium-sized enterprises (SMEs) remains scarce. Our study constructed a practical framework by comparing the theoretical elements of corporate foresight found in existing literature with corporate foresight practices identified in Finnish forest-based bioeconomy SMEs. The empirical part relied on a mixed method approach consisting of interviews with 15 company managers and a complementary questionnaire dataset from 53 representatives of Finnish forest-based SMEs. According to the empirical findings, foresight practices predominantly relate to short-term operational planning conducted within each SME and its business field. However, the findings cannot be generalised to all SMEs due to convenience sampling and the rather low response rate in the survey (11%). Adoption of the proposed corporate foresight framework could help companies recognise the full value of the foresight practices that they are already conducting and facilitate taking steps toward implementing these practices more effectively. Integrating open and collaborative approaches into the longer-term future planning of SMEs can provide alternative insights of futures as opposed to trying to predict the future, thus supporting the reconfigurations of operations and renewal of organisational culture within the uncertain and complex operating envi</w:t>
      </w:r>
    </w:p>
    <w:p>
      <w:pPr/>
      <w:r>
        <w:rPr>
          <w:b/>
        </w:rPr>
        <w:t>POSSIBLE 2026:</w:t>
      </w:r>
      <w:r>
        <w:t xml:space="preserve"> The next episode for narrative foresight — https://doi.org/10.1016/j.futures.2026.103876</w:t>
      </w:r>
    </w:p>
    <w:p>
      <w:pPr/>
      <w:r>
        <w:rPr>
          <w:b/>
        </w:rPr>
        <w:t>Shared claim-specific concepts:</w:t>
      </w:r>
      <w:r>
        <w:t xml:space="preserve"> foresight, tools, engage, only;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A Roadmap for Evaluating Foresight Initiatives — https://doi.org/10.5281/zenodo.18092300</w:t>
      </w:r>
    </w:p>
    <w:p>
      <w:pPr/>
      <w:r>
        <w:rPr>
          <w:b/>
        </w:rPr>
        <w:t>Shared claim-specific concepts:</w:t>
      </w:r>
      <w:r>
        <w:t xml:space="preserve"> corporate, foresight, diverse, strategy; EU scope not established. This is a provisional connection, not an outcome finding.</w:t>
      </w:r>
    </w:p>
    <w:p>
      <w:pPr>
        <w:pStyle w:val="SourceNote"/>
      </w:pPr>
      <w:r>
        <w:rPr>
          <w:b/>
        </w:rPr>
        <w:t>Available abstract (not full text):</w:t>
      </w:r>
      <w:r>
        <w:t xml:space="preserve"> As strategic foresight evolves into a critical tool for facing uncertain and complex environments, the systematic evaluation of foresight activities has emerged as essential for building organizational resilience, credibility, and actionable impact. This study addresses this vital yet underexplored domain by developing a practical roadmap that transforms creative futures thinking into defensible, measurable knowledge trusted by decision-makers. Drawing on layered conceptual analysis, established frameworks from leading scholars and institutions, and practical insights across sectors, the research proposes specific, adaptable steps for evaluators to achieve robust outcomes. It effectively bridges the tension between imaginative exploration and empirical rigor while accommodating diverse cultural, sectoral, and stakeholder perspectives. Real-world vignettes from corporate transformations and public-sector initiatives vividly demonstrate how rigorous, context-sensitive evaluation legitimizes foresight investments, enhances adaptive capacity and agility, and seamlessly integrates futures thinking into core strategy formulation and execution. This study equips foresight practitioners, corporate leaders, policymakers, educators, and researchers with an overview of maturity models, readiness indexes, and mixed-method approaches to design, implement, and refine evaluation processes.</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corporate, foresight, complementary, only, shared;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Complementing Scenario Planning to the Strategic Value of Corporate War Gaming for Foresight and Decision-Making — https://doi.org/10.32479/irmm.23377</w:t>
      </w:r>
    </w:p>
    <w:p>
      <w:pPr/>
      <w:r>
        <w:rPr>
          <w:b/>
        </w:rPr>
        <w:t>Shared claim-specific concepts:</w:t>
      </w:r>
      <w:r>
        <w:t xml:space="preserve"> corporate, foresight, complementary; EU scope not established. This is a provisional connection, not an outcome finding.</w:t>
      </w:r>
    </w:p>
    <w:p>
      <w:pPr>
        <w:pStyle w:val="SourceNote"/>
      </w:pPr>
      <w:r>
        <w:rPr>
          <w:b/>
        </w:rPr>
        <w:t>Available abstract (not full text):</w:t>
      </w:r>
      <w:r>
        <w:t xml:space="preserve"> Corporate war gaming is becoming more widely regarded as a complementary approach to classic scenario planning in assisting organizations during uncertain and complex times. Scenario planning has been used for decades to prepare for uncertain exogenous circumstances and provide long-haul foresight, but its descriptive and narrative approach does not appropriately capture competitive dynamics and hidden risks. Corporate war gaming offers experiential, role-play simulations that progressively stress-test strategies against adversarial environments and responses from stakeholders. This paper examines how corporate war gaming complements scenario planning and ultimately creates value in an organization's decision-making process. Qualitative research design was employed in this study to answer this question by leveraging semi-structured interviews with fourteen individuals who acted as key informants across various sectors, and data were analyzed using Braun and Clarke’s thematic analysis process. The findings produced six themes—active simulation, strategic agility and readiness, revelation of blind spots, integration of competitors and stakeholders’ perspective, cross-functional collaboration, and multi-level application, which together demonstrate how a war game aspires to transmute foresight in planning to rehearsed action. Given these findings, the study finds that corporate wa</w:t>
      </w:r>
    </w:p>
    <w:p>
      <w:pPr>
        <w:pStyle w:val="Heading2"/>
      </w:pPr>
      <w:r>
        <w:t>524. Carbon intensity of the Ukrainian industry: current state and foresight</w:t>
      </w:r>
    </w:p>
    <w:p>
      <w:pPr>
        <w:pStyle w:val="SourceNote"/>
      </w:pPr>
      <w:r>
        <w:rPr>
          <w:b/>
        </w:rPr>
        <w:t>Original source (2022):</w:t>
      </w:r>
      <w:r>
        <w:t xml:space="preserve"> https://doi.org/10.15407/econindustry2022.01.061</w:t>
      </w:r>
    </w:p>
    <w:p>
      <w:pPr/>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POSSIBLE 2026:</w:t>
      </w:r>
      <w:r>
        <w:t xml:space="preserve"> DIGITIZATION AS A TOOL FOR ENSURING THE PRESERVATION OF ARCHIVAL COLLECTIONS: CURRENT STATE AND PROSPECTS — https://doi.org/10.31073/istnauka202602-22</w:t>
      </w:r>
    </w:p>
    <w:p>
      <w:pPr/>
      <w:r>
        <w:rPr>
          <w:b/>
        </w:rPr>
        <w:t>Shared claim-specific concepts:</w:t>
      </w:r>
      <w:r>
        <w:t xml:space="preserve"> according, basic, ukrainian, preservation, current, national; EU scope not established. This is a provisional connection, not an outcome finding.</w:t>
      </w:r>
    </w:p>
    <w:p>
      <w:pPr>
        <w:pStyle w:val="SourceNote"/>
      </w:pPr>
      <w:r>
        <w:rPr>
          <w:b/>
        </w:rPr>
        <w:t>Available abstract (not full text):</w:t>
      </w:r>
      <w:r>
        <w:t xml:space="preserve"> ОЦИФРУВАННЯ ЯК ІНСТРУМЕНТ ЗАБЕЗПЕЧЕННЯ ЗБЕРЕЖЕНОСТІ АРХІВНИХ ФОНДІВ: СУЧАСНИЙ СТАН І ПЕРСПЕКТИВИ Метою статті є встановлення ролі оцифрування у системі забезпечення збереженості архівних фондів.Проаналізовано понятійний апарат архівного оцифрування: охарактеризовано терміни «оцифрування», «майстер-копія», «робоча копія», «цифровий фонд користування документами НАФ», «метадані цифрової копії», «страхова копія», «страховий фонд».Висвітлено законодавче регулювання оцифрування архівних фондів.Доведено, що базове архівне законодавство про Національний архівний фонд встановлює загальний Історія науки і біографістика, № 2, 2026 ДЕМУЗ Інна, КИРПОСЕНКО Поліна documents, while legislation on trust services defines the mechanisms for granting legal validity to digital copies, and legislation in the fields of information security and copyright regulates the conditions for their storage and publication.However, it is noted that Ukrainian legislation creates a fragmented system for the preservation of digital archives.The basic law does not define the status of a digital security fund; therefore, digitization is effectively governed by electronic records management standards and technical information protection requirements.At the same time, access to the created copies is restricted by the lack of regulation concerning the legal status of «orphan works» and by personal data protection requi</w:t>
      </w:r>
    </w:p>
    <w:p>
      <w:pPr/>
      <w:r>
        <w:rPr>
          <w:b/>
        </w:rPr>
        <w:t>POSSIBLE 2026:</w:t>
      </w:r>
      <w:r>
        <w:t xml:space="preserve"> Hydrogen: a building block for decarbonization in the future of Mexico — https://doi.org/10.1016/j.ijhydene.2026.157559</w:t>
      </w:r>
    </w:p>
    <w:p>
      <w:pPr/>
      <w:r>
        <w:rPr>
          <w:b/>
        </w:rPr>
        <w:t>Shared claim-specific concepts:</w:t>
      </w:r>
      <w:r>
        <w:t xml:space="preserve"> decarbonization, greenhouse, gas, emissions; EU scope not established. This is a provisional connection, not an outcome finding.</w:t>
      </w:r>
    </w:p>
    <w:p>
      <w:pPr>
        <w:pStyle w:val="SourceNote"/>
      </w:pPr>
      <w:r>
        <w:rPr>
          <w:b/>
        </w:rPr>
        <w:t>Available abstract (not full text):</w:t>
      </w:r>
      <w:r>
        <w:t xml:space="preserve"> Mexico aims to reduce greenhouse gas emissions by 50% by 2050 relative to 2000 levels. Hydrogen is seen as a promising alternative for decarbonising the transport, industrial, and electricity generation sectors. This study presents five prospective scenarios for 2050 that explore different hypotheses for introducing hydrogen to catalyse decarbonization of the Mexican Energy System (MES), modelled using the Low Emissions Analysis Platform (LEAP) software. Business-As-Usual (BAU), maintaining 2019 MES configuration; Decarbonization (DEC), introducing hydrogen only in the industrial sector; Market (MAR), following the pathway planned by the commercial sector; Policy (POL) driven, which installs as many hydrogen-based combined cycle plants as possible, and Net-Zero Development (NZD), achieving a hydrogen-based electricity generation by 2060. This analysis found that hydrogen can mitigate up to 16.32% of the CO2e emissions compared to BAU scenario in 2050 and save up to 13.58% of the natural gas required for power.</w:t>
      </w:r>
    </w:p>
    <w:p>
      <w:pPr/>
      <w:r>
        <w:rPr>
          <w:b/>
        </w:rPr>
        <w:t>POSSIBLE 2026:</w:t>
      </w:r>
      <w:r>
        <w:t xml:space="preserve"> Preservation and Educational Preservation of Traditional Ceramic Craft Villages in the Era of Industrialization — https://doi.org/10.59324/ejahss.2026.3(3).24</w:t>
      </w:r>
    </w:p>
    <w:p>
      <w:pPr/>
      <w:r>
        <w:rPr>
          <w:b/>
        </w:rPr>
        <w:t>Shared claim-specific concepts:</w:t>
      </w:r>
      <w:r>
        <w:t xml:space="preserve"> preservation, current, economy; EU scope not established. This is a provisional connection, not an outcome finding.</w:t>
      </w:r>
    </w:p>
    <w:p>
      <w:pPr>
        <w:pStyle w:val="SourceNote"/>
      </w:pPr>
      <w:r>
        <w:rPr>
          <w:b/>
        </w:rPr>
        <w:t>Available abstract (not full text):</w:t>
      </w:r>
      <w:r>
        <w:t xml:space="preserve"> Traditional Vietnamese ceramic craft villages represent living cultural heritages that embody the nation's wisdom and identity accumulated over millennia. In the context of rapid industrialization, urbanization, and globalization, many of these villages face severe risks of decline due to the shortage of successors, loss of production spaces, environmental pollution, and competition from industrial products. This article analyzes the current state of preservation in representative ceramic villages such as Bat Trang (Hanoi), Phu Lang (Bac Ninh), Chu Dau (Hai Duong), Bau Truc (Ninh Thuan), Thanh Ha (Quang Nam), and those in Binh Duong province, with a central focus on the critical role of educational preservation. Drawing upon theories of intangible cultural heritage, sustainable development, and heritage education, the study identifies core challenges and proposes a comprehensive system of solutions in which education serves as the pivotal strategy for intergenerational transmission, community awareness raising, and the integration of tradition with modernity. These solutions emphasize innovation in formal and non-formal education, community-based learning, digital transformation in skill transmission, and the creation of a holistic heritage education ecosystem, aligned with the Party's guidelines and State policies on new rural development and creative economy.</w:t>
      </w:r>
    </w:p>
    <w:p>
      <w:pPr/>
      <w:r>
        <w:rPr>
          <w:b/>
        </w:rPr>
        <w:t>POSSIBLE 2026:</w:t>
      </w:r>
      <w:r>
        <w:t xml:space="preserve"> Decarbonizing Energy-Intensive Steel Production: Dynamic Analysis of CO2 Emission Persistence in Poland’s Basic Oxygen Furnace Sector — https://doi.org/10.3390/en19020527</w:t>
      </w:r>
    </w:p>
    <w:p>
      <w:pPr/>
      <w:r>
        <w:rPr>
          <w:b/>
        </w:rPr>
        <w:t>Shared claim-specific concepts:</w:t>
      </w:r>
      <w:r>
        <w:t xml:space="preserve"> basic, industry, emissions, further, technological; EU scope visible. This is a provisional connection, not an outcome finding.</w:t>
      </w:r>
    </w:p>
    <w:p>
      <w:pPr>
        <w:pStyle w:val="SourceNote"/>
      </w:pPr>
      <w:r>
        <w:rPr>
          <w:b/>
        </w:rPr>
        <w:t>Available abstract (not full text):</w:t>
      </w:r>
      <w:r>
        <w:t xml:space="preserve"> This paper analyses the factors that affect CO2 emissions in the BF-BOF steelmaking process using a dynamic econometric approach based on annual data from the Polish steel industry. The analysis commences with the estimation of a baseline dynamic model that describes the relationship between CO2 emissions in the industry and investment allocations, crude steel production, and lagged CO2 emissions. The baseline analysis illustrates the dominant feature of strong emission level persistence and poor tracking of selected conventional production-related factors. The analysis proceeds by extending the baseline results through additional consideration of technological factors, material composition factors, and resource use factors in the generation of CO2 emissions. The additional factors include the use of coke, electricity consumption, fixed asset value, and the scrap ratio. The analysis indicates that these additional factors are essential in improving the accuracy of the modeling process and in clarifying the significance of material composition in CO2 emissions in particular. The analysis further illustrates the critical result that increased use of electricity leads to high CO2 emissions in the BF-BOF process. Further analysis indicates that increasing the use of steel scrap leads to substantial CO2 reductions in the BF-BOF route and other steelmaking technologies. The results a</w:t>
      </w:r>
    </w:p>
    <w:p>
      <w:pPr/>
      <w:r>
        <w:rPr>
          <w:b/>
        </w:rPr>
        <w:t>POSSIBLE 2026:</w:t>
      </w:r>
      <w:r>
        <w:t xml:space="preserve"> Foundations of Maritime Decarbonization — https://doi.org/10.58830/ozgur.pub1212</w:t>
      </w:r>
    </w:p>
    <w:p>
      <w:pPr/>
      <w:r>
        <w:rPr>
          <w:b/>
        </w:rPr>
        <w:t>Shared claim-specific concepts:</w:t>
      </w:r>
      <w:r>
        <w:t xml:space="preserve"> decarbonization, industry, current, technological; EU scope not established. This is a provisional connection, not an outcome finding.</w:t>
      </w:r>
    </w:p>
    <w:p>
      <w:pPr>
        <w:pStyle w:val="SourceNote"/>
      </w:pPr>
      <w:r>
        <w:rPr>
          <w:b/>
        </w:rPr>
        <w:t>Available abstract (not full text):</w:t>
      </w:r>
      <w:r>
        <w:t xml:space="preserve"> This book provides a comprehensive examination of the technological, regulatory, economic, and infrastructural dimensions of maritime decarbonization. Drawing upon an extensive review of contemporary academic literature, policy documents, and industry reports, it synthesizes current knowledge and emerging developments to present a holistic understanding of the low-carbon shipping transition. The scope encompasses the full spectrum of decarbonization pathways—from alternative fuels and energy efficiency technologies to digital innovations and market-based mechanisms—while maintaining focus on practical implementation challenges and solutions. The analysis integrates technical feasibility assessments with economic viability considerations, regulatory compliance requirements, and environmental impact evaluations across the complete fuel lifecycle.</w:t>
      </w:r>
    </w:p>
    <w:p>
      <w:pPr/>
      <w:r>
        <w:rPr>
          <w:b/>
        </w:rPr>
        <w:t>POSSIBLE 2026:</w:t>
      </w:r>
      <w:r>
        <w:t xml:space="preserve"> Decarbonizing the Chemical Industry Through Sustainable Hydrogen Production Pathway — https://doi.org/10.1002/ceat.70329</w:t>
      </w:r>
    </w:p>
    <w:p>
      <w:pPr/>
      <w:r>
        <w:rPr>
          <w:b/>
        </w:rPr>
        <w:t>Shared claim-specific concepts:</w:t>
      </w:r>
      <w:r>
        <w:t xml:space="preserve"> industry, greenhouse, gas, emissions; EU scope not established. This is a provisional connection, not an outcome finding.</w:t>
      </w:r>
    </w:p>
    <w:p>
      <w:pPr>
        <w:pStyle w:val="SourceNote"/>
      </w:pPr>
      <w:r>
        <w:rPr>
          <w:b/>
        </w:rPr>
        <w:t>Available abstract (not full text):</w:t>
      </w:r>
      <w:r>
        <w:t xml:space="preserve"> ABSTRACT Hydrogen is key to decarbonizing the chemical industry. This study compares future hydrogen production scenarios for 2030 and 2045. Global warming potential from emerging technologies is quantified using prospective life cycle assessments. The Annuity Method is used to calculate the levelized cost of hydrogen. By 2030, electrolysis can reduce greenhouse gas emissions by over 50%, though costs rise drastically. By 2045, combining electrolysis with hydrogen derivatives may reduce emissions, but hydrogen costs remain high. Electricity and CO 2 emissions costs are major factors. Our findings indicate that a sustainable hydrogen production pathway for the chemical industry requires support from policymakers by adapting legislative frameworks and initiating global purchase agreements.</w:t>
      </w:r>
    </w:p>
    <w:p>
      <w:pPr/>
      <w:r>
        <w:rPr>
          <w:b/>
        </w:rPr>
        <w:t>POSSIBLE 2026:</w:t>
      </w:r>
      <w:r>
        <w:t xml:space="preserve"> Railway Intermittent Electrification: A Cost-Effective Strategy for Scalable Decarbonization — https://doi.org/10.1109/tte.2026.3716647</w:t>
      </w:r>
    </w:p>
    <w:p>
      <w:pPr/>
      <w:r>
        <w:rPr>
          <w:b/>
        </w:rPr>
        <w:t>Shared claim-specific concepts:</w:t>
      </w:r>
      <w:r>
        <w:t xml:space="preserve"> decarbonization, current, emissions; EU scope not established. This is a provisional connection, not an outcome finding.</w:t>
      </w:r>
    </w:p>
    <w:p>
      <w:pPr>
        <w:pStyle w:val="SourceNote"/>
      </w:pPr>
      <w:r>
        <w:rPr>
          <w:b/>
        </w:rPr>
        <w:t>Available abstract (not full text):</w:t>
      </w:r>
      <w:r>
        <w:t xml:space="preserve"> Decarbonization is the primary objective of current railway development in the United Kingdom, and continuous electrification has long been the predominant approach adopted to achieve this goal. However, the large-scale deployment of continuous electrification is severely hindered by high capital investment, lengthy construction periods, and the extensive scope of infrastructure upgrades. To address these challenges, this study develops a bi-level optimization framework for station-centric intermittent electrification, in which only short track segments before and after selected stations are electrified, enabling Battery Electric Multiple Units (BEMU) to draw power and charge their batteries at selected station-area electrified sections to support operation over the full route. In the upper level, the locations and configuration parameters of electrified stations are optimized to minimize the cost of intermittent electrification. At the lower level, BEMU battery capacity and charging control strategies are optimized to minimize operational cost. A case study is conducted based on the route from Cardiff to Nottingham. The results verify that the proposed strategy can reduce initial investment cost by 87.3% and decrease carbon emissions from route upgrade activities by 97.6% compared with continuous electrification, while reliably satisfying operational requirements. Overall, the</w:t>
      </w:r>
    </w:p>
    <w:p>
      <w:pPr/>
      <w:r>
        <w:rPr>
          <w:b/>
        </w:rPr>
        <w:t>POSSIBLE 2026:</w:t>
      </w:r>
      <w:r>
        <w:t xml:space="preserve"> HOW CAN INNOVATION ECOSYSTEMS ACCELERATE DECARBONIZATION AND GREEN GROWTH? — https://doi.org/10.2478/eoik-2026-0008</w:t>
      </w:r>
    </w:p>
    <w:p>
      <w:pPr/>
      <w:r>
        <w:rPr>
          <w:b/>
        </w:rPr>
        <w:t>Shared claim-specific concepts:</w:t>
      </w:r>
      <w:r>
        <w:t xml:space="preserve"> decarbonization, greenhouse, gas, emissions, economy, developed; EU scope visible. This is a provisional connection, not an outcome finding.</w:t>
      </w:r>
    </w:p>
    <w:p>
      <w:pPr>
        <w:pStyle w:val="SourceNote"/>
      </w:pPr>
      <w:r>
        <w:rPr>
          <w:b/>
        </w:rPr>
        <w:t>Available abstract (not full text):</w:t>
      </w:r>
      <w:r>
        <w:t xml:space="preserve"> Abstract Eco-innovation, as a new business approach that promotes sustainability throughout the product life cycle, is shaping the green transition and the pace of growth. Green growth and decarbonization are strategic imperatives aiming for a high-income economy. To achieve long-term goals, it is necessary to establish a stimulating innovation ecosystem, supported by a developed infrastructure, which can accelerate decarbonization and green growth. European Union countries have made significant progress in shaping the eco-innovation environment, measured by the Eco-innovation Index, which can be a landmark for the countries of the Western Balkans. In this regard, the focus of the paper is on the analysis of the situation in the countries of the Western Balkans. Decisions taken today influence the Western Balkan ability to meet decarbonization and green growth. The authors investigate how far the Western Balkan countries are along the road to decarbonization, and what remains to be done in the innovation ecosystem in the strategic framework and policy recommendations. The paper will investigate whether Western Balkan countries that have more developed innovation ecosystem measured by the AI Preparedness Index (AIPI) published by International Monetary Fund, achieve greater Green Growth and lower Global Greenhouse Gas (GHG) total emissions and GHG per GDP emissions. The results </w:t>
      </w:r>
    </w:p>
    <w:p>
      <w:pPr/>
      <w:r>
        <w:rPr>
          <w:b/>
        </w:rPr>
        <w:t>POSSIBLE 2026:</w:t>
      </w:r>
      <w:r>
        <w:t xml:space="preserve"> Simulation-based investigation of decarbonization strategies for urban freight transport — https://doi.org/10.14279/depositonce-26777</w:t>
      </w:r>
    </w:p>
    <w:p>
      <w:pPr/>
      <w:r>
        <w:rPr>
          <w:b/>
        </w:rPr>
        <w:t>Shared claim-specific concepts:</w:t>
      </w:r>
      <w:r>
        <w:t xml:space="preserve"> decarbonization, emissions, further, developed; EU scope not established. This is a provisional connection, not an outcome finding.</w:t>
      </w:r>
    </w:p>
    <w:p>
      <w:pPr>
        <w:pStyle w:val="SourceNote"/>
      </w:pPr>
      <w:r>
        <w:rPr>
          <w:b/>
        </w:rPr>
        <w:t>Available abstract (not full text):</w:t>
      </w:r>
      <w:r>
        <w:t xml:space="preserve"> This thesis examines the decarbonization of urban road freight transport. Based on case studies, the conversion of the vehicle fleet from conventional (Internal Combustion Engine Vehicle (ICEV)) to Battery Electric Vehicle (BEV) is examined using the agent-based traffic simulation software MATSim . The investigations are carried out from the perspective of the transport companies as economic agents and the companies each carry out route planning with the available vehicle fleet. The objective function of the route planning algorithm is to minimize the total costs, which include costs for the vehicles, the distance traveled and the time taken as well as any additional costs (e.g., tolls). For the central investigations in this thesis, the already existing scenario of Schröder and Liedtke (2014) for the delivery of food markets in Berlin is further developed and used. The thesis consists of three parts: The first part of the work presents the basics, methods, the software used, and the scenarios used in the various studies. The second part of the thesis deals with the direct conversion of the existing vehicle fleet from ICEVs to BEVs. The logistics network of the carriers remains unchanged. Customers (supermarkets) will therefore continue to be supplied directly from the depot. One study assumes that the carriers now only have BEVs at their disposal. The limited range of the BEVs</w:t>
      </w:r>
    </w:p>
    <w:p>
      <w:pPr/>
      <w:r>
        <w:rPr>
          <w:b/>
        </w:rPr>
        <w:t>POSSIBLE 2025:</w:t>
      </w:r>
      <w:r>
        <w:t xml:space="preserve"> Design-for-decarbonization: a framework for decarbonizing cyber-physical production systems at the design stage — https://doi.org/10.1017/pds.2025.10143</w:t>
      </w:r>
    </w:p>
    <w:p>
      <w:pPr/>
      <w:r>
        <w:rPr>
          <w:b/>
        </w:rPr>
        <w:t>Shared claim-specific concepts:</w:t>
      </w:r>
      <w:r>
        <w:t xml:space="preserve"> decarbonization, emissions, developed; EU scope not established. This is a provisional connection, not an outcome finding.</w:t>
      </w:r>
    </w:p>
    <w:p>
      <w:pPr>
        <w:pStyle w:val="SourceNote"/>
      </w:pPr>
      <w:r>
        <w:rPr>
          <w:b/>
        </w:rPr>
        <w:t>Available abstract (not full text):</w:t>
      </w:r>
      <w:r>
        <w:t xml:space="preserve">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pPr/>
      <w:r>
        <w:rPr>
          <w:b/>
        </w:rPr>
        <w:t>POSSIBLE 2025:</w:t>
      </w:r>
      <w:r>
        <w:t xml:space="preserve"> Towards the Necessary Decarbonization of Historic Buildings: A Review — https://doi.org/10.3390/en18030502</w:t>
      </w:r>
    </w:p>
    <w:p>
      <w:pPr/>
      <w:r>
        <w:rPr>
          <w:b/>
        </w:rPr>
        <w:t>Shared claim-specific concepts:</w:t>
      </w:r>
      <w:r>
        <w:t xml:space="preserve"> according, decarbonization, preservation; EU scope not established. This is a provisional connection, not an outcome finding.</w:t>
      </w:r>
    </w:p>
    <w:p>
      <w:pPr>
        <w:pStyle w:val="SourceNote"/>
      </w:pPr>
      <w:r>
        <w:rPr>
          <w:b/>
        </w:rPr>
        <w:t>Available abstract (not full text):</w:t>
      </w:r>
      <w:r>
        <w:t xml:space="preserve">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pPr/>
      <w:r>
        <w:rPr>
          <w:b/>
        </w:rPr>
        <w:t>POSSIBLE 2025:</w:t>
      </w:r>
      <w:r>
        <w:t xml:space="preserve"> The US dollar and decarbonization: Exploring constraints — https://doi.org/10.1017/fas.2025.10</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pPr>
        <w:pStyle w:val="Heading2"/>
      </w:pPr>
      <w:r>
        <w:t>525. Carrying out a multi-model integrated assessment of European energy transition pathways: Challenges and benefits</w:t>
      </w:r>
    </w:p>
    <w:p>
      <w:pPr>
        <w:pStyle w:val="SourceNote"/>
      </w:pPr>
      <w:r>
        <w:rPr>
          <w:b/>
        </w:rPr>
        <w:t>Original source (2022):</w:t>
      </w:r>
      <w:r>
        <w:t xml:space="preserve"> https://doi.org/10.1016/j.energy.2022.124329</w:t>
      </w:r>
    </w:p>
    <w:p>
      <w:pPr/>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POSSIBLE 2026:</w:t>
      </w:r>
      <w:r>
        <w:t xml:space="preserve"> Federated learning in Healthcare across Europe: Challenges and Insights from the BETTER Project — https://openalex.org/W7204062183</w:t>
      </w:r>
    </w:p>
    <w:p>
      <w:pPr/>
      <w:r>
        <w:rPr>
          <w:b/>
        </w:rPr>
        <w:t>Shared claim-specific concepts:</w:t>
      </w:r>
      <w:r>
        <w:t xml:space="preserve"> without, insights, gained, perspective, technical; EU scope visible. This is a provisional connection, not an outcome finding.</w:t>
      </w:r>
    </w:p>
    <w:p>
      <w:pPr>
        <w:pStyle w:val="SourceNote"/>
      </w:pPr>
      <w:r>
        <w:rPr>
          <w:b/>
        </w:rPr>
        <w:t>Available abstract (not full text):</w:t>
      </w:r>
      <w:r>
        <w:t xml:space="preserve">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pPr/>
      <w:r>
        <w:rPr>
          <w:b/>
        </w:rPr>
        <w:t>POSSIBLE 2026:</w:t>
      </w:r>
      <w:r>
        <w:t xml:space="preserve"> A European framework for the assessment of digital health technologies: conceptual advances, challenges, and future directions — https://doi.org/10.3389/fdgth.2026.1809237</w:t>
      </w:r>
    </w:p>
    <w:p>
      <w:pPr/>
      <w:r>
        <w:rPr>
          <w:b/>
        </w:rPr>
        <w:t>Shared claim-specific concepts:</w:t>
      </w:r>
      <w:r>
        <w:t xml:space="preserve"> assessment, framework, perspective, added, value; EU scope visible. This is a provisional connection, not an outcome finding.</w:t>
      </w:r>
    </w:p>
    <w:p>
      <w:pPr>
        <w:pStyle w:val="SourceNote"/>
      </w:pPr>
      <w:r>
        <w:rPr>
          <w:b/>
        </w:rPr>
        <w:t>Available abstract (not full text):</w:t>
      </w:r>
      <w:r>
        <w:t xml:space="preserve"> Digital health technologies (DHTs) are transforming healthcare by enabling for example new care models, improving patient access and engagement, and streamlining healthcare workflows. They have the potential to increase efficiency, reduce administrative burdens, and enhance the overall quality of care. However, across Europe, DHTs evaluation frameworks remain fragmented, and while new approaches continue to emerge, they often focus on specific types of DHTs or particular stages of the product lifecycle. Moreover, traditional Health Technology Assessment (HTA) frameworks have been developed mostly to evaluate medicinal products, which may limit their applicability to DHTs, ultimately constraining health systems' ability to capture DHTs' added value. The European Digital Health Technology Assessment (EDiHTA) is a EU-funded project, which started in January 2024 to co-create an HTA framework for DHTs in order to face these challenges. It is aimed at co-developing together with different key stakeholders a comprehensive and flexible assessment framework tailored to different DHTs, applicable across DHTs lifecycle and across EU member states. In this perspective article, we present our concept design that is being used as foundation of the development of the EDiHTA framework, and we address current challenges in the assessment of DHTs, and the opportunities that lie ahead.</w:t>
      </w:r>
    </w:p>
    <w:p>
      <w:pPr/>
      <w:r>
        <w:rPr>
          <w:b/>
        </w:rPr>
        <w:t>POSSIBLE 2026:</w:t>
      </w:r>
      <w:r>
        <w:t xml:space="preserve"> Frailty assessment in kidney transplantation: insights from a European survey — https://doi.org/10.1093/ckj/sfag065</w:t>
      </w:r>
    </w:p>
    <w:p>
      <w:pPr/>
      <w:r>
        <w:rPr>
          <w:b/>
        </w:rPr>
        <w:t>Shared claim-specific concepts:</w:t>
      </w:r>
      <w:r>
        <w:t xml:space="preserve"> insights, assessment, outcomes, value; EU scope visible. This is a provisional connection, not an outcome finding.</w:t>
      </w:r>
    </w:p>
    <w:p>
      <w:pPr>
        <w:pStyle w:val="SourceNote"/>
      </w:pPr>
      <w:r>
        <w:rPr>
          <w:b/>
        </w:rPr>
        <w:t>Available abstract (not full text):</w:t>
      </w:r>
      <w:r>
        <w:t xml:space="preserve"> Background: Frailty has been identified as an important determinant of adverse transplant-related outcomes; however, its integration into routine kidney transplant practice remains limited. Methods: This was a web-based cross-sectional survey assessing current practice patterns and perceptions on frailty assessments among transplant physicians distributed by the DESCaRTES working group of the European Renal Association. The survey consisted of questions about frailty perceptions and practices both pre- and post-transplant. Results: A total of 134 responses (response rate 39.2%) were recorded. Although 98.5% recognized frailty as a risk factor for adverse outcomes, only 6.7% reported routinely performing a standardized frailty assessment in pre-transplant evaluations. Nearly 30% never evaluated frailty, and 24.6% did so only in selected high-risk patients, primarily based on age, comorbidities or prolonged dialysis duration. Physical function was recognized as the most important component of frailty assessments; however, no single assessment tool was consistently implemented. The main barriers to integrating frailty assessments into clinical practice were lack of trained staff, absence of standardized guidelines, and uncertainty about clinical usefulness. Post-transplant frailty assessments were rarely conducted routinely, despite 74.6% acknowledging their potential value. Concl</w:t>
      </w:r>
    </w:p>
    <w:p>
      <w:pPr/>
      <w:r>
        <w:rPr>
          <w:b/>
        </w:rPr>
        <w:t>POSSIBLE 2026:</w:t>
      </w:r>
      <w:r>
        <w:t xml:space="preserve"> Framework for Multi-Cycle Assessment in Circular Construction — https://doi.org/10.1007/978-3-032-34930-9_139</w:t>
      </w:r>
    </w:p>
    <w:p>
      <w:pPr/>
      <w:r>
        <w:rPr>
          <w:b/>
        </w:rPr>
        <w:t>Shared claim-specific concepts:</w:t>
      </w:r>
      <w:r>
        <w:t xml:space="preserve"> without, insights, assessment, framework, outcomes, value; EU scope not established. This is a provisional connection, not an outcome finding.</w:t>
      </w:r>
    </w:p>
    <w:p>
      <w:pPr>
        <w:pStyle w:val="SourceNote"/>
      </w:pPr>
      <w:r>
        <w:rPr>
          <w:b/>
        </w:rPr>
        <w:t>Available abstract (not full text):</w:t>
      </w:r>
      <w:r>
        <w:t xml:space="preserve"> Efforts to promote material reuse and selective deconstruction in the built environment increasingly rely on assessment tools to inform design, demolition, and policy decisions. However, current evaluation practices often fail to deliver coherent and decision-relevant insights across the building lifecycle. Circularity indicators tend to prioritize material cycling without adequately capturing environmental or value-retention impacts, while lifecycle assessment (LCA) remains rooted in single-cycle, linear logic. As a result, circularity and LCA frequently operate in parallel, producing fragmented or conflicting signals for decision-makers. Assessment outcomes are shaped by data availability, assumptions, and tool-specific structures. Data fragmentation, limited traceability of as-built conditions, and non-harmonised practices undermine comparability and confidence in results. These challenges are compounded by the fragmented construction value chain, where reuse only materialises when documentation aligns with market demand, regulatory conditions, and timing. This paper presents the development of a framework that addresses these limitations by linking environmental performance, circular strategies, and value retention across multiple lifecycles and building scales. Designed as a hierarchical structure, it ties together existing tools, indicators, and datasets within a shared l</w:t>
      </w:r>
    </w:p>
    <w:p>
      <w:pPr/>
      <w:r>
        <w:rPr>
          <w:b/>
        </w:rPr>
        <w:t>POSSIBLE 2026:</w:t>
      </w:r>
      <w:r>
        <w:t xml:space="preserve"> Developing an assessment framework of interdisciplinary innovation ability — https://doi.org/10.21449/ijate.1821617</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Given the importance of interdisciplinary innovation ability (IIA) in addressing complex real-world problems, this study aims to develop a comprehensive assessment framework for IIA using a three-step methodological approach. First, an initial framework was constructed based on a systematic theoretical analysis. Second, the framework was refined and validated through a two-round Delphi process involving five experts. Third, the measurement model was validated using SPSS AMOS (version 24) with data collected from 209 undergraduate students participating in a university summer camp, to examine the reliability and validity of the proposed framework. The findings indicate that IIA comprises five primary dimensions—innovative personality, innovative thinking, innovative skills, innovative learning, and innovative product—along with 12 secondary indices. Compared with existing IIA assessment frameworks, the proposed framework demonstrates stronger theoretical grounding, a more comprehensive structure, and empirical validation, thereby offering both theoretical insights and practical implications for future interdisciplinary innovation research.</w:t>
      </w:r>
    </w:p>
    <w:p>
      <w:pPr/>
      <w:r>
        <w:rPr>
          <w:b/>
        </w:rPr>
        <w:t>POSSIBLE 2026:</w:t>
      </w:r>
      <w:r>
        <w:t xml:space="preserve"> Bridging Borders in Pediatric Oncology: Cross-Regional Insights into Physical Exercise Program Perceptions in Europe, North Africa, and Arab Countries — https://doi.org/10.1055/s-0046-1824334</w:t>
      </w:r>
    </w:p>
    <w:p>
      <w:pPr/>
      <w:r>
        <w:rPr>
          <w:b/>
        </w:rPr>
        <w:t>Shared claim-specific concepts:</w:t>
      </w:r>
      <w:r>
        <w:t xml:space="preserve"> without, insights, beyond, outcomes; EU scope visible. This is a provisional connection, not an outcome finding.</w:t>
      </w:r>
    </w:p>
    <w:p>
      <w:pPr>
        <w:pStyle w:val="SourceNote"/>
      </w:pPr>
      <w:r>
        <w:rPr>
          <w:b/>
        </w:rPr>
        <w:t>Available abstract (not full text):</w:t>
      </w:r>
      <w:r>
        <w:t xml:space="preserve"> Abstract Structured physical exercise programs (PEPs) in pediatric oncology have shown benefits for physical, psychosocial, and cognitive outcomes, yet their integration into routine care varies globally. This study explores health care professionals' perceptions of PEPs across European, North African, and Arab pediatric oncology centers, comparing attitudes between centers with and without established programs, based on findings from an international survey. A validated, 14-item, multilanguage questionnaire was distributed to health care professionals involved in pediatric oncology care, including physicians, nurses, physiotherapists, and sport therapists. Responses from 575 professionals (367 European; 208 North African/Arab) were analyzed, comparing perceptions according to region, profession, and PEPs availability at their centers. Overall, 97% of respondents with PEPs experience and 91% without considered PEPs beneficial. Perceived benefits extended beyond endurance and strength to mood, self-esteem, and quality of life, particularly among those with prior PEP exposure. European centers without PEP prioritized physical rehabilitation, whereas North African/Arab centers emphasized psychosocial benefits. Significant differences emerged regarding timing, setting, and relationship to physiotherapy. Most favored integrating PEP into standard care, with stronger support among ex</w:t>
      </w:r>
    </w:p>
    <w:p>
      <w:pPr/>
      <w:r>
        <w:rPr>
          <w:b/>
        </w:rPr>
        <w:t>POSSIBLE 2026:</w:t>
      </w:r>
      <w:r>
        <w:t xml:space="preserve"> A practical framework for identifying genetic subpopulations and ESUs: Insights for IUCN assessments and broader management — https://doi.org/10.1093/biosci/biag042</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Species conservation assessments evaluate extinction risk, and recovery potential, advancing species persistence through guiding resource prioritization and planning. Assessment frameworks, including the International Union for Conservation of Nature Red List and Green Status of Species, typically focus on species as a whole. Importantly, they do not routinely account for genetically distinct units or do not have standardized methods of unit delineation. This limits the representation of genetically distinct components, including adaptive genetic diversity that underpins long-term resilience and recovery. Incorporating standardized within-species units like subpopulations and Evolutionarily Significant Units (ESUs) into species assessments could help address this oversight. However, identifying and delineating such units remain challenging, particularly when molecular data are limited. Here, we propose a flexible framework that integrates molecular and non-molecular evidence to identify both subpopulations and ESUs across taxa, providing a practical tool to incorporate within-species diversity into conservation assessments.</w:t>
      </w:r>
    </w:p>
    <w:p>
      <w:pPr/>
      <w:r>
        <w:rPr>
          <w:b/>
        </w:rPr>
        <w:t>POSSIBLE 2026:</w:t>
      </w:r>
      <w:r>
        <w:t xml:space="preserve"> A scenario-based risk assessment framework for tyre wear particles in European seas — https://doi.org/10.1016/j.jhazmat.2026.141335</w:t>
      </w:r>
    </w:p>
    <w:p>
      <w:pPr/>
      <w:r>
        <w:rPr>
          <w:b/>
        </w:rPr>
        <w:t>Shared claim-specific concepts:</w:t>
      </w:r>
      <w:r>
        <w:t xml:space="preserve"> assessment, framework, emission, highest, provides; EU scope visible. This is a provisional connection, not an outcome finding.</w:t>
      </w:r>
    </w:p>
    <w:p>
      <w:pPr>
        <w:pStyle w:val="SourceNote"/>
      </w:pPr>
      <w:r>
        <w:rPr>
          <w:b/>
        </w:rPr>
        <w:t>Available abstract (not full text):</w:t>
      </w:r>
      <w:r>
        <w:t xml:space="preserve"> Tyre wear particles (TWPs) are an emerging pollutant of concern due to their potential risks to ecosystems and human health, yet they remain absent from European pollution monitoring and risk assessment (RA) frameworks. This study introduces a novel scenario-based RA framework tailored to complex contaminants, using European regional seas as a case study. The framework applies three scenarios that reflect the availability of empirical data and guide when modelled exposure or hazard estimates must be used. This structured approach provides transparency and flexibility for emerging pollutants where conventional tools, such as species sensitivity distributions (SSDs), fail due to scarce, inconsistent, or non-comparable datasets. TWPs pose a dual challenge: they are both physical particles and carriers of tyre wear chemicals (TWCs), which leach into aquatic systems as tyre wear leachates (TWLs). Current evidence suggests TWCs drive most toxicity, but their quantification is hindered by overlapping sources, variable composition, and limited marine ecotoxicity data. To address these gaps, a riverine emission model estimated that 82 million–1.2 billion TWPs may enter European seas annually, with predicted concentrations of 0.0001–0.016 particles m³. The Mediterranean receives the highest annual load, followed by the North-East Atlantic, Black Sea, and Baltic Sea. While modelled TWP co</w:t>
      </w:r>
    </w:p>
    <w:p>
      <w:pPr/>
      <w:r>
        <w:rPr>
          <w:b/>
        </w:rPr>
        <w:t>POSSIBLE 2026:</w:t>
      </w:r>
      <w:r>
        <w:t xml:space="preserve"> Analysis of the Evaluation Framework of European Union-Funded Tourism Projects — https://doi.org/10.37741/t.74.1.1</w:t>
      </w:r>
    </w:p>
    <w:p>
      <w:pPr/>
      <w:r>
        <w:rPr>
          <w:b/>
        </w:rPr>
        <w:t>Shared claim-specific concepts:</w:t>
      </w:r>
      <w:r>
        <w:t xml:space="preserve"> framework, outcomes; EU scope visible. This is a provisional connection, not an outcome finding.</w:t>
      </w:r>
    </w:p>
    <w:p>
      <w:pPr>
        <w:pStyle w:val="SourceNote"/>
      </w:pPr>
      <w:r>
        <w:rPr>
          <w:b/>
        </w:rPr>
        <w:t>Available abstract (not full text):</w:t>
      </w:r>
      <w:r>
        <w:t xml:space="preserve"> This paper examines the evaluation frameworks applied to tourism-related interventions funded by the European Union (EU), focusing on their effectiveness in promoting accountability, learning, and sustainable outcomes. Through content analysis of evaluation reports, audits, and programme assessments from the EU’s Cohesion Policy data platform, the study identifies key methodological patterns and recurring challenges. Despite progress in adopting participatory and mixed-method approaches, evaluations remain limited in number and scope, with tourism accounting for less than 1% of all assessments. Persistent challenges include fragmented data, a lack of standardised indicators, inconsistent methodologies, and limited capacity to assess regional diversity and long-term impacts. Poor dissemination practices further restrict knowledge transfer and reduce the learning potential. By highlighting these gaps, the paper contributes to the underexplored field of tourism evaluation in EU policy and advocates for more harmonised and transparent evaluation protocols. Strengthening these foundations is critical to enhance the impact of EU funding and supporting evidence-based policymaking in the tourism sector.</w:t>
      </w:r>
    </w:p>
    <w:p>
      <w:pPr/>
      <w:r>
        <w:rPr>
          <w:b/>
        </w:rPr>
        <w:t>POSSIBLE 2026:</w:t>
      </w:r>
      <w:r>
        <w:t xml:space="preserve"> Media Ownership Concentration and Pluralism In The European Union: An Assessment Within The Framework Of EMFA — https://doi.org/10.17680/erciyesiletisim.1755668</w:t>
      </w:r>
    </w:p>
    <w:p>
      <w:pPr/>
      <w:r>
        <w:rPr>
          <w:b/>
        </w:rPr>
        <w:t>Shared claim-specific concepts:</w:t>
      </w:r>
      <w:r>
        <w:t xml:space="preserve"> assessment, framework; EU scope visible. This is a provisional connection, not an outcome finding.</w:t>
      </w:r>
    </w:p>
    <w:p>
      <w:pPr>
        <w:pStyle w:val="SourceNote"/>
      </w:pPr>
      <w:r>
        <w:rPr>
          <w:b/>
        </w:rPr>
        <w:t>Available abstract (not full text):</w:t>
      </w:r>
      <w:r>
        <w:t xml:space="preserve"> Media ownership concentration threatens media freedom and pluralism by enabling economic and political influence over editorial decisions and information flow. Regulatory differences among EU member states cause legal uncertainty, especially for cross-border media activities, hindering the internal media market. To tackle this, the European Media Freedom Act (EMFA) establishes a regulatory framework to strengthen media pluralism, editorial independence, and ownership transparency. This study uses qualitative methods, including literature review and document analysis, to assess how EMFA addresses ownership concentration and its impact on media pluralism in the EU, with focus on Turkey’s alignment with EU regulations. Findings reveal EMFA’s key innovations: mandatory transparency, protections against political interference, and fair state advertising allocation. The European Board for Media Services’ creation marks a key institutional advance. However, limitations exist, notably the advisory nature of some rules and lack of binding enforcement, which may reduce long-term effectiveness. These raise questions about EMFA’s ability to ensure consistent application</w:t>
      </w:r>
    </w:p>
    <w:p>
      <w:pPr/>
      <w:r>
        <w:rPr>
          <w:b/>
        </w:rPr>
        <w:t>POSSIBLE 2026:</w:t>
      </w:r>
      <w:r>
        <w:t xml:space="preserve"> Physicochemical characterisation of iron (hydr)oxides and nanocellulose for food applications : insights from electron microscopy to support risk assessment in the European regulatory framework — https://doi.org/10.63028/10067/2261360151162165141</w:t>
      </w:r>
    </w:p>
    <w:p>
      <w:pPr/>
      <w:r>
        <w:rPr>
          <w:b/>
        </w:rPr>
        <w:t>Shared claim-specific concepts:</w:t>
      </w:r>
      <w:r>
        <w:t xml:space="preserve"> without, insights, assessment, framework, beyond; EU scope visible. This is a provisional connection, not an outcome finding.</w:t>
      </w:r>
    </w:p>
    <w:p>
      <w:pPr>
        <w:pStyle w:val="SourceNote"/>
      </w:pPr>
      <w:r>
        <w:rPr>
          <w:b/>
        </w:rPr>
        <w:t>Available abstract (not full text):</w:t>
      </w:r>
      <w:r>
        <w:t xml:space="preserve"> Nanotechnology is driving innovation in the food sector, making robust regulatory oversight essential. Because nanoscale features confer size-dependent properties requiring evaluation beyond traditional chemical risk assessment through thorough physicochemical characterisation, specifically particle size distribution. In this context, this work applies electron microscopy (EM)-based methods to fill physicochemical data gaps, quantify measurement uncertainties, and evaluate materials in complex matrices and biological systems for two food-relevant case studies in the European Union: iron oxides and hydroxides (food additive E 172) and nanocellulose (a novel food candidate). Characterisation of commercially available E 172 revealed four distinct forms (spheroidal and elongated hematite, elongated goethite, and spheroidal magnetite with maghemite at the surface), with 86–100% of particles under 250 nm for all materials, indicating nanoscale properties must be considered under European Food Safety Authority (EFSA) guidance documents. The results of the characterisation of food additive E 172 can contribute to refining the European Union specifications. Based on the physicochemical properties of E 172 forms, grouping for risk assessment is not advisable without endpoint-specific justification. To address the lack of a standardized validation framework, the work established a robust </w:t>
      </w:r>
    </w:p>
    <w:p>
      <w:pPr/>
      <w:r>
        <w:rPr>
          <w:b/>
        </w:rPr>
        <w:t>POSSIBLE 2026:</w:t>
      </w:r>
      <w:r>
        <w:t xml:space="preserve"> NM-RARe: A FRAMEWORK FOR REGIONAL ARTHROPOD CONSERVATION ASSESSMENT: INSIGHTS FROM NEW MEXICO — https://doi.org/10.21203/rs.3.rs-10658371/v1</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Unavailable</w:t>
      </w:r>
    </w:p>
    <w:p>
      <w:pPr>
        <w:pStyle w:val="Heading2"/>
      </w:pPr>
      <w:r>
        <w:t>526. Central Europe: Possible Scenarios</w:t>
      </w:r>
    </w:p>
    <w:p>
      <w:pPr>
        <w:pStyle w:val="SourceNote"/>
      </w:pPr>
      <w:r>
        <w:rPr>
          <w:b/>
        </w:rPr>
        <w:t>Original source (2022):</w:t>
      </w:r>
      <w:r>
        <w:t xml:space="preserve"> https://doi.org/10.20542/0131-2227-2022-66-11-14-20</w:t>
      </w:r>
    </w:p>
    <w:p>
      <w:pPr/>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POSSIBLE 2026:</w:t>
      </w:r>
      <w:r>
        <w:t xml:space="preserve"> SPES Explorer European Pressing Issues Dashboard — https://doi.org/10.5281/zenodo.18479791</w:t>
      </w:r>
    </w:p>
    <w:p>
      <w:pPr/>
      <w:r>
        <w:rPr>
          <w:b/>
        </w:rPr>
        <w:t>Shared claim-specific concepts:</w:t>
      </w:r>
      <w:r>
        <w:t xml:space="preserve"> pressing, issues, innovation, countries; EU scope visible. This is a provisional connection, not an outcome finding.</w:t>
      </w:r>
    </w:p>
    <w:p>
      <w:pPr>
        <w:pStyle w:val="SourceNote"/>
      </w:pPr>
      <w:r>
        <w:rPr>
          <w:b/>
        </w:rPr>
        <w:t>Available abstract (not full text):</w:t>
      </w:r>
      <w:r>
        <w:t xml:space="preserve">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pPr/>
      <w:r>
        <w:rPr>
          <w:b/>
        </w:rPr>
        <w:t>POSSIBLE 2026:</w:t>
      </w:r>
      <w:r>
        <w:t xml:space="preserve"> State, law, and society: mechanisms of interaction and pressing issues — https://openalex.org/W7215667035</w:t>
      </w:r>
    </w:p>
    <w:p>
      <w:pPr/>
      <w:r>
        <w:rPr>
          <w:b/>
        </w:rPr>
        <w:t>Shared claim-specific concepts:</w:t>
      </w:r>
      <w:r>
        <w:t xml:space="preserve"> pressing, issues, significant; EU scope not established. This is a provisional connection, not an outcome finding.</w:t>
      </w:r>
    </w:p>
    <w:p>
      <w:pPr>
        <w:pStyle w:val="SourceNote"/>
      </w:pPr>
      <w:r>
        <w:rPr>
          <w:b/>
        </w:rPr>
        <w:t>Available abstract (not full text):</w:t>
      </w:r>
      <w:r>
        <w:t xml:space="preserve">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pPr/>
      <w:r>
        <w:rPr>
          <w:b/>
        </w:rPr>
        <w:t>POSSIBLE 2026:</w:t>
      </w:r>
      <w:r>
        <w:t xml:space="preserve"> How can Europe address its pressing AI compute infrastructure shortfall? — https://doi.org/10.64153/shia4474</w:t>
      </w:r>
    </w:p>
    <w:p>
      <w:pPr/>
      <w:r>
        <w:rPr>
          <w:b/>
        </w:rPr>
        <w:t>Shared claim-specific concepts:</w:t>
      </w:r>
      <w:r>
        <w:t xml:space="preserve"> pressing, resources, significant; EU scope visible. This is a provisional connection, not an outcome finding.</w:t>
      </w:r>
    </w:p>
    <w:p>
      <w:pPr>
        <w:pStyle w:val="SourceNote"/>
      </w:pPr>
      <w:r>
        <w:rPr>
          <w:b/>
        </w:rPr>
        <w:t>Available abstract (not full text):</w:t>
      </w:r>
      <w:r>
        <w:t xml:space="preserve">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pPr/>
      <w:r>
        <w:rPr>
          <w:b/>
        </w:rPr>
        <w:t>POSSIBLE 2026:</w:t>
      </w:r>
      <w:r>
        <w:t xml:space="preserve"> Meeting the Needs of the Global Quantum Science Community: A Call to Action — https://doi.org/10.48550/arxiv.2601.14297</w:t>
      </w:r>
    </w:p>
    <w:p>
      <w:pPr/>
      <w:r>
        <w:rPr>
          <w:b/>
        </w:rPr>
        <w:t>Shared claim-specific concepts:</w:t>
      </w:r>
      <w:r>
        <w:t xml:space="preserve"> one, meeting, needs; EU scope not established. This is a provisional connection, not an outcome finding.</w:t>
      </w:r>
    </w:p>
    <w:p>
      <w:pPr>
        <w:pStyle w:val="SourceNote"/>
      </w:pPr>
      <w:r>
        <w:rPr>
          <w:b/>
        </w:rPr>
        <w:t>Available abstract (not full text):</w:t>
      </w:r>
      <w:r>
        <w:t xml:space="preserve"> 2025 marks one hundred years since the discovery of quantum mechanics. In the century since then, quantum science has blossomed into a global community composed of academics, engineers, developers, and entrepreneurs. The world is currently in the middle of the so-called second quantum revolution, with increased public awareness of quantum science and technology, and growing investment in both quantum hardware and software applications. However, representation remains low among historically marginalized groups: women, LGBTQ+, BIPOC, and people from the global south make up disproportionately few physicists. There are numerous efforts to improve diversity within quantum science, including through workforce development. But many of the changes enacted at the highest levels have failed to result in real change, as highlighted and discussed in the recent Women For Quantum Manifesto of Values. Here, we seek to echo and amplify the need for real change in the quantum ecosystem, emphasizing intersectionality and a feminist approach that centers the most vulnerable members of the quantum community: young students and researchers, especially those communities historically marginalized from quantum science. This report is our attempt to help quantum communities meet this need; we have conducted a survey of quantum scientists all over the world, and here we include both a preliminary repor</w:t>
      </w:r>
    </w:p>
    <w:p>
      <w:pPr/>
      <w:r>
        <w:rPr>
          <w:b/>
        </w:rPr>
        <w:t>POSSIBLE 2026:</w:t>
      </w:r>
      <w:r>
        <w:t xml:space="preserve"> Meeting Users’ Needs in National Health Information Infrastructures - Lessons from the Case of Germany — https://doi.org/10.24251/hicss.2026.448</w:t>
      </w:r>
    </w:p>
    <w:p>
      <w:pPr/>
      <w:r>
        <w:rPr>
          <w:b/>
        </w:rPr>
        <w:t>Shared claim-specific concepts:</w:t>
      </w:r>
      <w:r>
        <w:t xml:space="preserve"> meeting, needs, countries, dynamics; EU scope visible. This is a provisional connection, not an outcome finding.</w:t>
      </w:r>
    </w:p>
    <w:p>
      <w:pPr>
        <w:pStyle w:val="SourceNote"/>
      </w:pPr>
      <w:r>
        <w:rPr>
          <w:b/>
        </w:rPr>
        <w:t>Available abstract (not full text):</w:t>
      </w:r>
      <w:r>
        <w:t xml:space="preserve"> National health information infrastructures (HII) are critical for enabling interoperable and efficient healthcare delivery. However, many national initiatives struggle with misaligned stakeholder interests and unclear roles of regulators. This study investigates a national HII, which includes three important public health applications. Drawing on interviews, participatory observations, and regulatory documents, we examine how stakeholder dynamics and regulatory constraints shape the development process. While existing research has often described such cases, our study adopts a solution-oriented perspective. We derive three actionable recommendations to better align national HII with end-user needs, emphasizing balanced stakeholder involvement, user-centered design, and governance structures that promote healthcare delivery outcomes. Our findings contribute to the literature by extending empirical insights on national HII and offering guidance for governments and policymakers designing similar infrastructures in other countries.</w:t>
      </w:r>
    </w:p>
    <w:p>
      <w:pPr/>
      <w:r>
        <w:rPr>
          <w:b/>
        </w:rPr>
        <w:t>POSSIBLE 2026:</w:t>
      </w:r>
      <w:r>
        <w:t xml:space="preserve"> Feeling responsible, feeling better? The climate-happiness link across European Union — https://doi.org/10.71014/sieds.v80i2.563</w:t>
      </w:r>
    </w:p>
    <w:p>
      <w:pPr/>
      <w:r>
        <w:rPr>
          <w:b/>
        </w:rPr>
        <w:t>Shared claim-specific concepts:</w:t>
      </w:r>
      <w:r>
        <w:t xml:space="preserve"> one, pressing, issues, countries; EU scope visible. This is a provisional connection, not an outcome finding.</w:t>
      </w:r>
    </w:p>
    <w:p>
      <w:pPr>
        <w:pStyle w:val="SourceNote"/>
      </w:pPr>
      <w:r>
        <w:rPr>
          <w:b/>
        </w:rPr>
        <w:t>Available abstract (not full text):</w:t>
      </w:r>
      <w:r>
        <w:t xml:space="preserve"> Climate change is one of the most pressing environmental issues, and often cause citizzens’ anxiety. One such pressing concern is how citizens' sense of personal responsibility for climate change affects their overall life satisfaction. The current study examines this relationship using data from Round 11 (2023) of the European Social Survey (ESS). We examine the extent to which feeling personally responsible for mitigating climate change is associated with life satisfaction, controlling for a number of socio-demographic and attitudinal controls. These include age, gender, political orientation, country of residence, migrant status, whether one believes that climate change exists, how concerned one is about protecting the environment, how close one feels to Europe and one's country of origin, and trust in the European Parliament. The results suggest that individuals who identify more strongly with the task of tackling climate change, report more trust in European institutions, and reside in northern European Member States enjoy greater life satisfaction. Conversely, individuals - mainly from some Eastern and Southern European countries - who either express low identification with Europe or are apathetic about identifying with it are less satisfied.</w:t>
      </w:r>
    </w:p>
    <w:p>
      <w:pPr/>
      <w:r>
        <w:rPr>
          <w:b/>
        </w:rPr>
        <w:t>POSSIBLE 2026:</w:t>
      </w:r>
      <w:r>
        <w:t xml:space="preserve"> Insights of the Adult Immunization Board Meeting — https://openalex.org/W7167399882</w:t>
      </w:r>
    </w:p>
    <w:p>
      <w:pPr/>
      <w:r>
        <w:rPr>
          <w:b/>
        </w:rPr>
        <w:t>Shared claim-specific concepts:</w:t>
      </w:r>
      <w:r>
        <w:t xml:space="preserve"> issues, meeting, significant; EU scope visible. This is a provisional connection, not an outcome finding.</w:t>
      </w:r>
    </w:p>
    <w:p>
      <w:pPr>
        <w:pStyle w:val="SourceNote"/>
      </w:pPr>
      <w:r>
        <w:rPr>
          <w:b/>
        </w:rPr>
        <w:t>Available abstract (not full text):</w:t>
      </w:r>
      <w:r>
        <w:t xml:space="preserve"> As Europe’s population ages, optimizing vaccination strategies for older adults is an increasing public health priority. Vaccine-preventable infections pose significant risks, including increased morbidity and mortality, reduced quality of life, and substantial healthcare costs. Prevention, particularly adult vaccination, plays a vital role in mitigating these outcomes and supporting healthy ageing. While childhood immunization remains essential, a life-course approach including routine older adult vaccination is needed. Coverage among older adults across Europe remains suboptimal owing to factors such as heterogeneous (sub)national policies, health literacy issues, financial barriers, access issues, and persistent structural and societal barriers. To meet these challenges, the Adult Immunization Board (AIB) convened a technical meeting in May 2025, to discuss strategies for improving vaccination in older adults. The meeting explored how older adults are defined in immunization policies (for the meeting, an operational threshold of ≥ 50 years was used, while acknowledging that many national age-based programs commonly start around 60–65 years) and reviewed current adult vaccines and programmatic implementation across six vaccines. Discussions highlighted the need for a life-course approach with coordinated (inter)national policies, clear adult vaccination schedules, dedicated i</w:t>
      </w:r>
    </w:p>
    <w:p>
      <w:pPr/>
      <w:r>
        <w:rPr>
          <w:b/>
        </w:rPr>
        <w:t>POSSIBLE 2026:</w:t>
      </w:r>
      <w:r>
        <w:t xml:space="preserve"> Meeting the mind’s essentials: Basic psychological needs and student well-being in higher education — https://doi.org/10.31893/multirev.2026576</w:t>
      </w:r>
    </w:p>
    <w:p>
      <w:pPr/>
      <w:r>
        <w:rPr>
          <w:b/>
        </w:rPr>
        <w:t>Shared claim-specific concepts:</w:t>
      </w:r>
      <w:r>
        <w:t xml:space="preserve"> meeting, needs, significant; EU scope not established. This is a provisional connection, not an outcome finding.</w:t>
      </w:r>
    </w:p>
    <w:p>
      <w:pPr>
        <w:pStyle w:val="SourceNote"/>
      </w:pPr>
      <w:r>
        <w:rPr>
          <w:b/>
        </w:rPr>
        <w:t>Available abstract (not full text):</w:t>
      </w:r>
      <w:r>
        <w:t xml:space="preserve"> This study explored the fulfillment of basic psychological needs and its relationship with student well-being in higher education. Anchored on Self-Determination Theory and guided by the growing emphasis on mental health in academic settings, the research aimed to examine how autonomy, competence, and relatedness influence students’ overall well-being. A descriptive-correlational design was employed, with data collected from a sample of college students selected through simple random sampling. Standardized tools—the Basic Psychological Need Satisfaction and Frustration Scale (BPNSFS) and the WHO-5 Well-being Index—were used to measure the variables. Data analysis included descriptive statistics and Pearson correlation to determine the nature and strength of the relationship between psychological needs and well-being. Students reported a moderate level of psychological need fulfillment, with differences across the domains of autonomy, competence, and relatedness. Well-being scores ranged from good to at-risk levels, reflecting both positive mental health and emotional vulnerability. A significant positive correlation was found between psychological need satisfaction and student well-being. The results highlight the importance of fulfilling basic psychological needs in promoting students’ mental health. The study emphasizes the need for educational institutions to cultivate envir</w:t>
      </w:r>
    </w:p>
    <w:p>
      <w:pPr/>
      <w:r>
        <w:rPr>
          <w:b/>
        </w:rPr>
        <w:t>POSSIBLE 2026:</w:t>
      </w:r>
      <w:r>
        <w:t xml:space="preserve"> The Role of the Government in Meeting Military Energy Needs: A Literature Review of Defense Energy Strategies and Policies — https://doi.org/10.55927/fjmr.v5i7.114</w:t>
      </w:r>
    </w:p>
    <w:p>
      <w:pPr/>
      <w:r>
        <w:rPr>
          <w:b/>
        </w:rPr>
        <w:t>Shared claim-specific concepts:</w:t>
      </w:r>
      <w:r>
        <w:t xml:space="preserve"> meeting, needs, energy; EU scope not established. This is a provisional connection, not an outcome finding.</w:t>
      </w:r>
    </w:p>
    <w:p>
      <w:pPr>
        <w:pStyle w:val="SourceNote"/>
      </w:pPr>
      <w:r>
        <w:rPr>
          <w:b/>
        </w:rPr>
        <w:t>Available abstract (not full text):</w:t>
      </w:r>
      <w:r>
        <w:t xml:space="preserve"> This study employed a qualitative approach with a systematic literature review design, involving peer-reviewed journal articles, institutional policy documents, and academic monographs selected through purposive sampling based on criteria of temporal relevance and thematic specificity, with priority given to sources published between 2010 and 2024. Data were collected using systematic documentary analysis and analyzed using a two-stage process combining descriptive thematic mapping and comparative cross-contextual analysis. The findings indicate that legislative mandates produce more durable defense energy reform outcomes than administrative directives; that a persistent and consequential gap exists between declared policy objectives and actual budget appropriations, with reactive rather than anticipatory budgeting constituting the dominant pattern across cases; that a portfolio approach combining diversification, efficiency reform, and renewable integration rather than any single strategy best addresses the full range of operational demands; and that the body of defense energy policy knowledge has developed almost entirely through Western, high-income defense establishment experience, generating frameworks that require reconceptualization rather than direct translation for developing-country contexts. This study also provides opportunities for further research on the instituti</w:t>
      </w:r>
    </w:p>
    <w:p>
      <w:pPr/>
      <w:r>
        <w:rPr>
          <w:b/>
        </w:rPr>
        <w:t>POSSIBLE 2026:</w:t>
      </w:r>
      <w:r>
        <w:t xml:space="preserve"> Setting the Scene: Financing Adult Learning in Europe — https://doi.org/10.5281/zenodo.19914319</w:t>
      </w:r>
    </w:p>
    <w:p>
      <w:pPr/>
      <w:r>
        <w:rPr>
          <w:b/>
        </w:rPr>
        <w:t>Shared claim-specific concepts:</w:t>
      </w:r>
      <w:r>
        <w:t xml:space="preserve"> one, pressing, significant, innovation, central, countries;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The European Union and Human Rights — https://doi.org/10.52340/gjes.2015.01.07</w:t>
      </w:r>
    </w:p>
    <w:p>
      <w:pPr/>
      <w:r>
        <w:rPr>
          <w:b/>
        </w:rPr>
        <w:t>Shared claim-specific concepts:</w:t>
      </w:r>
      <w:r>
        <w:t xml:space="preserve"> one, pressing, significant; EU scope visible. This is a provisional connection, not an outcome finding.</w:t>
      </w:r>
    </w:p>
    <w:p>
      <w:pPr>
        <w:pStyle w:val="SourceNote"/>
      </w:pPr>
      <w:r>
        <w:rPr>
          <w:b/>
        </w:rPr>
        <w:t>Available abstract (not full text):</w:t>
      </w:r>
      <w:r>
        <w:t xml:space="preserve"> This paper thoroughly examines the evolution of human rights protection within the European Union (EU), charting its progression from a predominantly economically driven organization into one that now actively upholds and recognizes fundamental human rights. Initially, the EU’s founding treaties, such as the Treaty of Rome, focused almost exclusively on economic integration, deliberately omitting any explicit provisions related to human rights protection. Over time, as the EU's competencies expanded, particularly in areas of governance, law, and political authority, the absence of human rights safeguards became a pressing issue. This need for comprehensive protection led to increasing attention on human rights within the EU legal framework, culminating in the creation of the Charter of Fundamental Rights in 2000. The Charter, later given full legal effect by the Treaty of Lisbon in 2009, now holds equal legal status to the EU’s founding treaties, marking a significant turning point in the Union’s legal landscape. The paper also explores the essential role played by the European Court of Justice in interpreting, reinforcing, and upholding human rights through its landmark rulings. These rulings notably incorporate principles from the European Convention on Human Rights and the shared constitutional traditions of Member States. Furthermore, the paper discusses the EU’s planned ac</w:t>
      </w:r>
    </w:p>
    <w:p>
      <w:pPr/>
      <w:r>
        <w:rPr>
          <w:b/>
        </w:rPr>
        <w:t>POSSIBLE 2026:</w:t>
      </w:r>
      <w:r>
        <w:t xml:space="preserve"> Priorities for change for autistic people across Europe — https://doi.org/10.1186/s13229-026-00706-3</w:t>
      </w:r>
    </w:p>
    <w:p>
      <w:pPr/>
      <w:r>
        <w:rPr>
          <w:b/>
        </w:rPr>
        <w:t>Shared claim-specific concepts:</w:t>
      </w:r>
      <w:r>
        <w:t xml:space="preserve"> pressing, issues, needs, region, countries;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pStyle w:val="Heading2"/>
      </w:pPr>
      <w:r>
        <w:t>527. Climate Change and Renewable Energy Generation in Europe—Long-Term Impact Assessment on Solar and Wind Energy Using High-Resolution Future Climate Data and Considering Climate Uncertainties</w:t>
      </w:r>
    </w:p>
    <w:p>
      <w:pPr>
        <w:pStyle w:val="SourceNote"/>
      </w:pPr>
      <w:r>
        <w:rPr>
          <w:b/>
        </w:rPr>
        <w:t>Original source (2022):</w:t>
      </w:r>
      <w:r>
        <w:t xml:space="preserve"> https://doi.org/10.3390/en15010302</w:t>
      </w:r>
    </w:p>
    <w:p>
      <w:pPr/>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POSSIBLE 2026:</w:t>
      </w:r>
      <w:r>
        <w:t xml:space="preserve"> Robust data integration methods for understanding associations between climate change and hantavirus infection in Europe are needed: A systematic-narrative hybrid literature review — https://doi.org/10.1016/j.envc.2026.101486</w:t>
      </w:r>
    </w:p>
    <w:p>
      <w:pPr/>
      <w:r>
        <w:rPr>
          <w:b/>
        </w:rPr>
        <w:t>Shared claim-specific concepts:</w:t>
      </w:r>
      <w:r>
        <w:t xml:space="preserve"> thirteen, climate, including, pathways, substantial; EU scope visible. This is a provisional connection, not an outcome finding.</w:t>
      </w:r>
    </w:p>
    <w:p>
      <w:pPr>
        <w:pStyle w:val="SourceNote"/>
      </w:pPr>
      <w:r>
        <w:rPr>
          <w:b/>
        </w:rPr>
        <w:t>Available abstract (not full text):</w:t>
      </w:r>
      <w:r>
        <w:t xml:space="preserve">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pPr/>
      <w:r>
        <w:rPr>
          <w:b/>
        </w:rPr>
        <w:t>POSSIBLE 2026:</w:t>
      </w:r>
      <w:r>
        <w:t xml:space="preserve"> Recent flood disasters in Europe (2007–2025): comparative analysis and policy implications for climate-resilient governance — https://doi.org/10.1080/15715124.2026.2694415</w:t>
      </w:r>
    </w:p>
    <w:p>
      <w:pPr/>
      <w:r>
        <w:rPr>
          <w:b/>
        </w:rPr>
        <w:t>Shared claim-specific concepts:</w:t>
      </w:r>
      <w:r>
        <w:t xml:space="preserve"> climate, including, five, regional; EU scope visible. This is a provisional connection, not an outcome finding.</w:t>
      </w:r>
    </w:p>
    <w:p>
      <w:pPr>
        <w:pStyle w:val="SourceNote"/>
      </w:pPr>
      <w:r>
        <w:rPr>
          <w:b/>
        </w:rPr>
        <w:t>Available abstract (not full text):</w:t>
      </w:r>
      <w:r>
        <w:t xml:space="preserve">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pPr/>
      <w:r>
        <w:rPr>
          <w:b/>
        </w:rPr>
        <w:t>POSSIBLE 2026:</w:t>
      </w:r>
      <w:r>
        <w:t xml:space="preserve"> Climate Change Threatens Micronutrient Density of European Winter Wheat — https://doi.org/10.1002/advs.202513322</w:t>
      </w:r>
    </w:p>
    <w:p>
      <w:pPr/>
      <w:r>
        <w:rPr>
          <w:b/>
        </w:rPr>
        <w:t>Shared claim-specific concepts:</w:t>
      </w:r>
      <w:r>
        <w:t xml:space="preserve"> climate, representative, uncertainty; EU scope visible. This is a provisional connection, not an outcome finding.</w:t>
      </w:r>
    </w:p>
    <w:p>
      <w:pPr>
        <w:pStyle w:val="SourceNote"/>
      </w:pPr>
      <w:r>
        <w:rPr>
          <w:b/>
        </w:rPr>
        <w:t>Available abstract (not full text):</w:t>
      </w:r>
      <w:r>
        <w:t xml:space="preserve">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pPr/>
      <w:r>
        <w:rPr>
          <w:b/>
        </w:rPr>
        <w:t>POSSIBLE 2026:</w:t>
      </w:r>
      <w:r>
        <w:t xml:space="preserve"> Thermal niche tracking in thirteen British temperate passerines — https://doi.org/10.22541/authorea.15010264/v1</w:t>
      </w:r>
    </w:p>
    <w:p>
      <w:pPr/>
      <w:r>
        <w:rPr>
          <w:b/>
        </w:rPr>
        <w:t>Shared claim-specific concepts:</w:t>
      </w:r>
      <w:r>
        <w:t xml:space="preserve"> thirteen, climate, over; EU scope not established. This is a provisional connection, not an outcome finding.</w:t>
      </w:r>
    </w:p>
    <w:p>
      <w:pPr>
        <w:pStyle w:val="SourceNote"/>
      </w:pPr>
      <w:r>
        <w:rPr>
          <w:b/>
        </w:rPr>
        <w:t>Available abstract (not full text):</w:t>
      </w:r>
      <w:r>
        <w:t xml:space="preserve">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pPr/>
      <w:r>
        <w:rPr>
          <w:b/>
        </w:rPr>
        <w:t>POSSIBLE 2026:</w:t>
      </w:r>
      <w:r>
        <w:t xml:space="preserve"> Heterogeneity and global climate action — https://doi.org/10.21953/researchonline.lse.ac.uk.00137104</w:t>
      </w:r>
    </w:p>
    <w:p>
      <w:pPr/>
      <w:r>
        <w:rPr>
          <w:b/>
        </w:rPr>
        <w:t>Shared claim-specific concepts:</w:t>
      </w:r>
      <w:r>
        <w:t xml:space="preserve"> climate, caused; EU scope not established. This is a provisional connection, not an outcome finding.</w:t>
      </w:r>
    </w:p>
    <w:p>
      <w:pPr>
        <w:pStyle w:val="SourceNote"/>
      </w:pPr>
      <w:r>
        <w:rPr>
          <w:b/>
        </w:rPr>
        <w:t>Available abstract (not full text):</w:t>
      </w:r>
      <w:r>
        <w:t xml:space="preserve"> Responses to climate change differ between countries yet the impact of these differences on the evolution of global climate action has not been analysed to date. This paper addresses two related questions: (i) what is the role of the variation of preferences in the global political economy of climate action; and (ii) what are the necessary conditions for sustained high levels of global action? The authors develop a model to assess countries’ choices at different times to either take action to reduce emissions or not. They find that countries’ choices are influenced by their current level of emissions, total participation in climate action, and other idiosyncratic factors. The heterogeneity between countries is caused by income inequality, differing vulnerability to climate damage, and other political economy factors. The model’s key result is that sustained high levels of global action are achieved only if there is a low degree of heterogeneity in countries’ preferences for action and a strong peer pressure effect to act.</w:t>
      </w:r>
    </w:p>
    <w:p>
      <w:pPr/>
      <w:r>
        <w:rPr>
          <w:b/>
        </w:rPr>
        <w:t>POSSIBLE 2026:</w:t>
      </w:r>
      <w:r>
        <w:t xml:space="preserve"> Business, Climate Litigation and Human Rights in a Changing Global Political Climate — https://doi.org/10.56461/iup_rlrc.2026.7.ch22</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Climate litigation is increasingly framed not only as an environmental issue, but as a struggle over human rights in a changing global political climate. At the same time, business and human rights frameworks in Europe—especially mandatory due diligence and sustainability reporting—are expanding and are often presented as tools to strengthen corporate accountability. This paper argues that, despite the expansion of legal and regulatory mechanisms, corporate actors continue to rely on ESG narratives as a form of corporate legitimization, while affected communities face structural barriers to accessing justice. Drawing on developments in Europe and the Global South, the paper highlights a persistent gap between corporate contribution to climate harm and legal accountability. It concludes that without stronger attention to power asymmetries and access to justice, climate litigation and Business and Human Rights (BHR) regulation may reinforce existing inequalities rather than deliver climate justice.</w:t>
      </w:r>
    </w:p>
    <w:p>
      <w:pPr/>
      <w:r>
        <w:rPr>
          <w:b/>
        </w:rPr>
        <w:t>POSSIBLE 2026:</w:t>
      </w:r>
      <w:r>
        <w:t xml:space="preserve"> Climate anxiety among nursing students: a scoping review — https://doi.org/10.1186/s12912-026-04656-2</w:t>
      </w:r>
    </w:p>
    <w:p>
      <w:pPr/>
      <w:r>
        <w:rPr>
          <w:b/>
        </w:rPr>
        <w:t>Shared claim-specific concepts:</w:t>
      </w:r>
      <w:r>
        <w:t xml:space="preserve"> thirteen, climate, including, uncertainty; EU scope not established. This is a provisional connection, not an outcome finding.</w:t>
      </w:r>
    </w:p>
    <w:p>
      <w:pPr>
        <w:pStyle w:val="SourceNote"/>
      </w:pPr>
      <w:r>
        <w:rPr>
          <w:b/>
        </w:rPr>
        <w:t>Available abstract (not full text):</w:t>
      </w:r>
      <w:r>
        <w:t xml:space="preserve"> BACKGROUND: Climate change is a critical 21st-century global challenge affecting the environment, public health, and social well-being. Climate anxiety is increasingly prevalent among nursing students, who bear a dual burden of personal psychological stress and professional responsibility for addressing climate-related health consequences. However, synthesized evidence on this topic remains limited. AIMS: To comprehensively map the assessment tools, influencing factors, and intervention strategies related to climate anxiety among nursing students, identify key knowledge gaps, and provide evidence-based recommendations for future research and nursing education. DESIGN: Scoping review conducted following the Arksey and O’Malley framework and reported in accordance with the PRISMA extension for Scoping Reviews (PRISMA-ScR) 2020 guidelines. DATA SOURCES: Seven major electronic databases (PubMed, Cochrane Library, Embase, CINAHL, Web of Science Core Collection, Scopus, and Medline) were searched from database inception to March 1, 2026. METHODS: Literature was screened based on the PCC (Population, Concept, Context) framework, followed by rigorous two-stage independent screening and standardized data charting by two reviewers. RESULTS: Thirteen studies involving a total of 5,096 nursing students were included. All studies were published between 2024 and 2025, with the majority condu</w:t>
      </w:r>
    </w:p>
    <w:p>
      <w:pPr/>
      <w:r>
        <w:rPr>
          <w:b/>
        </w:rPr>
        <w:t>POSSIBLE 2026:</w:t>
      </w:r>
      <w:r>
        <w:t xml:space="preserve"> Unraveling European electricity price volatility: The impact of renewables — https://doi.org/10.1016/j.esr.2026.102144</w:t>
      </w:r>
    </w:p>
    <w:p>
      <w:pPr/>
      <w:r>
        <w:rPr>
          <w:b/>
        </w:rPr>
        <w:t>Shared claim-specific concepts:</w:t>
      </w:r>
      <w:r>
        <w:t xml:space="preserve"> thirteen, climate, including; EU scope visible. This is a provisional connection, not an outcome finding.</w:t>
      </w:r>
    </w:p>
    <w:p>
      <w:pPr>
        <w:pStyle w:val="SourceNote"/>
      </w:pPr>
      <w:r>
        <w:rPr>
          <w:b/>
        </w:rPr>
        <w:t>Available abstract (not full text):</w:t>
      </w:r>
      <w:r>
        <w:t xml:space="preserve"> The transition from fossil fuels to renewable, carbon-free energy is a critical challenge for mitigating climate change, with different European countries adopting diverse approaches to integrating renewable energy sources into their energy systems. Hereby, the intermittent nature and variability of renewable energy generation lead to significant challenges to electricity markets, amplifying supply volatility and market instability. This study examines the determinants of electricity price volatility in European wholesale markets, focusing on the impact of renewable energy sources as well as the influence of fuel prices and electricity demand. Using daily data from thirteen European electricity markets for the period 2015 to 2023, we account for the dynamic development of the energy system and volatile market condition, including the recent shocks induced by the Russia–Ukraine war. By employing country-specific and panel regression models, the findings reveal that conventional power sources, such as nuclear and coal, tend to stabilize electricity markets. In contrast, a higher share of solar power is associated with increased risk. Wind power exhibits mixed effects, with stabilizing impacts in most markets and volatility-enhancing tendencies in Spain, highlighting the role of market-specific dynamics. Additionally, total electricity load as well as the Russia-Ukraine war emerge</w:t>
      </w:r>
    </w:p>
    <w:p>
      <w:pPr/>
      <w:r>
        <w:rPr>
          <w:b/>
        </w:rPr>
        <w:t>POSSIBLE 2026:</w:t>
      </w:r>
      <w:r>
        <w:t xml:space="preserve"> Cultivar-by-environment interactions shape strawberry fruit quality: A multi-omics approach across European climates — https://doi.org/10.1016/j.foodchem.2026.148161</w:t>
      </w:r>
    </w:p>
    <w:p>
      <w:pPr/>
      <w:r>
        <w:rPr>
          <w:b/>
        </w:rPr>
        <w:t>Shared claim-specific concepts:</w:t>
      </w:r>
      <w:r>
        <w:t xml:space="preserve"> including, five, over; EU scope visible. This is a provisional connection, not an outcome finding.</w:t>
      </w:r>
    </w:p>
    <w:p>
      <w:pPr>
        <w:pStyle w:val="SourceNote"/>
      </w:pPr>
      <w:r>
        <w:rPr>
          <w:b/>
        </w:rPr>
        <w:t>Available abstract (not full text):</w:t>
      </w:r>
      <w:r>
        <w:t xml:space="preserve"> Flavour inconsistency in Fragaria x ananassa remains a challenge, largely due to historical breeding focused on yield over sensory traits. Flavour results from organoleptic and bioactive compounds shaped by cultivar (G), environment (E) and their interaction (GxE). Four strawberry cultivars (Clery, Frida, Gariguette, Sonata) were evaluated across five European environments employing an integrative approach combining metabolomics and transcriptomics. This approach revealed elevated temperatures accelerate the start of the harvest season and shorten fruit development duration. GxE interactions critically influenced flavour compounds accumulation, indicating cooler temperatures during fruit development favor the accumulation of sugars and ɣ-decalactone. Integrative analysis identified cultivar-specific and environmentally stable transcriptional patterns, including promising candidate genes involved in the biosynthesis and degradation of flavour relevant compounds, and revealing starting points for strawberry flavour improvement and stabilization. Our findings highlight the central role of GxE interactions in shaping strawberry flavour profile and emphasize the need for multi-environment trials to support resilient flavour enhancement in future breeding programs. • GxE interactions drive 17.8% of strawberry's flavour metabolome. • Multi-omics pinpoints cultivar-specific genes for s</w:t>
      </w:r>
    </w:p>
    <w:p>
      <w:pPr/>
      <w:r>
        <w:rPr>
          <w:b/>
        </w:rPr>
        <w:t>POSSIBLE 2026:</w:t>
      </w:r>
      <w:r>
        <w:t xml:space="preserve"> Phenotypic plasticity evolved for climate variability constrains performance under climate warming — https://doi.org/10.64898/2026.03.15.711905</w:t>
      </w:r>
    </w:p>
    <w:p>
      <w:pPr/>
      <w:r>
        <w:rPr>
          <w:b/>
        </w:rPr>
        <w:t>Shared claim-specific concepts:</w:t>
      </w:r>
      <w:r>
        <w:t xml:space="preserve"> thirteen, climate, including; EU scope not established. This is a provisional connection, not an outcome finding.</w:t>
      </w:r>
    </w:p>
    <w:p>
      <w:pPr>
        <w:pStyle w:val="SourceNote"/>
      </w:pPr>
      <w:r>
        <w:rPr>
          <w:b/>
        </w:rPr>
        <w:t>Available abstract (not full text):</w:t>
      </w:r>
      <w:r>
        <w:t xml:space="preserve"> Abstract Phenotypic plasticity allows plants to rapidly respond to changing environments without the need for evolutionary change or migration. While selection can create variation in plasticity across natural populations, these responses are not adaptive in all environments. To predict whether plasticity will be adaptive requires evaluation of its fitness effects across a range of environments, including novel ones. Here, we test how traits and their plasticity vary for genotypes collected across a natural hybrid zone between two tree species with contrasting climatic niches. Fast-growing Populus trichocarpa inhabits maritime environments with relatively warm and stable temperatures, while P. balsamifera inhabits continental environments with cold winters and large temperature variance throughout the year. We planted 44 clonally replicated genotypes into thirteen common gardens and measured vegetative phenology, leaf morphology, stomata morphology and conductance, and photochemistry. Overall, genotypes from colder, more continental environments exhibited higher plasticity. P. balsamifera ancestry was associated with increased plasticity in timing of fall phenology, stomatal conductance, and leaf mass per unit area. We assessed the effects of trait plasticity on fitness estimated as yearly growth across common gardens and found that the plasticity-fitness relationship was often</w:t>
      </w:r>
    </w:p>
    <w:p>
      <w:pPr/>
      <w:r>
        <w:rPr>
          <w:b/>
        </w:rPr>
        <w:t>POSSIBLE 2026:</w:t>
      </w:r>
      <w:r>
        <w:t xml:space="preserve"> Regional priorities in implementing forestation and wind energy as climate solutions in facing their trade-offs — https://doi.org/10.1038/s41467-026-71674-8</w:t>
      </w:r>
    </w:p>
    <w:p>
      <w:pPr/>
      <w:r>
        <w:rPr>
          <w:b/>
        </w:rPr>
        <w:t>Shared claim-specific concepts:</w:t>
      </w:r>
      <w:r>
        <w:t xml:space="preserve"> climate, regional; EU scope visible. This is a provisional connection, not an outcome finding.</w:t>
      </w:r>
    </w:p>
    <w:p>
      <w:pPr>
        <w:pStyle w:val="SourceNote"/>
      </w:pPr>
      <w:r>
        <w:rPr>
          <w:b/>
        </w:rPr>
        <w:t>Available abstract (not full text):</w:t>
      </w:r>
      <w:r>
        <w:t xml:space="preserve"> Both forestation and wind-energy upscaling are crucial climate solutions, but they may have conflicts as forestation can increase surface roughness and reduce wind speed. Here, based on coupled land-atmosphere simulations with contrasting forest areas, we report a notable trade-off between wind energy and carbon sequestration across a range of potential forestation areas. A maximum global forestation area of 1508 Mha is estimated to enable a biomass carbon sequestration of 90.7 GtC but also contribute to a 19.5% reduction in global onshore wind energy technical potential. The strength of such carbon-energy trade-offs, however, differs among different regions. Tropics could provide large forestation-induced carbon sequestration but have a small loss in wind energy potential. Large-scale forestation in Europe and US mainland may diminish not only wind energy potential but also energy generation of their current wind installations. Our results highlight the importance of maximizing the collective benefits of potentially competing climate solutions. Forestation creates a climate trade-off between carbon uptake and wind energy. This study reveals forestation has high carbon sequestration potential with lower wind energy loss in tropical regions but has high wind energy loss in Europe and the US.</w:t>
      </w:r>
    </w:p>
    <w:p>
      <w:pPr/>
      <w:r>
        <w:rPr>
          <w:b/>
        </w:rPr>
        <w:t>POSSIBLE 2026:</w:t>
      </w:r>
      <w:r>
        <w:t xml:space="preserve"> Global agronomic suitability of Citrus sinensis for commercial production under CMIP6 climate scenarios — https://doi.org/10.1038/s41598-026-62954-w</w:t>
      </w:r>
    </w:p>
    <w:p>
      <w:pPr/>
      <w:r>
        <w:rPr>
          <w:b/>
        </w:rPr>
        <w:t>Shared claim-specific concepts:</w:t>
      </w:r>
      <w:r>
        <w:t xml:space="preserve"> climate, regional, periods; EU scope visible. This is a provisional connection, not an outcome finding.</w:t>
      </w:r>
    </w:p>
    <w:p>
      <w:pPr>
        <w:pStyle w:val="SourceNote"/>
      </w:pPr>
      <w:r>
        <w:rPr>
          <w:b/>
        </w:rPr>
        <w:t>Available abstract (not full text):</w:t>
      </w:r>
      <w:r>
        <w:t xml:space="preserve"> Abstract This study aims to map the global edaphoclimatic suitability for highly intensive commercial production of Citrus sinensis under current climate and future CMIP6 scenarios (SSP1-2.6, SSP2-4.5, SSP3-7.0, and SSP5-8.5) across four time periods (2021–2040, 2041–2060, 2061–2080, and 2081–2100). Using a maximum entropy species distribution model (MaxEnt) trained with 11 selected climatic, edaphic, and topographic predictors, we achieved robust predictive skill (AUC ≈ 0.87; TSS ≈ 0.90 across 10 replicates). Minimum temperature of the coldest month emerged as the dominant constraint, followed by soil clay content, soil pH, and annual precipitation. Projections to 2081–2100 indicate a ~ 30% decline in total suitable area under SSP5-8.5, with strong regional contrasts: contractions in Brazil (− 61.5%) and India (− 50.7%) versus expansion in China (+ 67.6%); Europe increases by ~ 82% (~ + 63.8 Mha), while Africa and the Americas generally contract. Within today’s harvested citrus base (CropGrids mask), suitability shrinks sharply in the United States (− 99.2%), Brazil (− 45.5%), and Egypt (− 55.4%), but increases in China (+ 14.1%) and Italy (+ 14.7%). These results identify cold extremes as a primary limiting factor and reveal emerging high-latitude corridors, with implications for varietal choice, rootstock selection, cold protection, and strategic siting of new highly product</w:t>
      </w:r>
    </w:p>
    <w:p>
      <w:pPr>
        <w:pStyle w:val="Heading2"/>
      </w:pPr>
      <w:r>
        <w:t>528. Climate, Energy – and Environment? Reconciliation of EU Environmental Law with the Implementation Realities of EU Climate Law</w:t>
      </w:r>
    </w:p>
    <w:p>
      <w:pPr>
        <w:pStyle w:val="SourceNote"/>
      </w:pPr>
      <w:r>
        <w:rPr>
          <w:b/>
        </w:rPr>
        <w:t>Original source (2022):</w:t>
      </w:r>
      <w:r>
        <w:t xml:space="preserve"> https://doi.org/10.1163/18786561-12030003</w:t>
      </w:r>
    </w:p>
    <w:p>
      <w:pPr/>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POSSIBLE 2026:</w:t>
      </w:r>
      <w:r>
        <w:t xml:space="preserve"> Urban Planning and Environmental Protection in the Mirror of the Case Law of the European Court of Human Rights — https://doi.org/10.14207/ejsd.2026.v15n1p903</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pPr/>
      <w:r>
        <w:rPr>
          <w:b/>
        </w:rPr>
        <w:t>POSSIBLE 2026:</w:t>
      </w:r>
      <w:r>
        <w:t xml:space="preserve"> COMBATING ENVIRONMENTAL CRIMINAL ILLEGALITIES IN A CROSS BORDER CONTEXT – ONE OF THE BASIC OBJECTIVES OF THE EUROPEAN UNION — https://doi.org/10.35219/across.2026.3.14</w:t>
      </w:r>
    </w:p>
    <w:p>
      <w:pPr/>
      <w:r>
        <w:rPr>
          <w:b/>
        </w:rPr>
        <w:t>Shared claim-specific concepts:</w:t>
      </w:r>
      <w:r>
        <w:t xml:space="preserve"> objective, environmental, protection, quality, environment, objectives; EU scope visible. This is a provisional connection, not an outcome finding.</w:t>
      </w:r>
    </w:p>
    <w:p>
      <w:pPr>
        <w:pStyle w:val="SourceNote"/>
      </w:pPr>
      <w:r>
        <w:rPr>
          <w:b/>
        </w:rPr>
        <w:t>Available abstract (not full text):</w:t>
      </w:r>
      <w:r>
        <w:t xml:space="preserve">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pPr/>
      <w:r>
        <w:rPr>
          <w:b/>
        </w:rPr>
        <w:t>POSSIBLE 2026:</w:t>
      </w:r>
      <w:r>
        <w:t xml:space="preserve"> Environmental Justice and the Protection of Human Dignity in the Era of Climate Transition — https://doi.org/10.13166/jms/225625</w:t>
      </w:r>
    </w:p>
    <w:p>
      <w:pPr/>
      <w:r>
        <w:rPr>
          <w:b/>
        </w:rPr>
        <w:t>Shared claim-specific concepts:</w:t>
      </w:r>
      <w:r>
        <w:t xml:space="preserve"> objective, environmental, protection, climate, generations; EU scope visible. This is a provisional connection, not an outcome finding.</w:t>
      </w:r>
    </w:p>
    <w:p>
      <w:pPr>
        <w:pStyle w:val="SourceNote"/>
      </w:pPr>
      <w:r>
        <w:rPr>
          <w:b/>
        </w:rPr>
        <w:t>Available abstract (not full text):</w:t>
      </w:r>
      <w:r>
        <w:t xml:space="preserve">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pPr/>
      <w:r>
        <w:rPr>
          <w:b/>
        </w:rPr>
        <w:t>POSSIBLE 2026:</w:t>
      </w:r>
      <w:r>
        <w:t xml:space="preserve"> Analysis of the institutional arrangement for environmental protection in Georgia — https://doi.org/10.36962/nec21012026-118</w:t>
      </w:r>
    </w:p>
    <w:p>
      <w:pPr/>
      <w:r>
        <w:rPr>
          <w:b/>
        </w:rPr>
        <w:t>Shared claim-specific concepts:</w:t>
      </w:r>
      <w:r>
        <w:t xml:space="preserve"> objective, environmental, protection; EU scope visible. This is a provisional connection, not an outcome finding.</w:t>
      </w:r>
    </w:p>
    <w:p>
      <w:pPr>
        <w:pStyle w:val="SourceNote"/>
      </w:pPr>
      <w:r>
        <w:rPr>
          <w:b/>
        </w:rPr>
        <w:t>Available abstract (not full text):</w:t>
      </w:r>
      <w:r>
        <w:t xml:space="preserve">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protect, improve;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2026:</w:t>
      </w:r>
      <w:r>
        <w:t xml:space="preserve"> Energy policy planning and implementation for environmental protection in Bosnia and Herzegovina — https://doi.org/10.5937/0drraz2602007s</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 The primary objective of the research is to identify the causes of the discrepancy between an ambitious regulatory framework, aligned with European Union standards, and the limited results achieved in practice. 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 The findings show that maintaining low electricity tariffs and a strong reliance on coal, despite significant renewable energy potential, make Bosnia and Herzegovina vulnerable to emerging market mechanisms such as the Carbon Border Adjustment Mechanism (CBAM). It is concluded that energy policy must become an integral part of national security and public health in order to ensure long-term economic sustainability and environmental stability.</w:t>
      </w:r>
    </w:p>
    <w:p>
      <w:pPr/>
      <w:r>
        <w:rPr>
          <w:b/>
        </w:rPr>
        <w:t>POSSIBLE 2026:</w:t>
      </w:r>
      <w:r>
        <w:t xml:space="preserve"> Planning and Implementation of Energy Policies in the Function of Environmental Protection in Bosnia and Herzegovina — https://doi.org/10.18485/ecologica.2026.33.122.4</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decarbonization.The primary objective of the research is to identify the causes of the discrepancy between an ambitious regulatory framework, aligned with European Union standards, and the limited results achieved in practice.Through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transition.The findings show that maintaining low electricity tariffs and a strong reliance on coal, despite significant renewable energy potential, make Bosnia and Herzegovina vulnerable to emerging market mechanisms such as the Carbon Border Adjustment Mechanism (CBAM).It is concluded that energy policy must become an integral part of national security and public health in order to ensure long-term economic sustainability and environmental stability.</w:t>
      </w:r>
    </w:p>
    <w:p>
      <w:pPr/>
      <w:r>
        <w:rPr>
          <w:b/>
        </w:rPr>
        <w:t>POSSIBLE 2026:</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Shared claim-specific concepts:</w:t>
      </w:r>
      <w:r>
        <w:t xml:space="preserve"> environmental, protection, objectives; EU scope visible. This is a provisional connection, not an outcome finding.</w:t>
      </w:r>
    </w:p>
    <w:p>
      <w:pPr>
        <w:pStyle w:val="SourceNote"/>
      </w:pPr>
      <w:r>
        <w:rPr>
          <w:b/>
        </w:rPr>
        <w:t>Available abstract (not full text):</w:t>
      </w:r>
      <w:r>
        <w:t xml:space="preserve"> This paper is a literature review, which explores the liberalization of the EU energy market, with a focus on its impact on consumer welfare, environmental protection, and the role of the Court of Justice of the European Union (hereinafter CJEU) in shaping energy policy. The study examines the historical evolution of energy liberalization, including the significant legal frameworks and policies that have shaped the EU’s energy sector. The analysis reveals the complex interplay between market liberalization, environmental sustainability, and competition, highlighting the challenges of balancing these competing objectives. The impact of some CJEU rulings, particularly in the context of competition law and state aid, is explored to illustrate how EU institutions have navigated tensions between cost reduction, market efficiency, and environmental protection. Furthermore, the paper discusses enforcement and compliance issues, noting that while EU competition policy has contributed to market development, there remain significant challenges in ensuring consistent application of environmental standards. The conclusion reflects on the ongoing difficulty of achieving an optimal balance between consumer benefits and environmental goals in an increasingly complex geopolitical and regulatory landscape.</w:t>
      </w:r>
    </w:p>
    <w:p>
      <w:pPr/>
      <w:r>
        <w:rPr>
          <w:b/>
        </w:rPr>
        <w:t>POSSIBLE 2026:</w:t>
      </w:r>
      <w:r>
        <w:t xml:space="preserve"> Insufficient environmental protection by the European regulatory framework for pesticides — https://doi.org/10.32942/x24q1g</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new and previous evidence from monitoring, systematic reviews, and different types of field studies. The clear outcome is that measured pesticide concentrations frequently exceed predicted concentrations and regulatory thresholds and that they relate to adverse impacts on ecological communities. The mechanisms driving this result include the joint action of pesticides applied in temporal and spatial proximity, varied environmental conditions, interactive effects of pesticides with additional stressors, and indirect ecological effects propagating within biological communities. These neglected intricacies explain why current single-substance prospective assessments tend to underpredict real pesticide exposure and impacts in field settings. The corollary is that the current regulatory framework in Europe proves insufficient to protect biodiversity and ecosystems. Necessary improvements embedded in a policy reform include strengthening post-registration monitoring, refining predictive exposure models, and explicitly considering landscape contexts, indirect and mixture effects, and interactions with non-chemical stressors.</w:t>
      </w:r>
    </w:p>
    <w:p>
      <w:pPr/>
      <w:r>
        <w:rPr>
          <w:b/>
        </w:rPr>
        <w:t>POSSIBLE 2026:</w:t>
      </w:r>
      <w:r>
        <w:t xml:space="preserve"> Insufficient Environmental Protection by the European Regulatory Framework for Pesticides — https://doi.org/10.1021/acs.est.6c06604</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existing evidence from monitoring, systematic reviews, and different types of field studies. The available evidence indicates that measured pesticide concentrations frequently exceed predicted concentrations and regulatory thresholds and are associated with adverse ecological impacts. The mechanisms driving this result include the joint action of pesticides applied in temporal and spatial proximity, varied environmental conditions, interactive effects of pesticides with additional stressors, and indirect ecological effects that propagate within biological communities. These neglected intricacies explain why current single-substance prospective assessments tend to underpredict real-world pesticide exposure and impact in field settings. The corollary is that the current regulatory framework in Europe proves to be insufficient to protect biodiversity and ecosystems. Priority regulatory reforms include strengthening postregistration monitoring, refining predictive exposure models, and explicitly considering landscape context, indirect and mixture effects, and interactions with nonchemical stressors.</w:t>
      </w:r>
    </w:p>
    <w:p>
      <w:pPr/>
      <w:r>
        <w:rPr>
          <w:b/>
        </w:rPr>
        <w:t>POSSIBLE 2026:</w:t>
      </w:r>
      <w:r>
        <w:t xml:space="preserve"> Suggested legal amendments to improve vietnamese environmental damage compensation law: lessons from the European Union — https://doi.org/10.1080/23311886.2026.2632406</w:t>
      </w:r>
    </w:p>
    <w:p>
      <w:pPr/>
      <w:r>
        <w:rPr>
          <w:b/>
        </w:rPr>
        <w:t>Shared claim-specific concepts:</w:t>
      </w:r>
      <w:r>
        <w:t xml:space="preserve"> environmental, protection, protect, improve, environment, safeguard; EU scope visible. This is a provisional connection, not an outcome finding.</w:t>
      </w:r>
    </w:p>
    <w:p>
      <w:pPr>
        <w:pStyle w:val="SourceNote"/>
      </w:pPr>
      <w:r>
        <w:rPr>
          <w:b/>
        </w:rPr>
        <w:t>Available abstract (not full text):</w:t>
      </w:r>
      <w:r>
        <w:t xml:space="preserve"> This article argues that reforming Vietnam’s legal framework for environmental damage compensation (EDC) is essential to achieving sustainable economic development and effective environmental governance. Through a comparative analysis of Vietnam’s Law on Environmental Protection 2020 and the European Union’s Environmental Liability Directive (Directive 2004/35/EC), the study identifies two structural weaknesses in Vietnam’s current regime: ambiguous liability exemptions that undermine consistent enforcement, and the absence of an effective collective litigation mechanism to safeguard community interests. In contrast, the EU framework provides clearer liability standards and institutionalized collective redress mechanisms that enhance accountability and access to justice. Drawing on these comparative insights, the article advocates for harmonizing Vietnam’s exemption regime and institutionalizing collective litigation as core components of environmental governance reform. It proposes a set of normative and institutional reforms inspired by EU experience to strengthen legal certainty, improve enforcement effectiveness, and better protect the right to a healthy environment, thereby supporting Vietnam’s long-term sustainable development.</w:t>
      </w:r>
    </w:p>
    <w:p>
      <w:pPr/>
      <w:r>
        <w:rPr>
          <w:b/>
        </w:rPr>
        <w:t>POSSIBLE 2026:</w:t>
      </w:r>
      <w:r>
        <w:t xml:space="preserve"> Understanding the (In)Governability of Environmental Protected Areas: The Case of Greece — https://doi.org/10.3390/land15010100</w:t>
      </w:r>
    </w:p>
    <w:p>
      <w:pPr/>
      <w:r>
        <w:rPr>
          <w:b/>
        </w:rPr>
        <w:t>Shared claim-specific concepts:</w:t>
      </w:r>
      <w:r>
        <w:t xml:space="preserve"> environmental, quality, align; EU scope visible. This is a provisional connection, not an outcome finding.</w:t>
      </w:r>
    </w:p>
    <w:p>
      <w:pPr>
        <w:pStyle w:val="SourceNote"/>
      </w:pPr>
      <w:r>
        <w:rPr>
          <w:b/>
        </w:rPr>
        <w:t>Available abstract (not full text):</w:t>
      </w:r>
      <w:r>
        <w:t xml:space="preserve"> Protected areas (PAs) remain central to global conservation policy, yet their performance depends as much on governance quality as on ecological design. This paper examines the (in)governability of Greece’s protected area system by assessing how formal institutions align with contextual realities. A systematic review of forty-three peer-reviewed studies (1999–2020) is combined with analysis of recent governance-assessment tools to evaluate institutional fit, legitimacy, and equity. Frameworks such as the Site-level Assessment of Governance and Equity (SAGE) and the IUCN (2024) guidelines on Advancing Equitable Governance in area-based conservation provide practical metrics for participation, accountability, and fairness, offering a timely benchmark for the Greek case. The review shows that, despite substantial EU-driven legal reforms, Greece’s PA system continues to exhibit governance misfit, weak institutional integration, and persistent implementation gaps. Institutional misfit is understood here as a misalignment between formal governance arrangements and the social, ecological, and administrative contexts they are intended to regulate. Governability remains constrained by centralization, limited stakeholder participation, and fragile accountability mechanisms. By integrating classical theories of institutional fit and interactive governance with contemporary equity-based ap</w:t>
      </w:r>
    </w:p>
    <w:p>
      <w:pPr>
        <w:pStyle w:val="Heading2"/>
      </w:pPr>
      <w:r>
        <w:t>529. Convergence of Population Structures of the European Union Member States—The Past and the Future</w:t>
      </w:r>
    </w:p>
    <w:p>
      <w:pPr>
        <w:pStyle w:val="SourceNote"/>
      </w:pPr>
      <w:r>
        <w:rPr>
          <w:b/>
        </w:rPr>
        <w:t>Original source (2022):</w:t>
      </w:r>
      <w:r>
        <w:t xml:space="preserve"> https://doi.org/10.3390/su14021024</w:t>
      </w:r>
    </w:p>
    <w:p>
      <w:pPr/>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union;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population;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Forecasting circular economy indicators: A Machine Learning study of European Union member states — https://doi.org/10.1016/j.jclepro.2026.147982</w:t>
      </w:r>
    </w:p>
    <w:p>
      <w:pPr/>
      <w:r>
        <w:rPr>
          <w:b/>
        </w:rPr>
        <w:t>Shared claim-specific concepts:</w:t>
      </w:r>
      <w:r>
        <w:t xml:space="preserve"> eurostat, projections, union, member, states, size; EU scope visible. This is a provisional connection, not an outcome finding.</w:t>
      </w:r>
    </w:p>
    <w:p>
      <w:pPr>
        <w:pStyle w:val="SourceNote"/>
      </w:pPr>
      <w:r>
        <w:rPr>
          <w:b/>
        </w:rPr>
        <w:t>Available abstract (not full text):</w:t>
      </w:r>
      <w:r>
        <w:t xml:space="preserve"> Accurate forecasting of Circular Economy (CE) indicators is essential for supporting evidence-based policy development and long-term strategic planning across the European Union (EU). Reliable projections enable policymakers to anticipate future resource needs, assess the impact of interventions and design measures that accelerate the transition towards a more circular economy. This study applies Machine Learning (ML) algorithms to predict official CE indicators published by Eurostat, covering four thematic areas: production and consumption, waste management, secondary raw materials and competitiveness. 25 member states of the EU are individually modelled, using country-specific time series data to train and evaluate five ML algorithms for regression: Ridge regression, Lasso regression, Random forest, XGBoost and support vector regression. A replicable framework for CE indicator forecasting is presented to support national and EU-level policy planning and early interventions. Best practice in ML-based forecasting is demonstrated, addressing challenges such as data sparsity, non-stationarity and model overfitting. No single model consistently outperforms others, though linear models tend to provide more reliable uncertainty estimates for structurally predictable indicators. Two features was determined optimal across models, as including additional features provided minimal impro</w:t>
      </w:r>
    </w:p>
    <w:p>
      <w:pPr/>
      <w:r>
        <w:rPr>
          <w:b/>
        </w:rPr>
        <w:t>POSSIBLE 2026:</w:t>
      </w:r>
      <w:r>
        <w:t xml:space="preserve"> Structural heterogeneity of European Union member states — https://doi.org/10.32676/n.12.1.7</w:t>
      </w:r>
    </w:p>
    <w:p>
      <w:pPr/>
      <w:r>
        <w:rPr>
          <w:b/>
        </w:rPr>
        <w:t>Shared claim-specific concepts:</w:t>
      </w:r>
      <w:r>
        <w:t xml:space="preserve"> indicate, union, member, states;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union, member, states;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Different shades of demographic change : the uneven nature of population loss in Europe — https://openalex.org/W7134715160</w:t>
      </w:r>
    </w:p>
    <w:p>
      <w:pPr/>
      <w:r>
        <w:rPr>
          <w:b/>
        </w:rPr>
        <w:t>Shared claim-specific concepts:</w:t>
      </w:r>
      <w:r>
        <w:t xml:space="preserve"> eurostat, projections, member, states, population, ageing; EU scope visible. This is a provisional connection, not an outcome finding.</w:t>
      </w:r>
    </w:p>
    <w:p>
      <w:pPr>
        <w:pStyle w:val="SourceNote"/>
      </w:pPr>
      <w:r>
        <w:rPr>
          <w:b/>
        </w:rPr>
        <w:t>Available abstract (not full text):</w:t>
      </w:r>
      <w:r>
        <w:t xml:space="preserve"> Population decline has become a key concern within the EU as more and more Member States and regions are starting to shrink. This is not a new phenomenon: quite a few regions have experienced periods of population decline since the 1960. Existing narratives explain population decline through a focus on rural and remote regions. However, this dynamic does not hold for all rural regions. The process of population decline is influenced by natural change (NC) and net migration (NM), with positive NM often compensating for negative NC. Therefore, this chapter explores the current and, through projections, potential future state of population decline across the EU, with a careful consideration of the interaction of immigration, emigration, population ageing and fertility in shaping population dynamics, and the current population projections and their implications for the EU in the coming decade. This chapter employs data from Eurostat and the Annual Regional Database of the European Commission's Directorate-General for Regional and Urban Policy (ARDECO) to illustrate existing population dynamics across the EU. Overall, the population of the EU has steadily increased since 1960. On 1 January 2024, the total population of the EU was estimated to be 449 million. Despite this general growth, population change is projected to become negative in the coming decade. Population growth has als</w:t>
      </w:r>
    </w:p>
    <w:p>
      <w:pPr/>
      <w:r>
        <w:rPr>
          <w:b/>
        </w:rPr>
        <w:t>POSSIBLE 2026:</w:t>
      </w:r>
      <w:r>
        <w:t xml:space="preserve"> Assessing EU member states’ circular economy transition — https://doi.org/10.15196/rs160407</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This study explores the European Union's (EU) transition to a circular economy (CE) using macro-level indicators from the year 2020.Motivated by the urgency to reverse resource depletion, waste generation and environmental deterioration resulting from the linear 'take-make-dispose' model, the EU has embraced the CE in action plans since 2015 with the objective of advancing sustainability, resource efficiency and climate neutrality.However, the actual environmental and socio-economic benefits and performance variations across EU member states remain points of investigation.Using Eurostat data from 2020 for 27 EU countries, we employ principal component analysis (PCA) and cluster analysis to eight key CE indicators covering environmental impact, resource efficiency and socio-economic factors.Three statistically significant clusters of EU member states are identified by the CE performance profile analysis.In 2020, differences in environmental impact intensity -most notably greenhouse gas emissions and municipal waste generation -are the key drivers separating these clusters ahead of resource efficiency effects or labour metrics.The results demonstrate that although the EU established a macro-level tracking framework, the CE transition did not equally decrease environmentally relevant pressure throughout the EU in 2020.Furthermore, the socioeconomic gains of employment in the CE di</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member, states, population;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The Geography of Future Human Capital in Europe: Regional Dynamics of Education and Aging — https://openalex.org/W7167558995</w:t>
      </w:r>
    </w:p>
    <w:p>
      <w:pPr/>
      <w:r>
        <w:rPr>
          <w:b/>
        </w:rPr>
        <w:t>Shared claim-specific concepts:</w:t>
      </w:r>
      <w:r>
        <w:t xml:space="preserve"> projections, population, size, young, rise, elderly; EU scope visible. This is a provisional connection, not an outcome finding.</w:t>
      </w:r>
    </w:p>
    <w:p>
      <w:pPr>
        <w:pStyle w:val="SourceNote"/>
      </w:pPr>
      <w:r>
        <w:rPr>
          <w:b/>
        </w:rPr>
        <w:t>Available abstract (not full text):</w:t>
      </w:r>
      <w:r>
        <w:t xml:space="preserve"> The study of human capital formation and accumulation at the subnational level, including in the European context, has remained largely confined to historical and descriptive analyses rather than forward-looking projections. Spatially explicit projections of human capital, understood as the joint product of demographic structure (age and sex composition) and educational attainment, thus remain largely unavailable. This paper addresses this gap by developing a Bayesian time series model to project educational attainment across European NUTS-2 regions under the five Shared Socioeconomic Pathways (SSPs). The model works in log-return space, leverages the compositional nature of educational attainment distributions, and combines Bayesian uncertainty quantification with Iterative Proportional Fitting to ensure consistency with national SSP projections and regional demographic structures. The resulting dataset covers 215 NUTS-2 regions across 21 European countries, including three adult age groups from age 25 onwards and three education categories, spanning 2025 to 2100. The projections show a widespread yet heterogeneous increase in tertiary educational attainment, confirming convergence trends noted in existing literature, while the model also reveals that educational expansion unfolds at markedly different paces across regions, including within the same country, and a consistent f</w:t>
      </w:r>
    </w:p>
    <w:p>
      <w:pPr/>
      <w:r>
        <w:rPr>
          <w:b/>
        </w:rPr>
        <w:t>POSSIBLE 2026:</w:t>
      </w:r>
      <w:r>
        <w:t xml:space="preserve"> Integrating Multifactorial Regression Models, Artificial Neural Networks, and Eco-Dynamic Simulations for Assessing Energy Sustainability in the European Union and Emerging Member States — https://doi.org/10.3390/app16042011</w:t>
      </w:r>
    </w:p>
    <w:p>
      <w:pPr/>
      <w:r>
        <w:rPr>
          <w:b/>
        </w:rPr>
        <w:t>Shared claim-specific concepts:</w:t>
      </w:r>
      <w:r>
        <w:t xml:space="preserve"> union, member, states, simultaneous, assess; EU scope visible. This is a provisional connection, not an outcome finding.</w:t>
      </w:r>
    </w:p>
    <w:p>
      <w:pPr>
        <w:pStyle w:val="SourceNote"/>
      </w:pPr>
      <w:r>
        <w:rPr>
          <w:b/>
        </w:rPr>
        <w:t>Available abstract (not full text):</w:t>
      </w:r>
      <w:r>
        <w:t xml:space="preserve"> This study aims to develop an integrated analytical framework for assessing energy sustainability in the EU and emerging member states. It examines the interrelationships between environmental quality—measured by greenhouse gas emissions—economic growth, and energy consumption from both renewable and non-renewable sources. Multifactorial linear regression models are employed and validated through artificial neural networks to enhance robustness and generalization capacity. Based on the identified correlations, the Environmental Kuznets Curve hypothesis is tested to assess patterns of environmental degradation. The analysis then advances to a dynamic framework using the Grey Lotka–Volterra model, which captures nonlinear effects and the mechanisms of competition and cooperation among variables. By exploring simultaneous and evolutionary interactions, the study reveals how these relationships shift over time, identifies inflexion points, and simulates public policy scenarios that may accelerate or hinder decarbonization. This approach provides a comprehensive and policy-relevant perspective on the dynamics of the energy transition.</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projections, indicate, population, share, past;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pStyle w:val="Heading2"/>
      </w:pPr>
      <w:r>
        <w:t>530. Could domestic soybean production avoid Europe’s protein imports in 2050?</w:t>
      </w:r>
    </w:p>
    <w:p>
      <w:pPr>
        <w:pStyle w:val="SourceNote"/>
      </w:pPr>
      <w:r>
        <w:rPr>
          <w:b/>
        </w:rPr>
        <w:t>Original source (2022):</w:t>
      </w:r>
      <w:r>
        <w:t xml:space="preserve"> https://doi.org/10.1051/ocl/2022031</w:t>
      </w:r>
    </w:p>
    <w:p>
      <w:pPr/>
      <w:r>
        <w:t>Original wording (abstract; indexed_source_text_not_full_document_verified): INRAE (France), 159 p + Annexes) concluded that, in some parts of Europe (defined here as the European Union-27 plus other Balkan countries, Switzerland, Norway and the United Kingdom), cropland requirements in 2050 may be lower than “2010” cropland areas given possible changes in European food demand (related to glooming demographic growth and under the assumption of healthy diets) and in crop yields (influenced by technological developments and climate change). In this study, we examine to what extent this “cropland surplus” could be used to increase soybean production in Europe and reduce the dependency ratio on protein imports.</w:t>
      </w:r>
    </w:p>
    <w:p>
      <w:pPr/>
      <w:r>
        <w:rPr>
          <w:b/>
        </w:rPr>
        <w:t>POSSIBLE 2026:</w:t>
      </w:r>
      <w:r>
        <w:t xml:space="preserve"> Review of the French Agency for Food, Environmental and Occupational Health &amp; Safety (ANSES) on Ten years of phytopharmacovigilance in France: Review of the only organisation of its kind in Europe for post‐MA vigilance of plant protection products — https://doi.org/10.2903/fr.efsa.2026.fr-0094</w:t>
      </w:r>
    </w:p>
    <w:p>
      <w:pPr/>
      <w:r>
        <w:rPr>
          <w:b/>
        </w:rPr>
        <w:t>Shared claim-specific concepts:</w:t>
      </w:r>
      <w:r>
        <w:t xml:space="preserve"> france, other, given, food; EU scope visible. This is a provisional connection, not an outcome finding.</w:t>
      </w:r>
    </w:p>
    <w:p>
      <w:pPr>
        <w:pStyle w:val="SourceNote"/>
      </w:pPr>
      <w:r>
        <w:rPr>
          <w:b/>
        </w:rPr>
        <w:t>Available abstract (not full text):</w:t>
      </w:r>
      <w:r>
        <w:t xml:space="preserve"> Abstract Phytopharmacovigilance consists in identifying signals of adverse effects on human, animal and plant populations and the environment associated with the use of plant protection products, and reporting them to the various bodies responsible for assessing and managing risks. To do this, the PPV scheme collects and analyses data, and classifies the nature of the signals accordingly. These data come from the network of phytopharmacovigilance partners and the literature monitoring conducted by ANSES, which mainly focuses on research into chronic health effects. The PPV scheme also receives reports directly from professionals and private individuals. On several occasions, signals of adverse effects assessed by phytopharmacovigilance have led ANSES to amend the conditions for use in marketing authorisations (MAs), or even to withdraw the MAs, in application of Article 44 of European Regulation (EC) No 1107/2009. Phytopharmacovigilance produces summaries of the surveillance and vigilance data available for active substances, in particular when their MAs are periodically re‐examined and in addition to the a priori assessments updated in this context. These summaries can help highlight any specific problematic situations that were not identified through the representative uses predefined at European level for conducting European re‐assessments of active substances. Phytopharmaco</w:t>
      </w:r>
    </w:p>
    <w:p>
      <w:pPr/>
      <w:r>
        <w:rPr>
          <w:b/>
        </w:rPr>
        <w:t>POSSIBLE 2026:</w:t>
      </w:r>
      <w:r>
        <w:t xml:space="preserve"> Research on pastoralism in France: state of knowledge and current issues — https://doi.org/10.1051/cagri/2025040</w:t>
      </w:r>
    </w:p>
    <w:p>
      <w:pPr/>
      <w:r>
        <w:rPr>
          <w:b/>
        </w:rPr>
        <w:t>Shared claim-specific concepts:</w:t>
      </w:r>
      <w:r>
        <w:t xml:space="preserve"> france, parts, other, areas; EU scope visible. This is a provisional connection, not an outcome finding.</w:t>
      </w:r>
    </w:p>
    <w:p>
      <w:pPr>
        <w:pStyle w:val="SourceNote"/>
      </w:pPr>
      <w:r>
        <w:rPr>
          <w:b/>
        </w:rPr>
        <w:t>Available abstract (not full text):</w:t>
      </w:r>
      <w:r>
        <w:t xml:space="preserve"> This article provides an overview of the current state of knowledge on pastoral systems and territories in France, focusing on the key issues that affect them. It provides a comprehensive analysis of the factors contributing to the decline of pastoralism in a context of intensified production and herd expansion, adaptation to climate change and market fluctuations, and the return of wild predators. Five priority areas for research are identified: animal selection and breeding in pastoral environments; pastoralism as a specific agroecological model, with its strengths and weaknesses; multi‐stakeholder pastoral territories, as spaces for confrontation and development of collective projects; pastoralism occupations and their attractiveness; and data derived from methods for monitoring changes in vegetation, biodiversity, and livestock systems. While not identical, many of these issues are notably similar to those in pastoral contexts in other parts of the world, particularly West Africa.</w:t>
      </w:r>
    </w:p>
    <w:p>
      <w:pPr/>
      <w:r>
        <w:rPr>
          <w:b/>
        </w:rPr>
        <w:t>POSSIBLE 2025:</w:t>
      </w:r>
      <w:r>
        <w:t xml:space="preserve"> Regional nature parks in France as agents of regional sustainability transformation — https://doi.org/10.1007/s43621-025-01603-0</w:t>
      </w:r>
    </w:p>
    <w:p>
      <w:pPr/>
      <w:r>
        <w:rPr>
          <w:b/>
        </w:rPr>
        <w:t>Shared claim-specific concepts:</w:t>
      </w:r>
      <w:r>
        <w:t xml:space="preserve"> france, parts, other, requirements, areas, possible; EU scope visible. This is a provisional connection, not an outcome finding.</w:t>
      </w:r>
    </w:p>
    <w:p>
      <w:pPr>
        <w:pStyle w:val="SourceNote"/>
      </w:pPr>
      <w:r>
        <w:rPr>
          <w:b/>
        </w:rPr>
        <w:t>Available abstract (not full text):</w:t>
      </w:r>
      <w:r>
        <w:t xml:space="preserve"> In addition to the conservation and enhancement of biodiversity, settled protected areas serve other missions depending on their respective national and international requirements. The generic term ‘sustainable development’ has been established to encompass these additional tasks and protected areas should contribute to sustainable development. Despite many years of efforts, it is not foreseeable that the biodiversity goals and nature and environmental protection goals can be achieved. A new paradigm is emerging: some stakeholders consider social transformation to be unavoidable in achieving goals. This raises the question of whether and under what conditions protected areas can become agents of change. The goal of this study is to gain knowledge in this regard and thus contribute to the discussion on the transformative potential of protected areas. To address this overarching issue, regional nature parks in France—hereafter abbreviated as PNRs for Parcs naturels régionaux —were selected as the research objects. PNRs have a long history with sustainable development and are influential stakeholders in promoting societal change in their territories. Following a systematic literature and document search on the PNR and based on transformation theory, the relevant texts were analysed using a comprehensive qualitative content analysis. A structured portrait was drawn up for each PNR,</w:t>
      </w:r>
    </w:p>
    <w:p>
      <w:pPr/>
      <w:r>
        <w:rPr>
          <w:b/>
        </w:rPr>
        <w:t>POSSIBLE 2024:</w:t>
      </w:r>
      <w:r>
        <w:t xml:space="preserve"> Evaluation of two indicators according to the objectives of the sustainable use of pesticides directive (SUD). A French case study. — https://doi.org/10.31220/agrirxiv.2024.00248</w:t>
      </w:r>
    </w:p>
    <w:p>
      <w:pPr/>
      <w:r>
        <w:rPr>
          <w:b/>
        </w:rPr>
        <w:t>Shared claim-specific concepts:</w:t>
      </w:r>
      <w:r>
        <w:t xml:space="preserve"> france, other, possible; EU scope visible. This is a provisional connection, not an outcome finding.</w:t>
      </w:r>
    </w:p>
    <w:p>
      <w:pPr>
        <w:pStyle w:val="SourceNote"/>
      </w:pPr>
      <w:r>
        <w:rPr>
          <w:b/>
        </w:rPr>
        <w:t>Available abstract (not full text):</w:t>
      </w:r>
      <w:r>
        <w:t xml:space="preserve"> The European agricultural protests of 2023/2024 have prompted a reassessment of public policies at the EU level with the SUR put on a stand still. In France, in early 2024, the government replaced the historical monitoring indicator "NoDU'' with the European Harmonized Risk Indicator HRI1 to monitor the progress in the use of Plant Protection Products (PPP) in its National Action Plan (NAP). This study aimed to assess the relevance of these two indicators regarding the objectives outlined in the Sustainable Use of pesticides Directive (“SUD”) that defines the framework within which they operate. To this effect, we analyzed the PPPs they consider, the official calculation formulas, but also their past evolution and possible future evolutions through putative scenarios of changes in PPP use and regulation: ban or not; substitution or not; for the top 5 synthetic insecticides; all synthetic insecticides; glyphosate; mancozeb; and the top five active ingredients from HRI1 risk group 3 (candidates for substitution). French PPP sales data from 2011 to 2021 were used for past evolutions and we used the last available figures in France, 2021, for simulations.Designed to monitor the use of PPPs by farmers, the NoDU mostly monitors achievement with regards to one aim of the SUD: to "reduce dependency on the use of pesticides" and promote "the use of Integrated Pest Management". Its value</w:t>
      </w:r>
    </w:p>
    <w:p>
      <w:pPr/>
      <w:r>
        <w:rPr>
          <w:b/>
        </w:rPr>
        <w:t>POSSIBLE 2023:</w:t>
      </w:r>
      <w:r>
        <w:t xml:space="preserve"> Adipokines expression in reproductive tract, egg white and embryonic annexes in hen — https://doi.org/10.1016/j.psj.2023.102908</w:t>
      </w:r>
    </w:p>
    <w:p>
      <w:pPr/>
      <w:r>
        <w:rPr>
          <w:b/>
        </w:rPr>
        <w:t>Shared claim-specific concepts:</w:t>
      </w:r>
      <w:r>
        <w:t xml:space="preserve"> annexes, here, other; EU scope not established. This is a provisional connection, not an outcome finding.</w:t>
      </w:r>
    </w:p>
    <w:p>
      <w:pPr>
        <w:pStyle w:val="SourceNote"/>
      </w:pPr>
      <w:r>
        <w:rPr>
          <w:b/>
        </w:rPr>
        <w:t>Available abstract (not full text):</w:t>
      </w:r>
      <w:r>
        <w:t xml:space="preserve"> In mammals, molecules mainly secreted by white adipose tissue named adipokines are also synthetized locally in the reproductive tract and are able to influence reproductive functions. In avian species, previous studies indicated that the adipokine chemerin is highly abundant in the albumen, compared to the yolk and this was associated to high chemerin expression in the magnum. In addition, the authors observed that chemerin and its receptors are expressed by allantoic and amniotic membranes and chemerin is present in fluids during the embryo development. Here, we studied other adipokines, including adiponectin, visfatin, apelin, and adipolin in egg white and their known receptors in the active (egg-laying hen) and regressed (hen not laying) oviduct and embryonic annexes during embryo development. By using Western blot, RT-qPCR analysis and immunohistochemistry, we demonstrated the expression of different adipokines in the egg albumen (visfatin) and the reproductive tract (adiponectin, visfatin, apelin, adipolin, and their cognate receptors) according the position of egg in the oviduct. We showed that the expression of adipokines and adipokines receptors was strongly reduced in the regressed oviducts (arrested laying hen). Results indicated that visfatin and adiponectin appeared at ED11 to 14 and increased until ED18 in amniotic fluid whereas it was found from ED7 and was unchan</w:t>
      </w:r>
    </w:p>
    <w:p>
      <w:pPr/>
      <w:r>
        <w:rPr>
          <w:b/>
        </w:rPr>
        <w:t>POSSIBLE 2023:</w:t>
      </w:r>
      <w:r>
        <w:t xml:space="preserve"> School Meals Case Study: France — https://doi.org/10.17037/pubs.04671091</w:t>
      </w:r>
    </w:p>
    <w:p>
      <w:pPr/>
      <w:r>
        <w:rPr>
          <w:b/>
        </w:rPr>
        <w:t>Shared claim-specific concepts:</w:t>
      </w:r>
      <w:r>
        <w:t xml:space="preserve"> inrae, france, food; EU scope visible. This is a provisional connection, not an outcome finding.</w:t>
      </w:r>
    </w:p>
    <w:p>
      <w:pPr>
        <w:pStyle w:val="SourceNote"/>
      </w:pPr>
      <w:r>
        <w:rPr>
          <w:b/>
        </w:rPr>
        <w:t>Available abstract (not full text):</w:t>
      </w:r>
      <w:r>
        <w:t xml:space="preserve"> This school meals case study forms part of a collection led by the Research Consortium for School Health and Nutrition’s "Good Examples" Community of Practice. Developed by L’Institut Agro, OECD and INRAE, the School Meals Case Study of France serves to document how the national school meals programme is organized, funded, and monitored throughout the country. The objectives of this case study include presenting an introduction to the country profile, outlining the design and implementation of school feeding programmes, describing their monitoring and evaluation processes, and highlighting lessons learned, best practices, and challenges. This case study is written as a working paper, and can be updated to reflect evolving circumstances. The ‘Good Examples’ Community of Practice supports the evidence generation of the Research Consortium for School Health and Nutrition, the evidence-generating arm of the School Meals Coalition. The Research Consortium’s objective is to carry out independent research across diverse sectors and generate solid, compelling, and actionable evidence regarding the benefits of school food programs to inform evidence-based decision-making on school health and nutrition policies and practices.</w:t>
      </w:r>
    </w:p>
    <w:p>
      <w:pPr>
        <w:pStyle w:val="Heading2"/>
      </w:pPr>
      <w:r>
        <w:t>531. Czech Republic as A Deferring Factor for European Union to Achieve Climate Change Measures</w:t>
      </w:r>
    </w:p>
    <w:p>
      <w:pPr>
        <w:pStyle w:val="SourceNote"/>
      </w:pPr>
      <w:r>
        <w:rPr>
          <w:b/>
        </w:rPr>
        <w:t>Original source (2022):</w:t>
      </w:r>
      <w:r>
        <w:t xml:space="preserve"> https://doi.org/10.7454/jsgs.v5i2.1099</w:t>
      </w:r>
    </w:p>
    <w:p>
      <w:pPr/>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POSSIBLE 2026:</w:t>
      </w:r>
      <w:r>
        <w:t xml:space="preserve"> European Researcher — https://doi.org/10.13187/issn.2219-8229</w:t>
      </w:r>
    </w:p>
    <w:p>
      <w:pPr/>
      <w:r>
        <w:rPr>
          <w:b/>
        </w:rPr>
        <w:t>Shared claim-specific concepts:</w:t>
      </w:r>
      <w:r>
        <w:t xml:space="preserve"> researcher, based, gas; EU scope visible. This is a provisional connection, not an outcome finding.</w:t>
      </w:r>
    </w:p>
    <w:p>
      <w:pPr>
        <w:pStyle w:val="SourceNote"/>
      </w:pPr>
      <w:r>
        <w:rPr>
          <w:b/>
        </w:rPr>
        <w:t>Available abstract (not full text):</w:t>
      </w:r>
      <w:r>
        <w:t xml:space="preserve">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causal, reduce;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Causal Inference in Clinical Research: A Primer — https://doi.org/10.1111/jre.70142</w:t>
      </w:r>
    </w:p>
    <w:p>
      <w:pPr/>
      <w:r>
        <w:rPr>
          <w:b/>
        </w:rPr>
        <w:t>Shared claim-specific concepts:</w:t>
      </w:r>
      <w:r>
        <w:t xml:space="preserve"> researcher, based, two, questions, causal, out; EU scope not established. This is a provisional connection, not an outcome finding.</w:t>
      </w:r>
    </w:p>
    <w:p>
      <w:pPr>
        <w:pStyle w:val="SourceNote"/>
      </w:pPr>
      <w:r>
        <w:rPr>
          <w:b/>
        </w:rPr>
        <w:t>Available abstract (not full text):</w:t>
      </w:r>
      <w:r>
        <w:t xml:space="preserve"> The study of causal relationships is central to scientific inquiry. Understanding what disease is, why it arises, and how it can be treated are a set of fundamentally causal questions. In this article, an overview of causal inference is provided for the applied researcher, with an emphasis placed on intuition and the use of examples from periodontology to support understanding. Causal reasoning goes beyond the description of associations, with a focus instead placed on questions of the form: what would happen to an outcome if a particular exposure were changed? Directed acyclic graphs are introduced as tools through which assumptions can be made explicit and structures that may threaten valid causal inference can be identified, including confounding, mediation, and collider pathways. Randomized controlled trials are highlighted as the gold standard of causal evidence, primarily because they ensure that, on average, comparisons are made between like-with-like groups. However, observational data must often be relied upon due to ethical, practical, and logistical constraints. A three-step framework to answering causal questions is presented, based on (i) asking a causal question, (ii) identifying the causal effect, and (iii) carrying out the analysis. Within this context, two principal strategies for causal identification are outlined: design-based identification and adjustment-ba</w:t>
      </w:r>
    </w:p>
    <w:p>
      <w:pPr/>
      <w:r>
        <w:rPr>
          <w:b/>
        </w:rPr>
        <w:t>POSSIBLE 2026:</w:t>
      </w:r>
      <w:r>
        <w:t xml:space="preserve"> Evidence Based Education in Europe: A Comparative Study — https://doi.org/10.5281/zenodo.23238746</w:t>
      </w:r>
    </w:p>
    <w:p>
      <w:pPr/>
      <w:r>
        <w:rPr>
          <w:b/>
        </w:rPr>
        <w:t>Shared claim-specific concepts:</w:t>
      </w:r>
      <w:r>
        <w:t xml:space="preserve"> based, yet, out, become; EU scope visible. This is a provisional connection, not an outcome finding.</w:t>
      </w:r>
    </w:p>
    <w:p>
      <w:pPr>
        <w:pStyle w:val="SourceNote"/>
      </w:pPr>
      <w:r>
        <w:rPr>
          <w:b/>
        </w:rPr>
        <w:t>Available abstract (not full text):</w:t>
      </w:r>
      <w:r>
        <w:t xml:space="preserve"> Evidence-based education (EBE), the systematic integration of the best available research evidence with into teaching practice, has become a defining, and contested, theme in education policy and practice. Its institutional foundations are most developed in the Anglosphere, notably in England and the United States, yet little is known about how far comparable practices, infrastructures and cultures have emerged across Europe. This report presents a comparative study of EBE in Europe, conducted as part of the LEARN project. Part 1 sets out the conceptual framing, distinguishing EBE from evidence-based policy and reviewing the historical development of, and debates surrounding, the field, before mapping national and supranational institutions across Southern, Central, Northern, Eastern and Western Europe. Part 2 reports empirical findings from a multi-stage investigation comprising expert interviews, a survey of eight LEARN consortium countries, and thematic case studies of the Netherlands, Switzerland and Finland. The findings describe a fragmented European landscape in which conceptual alignment with EBE varies markedly, and in which evidence is often used for system monitoring and accountability rather than for improving classroom practice. Common barriers include limited sustainable funding for rigorous evaluation, insufficient research and data literacy among educators, cult</w:t>
      </w:r>
    </w:p>
    <w:p>
      <w:pPr/>
      <w:r>
        <w:rPr>
          <w:b/>
        </w:rPr>
        <w:t>POSSIBLE 2026:</w:t>
      </w:r>
      <w:r>
        <w:t xml:space="preserve"> Causal Discovery in Observational Medical Research: Scoping Review — https://doi.org/10.2196/82499</w:t>
      </w:r>
    </w:p>
    <w:p>
      <w:pPr/>
      <w:r>
        <w:rPr>
          <w:b/>
        </w:rPr>
        <w:t>Shared claim-specific concepts:</w:t>
      </w:r>
      <w:r>
        <w:t xml:space="preserve"> based, causal, out, efforts; EU scope not established. This is a provisional connection, not an outcome finding.</w:t>
      </w:r>
    </w:p>
    <w:p>
      <w:pPr>
        <w:pStyle w:val="SourceNote"/>
      </w:pPr>
      <w:r>
        <w:rPr>
          <w:b/>
        </w:rPr>
        <w:t>Available abstract (not full text):</w:t>
      </w:r>
      <w:r>
        <w:t xml:space="preserve"> BACKGROUND: Observational data are fundamental to medical research but present formidable challenges for causal inference. Machine learning-based causal discovery algorithms have emerged as a promising solution to identify causal structures directly from such data. However, the current literature is skewed toward theoretical and methodological innovations, with a critical gap in systematic assessments of performance in medical research settings and a lack of practical guidance for clinicians and researchers on selecting and applying these algorithms in specific medical contexts. OBJECTIVE: This study aimed to systematically map and synthesize the application of causal discovery methods in observational medical research, detailing the methodologies used, their application domains, the robustness of the findings, and the practical challenges encountered. METHODS: Following the PRISMA-ScR (Preferred Reporting Items for Systematic Reviews and Meta-Analyses Extension for Scoping Reviews) guidelines, we conducted a systematic search of Scopus, Web of Science, PubMed, MEDLINE, Embase, and CINAHL from inception to May 2025. We included studies that applied any causal discovery algorithms within a medical research context, encompassing both analyses of real-world observational data and method-validation studies using synthetic or benchmark datasets with a clear medical focus. Purely met</w:t>
      </w:r>
    </w:p>
    <w:p>
      <w:pPr/>
      <w:r>
        <w:rPr>
          <w:b/>
        </w:rPr>
        <w:t>POSSIBLE 2026:</w:t>
      </w:r>
      <w:r>
        <w:t xml:space="preserve"> Estimand frameworks for causal inference in clinical research and regulatory decision making — https://doi.org/10.48550/arxiv.2610.28983</w:t>
      </w:r>
    </w:p>
    <w:p>
      <w:pPr/>
      <w:r>
        <w:rPr>
          <w:b/>
        </w:rPr>
        <w:t>Shared claim-specific concepts:</w:t>
      </w:r>
      <w:r>
        <w:t xml:space="preserve"> two, causal, fully; EU scope not established. This is a provisional connection, not an outcome finding.</w:t>
      </w:r>
    </w:p>
    <w:p>
      <w:pPr>
        <w:pStyle w:val="SourceNote"/>
      </w:pPr>
      <w:r>
        <w:rPr>
          <w:b/>
        </w:rPr>
        <w:t>Available abstract (not full text):</w:t>
      </w:r>
      <w:r>
        <w:t xml:space="preserve"> Causal inference for clinical and regulatory decision making requires a precise definition of the causal estimand, that is, what we want to estimate. Three frameworks are commonly used to describe causal estimands: PICO and its extensions, the target trial framework, and the E9(R1) Addendum of the International Council for Harmonisation (ICH). Because these frameworks were developed by different scientific communities, they operate at different levels of detail, emphasize different aspects of the causal estimand, and use different terminology for closely related concepts. Here we compare the three frameworks and translate across their terminologies. PICO is a compact framework that helps jumpstart a conversation about the causal question, but it does not encode sufficient information to fully characterize a causal estimand. The target trial framework characterizes the causal estimand precisely by specifying the components of the protocol of the randomized trial that would answer the causal question: eligibility criteria, treatment strategies, assignment, outcome, start and end of follow-up, and causal contrast. E9(R1) starts from intercurrent events and lists strategies to address them, some of which describe estimators rather than estimands, or imply estimands that are not relevant to decision makers or cannot be estimated under reasonable assumptions. We argue that the target</w:t>
      </w:r>
    </w:p>
    <w:p>
      <w:pPr/>
      <w:r>
        <w:rPr>
          <w:b/>
        </w:rPr>
        <w:t>POSSIBLE 2026:</w:t>
      </w:r>
      <w:r>
        <w:t xml:space="preserve"> Developing a general research framework for long COVID using causal modelling — https://doi.org/10.1038/s43856-026-01488-8</w:t>
      </w:r>
    </w:p>
    <w:p>
      <w:pPr/>
      <w:r>
        <w:rPr>
          <w:b/>
        </w:rPr>
        <w:t>Shared claim-specific concepts:</w:t>
      </w:r>
      <w:r>
        <w:t xml:space="preserve"> based, two, questions, causal; EU scope not established. This is a provisional connection, not an outcome finding.</w:t>
      </w:r>
    </w:p>
    <w:p>
      <w:pPr>
        <w:pStyle w:val="SourceNote"/>
      </w:pPr>
      <w:r>
        <w:rPr>
          <w:b/>
        </w:rPr>
        <w:t>Available abstract (not full text):</w:t>
      </w:r>
      <w:r>
        <w:t xml:space="preserve"> Long COVID is an infection-associated chronic condition with uncertain evolution, leading to ambiguity in case definitions and various hypotheses about its pathophysiology. Despite this diversity, causal models may offer a unified understanding of post-acute COVID-19 mechanisms. This study aimed to examine whether dynamic Bayesian networks could facilitate inferences on long COVID. Using a causal engineering approach, we developed directed acyclic graphs and qualitatively parametrised them as Bayesian networks to depict the hypothesised mechanisms of long COVID in a theory-agnostic manner. Based on the literature and expert knowledge, we created a general modelling framework summarising biological pathways from mild or severe COVID-19 to the development of respiratory symptoms and fatigue over four key periods (t1 to t4). We used qualitative parametrisation for design and validation, and tested the framework against four scenarios: A) mild COVID-19 at t1 (start of acute infection); B) severe acute COVID-19 at t1; C) symptoms reported at t1 (acute COVID-19 disease); and D) symptoms reported at t1 and t3 (e.g., 3-to-6 months post-acute infection), indicating long COVID. Here we show that, in scenario A, the probability of progressing to severe disease and developing persistent organ dysfunction 1-to-2 years post-acute COVID-19 was lower than in scenario C. Those reporting symptom</w:t>
      </w:r>
    </w:p>
    <w:p>
      <w:pPr/>
      <w:r>
        <w:rPr>
          <w:b/>
        </w:rPr>
        <w:t>POSSIBLE 2026:</w:t>
      </w:r>
      <w:r>
        <w:t xml:space="preserve"> GovTech in Europe between public- and privateness—A Delphi-based research agenda — https://doi.org/10.1007/s12525-026-00913-z</w:t>
      </w:r>
    </w:p>
    <w:p>
      <w:pPr/>
      <w:r>
        <w:rPr>
          <w:b/>
        </w:rPr>
        <w:t>Shared claim-specific concepts:</w:t>
      </w:r>
      <w:r>
        <w:t xml:space="preserve"> two, questions, yet; EU scope visible. This is a provisional connection, not an outcome finding.</w:t>
      </w:r>
    </w:p>
    <w:p>
      <w:pPr>
        <w:pStyle w:val="SourceNote"/>
      </w:pPr>
      <w:r>
        <w:rPr>
          <w:b/>
        </w:rPr>
        <w:t>Available abstract (not full text):</w:t>
      </w:r>
      <w:r>
        <w:t xml:space="preserve"> Abstract GovTech is emerging as a policy-relevant frame at the intersection of digital government, public procurement, and startup innovation. Yet research remains fragmented and often disconnected from the institutional conditions that shape implementable solutions. This paper develops a stakeholder-validated, dimensional publicness theory informed research agenda for GovTech in the European context using a multiround agenda-setting Delphi study with experts from public administrations, industry, and academia. Synthesizing qualitative inputs and quantitative prioritization, we identify thematic clusters and topic areas, formulate exemplary research questions, and provide rationales that connect each area to concrete governance and implementation challenges. To assess dynamism, we additionally examine perceived relevance trends across two measurement points (2023 and 2025), highlighting where urgency is increasing and where research sequencing is needed. The resulting agenda informs scholarship by clarifying GovTech as a hybrid, regulation-shaped domain and offers entry points for empirical and design-oriented research on ecosystem formation, procurement, regulation, and strategic scaling.</w:t>
      </w:r>
    </w:p>
    <w:p>
      <w:pPr/>
      <w:r>
        <w:rPr>
          <w:b/>
        </w:rPr>
        <w:t>POSSIBLE 2026:</w:t>
      </w:r>
      <w:r>
        <w:t xml:space="preserve"> The European Multidisciplinary Evidence‐Based Guideline on Pancreatic Cancer: Methodological Protocol — https://doi.org/10.1002/gin2.70074</w:t>
      </w:r>
    </w:p>
    <w:p>
      <w:pPr/>
      <w:r>
        <w:rPr>
          <w:b/>
        </w:rPr>
        <w:t>Shared claim-specific concepts:</w:t>
      </w:r>
      <w:r>
        <w:t xml:space="preserve"> based, questions, efforts; EU scope visible. This is a provisional connection, not an outcome finding.</w:t>
      </w:r>
    </w:p>
    <w:p>
      <w:pPr>
        <w:pStyle w:val="SourceNote"/>
      </w:pPr>
      <w:r>
        <w:rPr>
          <w:b/>
        </w:rPr>
        <w:t>Available abstract (not full text):</w:t>
      </w:r>
      <w:r>
        <w:t xml:space="preserve"> Background: Pancreatic cancer remains one of the most lethal cancers despite extensive efforts and research conducted over the past decades. To effectuate groundbreaking improvements in pancreatic cancer treatment, interdisciplinary and international collaboration is essential. Evidence-based guidelines, including state-of-the-art evidence and expert opinion, are crucial to guide medical specialists, researchers, and patients, especially on issues where consensus is still lacking. This article describes the methodological protocol for the development of the European Multidisciplinary Evidence-Based Guideline on Pancreatic Cancer. The guideline aims to identify current knowledge gaps on pancreatic cancer management, develop questions based on these knowledge gaps, and answer these questions with evidence-based recommendations supplemented, when evidence is lacking, with expert advice for treatment and future research. Methods: This guideline development protocol is developed according to the Grading of Recommendations Assessment, Development, and Evaluation (GRADE) methodology. The process is structured into six stages: First, 13 theme-based multidisciplinary working groups are established, comprising representatives from 30 European medical and patient societies. Second, these working groups identify the most relevant current knowledge gaps on pancreatic cancer within their the</w:t>
      </w:r>
    </w:p>
    <w:p>
      <w:pPr/>
      <w:r>
        <w:rPr>
          <w:b/>
        </w:rPr>
        <w:t>POSSIBLE 2026:</w:t>
      </w:r>
      <w:r>
        <w:t xml:space="preserve"> European Funds and sustainable development: mapping the research landscape and future directions — https://doi.org/10.53486/dri2026.52</w:t>
      </w:r>
    </w:p>
    <w:p>
      <w:pPr/>
      <w:r>
        <w:rPr>
          <w:b/>
        </w:rPr>
        <w:t>Shared claim-specific concepts:</w:t>
      </w:r>
      <w:r>
        <w:t xml:space="preserve"> based, become; EU scope visible. This is a provisional connection, not an outcome finding.</w:t>
      </w:r>
    </w:p>
    <w:p>
      <w:pPr>
        <w:pStyle w:val="SourceNote"/>
      </w:pPr>
      <w:r>
        <w:rPr>
          <w:b/>
        </w:rPr>
        <w:t>Available abstract (not full text):</w:t>
      </w:r>
      <w:r>
        <w:t xml:space="preserve"> In the broader context of European integration and regional convergence, European Structural and Investment Funds have become the main channels through which the European Union achieves balanced territorial development and, progressively, the transition to sustainability. Besides the impressive number of academic papers on these instruments, the structure of this field of research has been rarely mapped systematically. This paper aims to fill this gap by conducting a bibliometric study of the scientific literature based on the publications in the Web of Science Core Collection covering the period 1998-2026. The study finds that the field has experienced a major thematic reshuffle: whereas initially the focus was on the macroeconomic impact and regional convergence, the current scholarly works identify sustainable development as the most pivotal topic in the academic debate, thus signifying the increasing congruence between the EU funding instruments and the European Green Deal as well as the 2030 Agenda. The results also show that governance, management, and quality have become the main themes in the recent research, thereby indicating a move to the institutional and procedural aspects of fund implementation. Geographically, the research highlights a continuing imbalance in scientific output, mainly from beneficiary countries such as Romania and Poland. On the other hand, the a</w:t>
      </w:r>
    </w:p>
    <w:p>
      <w:pPr/>
      <w:r>
        <w:rPr>
          <w:b/>
        </w:rPr>
        <w:t>POSSIBLE 2026:</w:t>
      </w:r>
      <w:r>
        <w:t xml:space="preserve"> Key principles for planning and conducting clinical trials: the European Medicines Agency's vision for 2030 — https://doi.org/10.37489/2782-3784-myrwd-100</w:t>
      </w:r>
    </w:p>
    <w:p>
      <w:pPr/>
      <w:r>
        <w:rPr>
          <w:b/>
        </w:rPr>
        <w:t>Shared claim-specific concepts:</w:t>
      </w:r>
      <w:r>
        <w:t xml:space="preserve"> based, questions, become; EU scope visible. This is a provisional connection, not an outcome finding.</w:t>
      </w:r>
    </w:p>
    <w:p>
      <w:pPr>
        <w:pStyle w:val="SourceNote"/>
      </w:pPr>
      <w:r>
        <w:rPr>
          <w:b/>
        </w:rPr>
        <w:t>Available abstract (not full text):</w:t>
      </w:r>
      <w:r>
        <w:t xml:space="preserve"> Introduction . Every year, clinicians and researchers face a growing volume of scientific publications, necessitating a critical appraisal of the quality and validity of clinical data. On one hand, the pharmaceutical industry demands accelerated clinical trial timelines; on the other hand, it cannot accept reduced accuracy and reliability of the results. Striking a balance between speed and quality has become a key challenge in modern evidence-based medicine. Objective . Based on the European Medicines Agency (EMA) document “Clinical Evidence 2030”, to systematize and analyze six key principles that enable high-quality, methodologically rigorous and clinically relevant design and conduct of clinical trials. Main points . The article sequentially discusses the following principles: patient-centered trial design; leveraging existing data to identify knowledge gaps; clear formulation of research questions (including the use of the PICO framework); rational selection of data sources and methods (including real-world data and artificial intelligence); early alignment of approaches with all stakeholders; and ensuring transparency and openness as the foundation of public trust. Each principle is illustrated with practical examples and references to current methodological standards (CONSORT, ICH guidelines). Conclusion . Consistent application of the six principles improves the quality</w:t>
      </w:r>
    </w:p>
    <w:p>
      <w:pPr/>
      <w:r>
        <w:rPr>
          <w:b/>
        </w:rPr>
        <w:t>POSSIBLE 2025:</w:t>
      </w:r>
      <w:r>
        <w:t xml:space="preserve"> Toxocara Seroprevalence in Europe and Considerations for Future Research — https://doi.org/10.3390/pathogens14111117</w:t>
      </w:r>
    </w:p>
    <w:p>
      <w:pPr/>
      <w:r>
        <w:rPr>
          <w:b/>
        </w:rPr>
        <w:t>Shared claim-specific concepts:</w:t>
      </w:r>
      <w:r>
        <w:t xml:space="preserve"> factors, out, reduce; EU scope visible. This is a provisional connection, not an outcome finding.</w:t>
      </w:r>
    </w:p>
    <w:p>
      <w:pPr>
        <w:pStyle w:val="SourceNote"/>
      </w:pPr>
      <w:r>
        <w:rPr>
          <w:b/>
        </w:rPr>
        <w:t>Available abstract (not full text):</w:t>
      </w:r>
      <w:r>
        <w:t xml:space="preserve"> Toxocarosis is one of the most widespread zoonotic parasitic diseases, caused by Toxocara canis and Toxocara cati. Studying the epidemiological situation is a real challenge for specialists in the field worldwide. The aim of this study was to highlight the epidemiological aspects of the prevalence rate in Europe, and we found that the distribution of Toxocara infection is uneven, depending on geographical, climatic and socio-economic factors. Currently, there is a continuous spread of this parasite in many regions, including economically developed countries, but the exact prevalence is not known because there are no regular reports and statistical evidence regarding toxocarosis. The presence of nonspecific symptoms and subclinical disease may delay diagnosis and treatment, with long-term implications for the patient, and because of this, we discussed the possible Toxocara detection methods, with several novel and interesting approaches. Toxocarosis is included among the neglected parasitic diseases, requiring seroprevalence studies to be carried out to develop programs to reduce the frequency of this parasitosis.</w:t>
      </w:r>
    </w:p>
    <w:p>
      <w:pPr>
        <w:pStyle w:val="Heading2"/>
      </w:pPr>
      <w:r>
        <w:t>532. Efficiency of the European Union farm types: Scenarios with and without the 2013 CAP measures</w:t>
      </w:r>
    </w:p>
    <w:p>
      <w:pPr>
        <w:pStyle w:val="SourceNote"/>
      </w:pPr>
      <w:r>
        <w:rPr>
          <w:b/>
        </w:rPr>
        <w:t>Original source (2022):</w:t>
      </w:r>
      <w:r>
        <w:t xml:space="preserve"> https://doi.org/10.1515/opag-2022-0071</w:t>
      </w:r>
    </w:p>
    <w:p>
      <w:pPr/>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POSSIBLE 2026:</w:t>
      </w:r>
      <w:r>
        <w:t xml:space="preserve"> ANALYSIS OF FARMS IN ROMANIA IN THE CONTEXT OF THE EUROPEAN UNION — https://doi.org/10.46793/zbiep25.153ms</w:t>
      </w:r>
    </w:p>
    <w:p>
      <w:pPr/>
      <w:r>
        <w:rPr>
          <w:b/>
        </w:rPr>
        <w:t>Shared claim-specific concepts:</w:t>
      </w:r>
      <w:r>
        <w:t xml:space="preserve"> analyse, evolution, large, agricultural; EU scope visible. This is a provisional connection, not an outcome finding.</w:t>
      </w:r>
    </w:p>
    <w:p>
      <w:pPr>
        <w:pStyle w:val="SourceNote"/>
      </w:pPr>
      <w:r>
        <w:rPr>
          <w:b/>
        </w:rPr>
        <w:t>Available abstract (not full text):</w:t>
      </w:r>
      <w:r>
        <w:t xml:space="preserve">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pPr/>
      <w:r>
        <w:rPr>
          <w:b/>
        </w:rPr>
        <w:t>POSSIBLE 2026:</w:t>
      </w:r>
      <w:r>
        <w:t xml:space="preserve"> Historical Evolution of Farm Machinery in Bangladesh: A Review — https://doi.org/10.61361/jambe.v10i1.157</w:t>
      </w:r>
    </w:p>
    <w:p>
      <w:pPr/>
      <w:r>
        <w:rPr>
          <w:b/>
        </w:rPr>
        <w:t>Shared claim-specific concepts:</w:t>
      </w:r>
      <w:r>
        <w:t xml:space="preserve"> evolution, farm, significant, agricultural; EU scope not established. This is a provisional connection, not an outcome finding.</w:t>
      </w:r>
    </w:p>
    <w:p>
      <w:pPr>
        <w:pStyle w:val="SourceNote"/>
      </w:pPr>
      <w:r>
        <w:rPr>
          <w:b/>
        </w:rPr>
        <w:t>Available abstract (not full text):</w:t>
      </w:r>
      <w:r>
        <w:t xml:space="preserve">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pPr/>
      <w:r>
        <w:rPr>
          <w:b/>
        </w:rPr>
        <w:t>POSSIBLE 2026:</w:t>
      </w:r>
      <w:r>
        <w:t xml:space="preserve"> Contract Design for "Enterprise+Farmer" Sharecropping Family Farms — A Comparison of Institutional Evolution in American and French Family Farms — https://doi.org/10.62177/apemr.v3i1.1034</w:t>
      </w:r>
    </w:p>
    <w:p>
      <w:pPr/>
      <w:r>
        <w:rPr>
          <w:b/>
        </w:rPr>
        <w:t>Shared claim-specific concepts:</w:t>
      </w:r>
      <w:r>
        <w:t xml:space="preserve"> evolution, farm, two, agricultural, design; EU scope visible. This is a provisional connection, not an outcome finding.</w:t>
      </w:r>
    </w:p>
    <w:p>
      <w:pPr>
        <w:pStyle w:val="SourceNote"/>
      </w:pPr>
      <w:r>
        <w:rPr>
          <w:b/>
        </w:rPr>
        <w:t>Available abstract (not full text):</w:t>
      </w:r>
      <w:r>
        <w:t xml:space="preserve">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pPr/>
      <w:r>
        <w:rPr>
          <w:b/>
        </w:rPr>
        <w:t>POSSIBLE 2026:</w:t>
      </w:r>
      <w:r>
        <w:t xml:space="preserve"> An analysis of the response behaviour of farms in the Farm Structure Survey — https://doi.org/10.71014/sieds.v80i2.507</w:t>
      </w:r>
    </w:p>
    <w:p>
      <w:pPr/>
      <w:r>
        <w:rPr>
          <w:b/>
        </w:rPr>
        <w:t>Shared claim-specific concepts:</w:t>
      </w:r>
      <w:r>
        <w:t xml:space="preserve"> analyse, farm, two, agricultural; EU scope visible. This is a provisional connection, not an outcome finding.</w:t>
      </w:r>
    </w:p>
    <w:p>
      <w:pPr>
        <w:pStyle w:val="SourceNote"/>
      </w:pPr>
      <w:r>
        <w:rPr>
          <w:b/>
        </w:rPr>
        <w:t>Available abstract (not full text):</w:t>
      </w:r>
      <w:r>
        <w:t xml:space="preserve"> The 2023 edition of the Farm Structure Survey is a sample survey that includes approximately 100,000 agricultural and livestock units registered in the Farm Register. This survey was conducted in accordance with Regulation (EC) No 1091/2018 of the European Parliament and of the Council, following an organizational model based on collaboration among several private entities. Thanks to an agreement with Istat, the Agricultural Assistance Centras (CAA) played a crucial role in the survey activities, acting as intermediaries in the data collection for various agricultural surveys. Operators affiliated with CAAs have a privileged relationship with farms due to their ongoing activities and possess specialized training in agricultural matters. Data collection was carried out using a combination of two survey techniques to optimize costs and minimize the statistical burden on respondents. Farms were given the option to complete the questionnaire online via CAWI (Computer Assisted Web Interviewing). Non-responding units were subsequently contacted by an operator who administered the questionnaire using CAPI (Computer Assisted Personal Interviewing). The objective of this work is to analyse the possible links between the characteristics of farms and their response behaviour, also in relation to the possible effects of actions taken to encourage participation.</w:t>
      </w:r>
    </w:p>
    <w:p>
      <w:pPr/>
      <w:r>
        <w:rPr>
          <w:b/>
        </w:rPr>
        <w:t>POSSIBLE 2026:</w:t>
      </w:r>
      <w:r>
        <w:t xml:space="preserve"> Experimental Investigation of the Evolution of Coherent Flow Structures within an Actuator Disc Wind Farm — https://doi.org/10.1088/1742-6596/3224/3/032021</w:t>
      </w:r>
    </w:p>
    <w:p>
      <w:pPr/>
      <w:r>
        <w:rPr>
          <w:b/>
        </w:rPr>
        <w:t>Shared claim-specific concepts:</w:t>
      </w:r>
      <w:r>
        <w:t xml:space="preserve"> evolution, farm, types, two, significant, large; EU scope not established. This is a provisional connection, not an outcome finding.</w:t>
      </w:r>
    </w:p>
    <w:p>
      <w:pPr>
        <w:pStyle w:val="SourceNote"/>
      </w:pPr>
      <w:r>
        <w:rPr>
          <w:b/>
        </w:rPr>
        <w:t>Available abstract (not full text):</w:t>
      </w:r>
      <w:r>
        <w:t xml:space="preserve"> Abstract Wind turbines operate in a highly complex aerodynamic environment. Beyond varying turbulence intensities, intermittent flow, and a wide range of turbulent length scales, coherent structures such as large gusts, wind ramps, and storm fronts impose significant loads on blades and towers. This study experimentally characterizes two types of coherent flow structures in a wind tunnel and investigates their behavior in a model-scale wind farm. Porous actuator discs act as substitutes for wind turbines and are arranged in both aligned and staggered configurations. The flow in and around the discs is measured using hot-wire anemometry, while an active grid generates two coherent flow structures: a classical extreme operating gust as defined by the IEC, and a rapid positive–negative wind ramp. Results show that the temporal and spatial extent of a coherent structure affects its recovery within the wind farm, and that increased background turbulence further accelerates wake recovery. Although the mean wind speed decreases significantly behind the first turbine row, gust amplitudes nearly recover to their inflow magnitude. Consequently, turbines in downstream rows remain exposed to strong, sudden coherent events, which must be considered in wind farm operation and control strategies.</w:t>
      </w:r>
    </w:p>
    <w:p>
      <w:pPr/>
      <w:r>
        <w:rPr>
          <w:b/>
        </w:rPr>
        <w:t>POSSIBLE 2026:</w:t>
      </w:r>
      <w:r>
        <w:t xml:space="preserve"> The Structural Evolution of the Agricultural Services Market in Poland — https://doi.org/10.3390/su18146992</w:t>
      </w:r>
    </w:p>
    <w:p>
      <w:pPr/>
      <w:r>
        <w:rPr>
          <w:b/>
        </w:rPr>
        <w:t>Shared claim-specific concepts:</w:t>
      </w:r>
      <w:r>
        <w:t xml:space="preserve"> evolution, two, agricultural; EU scope visible. This is a provisional connection, not an outcome finding.</w:t>
      </w:r>
    </w:p>
    <w:p>
      <w:pPr>
        <w:pStyle w:val="SourceNote"/>
      </w:pPr>
      <w:r>
        <w:rPr>
          <w:b/>
        </w:rPr>
        <w:t>Available abstract (not full text):</w:t>
      </w:r>
      <w:r>
        <w:t xml:space="preserve"> Agricultural services are an important component of the agricultural production system, as they may support farms in accessing machinery, labour, specialised knowledge, and selected technical inputs without fully internalising these resources. Despite their relevance, empirical evidence on the development of agricultural services remains limited in the Polish and broader Central and Eastern European context. The objective of this article is to assess the structural evolution of the agricultural and horticultural services market in Poland, with particular attention to the number and regional distribution of service providers, firm-size structure, farm-level use of selected services, and changes in service costs. The study is based on official statistical data from the Central Statistical Office of Poland for 2009–2024 and two survey waves conducted among farms in the Mazowieckie region in 2013 and 2024. The methodological approach combines descriptive and comparative analyses with exploratory logistic regression models. The results show that the agricultural services market in Poland has undergone clear structural changes, although the dynamics differed across service segments. Services supporting crop production expanded until 2015 and then stabilised or slightly declined, while post-harvest and livestock-related services remained relatively stable. Landscaping services recorde</w:t>
      </w:r>
    </w:p>
    <w:p>
      <w:pPr/>
      <w:r>
        <w:rPr>
          <w:b/>
        </w:rPr>
        <w:t>POSSIBLE 2026:</w:t>
      </w:r>
      <w:r>
        <w:t xml:space="preserve"> The evolution of the corporate governance literature in Islamic banking: A bibliometric review of the last two decades — https://doi.org/10.22495/jgrv15i1art17</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This study aims to explore trends and map knowledge on corporate governance (CG) in Islamic banking written by academics worldwide. This study is crucial for identifying the map and gaps in CG research in the Islamic banking industry. The method used is library research, focusing on thematic literature examining CG in Islamic banking. Primary data sources include journal articles, books, and proceedings published from 2005 to 2024, primarily by reputable publishers. The data were then analyzed using an R-based bibliometric approach (Donthu et al., 2021), the bibliometrics web interface, and Biblioshiny. The results indicate that academics from various affiliations and countries still have a high interest in the theme of Islamic banking governance (Bui &amp; Krajcsák, 2024). However, the authors’ affiliations and countries are not evenly distributed, with a concentration in the Middle East, Southeast Asia, and the UK. From the aspect of the study articles, the sustainable development approach emerges as a new direction in Islamic financial governance, along with the coherence of keywords such as banking and Islamism, which indicates a strong thematic relationship with Islamic values.</w:t>
      </w:r>
    </w:p>
    <w:p>
      <w:pPr/>
      <w:r>
        <w:rPr>
          <w:b/>
        </w:rPr>
        <w:t>POSSIBLE 2026:</w:t>
      </w:r>
      <w:r>
        <w:t xml:space="preserve"> Spatio‐temporal patterns and risk factors of wild boar–pig farm contact across Europe — https://doi.org/10.1111/1365-2664.70314</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Abstract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w:t>
      </w:r>
    </w:p>
    <w:p>
      <w:pPr/>
      <w:r>
        <w:rPr>
          <w:b/>
        </w:rPr>
        <w:t>POSSIBLE 2026:</w:t>
      </w:r>
      <w:r>
        <w:t xml:space="preserve"> Towards farm-level net-zero greenhouse gas emissions: Contributions of climate mitigation actions – A study of four European crop and dairy farms — https://doi.org/10.1016/j.jenvman.2026.129220</w:t>
      </w:r>
    </w:p>
    <w:p>
      <w:pPr/>
      <w:r>
        <w:rPr>
          <w:b/>
        </w:rPr>
        <w:t>Shared claim-specific concepts:</w:t>
      </w:r>
      <w:r>
        <w:t xml:space="preserve"> farm, two, agricultural, impacts; EU scope visible. This is a provisional connection, not an outcome finding.</w:t>
      </w:r>
    </w:p>
    <w:p>
      <w:pPr>
        <w:pStyle w:val="SourceNote"/>
      </w:pPr>
      <w:r>
        <w:rPr>
          <w:b/>
        </w:rPr>
        <w:t>Available abstract (not full text):</w:t>
      </w:r>
      <w:r>
        <w:t xml:space="preserve"> Achieving net-zero greenhouse gas (GHG) emissions in agriculture is a central objective of climate policy frameworks such as the Paris Agreement. This study explored the feasibility and trade-offs of achieving net zero at the farm level by combining life cycle assessment with modeling of soil organic carbon (SOC) stocks. Four case-study farms, two crop and two dairy, in Italy, the United Kingdom (UK), France, and Germany, and 11 mitigation actions were assessed under two 20-year eco-design scenarios: one maintaining ≥90% of baseline productivity (PM), and one achieving net zero. The scenarios combined nature-based solutions (e.g., organic fertilization, cover crops) with technological interventions (e.g., feed additive, solar power). Estimated GHG emissions decreased greatly, but SOC sequestration alone was insufficient to achieve net zero while maintaining productivity. Under the PM scenario, the Italian, French, and German farms still emitted 51%, 62%, and 84% of baseline emissions, respectively. The UK crop farm achieved net zero under the PM scenario, but had the highest ecotoxicity impact per ha, 11% higher than that of the Italian crop farm. Mitigation effectiveness depended on soil- and crop-management practices, baseline GHG emissions, and carbon inputs. Assumptions about the 20-year amortization window, nutrient cycling, and indirect GHG emissions influenced trade-offs</w:t>
      </w:r>
    </w:p>
    <w:p>
      <w:pPr/>
      <w:r>
        <w:rPr>
          <w:b/>
        </w:rPr>
        <w:t>POSSIBLE 2026:</w:t>
      </w:r>
      <w:r>
        <w:t xml:space="preserve"> Spatio‐temporal patterns and risk factors of wild boar–pig farm contact across Europe — https://doi.org/10.21256/zhaw-37837</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individual proxi</w:t>
      </w:r>
    </w:p>
    <w:p>
      <w:pPr/>
      <w:r>
        <w:rPr>
          <w:b/>
        </w:rPr>
        <w:t>POSSIBLE 2026:</w:t>
      </w:r>
      <w:r>
        <w:t xml:space="preserve"> Bibliometric analysis in the field of photobiomodulation in the last two decades: research trends and evolution of hot topics — https://doi.org/10.1016/j.pdpdt.2026.105610</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BACKGROUND: Photobiomodulation (PBM) has evolved into a vibrant interdisciplinary field. Despite rapid research expansion, a comprehensive quantitative mapping of its knowledge structure, key contributors, and emerging trends remains lacking. METHODS: We conducted a bibliometric analysis of PBM publications from the Web of Science Core Collection (2006-2025). Knowledge mapping utilized CiteSpace, VOSviewer, and the bibliometrix R package. Additionally, PubMed clinical trial data were extracted to cross-validate bibliometric trends with actual clinical practice. RESULTS: We identified 4907 publications, exhibiting a compound annual growth rate of 14.67%. Michael R. Hamblin was the most prolific author (n = 100, h-index = 54), and Lasers in Medical Science was the core journal (n = 1180). Brazil dominated global output (32.2%, n = 1579), led by the University of São Paulo (n = 821). Thematic analysis highlighted "photobiomodulation" and "low-level laser therapy" as fundamental themes, while "Alzheimer's disease" emerged as a specialized, rapidly growing niche. CONCLUSIONS: Over two decades, PBM has matured into a promising mainstream therapeutic modality. Future research must prioritize the standardization of treatment parameters, alongside deeper exploration of biological mechanisms and long-term clinical validation. This 20-year mapping provides a strategic roadmap to guide evi</w:t>
      </w:r>
    </w:p>
    <w:p>
      <w:pPr/>
      <w:r>
        <w:rPr>
          <w:b/>
        </w:rPr>
        <w:t>POSSIBLE 2026:</w:t>
      </w:r>
      <w:r>
        <w:t xml:space="preserve"> 2D geometric morphometrics reveals temporal patterns in the evolution of modern and Pleistocene Arvicola (Rodentia, Cricetidae) in Europe — https://doi.org/10.26879/1683</w:t>
      </w:r>
    </w:p>
    <w:p>
      <w:pPr/>
      <w:r>
        <w:rPr>
          <w:b/>
        </w:rPr>
        <w:t>Shared claim-specific concepts:</w:t>
      </w:r>
      <w:r>
        <w:t xml:space="preserve"> evolution, significant, suggest; EU scope visible. This is a provisional connection, not an outcome finding.</w:t>
      </w:r>
    </w:p>
    <w:p>
      <w:pPr>
        <w:pStyle w:val="SourceNote"/>
      </w:pPr>
      <w:r>
        <w:rPr>
          <w:b/>
        </w:rPr>
        <w:t>Available abstract (not full text):</w:t>
      </w:r>
      <w:r>
        <w:t xml:space="preserve"> This study applies a comprehensive two-dimensional (2D) geometric morphometric framework to investigate dental morphological variation in modern and Pleistocene populations of the genus Arvicola.A reference dataset of 390 first lower molars (m/1) representing four extant species (A.amphibius, A. sapidus, A. italicus, and A. persicus) was analysed using Elliptic Fourier Analysis combined with multivariate statistics (PCA, MANOVA, LDA, CDA, Random Forest, and Mahalanobis distances).All modern species of Arvicola exhibit highly significant morphological differences, demonstrating that m/1 outlines shape reliably discriminates species-specific variation.This validated classification framework was applied to fossil assemblages from five well-dated localities spanning the late Middle Pleistocene to Upper Pleistocene (MIS 6 to MIS 3).The MIS 6 assemblage from Lazaret Cave displays a heterogenous and intermediate morphospace distribution, reflecting the presence of archaic lineages attributed to Arvicola ex gr.cantianus/amphibius and Arvicola ex gr.cantianus/sapidus.By MIS 5.5 (Baume Moula-Guercy), Arvicola amphibius-like morphologies dominate, although several specimens retain plesiomorphic traits.In contrast, MIS 3 assemblages (Abauntz Cave, Cova Eirós, and Trou Al'Wesse) exhibit predominantly modern morphologies, with high classification agreement (up to 100%) and clear species-leve</w:t>
      </w:r>
    </w:p>
    <w:p>
      <w:pPr>
        <w:pStyle w:val="Heading2"/>
      </w:pPr>
      <w:r>
        <w:t>533. Eliciting knowledge from stakeholders to identify critical issues of the transition to climate neutrality in Greece, the Nordic Region, and the European Union</w:t>
      </w:r>
    </w:p>
    <w:p>
      <w:pPr>
        <w:pStyle w:val="SourceNote"/>
      </w:pPr>
      <w:r>
        <w:rPr>
          <w:b/>
        </w:rPr>
        <w:t>Original source (2022):</w:t>
      </w:r>
      <w:r>
        <w:t xml:space="preserve"> https://doi.org/10.1016/j.erss.2022.102836</w:t>
      </w:r>
    </w:p>
    <w:p>
      <w:pPr/>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also, reveal, understanding;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Spatio-Temporal Diagnostics Reveal Early Signals of Sand Fly Range Shift in Europe — https://doi.org/10.5194/egusphere-egu26-18432</w:t>
      </w:r>
    </w:p>
    <w:p>
      <w:pPr/>
      <w:r>
        <w:rPr>
          <w:b/>
        </w:rPr>
        <w:t>Shared claim-specific concepts:</w:t>
      </w:r>
      <w:r>
        <w:t xml:space="preserve"> also, reveal, further, climate; EU scope visible. This is a provisional connection, not an outcome finding.</w:t>
      </w:r>
    </w:p>
    <w:p>
      <w:pPr>
        <w:pStyle w:val="SourceNote"/>
      </w:pPr>
      <w:r>
        <w:rPr>
          <w:b/>
        </w:rPr>
        <w:t>Available abstract (not full text):</w:t>
      </w:r>
      <w:r>
        <w:t xml:space="preserve">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pPr/>
      <w:r>
        <w:rPr>
          <w:b/>
        </w:rPr>
        <w:t>POSSIBLE 2026:</w:t>
      </w:r>
      <w:r>
        <w:t xml:space="preserve"> Research on the Challenges of the European Union as Perceived by Students — https://doi.org/10.31926/but.es.2026.19.68.1.11</w:t>
      </w:r>
    </w:p>
    <w:p>
      <w:pPr/>
      <w:r>
        <w:rPr>
          <w:b/>
        </w:rPr>
        <w:t>Shared claim-specific concepts:</w:t>
      </w:r>
      <w:r>
        <w:t xml:space="preserve"> also, reveal, issues, challenges, union, climate; EU scope visible. This is a provisional connection, not an outcome finding.</w:t>
      </w:r>
    </w:p>
    <w:p>
      <w:pPr>
        <w:pStyle w:val="SourceNote"/>
      </w:pPr>
      <w:r>
        <w:rPr>
          <w:b/>
        </w:rPr>
        <w:t>Available abstract (not full text):</w:t>
      </w:r>
      <w:r>
        <w:t xml:space="preserve"> The aim of this paper is to investigate how some of the most important challenges facing the European Union are perceived by students. By means of a survey, students’ opinions on issues such as the economic situation, the pandemic, unity, climate change, and cyberattacks are researched, analysed, and commented. The findings reveal that students are aware of these issues, mostly via social media. Economic problems were considered the main difficulty, while the pandemic and climate change also ranked high in the list of concerns. In accordance with the conclusions drawn from the research, several recommendations are issued for policymakers.</w:t>
      </w:r>
    </w:p>
    <w:p>
      <w:pPr/>
      <w:r>
        <w:rPr>
          <w:b/>
        </w:rPr>
        <w:t>POSSIBLE 2026:</w:t>
      </w:r>
      <w:r>
        <w:t xml:space="preserve"> CURRENT CHALLENGES OF COHESION POLICY IN THE EUROPEAN UNION — https://openalex.org/W7219295432</w:t>
      </w:r>
    </w:p>
    <w:p>
      <w:pPr/>
      <w:r>
        <w:rPr>
          <w:b/>
        </w:rPr>
        <w:t>Shared claim-specific concepts:</w:t>
      </w:r>
      <w:r>
        <w:t xml:space="preserve"> also, issues, challenges, energy, transition, union; EU scope visible. This is a provisional connection, not an outcome finding.</w:t>
      </w:r>
    </w:p>
    <w:p>
      <w:pPr>
        <w:pStyle w:val="SourceNote"/>
      </w:pPr>
      <w:r>
        <w:rPr>
          <w:b/>
        </w:rPr>
        <w:t>Available abstract (not full text):</w:t>
      </w:r>
      <w:r>
        <w:t xml:space="preserve"> This paper analyses the current challenges facing European Union cohesion policy in the context of profound economic, social, environmental and geopolitical transformations affecting regional development across the European Union. As one of the principal investment policies of the European Union, cohesion policy has a central role in reducing territorial disparities, strengthening economic and social convergence, and supporting balanced regional development. The paper provides an overview of the evolution of cohesion policy and examines the major challenges associated with the current programming period 2021–2027. The analysis focuses on several key issues, including persistent regional inequalities, disparities in administrative and institutional capacity, the complexity of implementation mechanisms, absorption constraints, and the growing need to improve the efficiency and strategic orientation of cohesion funding. Particular attention is given to the increasing role of cohesion policy in responding to new priorities related to green transition, digital transformation, energy security and economic resilience in the post-pandemic context. The paper also discusses how recent crises have influenced the objectives and implementation logic of cohesion policy, expanding its role beyond traditional convergence goals. The results underline that the effectiveness of cohesion policy de</w:t>
      </w:r>
    </w:p>
    <w:p>
      <w:pPr/>
      <w:r>
        <w:rPr>
          <w:b/>
        </w:rPr>
        <w:t>POSSIBLE 2026:</w:t>
      </w:r>
      <w:r>
        <w:t xml:space="preserve"> EUROPEAN EDUCATIONAL CHALLENGES EUROPEAN PROJECTS NOT ONLY FOR YOUNG PEOPLE — https://doi.org/10.21125/inted.2026.2026</w:t>
      </w:r>
    </w:p>
    <w:p>
      <w:pPr/>
      <w:r>
        <w:rPr>
          <w:b/>
        </w:rPr>
        <w:t>Shared claim-specific concepts:</w:t>
      </w:r>
      <w:r>
        <w:t xml:space="preserve"> they, also, challenges, collaboration; EU scope visible. This is a provisional connection, not an outcome finding.</w:t>
      </w:r>
    </w:p>
    <w:p>
      <w:pPr>
        <w:pStyle w:val="SourceNote"/>
      </w:pPr>
      <w:r>
        <w:rPr>
          <w:b/>
        </w:rPr>
        <w:t>Available abstract (not full text):</w:t>
      </w:r>
      <w:r>
        <w:t xml:space="preserve"> This article considers the educational challenges that Europe has faced over the past decade, research findings, and project experience in the field of adult education (especially senior education), in the context of ageing European societies. The generation of seniors constitutes a storehouse of knowledge, a reservoir of historical memory, and a repository of elements of local cultural heritage that shape the architecture of Europe’s cultural heritage landscape. Such individuals, who are professionally inactive, often remain hidden in the shadow of social life. They do not have opportunities to share their knowledge, experience, and skills with the younger generation. EU senior policy and educational policy, as well as the policies of Member States, have determined new fields of mobilisation and care for this social group in recent years. The author analyses modern educational priorities of European Commission for the years 2024-2029, as well as the guidelines of the Erasmus+ programme, in the context of social challenges, senior policy, and key competences. This study also discusses the assumptions, conclusions, and results derived from Erasmus+ projects, entitled “COSTAS” (Competent Staff for Adult Learners and Seniors) and “acordEU” (Adult Cooperation for European Eco-Synergy). These projects were implemented in partnership between Poland, Romania, Bulgaria, and Italy in th</w:t>
      </w:r>
    </w:p>
    <w:p>
      <w:pPr/>
      <w:r>
        <w:rPr>
          <w:b/>
        </w:rPr>
        <w:t>POSSIBLE 2026:</w:t>
      </w:r>
      <w:r>
        <w:t xml:space="preserve"> Unveiling the environmental impact of earthquakes in Europe — https://doi.org/10.1038/s41467-025-68120-6</w:t>
      </w:r>
    </w:p>
    <w:p>
      <w:pPr/>
      <w:r>
        <w:rPr>
          <w:b/>
        </w:rPr>
        <w:t>Shared claim-specific concepts:</w:t>
      </w:r>
      <w:r>
        <w:t xml:space="preserve"> they, also, reveal, challenges, further;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IMPACT OF EDUCATIONAL ATTAINMENT ON QUALITY OF LIFE IN EUROPE — https://doi.org/10.5281/zenodo.21188384</w:t>
      </w:r>
    </w:p>
    <w:p>
      <w:pPr/>
      <w:r>
        <w:rPr>
          <w:b/>
        </w:rPr>
        <w:t>Shared claim-specific concepts:</w:t>
      </w:r>
      <w:r>
        <w:t xml:space="preserve"> also, issues, challenges, union, better; EU scope visible. This is a provisional connection, not an outcome finding.</w:t>
      </w:r>
    </w:p>
    <w:p>
      <w:pPr>
        <w:pStyle w:val="SourceNote"/>
      </w:pPr>
      <w:r>
        <w:rPr>
          <w:b/>
        </w:rPr>
        <w:t>Available abstract (not full text):</w:t>
      </w:r>
      <w:r>
        <w:t xml:space="preserve"> Annotation: This article examines how educational attainment affects quality of life across Europe, emphasizing the roles of formal and informal education. It explores various data sources, including Eurostat and OECD reports, to analyze the relationship between education levels and indicators of quality of life such as employment, income, and social inclusion. The study reveals significant regional variations in educational attainment, early school leaving rates, participation in lifelong learning, digital literacy, and foreign language proficiency. It highlights that higher education correlates with better economic and social outcomes, but also identifies challenges such as educational disparities, low lifelong learning participation, and the digital divide. The article concludes with recommendations for targeted policies to address these issues and improve overall quality of life across Europe. Keywords: Educational attainment, quality of life, economic stability, social inclusion, lifelong learning, digital literacy, early school leaving (ESL), foreign language proficiency, European Union (EU), education policy, economic opportunities, social mobility, digital divide, higher education, employment rates</w:t>
      </w:r>
    </w:p>
    <w:p>
      <w:pPr/>
      <w:r>
        <w:rPr>
          <w:b/>
        </w:rPr>
        <w:t>POSSIBLE 2026:</w:t>
      </w:r>
      <w:r>
        <w:t xml:space="preserve"> Policies of Migrants’ Integration in Europe: Backlash, Not Backslide — https://doi.org/10.21814/uminho.ed.196.2</w:t>
      </w:r>
    </w:p>
    <w:p>
      <w:pPr/>
      <w:r>
        <w:rPr>
          <w:b/>
        </w:rPr>
        <w:t>Shared claim-specific concepts:</w:t>
      </w:r>
      <w:r>
        <w:t xml:space="preserve"> they, also, understanding; EU scope visible. This is a provisional connection, not an outcome finding.</w:t>
      </w:r>
    </w:p>
    <w:p>
      <w:pPr>
        <w:pStyle w:val="SourceNote"/>
      </w:pPr>
      <w:r>
        <w:rPr>
          <w:b/>
        </w:rPr>
        <w:t>Available abstract (not full text):</w:t>
      </w:r>
      <w:r>
        <w:t xml:space="preserve"> This chapter argues that past political options regarding the integration of immigrants in Europe have been disconnected from a postnational understanding of citizenship, that is, from helping to build a sense of belonging for individuals based on their humanity and where the right to access fundamental rights (social, economic, and political rights included) would not be limited by their national status. Political options revealed instead that the acceptance of immigrants’ presence was limited to their economic utility and often to the idea that such economic utility would soon be over. The idea of a temporary need for immigrants would hinder not only the already problematic universalistic models of integration (e.g., the French model) and the ethnic models (e.g., the German model), but also the multiculturalist models. While not denying that the multiculturalist approaches had flaws to be addressed, this chapter argues that the main flaw does not derive from multiculturalism itself, as the new anti-immigration rhetoric prefers to underline, but from the way it was used in the context of European societies still struggling with colonialist images about themselves in the world and about Otherness. Ironically, though, instead of recognising the original sin underneath the conception of past models of integration of immigrants, most European political decision makers prefer to bl</w:t>
      </w:r>
    </w:p>
    <w:p>
      <w:pPr/>
      <w:r>
        <w:rPr>
          <w:b/>
        </w:rPr>
        <w:t>POSSIBLE 2026:</w:t>
      </w:r>
      <w:r>
        <w:t xml:space="preserve"> Operational Challenges and Regulatory Issues in CGD — https://doi.org/10.1201/9781003784463-17</w:t>
      </w:r>
    </w:p>
    <w:p>
      <w:pPr/>
      <w:r>
        <w:rPr>
          <w:b/>
        </w:rPr>
        <w:t>Shared claim-specific concepts:</w:t>
      </w:r>
      <w:r>
        <w:t xml:space="preserve"> also, issues, challenges, case, understanding; EU scope visible. This is a provisional connection, not an outcome finding.</w:t>
      </w:r>
    </w:p>
    <w:p>
      <w:pPr>
        <w:pStyle w:val="SourceNote"/>
      </w:pPr>
      <w:r>
        <w:rPr>
          <w:b/>
        </w:rPr>
        <w:t>Available abstract (not full text):</w:t>
      </w:r>
      <w:r>
        <w:t xml:space="preserve"> As city gas distribution (CGD) networks continue to expand rapidly across India and globally, operators face a diverse set of operational, technical, regulatory, and institutional challenges that demand robust planning, innovation, and updated regulatory frameworks. This chapter provides a comprehensive exploration of these issues with a balance of fundamentals and contemporary developments based on the latest studies, annual reports, and regulatory updates up to 2025. The chapter begins by examining major operational challenges such as network balancing, management of unaccounted-for gas (UFG), pressure drops in expanding and aging networks, and the impact of seasonal demand variability on system stability. These concepts are presented with underlying engineering fundamentals, supported by recent research and practical case experiences from global CGD operators. Asset management emerges as another critical dimension, where factors such as cathodic protection, corrosion control, real-time pipeline surveillance, SCADA-supported monitoring, and optimized preventive maintenance scheduling significantly influence safety and cost-efficiency. Global benchmarks from Europe, Japan, and North America are integrated with Indian practices to provide a comparative understanding. The chapter also outlines India&amp;s;s regulatory environment, highlighting the role of the Petroleum and Natural G</w:t>
      </w:r>
    </w:p>
    <w:p>
      <w:pPr/>
      <w:r>
        <w:rPr>
          <w:b/>
        </w:rPr>
        <w:t>POSSIBLE 2026:</w:t>
      </w:r>
      <w:r>
        <w:t xml:space="preserve"> Multidisciplinary challenges by ‘pure’ and hybrid Schistosoma species introduced into southwestern Europe — https://doi.org/10.1098/rstb.2025.0087</w:t>
      </w:r>
    </w:p>
    <w:p>
      <w:pPr/>
      <w:r>
        <w:rPr>
          <w:b/>
        </w:rPr>
        <w:t>Shared claim-specific concepts:</w:t>
      </w:r>
      <w:r>
        <w:t xml:space="preserve"> also, challenges, different; EU scope visible. This is a provisional connection, not an outcome finding.</w:t>
      </w:r>
    </w:p>
    <w:p>
      <w:pPr>
        <w:pStyle w:val="SourceNote"/>
      </w:pPr>
      <w:r>
        <w:rPr>
          <w:b/>
        </w:rPr>
        <w:t>Available abstract (not full text):</w:t>
      </w:r>
      <w:r>
        <w:t xml:space="preserve"> In Europe, imported schistosomiasis affects a diverse range of patients, including migrants, travellers, visiting friends and relatives, and expatriates who have lived in endemic areas. The variety of regions linked to these patients' origins or destinations increases the likelihood of infections from different Schistosoma species and hybrids. This work aims to address the multidisciplinary challenges posed by 'pure' and hybrid Schistosoma species in southwestern Europe. It explores (i) the role of molecular analysis in identifying species and hybrids, (ii) the importance of morphogenetic studies of Schistosoma eggs, (iii) the potential risk of hybrid Schistosoma infections emerging in Europe and (iv) the clinical management, diagnostis and treatment of schistosomiasis in non-endemic European countries. The study includes examples of 'pure' and hybrid species detected in a tropical medicine unit in Almería, Spain. In this context, the complexity of managing not only the clinical aspects, diagnosis and treatment of this disease, but also the need and readiness to quantify the risks and prevent future outbreaks of schistosomiasis in Europe are evident. Schistosoma hybrids potentially able to adapt to new European habitats are a challenge, which highlights the need for appropriate surveillance and preventive measures to avoid the introduction of schistosomiasis into Europe. This a</w:t>
      </w:r>
    </w:p>
    <w:p>
      <w:pPr/>
      <w:r>
        <w:rPr>
          <w:b/>
        </w:rPr>
        <w:t>POSSIBLE 2026:</w:t>
      </w:r>
      <w:r>
        <w:t xml:space="preserve"> Priorities for change for autistic people across Europe — https://doi.org/10.1186/s13229-026-00706-3</w:t>
      </w:r>
    </w:p>
    <w:p>
      <w:pPr/>
      <w:r>
        <w:rPr>
          <w:b/>
        </w:rPr>
        <w:t>Shared claim-specific concepts:</w:t>
      </w:r>
      <w:r>
        <w:t xml:space="preserve"> also, issues, improvement, union, understanding;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also, issues, improvement, union, understanding;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pStyle w:val="Heading2"/>
      </w:pPr>
      <w:r>
        <w:t>534. Emerging smart city, transport and energy trends in urban settings: Results of a pan-European foresight exercise with 120 experts</w:t>
      </w:r>
    </w:p>
    <w:p>
      <w:pPr>
        <w:pStyle w:val="SourceNote"/>
      </w:pPr>
      <w:r>
        <w:rPr>
          <w:b/>
        </w:rPr>
        <w:t>Original source (2022):</w:t>
      </w:r>
      <w:r>
        <w:t xml:space="preserve"> https://doi.org/10.1016/j.techfore.2022.121915</w:t>
      </w:r>
    </w:p>
    <w:p>
      <w:pPr/>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POSSIBLE 2026:</w:t>
      </w:r>
      <w:r>
        <w:t xml:space="preserve"> Diversity management in European companies: intersectionality and individual experiences of bias at work — https://doi.org/10.4337/9781035361243.00012</w:t>
      </w:r>
    </w:p>
    <w:p>
      <w:pPr/>
      <w:r>
        <w:rPr>
          <w:b/>
        </w:rPr>
        <w:t>Shared claim-specific concepts:</w:t>
      </w:r>
      <w:r>
        <w:t xml:space="preserve"> work, domains, findings, structural; EU scope visible. This is a provisional connection, not an outcome finding.</w:t>
      </w:r>
    </w:p>
    <w:p>
      <w:pPr>
        <w:pStyle w:val="SourceNote"/>
      </w:pPr>
      <w:r>
        <w:rPr>
          <w:b/>
        </w:rPr>
        <w:t>Available abstract (not full text):</w:t>
      </w:r>
      <w:r>
        <w:t xml:space="preserve">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pPr/>
      <w:r>
        <w:rPr>
          <w:b/>
        </w:rPr>
        <w:t>POSSIBLE 2026:</w:t>
      </w:r>
      <w:r>
        <w:t xml:space="preserve"> Fostering energy transition and transport fluidity in European port cities — https://doi.org/10.4324/9781003639589-3</w:t>
      </w:r>
    </w:p>
    <w:p>
      <w:pPr/>
      <w:r>
        <w:rPr>
          <w:b/>
        </w:rPr>
        <w:t>Shared claim-specific concepts:</w:t>
      </w:r>
      <w:r>
        <w:t xml:space="preserve"> domains, cities, transport, energy, several;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r>
        <w:rPr>
          <w:b/>
        </w:rPr>
        <w:t>POSSIBLE 2026:</w:t>
      </w:r>
      <w:r>
        <w:t xml:space="preserve"> Transport (in)justice and the city: a relational analysis of transport in India — https://doi.org/10.1007/s11116-026-10815-w</w:t>
      </w:r>
    </w:p>
    <w:p>
      <w:pPr/>
      <w:r>
        <w:rPr>
          <w:b/>
        </w:rPr>
        <w:t>Shared claim-specific concepts:</w:t>
      </w:r>
      <w:r>
        <w:t xml:space="preserve"> work, cities, transport, perspective, empirical, findings; EU scope not established. This is a provisional connection, not an outcome finding.</w:t>
      </w:r>
    </w:p>
    <w:p>
      <w:pPr>
        <w:pStyle w:val="SourceNote"/>
      </w:pPr>
      <w:r>
        <w:rPr>
          <w:b/>
        </w:rPr>
        <w:t>Available abstract (not full text):</w:t>
      </w:r>
      <w:r>
        <w:t xml:space="preserve"> Abstract Most research on transport and equity has conceptualised justice primarily in distributive terms, focusing on how transport-related benefits and burdens are allocated across social groups. Drawing on Relational Egalitarianism, a recent strand in political philosophy, Piazza and Martens (Transp Rev 46:131–150, 2026) argue for broadening this perspective by incorporating a relational understanding of justice in transport domain. Building on the work of Elizabeth Anderson, they distinguish three core dimensions of relational inequality: hierarchies of power, standing, and esteem. This paper adopts this framework to examine how such hierarchies are produced and reproduced within the transport systems of medium-sized Indian cities. The analysis is based on extensive fieldwork undertaken in Siliguri, a historic railway town in eastern India. The empirical material comprises interviews with three groups: 11 institutional stakeholders, experts, and decision-makers; 400 households living in slums across the city; and 391 shop owners operating in neighbourhoods surrounding railway stations, whose livelihoods are directly shaped by decisions taken by transport authorities. The findings reveal the presence of all three relational hierarchies. Transport decision-making is dominated by elite actors and guided primarily by political priorities, while meaningful public engagement rema</w:t>
      </w:r>
    </w:p>
    <w:p>
      <w:pPr/>
      <w:r>
        <w:rPr>
          <w:b/>
        </w:rPr>
        <w:t>POSSIBLE 2026:</w:t>
      </w:r>
      <w:r>
        <w:t xml:space="preserve"> Link-based European road transport emissions for CAMS-REG v8.1 and a comparison to city inventories — https://doi.org/10.5194/essd-18-3959-2026</w:t>
      </w:r>
    </w:p>
    <w:p>
      <w:pPr/>
      <w:r>
        <w:rPr>
          <w:b/>
        </w:rPr>
        <w:t>Shared claim-specific concepts:</w:t>
      </w:r>
      <w:r>
        <w:t xml:space="preserve"> cities, transport, urban, several; EU scope visible. This is a provisional connection, not an outcome finding.</w:t>
      </w:r>
    </w:p>
    <w:p>
      <w:pPr>
        <w:pStyle w:val="SourceNote"/>
      </w:pPr>
      <w:r>
        <w:rPr>
          <w:b/>
        </w:rPr>
        <w:t>Available abstract (not full text):</w:t>
      </w:r>
      <w:r>
        <w:t xml:space="preserve"> Abstract. Spatially resolved estimates of road transport emissions are fundamental for tackling challenges of air pollution and greenhouse gas emissions. Emission estimates at 0.05° x 0.1° resolution are provided in the widely used CAMS-REG regional European emissions inventory. For the road transport sector, several improvement opportunities were identified: Firstly (1) an underestimation of ca. 35 % of NOx emissions in comparison to 8 independent urban inventories; secondly (2), artefacts in the spatial distribution in Eastern European non-EU countries; thirdly (3), the necessity of labour-intense downscaling methodologies to create high-resolution urban inventories from the fixed resolution dataset. To overcome these, emissions for all road links in the domain (n=59,710,490) were estimated using gap-filled activity data (AADT) from OpenStreetMap and OpenTransportMap. Gap filling was performed with random forest models trained on land-use and road information data. Model performance was R2: 0.63–0.74 and MAE(AADT): 1570–2028, with better performance for larger roads. Up-to-date emission factors were applied on road links using a novel maximum-speed–based classification. To generate the CAMS-REG v8.1 inventory, the resulting spatial distribution was used as a proxy map, together with national totals. The new dataset lowered the difference-to-city inventories to 19 % for absolu</w:t>
      </w:r>
    </w:p>
    <w:p>
      <w:pPr/>
      <w:r>
        <w:rPr>
          <w:b/>
        </w:rPr>
        <w:t>POSSIBLE 2026:</w:t>
      </w:r>
      <w:r>
        <w:t xml:space="preserve"> Exploring Sustainability Outcomes of Agricultural Digitalisation in European Living Labs — https://doi.org/10.1007/978-3-032-33157-1_13</w:t>
      </w:r>
    </w:p>
    <w:p>
      <w:pPr/>
      <w:r>
        <w:rPr>
          <w:b/>
        </w:rPr>
        <w:t>Shared claim-specific concepts:</w:t>
      </w:r>
      <w:r>
        <w:t xml:space="preserve"> explore, domains, there; EU scope visible. This is a provisional connection, not an outcome finding.</w:t>
      </w:r>
    </w:p>
    <w:p>
      <w:pPr>
        <w:pStyle w:val="SourceNote"/>
      </w:pPr>
      <w:r>
        <w:rPr>
          <w:b/>
        </w:rPr>
        <w:t>Available abstract (not full text):</w:t>
      </w:r>
      <w:r>
        <w:t xml:space="preserve"> Agricultural digitalisation influences environmental, economic, and social domains, and generates system-wide effects that are unknown, unintended and complex. There is a need to study outcomes of digitalisation to steer agrifood systems towards long-term sustainability goals. The main aim of this chapter is to explore outcomes of agricultural digitalisation across economic, social, and environmental domains, and interpret them through the multi system-level lens of the CODECS conceptual framework. This framework provides an entryway to systematically address the costs and benefits of digitalisation. With data collected through participatory stakeholder workshops in European living labs, we link environmental, economic and social outcomes of digitalisation to different system-levels. We explore what insights emerge from linking contexts, domains, and system-levels to understand risks and opportunities of agricultural digitalisation. This approach can make visible the indirect, unintended, and long-term effects of digitalisation. Moreover, it demonstrates digitalisation as iterative process that reshapes environmental, economic, and social domains and feeds back into the trajectory of digitalisation itself. Finally, we highlight the value of contextual variability in policymaking for responsible digitalisation to ensure designing pathways that are technologically innovative, soc</w:t>
      </w:r>
    </w:p>
    <w:p>
      <w:pPr/>
      <w:r>
        <w:rPr>
          <w:b/>
        </w:rPr>
        <w:t>POSSIBLE 2026:</w:t>
      </w:r>
      <w:r>
        <w:t xml:space="preserve"> Avoiding renovictions in European cities — https://openalex.org/W7171904389</w:t>
      </w:r>
    </w:p>
    <w:p>
      <w:pPr/>
      <w:r>
        <w:rPr>
          <w:b/>
        </w:rPr>
        <w:t>Shared claim-specific concepts:</w:t>
      </w:r>
      <w:r>
        <w:t xml:space="preserve"> cities, scientific, policies, urban; EU scope visible. This is a provisional connection, not an outcome finding.</w:t>
      </w:r>
    </w:p>
    <w:p>
      <w:pPr>
        <w:pStyle w:val="SourceNote"/>
      </w:pPr>
      <w:r>
        <w:rPr>
          <w:b/>
        </w:rPr>
        <w:t>Available abstract (not full text):</w:t>
      </w:r>
      <w:r>
        <w:t xml:space="preserve"> Europe faces a dual challenge: the climate crisis and a persistent housing crisis, both of which converge in the urgent need to renovate aging urban housing stock. While energy-efficient renovations are essential to meet EU carbon neutrality targets by 2050, they risk triggering “renovictions”, the displacement of vulnerable residents due to rising rents and property values. This policy study shows how these renovictions can be avoided. We summarise scientific literature and survey best practices and cautionary tales from three cities across Europe: Amsterdam, Athens, and Paris. These are three large capitals, with historic centres protected by heritage status, and facing the pressure of (over)tourism. We recommend that tenants should not pay for renovations, and identify alternative sources of funding for different types of housing. The overall principle is that any money entering the housing sector should remain in the housing sector. Our recommendations are intended for policymakers at the local and European level. Local administrations should learn from each other, replicating successful policies like one-stop-shops to accompany renovations. The EU should use the policy levers that it already has to coordinate and facilitate policies at local level, namely by simplifying existing funding options or setting up publicly backed loan guarantees.Incremental, locally adapted poli</w:t>
      </w:r>
    </w:p>
    <w:p>
      <w:pPr/>
      <w:r>
        <w:rPr>
          <w:b/>
        </w:rPr>
        <w:t>POSSIBLE 2026:</w:t>
      </w:r>
      <w:r>
        <w:t xml:space="preserve"> Using Wikidata in the European Literary Bibliography: A Reproducible Approach — https://doi.org/10.36253/979-12-215-1010-2.42</w:t>
      </w:r>
    </w:p>
    <w:p>
      <w:pPr/>
      <w:r>
        <w:rPr>
          <w:b/>
        </w:rPr>
        <w:t>Shared claim-specific concepts:</w:t>
      </w:r>
      <w:r>
        <w:t xml:space="preserve"> work, explore, domains, several; EU scope visible. This is a provisional connection, not an outcome finding.</w:t>
      </w:r>
    </w:p>
    <w:p>
      <w:pPr>
        <w:pStyle w:val="SourceNote"/>
      </w:pPr>
      <w:r>
        <w:rPr>
          <w:b/>
        </w:rPr>
        <w:t>Available abstract (not full text):</w:t>
      </w:r>
      <w:r>
        <w:t xml:space="preserve"> The European Literary Bibliography intends to open bibliographic data for literary studies at the European level holding resources from several institutions. This work provides a reproducible framework for publishing and reusing digital collections based on literary bibliographies made available by GLAM institutions. It also presents a collection of DH research scenarios to show how data can be explored. The results are available in the form of reproducible code. This work advances the publishing of digital collections in computationally usable forms describing how Wikidata can be used to explore new ways of analysis of the data. Future research directions include extending and implementing the research scenarios, and applying and adapting the framework to other domains.</w:t>
      </w:r>
    </w:p>
    <w:p>
      <w:pPr/>
      <w:r>
        <w:rPr>
          <w:b/>
        </w:rPr>
        <w:t>POSSIBLE 2026:</w:t>
      </w:r>
      <w:r>
        <w:t xml:space="preserve"> Migration Governance in Central and Eastern European Cities Post-2015 — https://doi.org/10.1007/978-3-032-28781-6</w:t>
      </w:r>
    </w:p>
    <w:p>
      <w:pPr/>
      <w:r>
        <w:rPr>
          <w:b/>
        </w:rPr>
        <w:t>Shared claim-specific concepts:</w:t>
      </w:r>
      <w:r>
        <w:t xml:space="preserve"> cities, policies, urban; EU scope visible. This is a provisional connection, not an outcome finding.</w:t>
      </w:r>
    </w:p>
    <w:p>
      <w:pPr>
        <w:pStyle w:val="SourceNote"/>
      </w:pPr>
      <w:r>
        <w:rPr>
          <w:b/>
        </w:rPr>
        <w:t>Available abstract (not full text):</w:t>
      </w:r>
      <w:r>
        <w:t xml:space="preserve"> This open-access book provides a thorough overview of migration trends and governance in Central and Eastern European (CEE) cities since 2015. For decades, CEE cities were primarily shaped by emigration. However, more than a decade of unprecedented change—from the 2015 European refugee reception crisis to the 2022 full-scale Russian invasion of Ukraine, which triggered the largest forced displacement in Europe since World War II—has transformed the region into one of Europe’s most dynamic new immigrant destinations. This volume offers the first comprehensive account of how nine diverse CEE cities across Poland, Czechia, Hungary, and Romania are navigating this new reality. Moving beyond traditional Western-centric models, the book explores the ‘local turn’ in migration studies through the experiences of capital cities such as Warsaw, Prague, and Budapest. It also examines rapidly diversifying second-tier cities like Kraków and Brno, as well as border and shrinking cities including Lublin, Oradea, Płock, and Łomża. Readers are introduced to the innovative CEE Local Migrant Governance Index (CEELMiG), a novel tool designed to measure and compare local policies across CEE cities—capturing integration strategies, coordination mechanisms, migrant participation, research on diversity, and the funding schemes of inclusive measures. From ‘mainstreaming by accident’ to the rise of grass</w:t>
      </w:r>
    </w:p>
    <w:p>
      <w:pPr/>
      <w:r>
        <w:rPr>
          <w:b/>
        </w:rPr>
        <w:t>POSSIBLE 2026:</w:t>
      </w:r>
      <w:r>
        <w:t xml:space="preserve"> Exploring national support mechanisms for European reference network centres — https://doi.org/10.1016/j.ejmg.2026.105099</w:t>
      </w:r>
    </w:p>
    <w:p>
      <w:pPr/>
      <w:r>
        <w:rPr>
          <w:b/>
        </w:rPr>
        <w:t>Shared claim-specific concepts:</w:t>
      </w:r>
      <w:r>
        <w:t xml:space="preserve"> work, domains, findings; EU scope visible. This is a provisional connection, not an outcome finding.</w:t>
      </w:r>
    </w:p>
    <w:p>
      <w:pPr>
        <w:pStyle w:val="SourceNote"/>
      </w:pPr>
      <w:r>
        <w:rPr>
          <w:b/>
        </w:rPr>
        <w:t>Available abstract (not full text):</w:t>
      </w:r>
      <w:r>
        <w:t xml:space="preserve"> Integrating European Reference Networks (ERNs) into national health systems is crucial for rare disease care but remains challenging due to inconsistent support structures across countries. This study used a 2024-2025 multi-stakeholder survey of ERN clinical centre leads, hospital administrators, and national health authorities (JARDIN Joint Action, Work Package 9) to evaluate national support for ERN centres across six domains: staffing, education, formal recognition, funding, quality assurance, and strategic planning. Survey results revealed inconsistent national legal frameworks for recognizing ERN centres, major staffing deficits, and limited dedicated funding for ERN activities. Strategic planning for rare disease networks was often lacking, and institutional support for ERN-related quality assurance and continuing education remained low. Notably, ERN membership was associated with increased educational activities for health professionals, but these initiatives often lacked sustainability due to insufficient protected time and resources. Overall, the findings highlight that embedding ERNs into national health systems will require formal recognition of ERN centres in policy, consistent funding, stronger institutional backing, and structured support mechanisms to address workforce and quality gaps, ensuring long-term sustainability of this collaborative rare disease network.</w:t>
      </w:r>
    </w:p>
    <w:p>
      <w:pPr/>
      <w:r>
        <w:rPr>
          <w:b/>
        </w:rPr>
        <w:t>POSSIBLE 2026:</w:t>
      </w:r>
      <w:r>
        <w:t xml:space="preserve"> Exploring the Utility of ChatGPT in Psychology: Applications in Domains of Education, Research, and Practice — https://doi.org/10.46328/ijte.5737</w:t>
      </w:r>
    </w:p>
    <w:p>
      <w:pPr/>
      <w:r>
        <w:rPr>
          <w:b/>
        </w:rPr>
        <w:t>Shared claim-specific concepts:</w:t>
      </w:r>
      <w:r>
        <w:t xml:space="preserve"> domains, policies, findings; EU scope not established. This is a provisional connection, not an outcome finding.</w:t>
      </w:r>
    </w:p>
    <w:p>
      <w:pPr>
        <w:pStyle w:val="SourceNote"/>
      </w:pPr>
      <w:r>
        <w:rPr>
          <w:b/>
        </w:rPr>
        <w:t>Available abstract (not full text):</w:t>
      </w:r>
      <w:r>
        <w:t xml:space="preserve"> The applications of ChatGPT in psychology show its promising potential in education, practice and research when the AI opportunities are discussed and concerns are addressed. This systematic review aims to examine the benefits and limitations in utility of ChatGPT in psychology, based on analysis of recent relevant literature in accordance with the PRISMA guidelines. Analyzed studies allowed for the following findings and conclusions: In psychological education ChatGPT has demonstrated impact by facilitating learning, creating interactive learning environments, supporting assignments, providing support for students in managing their emotional and mental health issues, sharing immediate feedback, and reducing the workload of educators. In the research field ChatGPT was effective in generating hypotheses, collecting and analyzing data, identifying relevant literature, and enhancing knowledge. In psychological practice the ChatGPT demonstrated its impact in increasing awareness of various psychological problems, delivering the opportunity to receive personalized experience and generating treatment strategies. However, we should be aware of the ethical concerns, potential misuse of ChatGPT, the accuracy of generated information, occasional inaccuracies in references, lack of contextual comprehension and low emotional sensitivity in ChatGPT generated responses. Moreover, to enhance </w:t>
      </w:r>
    </w:p>
    <w:p>
      <w:pPr/>
      <w:r>
        <w:rPr>
          <w:b/>
        </w:rPr>
        <w:t>POSSIBLE 2025:</w:t>
      </w:r>
      <w:r>
        <w:t xml:space="preserve"> R-AI-diographers: exploring the changing professional role and identity of radiographers in Europe in the era of artificial intelligence — https://doi.org/10.1016/j.rcro.2024.100176</w:t>
      </w:r>
    </w:p>
    <w:p>
      <w:pPr/>
      <w:r>
        <w:rPr>
          <w:b/>
        </w:rPr>
        <w:t>Shared claim-specific concepts:</w:t>
      </w:r>
      <w:r>
        <w:t xml:space="preserve"> work, domains, technological; EU scope visible. This is a provisional connection, not an outcome finding.</w:t>
      </w:r>
    </w:p>
    <w:p>
      <w:pPr>
        <w:pStyle w:val="SourceNote"/>
      </w:pPr>
      <w:r>
        <w:rPr>
          <w:b/>
        </w:rPr>
        <w:t>Available abstract (not full text):</w:t>
      </w:r>
      <w:r>
        <w:t xml:space="preserve">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pPr/>
      <w:r>
        <w:rPr>
          <w:b/>
        </w:rPr>
        <w:t>POSSIBLE 2025:</w:t>
      </w:r>
      <w:r>
        <w:t xml:space="preserve"> Exploring a high-level programming model for the NWP domain using ECMWF microphysics schemes — https://doi.org/10.5194/gmd-18-529-2025</w:t>
      </w:r>
    </w:p>
    <w:p>
      <w:pPr/>
      <w:r>
        <w:rPr>
          <w:b/>
        </w:rPr>
        <w:t>Shared claim-specific concepts:</w:t>
      </w:r>
      <w:r>
        <w:t xml:space="preserve"> work, explore, scientific; EU scope visible. This is a provisional connection, not an outcome finding.</w:t>
      </w:r>
    </w:p>
    <w:p>
      <w:pPr>
        <w:pStyle w:val="SourceNote"/>
      </w:pPr>
      <w:r>
        <w:rPr>
          <w:b/>
        </w:rPr>
        <w:t>Available abstract (not full text):</w:t>
      </w:r>
      <w:r>
        <w:t xml:space="preserve">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pPr>
        <w:pStyle w:val="Heading2"/>
      </w:pPr>
      <w:r>
        <w:t>535. Enabling forecasts of environmental exposure to chemicals in European agriculture under global change</w:t>
      </w:r>
    </w:p>
    <w:p>
      <w:pPr>
        <w:pStyle w:val="SourceNote"/>
      </w:pPr>
      <w:r>
        <w:rPr>
          <w:b/>
        </w:rPr>
        <w:t>Original source (2022):</w:t>
      </w:r>
      <w:r>
        <w:t xml:space="preserve"> https://doi.org/10.1016/j.scitotenv.2022.156478</w:t>
      </w:r>
    </w:p>
    <w:p>
      <w:pPr/>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POSSIBLE 2026:</w:t>
      </w:r>
      <w:r>
        <w:t xml:space="preserve"> Unveiling the environmental impact of earthquakes in Europe — https://doi.org/10.1038/s41467-025-68120-6</w:t>
      </w:r>
    </w:p>
    <w:p>
      <w:pPr/>
      <w:r>
        <w:rPr>
          <w:b/>
        </w:rPr>
        <w:t>Shared claim-specific concepts:</w:t>
      </w:r>
      <w:r>
        <w:t xml:space="preserve"> data, environmental;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Evolution of Equality as a Constitutional Principle in Romania: European Union Membership Impacts and Current Challenges — https://doi.org/10.62733/2026.1.9-31</w:t>
      </w:r>
    </w:p>
    <w:p>
      <w:pPr/>
      <w:r>
        <w:rPr>
          <w:b/>
        </w:rPr>
        <w:t>Shared claim-specific concepts:</w:t>
      </w:r>
      <w:r>
        <w:t xml:space="preserve"> discuss, current, areas; EU scope visible. This is a provisional connection, not an outcome finding.</w:t>
      </w:r>
    </w:p>
    <w:p>
      <w:pPr>
        <w:pStyle w:val="SourceNote"/>
      </w:pPr>
      <w:r>
        <w:rPr>
          <w:b/>
        </w:rPr>
        <w:t>Available abstract (not full text):</w:t>
      </w:r>
      <w:r>
        <w:t xml:space="preserve"> This study examines the evolution of equality as a constitutional principle in Romania, focusing on the transformative impact of European Union (EU) membership within the broader context of human rights regulations in Europe. It provides an overview of how equality has been understood within Romanian constitutional law, emphasising foundational principles and interpretations made by the Constitutional Court with the incorporation of European catalogues of human rights. From this perspective, the research highlights how the court has addressed complex issues such as gender equality, minority rights, and anti-discrimination protections in sensitive areas. These include political and social rights, education, and even review of the constitutional identity, all while balancing EU mandates with national legal traditions and social contexts. The aim is to evaluate the Constitutional Court’s role in incorporating international standards in constitutional review and discuss the ongoing challenges of harmonising human rights protection standards within the EU.</w:t>
      </w:r>
    </w:p>
    <w:p>
      <w:pPr/>
      <w:r>
        <w:rPr>
          <w:b/>
        </w:rPr>
        <w:t>POSSIBLE 2026:</w:t>
      </w:r>
      <w:r>
        <w:t xml:space="preserve"> Marine Protected Areas for Europe (MPA Europe) — https://doi.org/10.3897/rio.12.e218514</w:t>
      </w:r>
    </w:p>
    <w:p>
      <w:pPr/>
      <w:r>
        <w:rPr>
          <w:b/>
        </w:rPr>
        <w:t>Shared claim-specific concepts:</w:t>
      </w:r>
      <w:r>
        <w:t xml:space="preserve"> current, areas, data, enable, environmental;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Mapping the landscape of mycological organizations in europe: where citizen science meets professional mycology — https://doi.org/10.1007/s10531-025-03219-2</w:t>
      </w:r>
    </w:p>
    <w:p>
      <w:pPr/>
      <w:r>
        <w:rPr>
          <w:b/>
        </w:rPr>
        <w:t>Shared claim-specific concepts:</w:t>
      </w:r>
      <w:r>
        <w:t xml:space="preserve"> discuss, current, knowledge, data, overcome, used; EU scope visible. This is a provisional connection, not an outcome finding.</w:t>
      </w:r>
    </w:p>
    <w:p>
      <w:pPr>
        <w:pStyle w:val="SourceNote"/>
      </w:pPr>
      <w:r>
        <w:rPr>
          <w:b/>
        </w:rPr>
        <w:t>Available abstract (not full text):</w:t>
      </w:r>
      <w:r>
        <w:t xml:space="preserve"> Abstract Fungi have been used by humans since prehistoric times. Informal structures or groups for knowledge exchange regarding mushrooms and lichens probably existed for ages. Only recently, mycological activities have been structured in formal organizations. And where until a few centuries ago there were only learned societies and naturalists’ clubs, nowadays also mycological societies and citizen scientists have joined the landscape. However, the history of mycological organizations and activities in Europe is difficult to track. Here, we initiated two surveys to characterize the current landscape of mycological organizations focused on fungal diversity across Europe and to collate citizen science activities mapping fungi. The surveys were shared on social media and sent to mycologists in 49 countries in Europe. Responses of the surveys allowed us to present the history, geographical distribution, and structure of mycological organizations in Europe as well as their types of activities, including the publication of journals and magazines, the organization of meetings and educational initiatives, and citizen science projects. In addition to the surveys, local mycologists presented expert knowledge for a more comprehensive overview. Our data show that the mycological landscape in Europe is diverse and heterogeneous. We discuss ways to overcome economic, cultural, and linguisti</w:t>
      </w:r>
    </w:p>
    <w:p>
      <w:pPr/>
      <w:r>
        <w:rPr>
          <w:b/>
        </w:rPr>
        <w:t>POSSIBLE 2026:</w:t>
      </w:r>
      <w:r>
        <w:t xml:space="preserve"> From Garden to Weed: Invasive Ornamental Plants in Europe and Emerging Challenges for Biodiversity, Agroecosystems, Agriculture and Management — https://doi.org/10.3390/horticulturae12020257</w:t>
      </w:r>
    </w:p>
    <w:p>
      <w:pPr/>
      <w:r>
        <w:rPr>
          <w:b/>
        </w:rPr>
        <w:t>Shared claim-specific concepts:</w:t>
      </w:r>
      <w:r>
        <w:t xml:space="preserve"> discuss, current, knowledge; EU scope visible. This is a provisional connection, not an outcome finding.</w:t>
      </w:r>
    </w:p>
    <w:p>
      <w:pPr>
        <w:pStyle w:val="SourceNote"/>
      </w:pPr>
      <w:r>
        <w:rPr>
          <w:b/>
        </w:rPr>
        <w:t>Available abstract (not full text):</w:t>
      </w:r>
      <w:r>
        <w:t xml:space="preserve"> Ornamental horticulture represents one of the dominant pathways for the introduction of alien plant species and has played a central role in shaping current and future invasion dynamics. Many ornamental plants escape cultivation after long lag phases, driven by high propagule pressure, human-mediated selection of functional traits, and increasing climatic suitability. As a result, ornamental species contribute substantially to Europe’s invasion debt, with many future invasions already “locked in” under ongoing global change. In this review, we synthesize current knowledge on the invasive risk of ornamental plants in Europe, examining introduction pathways, biological traits promoting invasiveness, the role of climate change, and the ecological, economic, and social impacts associated with ornamental plant invasions. We highlight that beyond biodiversity loss, invasive ornamental plants pose underappreciated threats to agriculture and related activities, including increased management costs, weed problems in managed landscapes, and disruption of water management and irrigation infrastructure, particularly through invasive aquatic species. We further review tools for risk assessment and prevention, including weed risk assessment frameworks, green lists, horizon scanning, and climate-informed spatial forecasting, emphasizing the importance of proactive, pathway-based approaches. W</w:t>
      </w:r>
    </w:p>
    <w:p>
      <w:pPr/>
      <w:r>
        <w:rPr>
          <w:b/>
        </w:rPr>
        <w:t>POSSIBLE 2026:</w:t>
      </w:r>
      <w:r>
        <w:t xml:space="preserve"> Evolution of the HANZE flood impact database and preliminary results for 1870-2025 — https://doi.org/10.5194/egusphere-egu26-7047</w:t>
      </w:r>
    </w:p>
    <w:p>
      <w:pPr/>
      <w:r>
        <w:rPr>
          <w:b/>
        </w:rPr>
        <w:t>Shared claim-specific concepts:</w:t>
      </w:r>
      <w:r>
        <w:t xml:space="preserve"> discuss, current, data, type, used; EU scope visible. This is a provisional connection, not an outcome finding.</w:t>
      </w:r>
    </w:p>
    <w:p>
      <w:pPr>
        <w:pStyle w:val="SourceNote"/>
      </w:pPr>
      <w:r>
        <w:rPr>
          <w:b/>
        </w:rPr>
        <w:t>Available abstract (not full text):</w:t>
      </w:r>
      <w:r>
        <w:t xml:space="preserve"> HANZE (Historical Analysis of Natural Hazards in Europe) is a publicly available database that brings together information on flood events and their impacts in Europe. The initial version of the database was created in 2017, and two updates have been published since then.The current version of the database (HANZE v3 beta) contains 2,687 records of flash, river, coastal and compound floods (1870–March 2025). This is over 1,100 events more than in its original version, which covered the time range from 1870 to 2016. At the same time, since the release of HANZE v2, the spatial coverage of the data has been expanded from 37 to 42 European countries.The database contains the location (using the European Union’s Nomenclature of Territorial Units for Statistics – NUTS level 3), time and quantitative data on the impacts of past floods. Each of the implemented updates has also included changes in the NUTS classification, up to the current 2024 edition. Information on events was obtained from a variety of sources, including scientific publications, international and national disaster databases, government reports, and news reports. The qualification of a flood for the database was determined by meeting at least one of the following criteria: (1) an area of at least 10km2 was flooded; (2) at least one person died; (3) at least 200 people or 50 households were affected by the flood; (4) th</w:t>
      </w:r>
    </w:p>
    <w:p>
      <w:pPr/>
      <w:r>
        <w:rPr>
          <w:b/>
        </w:rPr>
        <w:t>POSSIBLE 2026:</w:t>
      </w:r>
      <w:r>
        <w:t xml:space="preserve"> Impact of climate change on the epidemiology of tick-borne encephalitis in Europe – a narrative review — https://doi.org/10.26444/ms/237403</w:t>
      </w:r>
    </w:p>
    <w:p>
      <w:pPr/>
      <w:r>
        <w:rPr>
          <w:b/>
        </w:rPr>
        <w:t>Shared claim-specific concepts:</w:t>
      </w:r>
      <w:r>
        <w:t xml:space="preserve"> current, knowledge, predictive; EU scope visible. This is a provisional connection, not an outcome finding.</w:t>
      </w:r>
    </w:p>
    <w:p>
      <w:pPr>
        <w:pStyle w:val="SourceNote"/>
      </w:pPr>
      <w:r>
        <w:rPr>
          <w:b/>
        </w:rPr>
        <w:t>Available abstract (not full text):</w:t>
      </w:r>
      <w:r>
        <w:t xml:space="preserve"> Introduction and Objective.Tick-borne encephalitis (TBE) is an important viral infection caused by Flavivirus, primarily transmitted by Ixodes ricinus ticks.Its incidence and geographic range are increasing across Europe.The aim of the review is to assess currently available evidence on the dynamics of climate change and TBE epidemiology, following a One Health perspective that considers vectors, hosts, environment, and human behaviour.Particular attention is paid to the situation in Poland.Brief description of the state of knowledge.Rising temperatures are prolonging cumulative growing degree days (GDD), leading to acceleration of tick development and extension of questing seasons.Milder winters reduce tick mortality during diapause, while saturation deficit mediates regional desiccation risk.The most crucial mechanism for amplification is non-viremic co-feeding transmission.This process explains how infected nymphs transmit TBEV locally to larvae on the same host.It is also sensitive to temperaturedriven synchrony between tick life stages.Taken together, these factors have led to expansion of Ixodes Ricinus to higher latitudes and altitudes, as well as introducing new endemic foci.The national incidence in Poland has risen from 265 cases in 2019 to 805 in 2024, while the vaccination rate remains at a low level.Use of machine learning-based risk models that help identifying em</w:t>
      </w:r>
    </w:p>
    <w:p>
      <w:pPr/>
      <w:r>
        <w:rPr>
          <w:b/>
        </w:rPr>
        <w:t>POSSIBLE 2025:</w:t>
      </w:r>
      <w:r>
        <w:t xml:space="preserve"> A REVIEW OF THE CURRENT KNOWLEDGE ON AMPHIBIAN CHYTRIDIOMYCOSES AND THEIR EPIDEMIOLOGY IN EASTERN EUROPE — https://doi.org/10.17930/agl2025216</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pPr/>
      <w:r>
        <w:rPr>
          <w:b/>
        </w:rPr>
        <w:t>POSSIBLE 2025:</w:t>
      </w:r>
      <w:r>
        <w:t xml:space="preserve"> Current Knowledge on UTUC Epidemiology in Poland Compared to Europe — https://doi.org/10.3390/cancers18010126</w:t>
      </w:r>
    </w:p>
    <w:p>
      <w:pPr/>
      <w:r>
        <w:rPr>
          <w:b/>
        </w:rPr>
        <w:t>Shared claim-specific concepts:</w:t>
      </w:r>
      <w:r>
        <w:t xml:space="preserve"> current, knowledge, them, data; EU scope visible. This is a provisional connection, not an outcome finding.</w:t>
      </w:r>
    </w:p>
    <w:p>
      <w:pPr>
        <w:pStyle w:val="SourceNote"/>
      </w:pPr>
      <w:r>
        <w:rPr>
          <w:b/>
        </w:rPr>
        <w:t>Available abstract (not full text):</w:t>
      </w:r>
      <w:r>
        <w:t xml:space="preserve">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pPr/>
      <w:r>
        <w:rPr>
          <w:b/>
        </w:rPr>
        <w:t>POSSIBLE 2025:</w:t>
      </w:r>
      <w:r>
        <w:t xml:space="preserve"> Animal Protein Sources in Europe: Current Knowledge and Future Perspectives—A Review — https://doi.org/10.3390/app152111749</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pPr/>
      <w:r>
        <w:rPr>
          <w:b/>
        </w:rPr>
        <w:t>POSSIBLE 2025:</w:t>
      </w:r>
      <w:r>
        <w:t xml:space="preserve"> Diabetologists’ Knowledge and Prescription of Physical Activity in Southeast Europe — https://doi.org/10.3390/medicina61071244</w:t>
      </w:r>
    </w:p>
    <w:p>
      <w:pPr/>
      <w:r>
        <w:rPr>
          <w:b/>
        </w:rPr>
        <w:t>Shared claim-specific concepts:</w:t>
      </w:r>
      <w:r>
        <w:t xml:space="preserve"> current, knowledge, data; EU scope visible. This is a provisional connection, not an outcome finding.</w:t>
      </w:r>
    </w:p>
    <w:p>
      <w:pPr>
        <w:pStyle w:val="SourceNote"/>
      </w:pPr>
      <w:r>
        <w:rPr>
          <w:b/>
        </w:rPr>
        <w:t>Available abstract (not full text):</w:t>
      </w:r>
      <w:r>
        <w:t xml:space="preserve">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pPr/>
      <w:r>
        <w:rPr>
          <w:b/>
        </w:rPr>
        <w:t>POSSIBLE 2025:</w:t>
      </w:r>
      <w:r>
        <w:t xml:space="preserve"> Who is local and what do they know? Braiding knowledges within carnivore management in Europe — https://doi.org/10.1002/pan3.10797</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pPr>
        <w:pStyle w:val="Heading2"/>
      </w:pPr>
      <w:r>
        <w:t>536. Energy Community in Action—Energy Citizenship Contract as Tool for Climate Neutrality</w:t>
      </w:r>
    </w:p>
    <w:p>
      <w:pPr>
        <w:pStyle w:val="SourceNote"/>
      </w:pPr>
      <w:r>
        <w:rPr>
          <w:b/>
        </w:rPr>
        <w:t>Original source (2022):</w:t>
      </w:r>
      <w:r>
        <w:t xml:space="preserve"> https://doi.org/10.3390/smartcities5010018</w:t>
      </w:r>
    </w:p>
    <w:p>
      <w:pPr/>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pPr/>
      <w:r>
        <w:rPr>
          <w:b/>
        </w:rPr>
        <w:t>POSSIBLE 2026:</w:t>
      </w:r>
      <w:r>
        <w:t xml:space="preserve"> Types of Threatening Actions in Critical Realist Literature (1930-1945) and Their Evolution in Contemporary Vietnamese Literature — https://doi.org/10.62225/2583049x.2026.6.1.5518</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pPr/>
      <w:r>
        <w:rPr>
          <w:b/>
        </w:rPr>
        <w:t>POSSIBLE 2026:</w:t>
      </w:r>
      <w:r>
        <w:t xml:space="preserve"> Legal Limits on the ECB’s Actions: Is the PEPP a Bridge too Far? — https://doi.org/10.36969/njel.v9i1.28373</w:t>
      </w:r>
    </w:p>
    <w:p>
      <w:pPr/>
      <w:r>
        <w:rPr>
          <w:b/>
        </w:rPr>
        <w:t>Shared claim-specific concepts:</w:t>
      </w:r>
      <w:r>
        <w:t xml:space="preserve"> actions, fundamental, reason; EU scope visible. This is a provisional connection, not an outcome finding.</w:t>
      </w:r>
    </w:p>
    <w:p>
      <w:pPr>
        <w:pStyle w:val="SourceNote"/>
      </w:pPr>
      <w:r>
        <w:rPr>
          <w:b/>
        </w:rPr>
        <w:t>Available abstract (not full text):</w:t>
      </w:r>
      <w:r>
        <w:t xml:space="preserve">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pPr/>
      <w:r>
        <w:rPr>
          <w:b/>
        </w:rPr>
        <w:t>POSSIBLE 2026:</w:t>
      </w:r>
      <w:r>
        <w:t xml:space="preserve"> Review: Replumbing the City: Water Management as Climate Adaptation in Los Angeles , by Sayd Randle — https://doi.org/10.1525/ch.2026.103.1.117</w:t>
      </w:r>
    </w:p>
    <w:p>
      <w:pPr/>
      <w:r>
        <w:rPr>
          <w:b/>
        </w:rPr>
        <w:t>Shared claim-specific concepts:</w:t>
      </w:r>
      <w:r>
        <w:t xml:space="preserve"> incisive, climate, working; EU scope not established. This is a provisional connection, not an outcome finding.</w:t>
      </w:r>
    </w:p>
    <w:p>
      <w:pPr>
        <w:pStyle w:val="SourceNote"/>
      </w:pPr>
      <w:r>
        <w:rPr>
          <w:b/>
        </w:rPr>
        <w:t>Available abstract (not full text):</w:t>
      </w:r>
      <w:r>
        <w:t xml:space="preserve"> This book provides an incisive analysis of the water crisis in L.A. and is an indispensable text for anyone interested in urban environments and environmental justice. As Randle so ably shows us, the devil is in the details when it comes to implementing policy that most impacts poor and working-class minority communities, those most susceptible to the dire consequences of climate change.Randle systematically evaluates policies as they are carried out by becoming an actor in the drama herself, working side by side with her “interlocutors” to effect change in one community (and even one neighborhood) at a time. She finds some surprising results, not all of them positive. Thus, she relies on lived experience as much as on conventional academic sources to support her argument that even solutions to climate change that appear to be unbiased can increase rather than ameliorate inequity in practice and may not be real solutions at all.The book is organized into two main parts, with a lengthy introduction that carefully explains Los Angelenos’ long history of dependence on faraway water sources. Randle highlights the significance of the Los Angeles Aqueduct, which enabled rapid and extensive development of communities, urbanization, and industrial agriculture. This growth occurred with little concern for the long-term consequences of importing water to maintain exponential population g</w:t>
      </w:r>
    </w:p>
    <w:p>
      <w:pPr/>
      <w:r>
        <w:rPr>
          <w:b/>
        </w:rPr>
        <w:t>POSSIBLE 2026:</w:t>
      </w:r>
      <w:r>
        <w:t xml:space="preserve"> Lessons from integrated climate change adaptation and mitigation interventions for synergies and co-benefits in African cities — https://doi.org/10.1007/s44327-026-00359-0</w:t>
      </w:r>
    </w:p>
    <w:p>
      <w:pPr/>
      <w:r>
        <w:rPr>
          <w:b/>
        </w:rPr>
        <w:t>Shared claim-specific concepts:</w:t>
      </w:r>
      <w:r>
        <w:t xml:space="preserve"> actions, cities, climate; EU scope not established. This is a provisional connection, not an outcome finding.</w:t>
      </w:r>
    </w:p>
    <w:p>
      <w:pPr>
        <w:pStyle w:val="SourceNote"/>
      </w:pPr>
      <w:r>
        <w:rPr>
          <w:b/>
        </w:rPr>
        <w:t>Available abstract (not full text):</w:t>
      </w:r>
      <w:r>
        <w:t xml:space="preserve"> The diverse impacts of climate change on urban areas and the strategies to adapt have been widely studied over the past 25 years. While there is consensus on the importance of adaptation and mitigation, significant uncertainties stem from data paucity for certain regions, especially in Africa. This study examines how African cities integrate climate change adaptation and mitigation, focusing on synergies and co-benefits. We systematically reviewed 173 publications and reports covering 12 diverse cities, coding 1889 actions across actors, spatial scales, implementation levels, synergies, and trade-offs. We contextualised actions using a composite index combining climate exposure, social vulnerability, and infrastructure deficit. Publications surged between 2022 and 2025, but secondary and smaller cities remain under-represented. Implementation patterns vary widely across cities and scales. We identified a Synergy Gap indicating where actions with co-benefits may lag behind singular interventions, reflecting siloed governance that hinders integrated frameworks. Limitations include categorisation overlaps and difficulty ground-truthing implementation effectiveness in data-scarce contexts. We conclude that integrated, multi-scalar approaches anchored in better data and dynamic frameworks are essential to align urban climate action with Africa’s heterogeneous urban realities.</w:t>
      </w:r>
    </w:p>
    <w:p>
      <w:pPr/>
      <w:r>
        <w:rPr>
          <w:b/>
        </w:rPr>
        <w:t>POSSIBLE 2026:</w:t>
      </w:r>
      <w:r>
        <w:t xml:space="preserve"> Climate Readiness as a Driver of Urban Transformation: Lessons from the WRI Ross Center Prize for Cities cycle 2023–2024 — https://doi.org/10.46830/wriwp.25.00116</w:t>
      </w:r>
    </w:p>
    <w:p>
      <w:pPr/>
      <w:r>
        <w:rPr>
          <w:b/>
        </w:rPr>
        <w:t>Shared claim-specific concepts:</w:t>
      </w:r>
      <w:r>
        <w:t xml:space="preserve"> fundamental, cities, climate; EU scope not established. This is a provisional connection, not an outcome finding.</w:t>
      </w:r>
    </w:p>
    <w:p>
      <w:pPr>
        <w:pStyle w:val="SourceNote"/>
      </w:pPr>
      <w:r>
        <w:rPr>
          <w:b/>
        </w:rPr>
        <w:t>Available abstract (not full text):</w:t>
      </w:r>
      <w:r>
        <w:t xml:space="preserve"> Cities today navigate a complex mix of pressures, including inequality, rapid growth, fiscal strain, infrastructure gaps, and mounting climate shocks. Climate impacts interact with deeper structural challenges that shape who is most at risk and which solutions can take hold. In this context, climate-readiness initiatives can do more than prepare cities for hazards. This prompts the following question: Under what conditions do adaptation and resilience interventions lead to more fundamental changes in urban systems? This paper examines how they can also create openings into wider forms of urban transformation when they expand, accumulate momentum, and strengthen the conditions that allow change to endure.</w:t>
      </w:r>
    </w:p>
    <w:p>
      <w:pPr/>
      <w:r>
        <w:rPr>
          <w:b/>
        </w:rPr>
        <w:t>POSSIBLE 2025:</w:t>
      </w:r>
      <w:r>
        <w:t xml:space="preserve"> Parking Reform and Social Justice in Brazil — https://doi.org/10.4324/9781003465515-31</w:t>
      </w:r>
    </w:p>
    <w:p>
      <w:pPr/>
      <w:r>
        <w:rPr>
          <w:b/>
        </w:rPr>
        <w:t>Shared claim-specific concepts:</w:t>
      </w:r>
      <w:r>
        <w:t xml:space="preserve"> incisive, fundamental, cities, climate; EU scope not established. This is a provisional connection, not an outcome finding.</w:t>
      </w:r>
    </w:p>
    <w:p>
      <w:pPr>
        <w:pStyle w:val="SourceNote"/>
      </w:pPr>
      <w:r>
        <w:rPr>
          <w:b/>
        </w:rPr>
        <w:t>Available abstract (not full text):</w:t>
      </w:r>
      <w:r>
        <w:t xml:space="preserve">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r>
        <w:rPr>
          <w:b/>
        </w:rPr>
        <w:t>POSSIBLE 2025:</w:t>
      </w:r>
      <w:r>
        <w:t xml:space="preserve"> The Poverty of the World: Rediscovering the Poor at Home and Abroad, 1941–1968 by Sheyda F. A. Jahanbani — https://doi.org/10.1162/jinh_r_02081</w:t>
      </w:r>
    </w:p>
    <w:p>
      <w:pPr/>
      <w:r>
        <w:rPr>
          <w:b/>
        </w:rPr>
        <w:t>Shared claim-specific concepts:</w:t>
      </w:r>
      <w:r>
        <w:t xml:space="preserve"> incisive, fundamental, bring; EU scope not established. This is a provisional connection, not an outcome finding.</w:t>
      </w:r>
    </w:p>
    <w:p>
      <w:pPr>
        <w:pStyle w:val="SourceNote"/>
      </w:pPr>
      <w:r>
        <w:rPr>
          <w:b/>
        </w:rPr>
        <w:t>Available abstract (not full text):</w:t>
      </w:r>
      <w:r>
        <w:t xml:space="preserve"> This is an original and seminal work that explores the intellectual origins and strategies of what the author refers to as America’s “global war on poverty” (3). In it, the author posits that liberal intellectuals in postwar America argued that American wealth and power could be used as a way to combat poverty throughout the globe. Thus, Jahanbani’s book links recent scholarship on America’s war on poverty to works exploring the American empire in the postwar years.Jahanbani structures her book around the writings and careers of key liberal thinkers who contributed fundamental ideas to the foundation of the global war on poverty—John Collier, Oscar Lewis, John Kenneth Galbraith, Michael Harrington, and Sargent Shriver. Their ideas, in her narrative, formed what eventually became America’s global war on poverty.Focus on these liberal intellectuals is not new. For decades, scholars have noted the influence of such ideas and writings on the origins of President Johnson’s war on poverty. What sets Jahanbani’s discussion of these men and their ideas apart, though, is her argument that they were focused not on poverty in America, but poverty in the world. And, concomitantly, she notes that these intellectuals believed that America, as the preeminent postwar power, had the duty and responsibility to share its wealth and resources to address poverty outside of the United States. Key to</w:t>
      </w:r>
    </w:p>
    <w:p>
      <w:pPr/>
      <w:r>
        <w:rPr>
          <w:b/>
        </w:rPr>
        <w:t>POSSIBLE 2024:</w:t>
      </w:r>
      <w:r>
        <w:t xml:space="preserve"> BIODIVERSIDADE E AMEAÇAS ÀS ARRAIAS DE ÁGUA DOCE NO RIO ARAGUAIA: UMA PERSPECTIVA DE CONSERVAÇÃO — https://doi.org/10.46732/actafish.2024.12.2.51-63</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The Araguaia-Tocantins basin contains a rich diversity of fish, including stingrays of the Potamotrygonidae family (Peters, 1876), which stand out in aquatic ecosystems due to their beauty and diversity of patterns, as well as the medical importance of their members. In this sense, these organisms play fundamental roles in the food chain and in ecological interactions. However, they are subject to environmental threats, such as habitat degradation, interruption of gene flow between populations, and incisive predatory fishing. Thus, the preservation of these species requires actions that aim to safeguard natural habitats, as well as regulating their capture. The urgent need for more taxonomic and ecological studies becomes important, to increase the understanding of these organisms and subsidize conservation strategies. This study focused on identifying the different species of stingrays in a stretch of the Araguaia River. Thus, the four species identified were Paratrygon aiereba, Potamotrygon motoro, P. henlei and P. histrix, which share not only the environment, but also the threats, from predatory fishing among others. Thus, the results listed here seek to contribute to the Acta of Fisheries and Aquatic Resources Saviato, et al., (2024), ActaPesca 12(2): 51-63 DOI 10.46732/Actafish.2024.12.2.51-63 52 construction of a more robust framework of knowledge about these fish and, c</w:t>
      </w:r>
    </w:p>
    <w:p>
      <w:pPr/>
      <w:r>
        <w:rPr>
          <w:b/>
        </w:rPr>
        <w:t>POSSIBLE 2024:</w:t>
      </w:r>
      <w:r>
        <w:t xml:space="preserve"> ETHICAL IMPLICATIONS &amp; ISSUES IN HIGHER EDUCATION - A MULTIDISCIPLINARY APPROACH — https://doi.org/10.52458/9788197762055.nsp.2024.eb</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Higher education is at a critical juncture in an era characterized by rapid technological advancements, globalization, and evolving societal expectations. Universities and colleges are responsible for not only educating students and developing their knowledge and skills, but also for cultivating their ethical sensibilities in order to prepare them to become the leaders and professionals of the future. The objective of this book, "Ethical Implications &amp; Issues in Higher Education: A Multidisciplinary Approach," is to investigate the intricate and multifaceted ethical challenges that are currently prevalent in higher education. A confluence of diverse factors—technological integration, cultural pluralism, financial constraints, and policy reforms—is progressively influencing the landscape of higher education. As these intricacies are navigated by institutions, ethical considerations become increasingly important. Critical attention is required to address matters such as academic integrity, inclusivity, equitable access to education, data privacy, and the commercialization of education. This book unites a diverse array of viewpoints from academicians, practitioners, and thought leaders from a variety of fields, each of which contributes to a more profound comprehension of the ethical dimensions of higher education. This multidisciplinary approach is not merely an academic exercise</w:t>
      </w:r>
    </w:p>
    <w:p>
      <w:pPr/>
      <w:r>
        <w:rPr>
          <w:b/>
        </w:rPr>
        <w:t>POSSIBLE 2024:</w:t>
      </w:r>
      <w:r>
        <w:t xml:space="preserve"> Unpacking “Social Vulnerability” and “Equity”: Critical Insights From Stormwater Climate Adaptation Research in the US Gulf Coast — https://doi.org/10.1029/2023csj000068</w:t>
      </w:r>
    </w:p>
    <w:p>
      <w:pPr/>
      <w:r>
        <w:rPr>
          <w:b/>
        </w:rPr>
        <w:t>Shared claim-specific concepts:</w:t>
      </w:r>
      <w:r>
        <w:t xml:space="preserve"> cities, climate, working; EU scope not established. This is a provisional connection, not an outcome finding.</w:t>
      </w:r>
    </w:p>
    <w:p>
      <w:pPr>
        <w:pStyle w:val="SourceNote"/>
      </w:pPr>
      <w:r>
        <w:rPr>
          <w:b/>
        </w:rPr>
        <w:t>Available abstract (not full text):</w:t>
      </w:r>
      <w:r>
        <w:t xml:space="preserve"> Abstract This paper assesses how the concepts of social vulnerability and equity are discursively constructed in co‐production research settings with a co‐created decision support tool. The data was collected during workshops (32 communities represented) and interviews (24 communities represented) with stormwater managers and stakeholders (SMS) working in small cities, counties/parishes, and villages and towns within 100 miles of the US Gulf Coast. Findings from participant observation of workshops show that SMS express similar viewpoints regarding indicators of social vulnerability to climate‐related hazards, often defining vulnerable people as less physically mobile or as having few monetary resources. Individuals articulated “community” through a lens of homeownership and often described their relationship to residents as strained. Findings from interviews reveal divergent viewpoints on the imperative and rationale for integrating social vulnerability data into stormwater assessments and planning. Interviews also generated more critical reflection than was present in workshops regarding racial disparities in flood hazard exposure. A key insight from this article is that tools and team composition matter but there is nuance in the degree to which they matter considering a range of contextual factors. The article argues that co‐production teams must plan for alternatives and d</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incisive, cities, climate;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2023:</w:t>
      </w:r>
      <w:r>
        <w:t xml:space="preserve"> Autocomposição de forma inaugural no âmbito da Justiça Federal como possibilidade do agir comunicativo habermasiano — https://openalex.org/W7120320133</w:t>
      </w:r>
    </w:p>
    <w:p>
      <w:pPr/>
      <w:r>
        <w:rPr>
          <w:b/>
        </w:rPr>
        <w:t>Shared claim-specific concepts:</w:t>
      </w:r>
      <w:r>
        <w:t xml:space="preserve"> incisive, fundamental, bring, reason; EU scope not established. This is a provisional connection, not an outcome finding.</w:t>
      </w:r>
    </w:p>
    <w:p>
      <w:pPr>
        <w:pStyle w:val="SourceNote"/>
      </w:pPr>
      <w:r>
        <w:rPr>
          <w:b/>
        </w:rPr>
        <w:t>Available abstract (not full text):</w:t>
      </w:r>
      <w:r>
        <w:t xml:space="preserve"> The fundamental premise of the present research is to bring an analytical approach to the inherent self-composition of Appropriate Conflict Resolution Methods within the judiciary, particularly within the Federal Justice as a possibility for Habermasian communicative action. To this end, the relevant conceptualizations of Access to Justice in its condition as a fundamental right enshrined in the Constitution of the Federative Republic of Brazil of 1988 are addressed, as well as self-composition with a special focus on some guiding principles that support the theme, under the aegis of Jünger Habermas's idea of consensus. The intent for such a discussion arises from the problem seen in the determination inscribed in the current procedural legislation, which, in turn, establishes the promotion of social peace through these means at any stage of the process. Because of this, speculation arises: Could this assertion favor a presupposition that limits, and/or conditions the guarantee of access to justice? Could the inaugural use of self-composition – before the action – within the Judiciary, have any impact or repercussions on the social order, despite the effectiveness and guarantee of access to rights? With the aim of addressing these inquiries, the research uses a methodology of applied nature; descriptive and exploratory objective, as well as bibliographic, documentary, and legis</w:t>
      </w:r>
    </w:p>
    <w:p>
      <w:pPr>
        <w:pStyle w:val="Heading2"/>
      </w:pPr>
      <w:r>
        <w:t>537. Energy futures as societal futures: Co-evolutionary scenarios linking futures of society and decarbonized energy systems in Switzerland 2050</w:t>
      </w:r>
    </w:p>
    <w:p>
      <w:pPr>
        <w:pStyle w:val="SourceNote"/>
      </w:pPr>
      <w:r>
        <w:rPr>
          <w:b/>
        </w:rPr>
        <w:t>Original source (2022):</w:t>
      </w:r>
      <w:r>
        <w:t xml:space="preserve"> https://doi.org/10.1016/j.futures.2022.102955</w:t>
      </w:r>
    </w:p>
    <w:p>
      <w:pPr/>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POSSIBLE 2026:</w:t>
      </w:r>
      <w:r>
        <w:t xml:space="preserve"> Polyendocrine metabolic ovarian syndrome, the new name for polycystic ovary syndrome: a multistep global consensus process — https://doi.org/10.1016/s0140-6736(26)00717-8</w:t>
      </w:r>
    </w:p>
    <w:p>
      <w:pPr/>
      <w:r>
        <w:rPr>
          <w:b/>
        </w:rPr>
        <w:t>Shared claim-specific concepts:</w:t>
      </w:r>
      <w:r>
        <w:t xml:space="preserve"> consensus, however, systems, leading; EU scope not established. This is a provisional connection, not an outcome finding.</w:t>
      </w:r>
    </w:p>
    <w:p>
      <w:pPr>
        <w:pStyle w:val="SourceNote"/>
      </w:pPr>
      <w:r>
        <w:rPr>
          <w:b/>
        </w:rPr>
        <w:t>Available abstract (not full text):</w:t>
      </w:r>
      <w:r>
        <w:t xml:space="preserve">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pPr/>
      <w:r>
        <w:rPr>
          <w:b/>
        </w:rPr>
        <w:t>POSSIBLE 2026:</w:t>
      </w:r>
      <w:r>
        <w:t xml:space="preserve"> Global Consensus on the Management of Primary Localized Chordoma — https://doi.org/10.1001/jamaoncol.2026.2054</w:t>
      </w:r>
    </w:p>
    <w:p>
      <w:pPr/>
      <w:r>
        <w:rPr>
          <w:b/>
        </w:rPr>
        <w:t>Shared claim-specific concepts:</w:t>
      </w:r>
      <w:r>
        <w:t xml:space="preserve"> consensus, however; EU scope visible. This is a provisional connection, not an outcome finding.</w:t>
      </w:r>
    </w:p>
    <w:p>
      <w:pPr>
        <w:pStyle w:val="SourceNote"/>
      </w:pPr>
      <w:r>
        <w:rPr>
          <w:b/>
        </w:rPr>
        <w:t>Available abstract (not full text):</w:t>
      </w:r>
      <w:r>
        <w:t xml:space="preserve">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pPr/>
      <w:r>
        <w:rPr>
          <w:b/>
        </w:rPr>
        <w:t>POSSIBLE 2026:</w:t>
      </w:r>
      <w:r>
        <w:t xml:space="preserve"> Consensus and legitimation in global AI regulations: a sociosemiotic perspective — https://doi.org/10.1017/s1744552326100469</w:t>
      </w:r>
    </w:p>
    <w:p>
      <w:pPr/>
      <w:r>
        <w:rPr>
          <w:b/>
        </w:rPr>
        <w:t>Shared claim-specific concepts:</w:t>
      </w:r>
      <w:r>
        <w:t xml:space="preserve"> consensus, systems; EU scope not established. This is a provisional connection, not an outcome finding.</w:t>
      </w:r>
    </w:p>
    <w:p>
      <w:pPr>
        <w:pStyle w:val="SourceNote"/>
      </w:pPr>
      <w:r>
        <w:rPr>
          <w:b/>
        </w:rPr>
        <w:t>Available abstract (not full text):</w:t>
      </w:r>
      <w:r>
        <w:t xml:space="preserve"> Abstract This paper adopts a sociosemiotic perspective to examine how normative consensus and legitimacy are constructed in global artificial intelligence (AI) governance discourse. Drawing on a corpus of forty-seven international normative documents, the study identifies an emerging cross-textual consensus around three core principles – Safety, Human-centric and Fairness – and analyses how these are semiotically encoded. The findings reveal tensions between state and non-state actors, and between semiotic agreement and practical implementation. For instance, ‘Safety’ is often framed through securitisation discourse, while ‘Human-centric’ is increasingly grounded in international human rights frameworks. The study further shows that discursive strategies such as nominalisation help establish surface-level consensus but introduce ambiguity that undermines enforceability. By conceptualising governance texts as dynamic semiotic systems, this research moves beyond the hard law–soft law dichotomy, revealing global AI regulation as a contested arena of meaning-making. It offers a theoretical basis for advancing more inclusive and operational governance models.</w:t>
      </w:r>
    </w:p>
    <w:p>
      <w:pPr/>
      <w:r>
        <w:rPr>
          <w:b/>
        </w:rPr>
        <w:t>POSSIBLE 2026:</w:t>
      </w:r>
      <w:r>
        <w:t xml:space="preserve"> “Global South” and “Consensus” Voting System — https://doi.org/10.1007/978-981-92-0144-0_1</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Consensus in Effective Model Inference for Disordered Ising Systems — https://doi.org/10.48550/arxiv.2609.10731</w:t>
      </w:r>
    </w:p>
    <w:p>
      <w:pPr/>
      <w:r>
        <w:rPr>
          <w:b/>
        </w:rPr>
        <w:t>Shared claim-specific concepts:</w:t>
      </w:r>
      <w:r>
        <w:t xml:space="preserve"> consensus, system, systems, leading; EU scope not established. This is a provisional connection, not an outcome finding.</w:t>
      </w:r>
    </w:p>
    <w:p>
      <w:pPr>
        <w:pStyle w:val="SourceNote"/>
      </w:pPr>
      <w:r>
        <w:rPr>
          <w:b/>
        </w:rPr>
        <w:t>Available abstract (not full text):</w:t>
      </w:r>
      <w:r>
        <w:t xml:space="preserve"> When independent learners are trained on data from the same disordered system, finite and noisy samples can lead them to different descriptions of the underlying physics. We quantify the reproducibility of such descriptions through consensus, the degree of agreement among independently trained models. In a teacher-student framework on the two-dimensional random-bond Ising model, an ensemble of students each infers a single uniform effective coupling from a finite set of equilibrium configurations drawn from one quenched bond realization. Aggregating the inferred couplings across students and realizations yields the consensus distribution, whose width quantifies the agreement among learners. The variance of this distribution separates exactly into a finite-sampling contribution, bounded below by inverse of Fisher information, and a quenched-disorder contribution. Sum of these two variance is minimized near critical region, so the consensus width has a minimum near the pseudocritical temperature that sharpens with increasing disorder. The two minima arise from different mechanisms: the sampling term inherits the critical peak of the Fisher information, while the disorder term is temperature-independent at leading order and acquires its critical minimum only at fourth order in the disorder strength, through the covariance between the linear and cubic responses to the bond disorder</w:t>
      </w:r>
    </w:p>
    <w:p>
      <w:pPr/>
      <w:r>
        <w:rPr>
          <w:b/>
        </w:rPr>
        <w:t>POSSIBLE 2026:</w:t>
      </w:r>
      <w:r>
        <w:t xml:space="preserve"> Effect of Graph Gluing on Consensus in Networked Multi-Agent Systems — https://doi.org/10.48550/arxiv.2605.10558</w:t>
      </w:r>
    </w:p>
    <w:p>
      <w:pPr/>
      <w:r>
        <w:rPr>
          <w:b/>
        </w:rPr>
        <w:t>Shared claim-specific concepts:</w:t>
      </w:r>
      <w:r>
        <w:t xml:space="preserve"> consensus, system, many, systems; EU scope not established. This is a provisional connection, not an outcome finding.</w:t>
      </w:r>
    </w:p>
    <w:p>
      <w:pPr>
        <w:pStyle w:val="SourceNote"/>
      </w:pPr>
      <w:r>
        <w:rPr>
          <w:b/>
        </w:rPr>
        <w:t>Available abstract (not full text):</w:t>
      </w:r>
      <w:r>
        <w:t xml:space="preserve"> In this paper, the effects of graph gluing operations in networks of multi-agent systems and their impact on system performance are investigated. In many practical applications, multiple multi-agent subsystems must be interconnected through communication links to accomplish complex tasks, resulting in a larger communication network. Such interconnections modify the underlying graph topology and consequently affect the consensus behavior and convergence rate of the network. In particular, this paper examines both bridge gluing and interface gluing and analyzes how the number and structure of communication links between subsystems influence the Fiedler eigenvalue of the resulting graph. Since the Fiedler eigenvalue is directly related to the convergence rate of consensus dynamics, the proposed analysis establishes a clear relationship between interconnection strategies, algebraic connectivity, and system performance. The results provide theoretical insight into how different gluing mechanisms alter the spectral properties of the graph Laplacian and, in turn, the convergence characteristics of the networked multi-agent system. Simulation studies are presented to illustrate the theoretical findings and to validate the effectiveness of the proposed framework.</w:t>
      </w:r>
    </w:p>
    <w:p>
      <w:pPr/>
      <w:r>
        <w:rPr>
          <w:b/>
        </w:rPr>
        <w:t>POSSIBLE 2026:</w:t>
      </w:r>
      <w:r>
        <w:t xml:space="preserve"> How Global Peacebuilders Think: Policy Dialogue and System Change — https://openalex.org/W7139576235</w:t>
      </w:r>
    </w:p>
    <w:p>
      <w:pPr/>
      <w:r>
        <w:rPr>
          <w:b/>
        </w:rPr>
        <w:t>Shared claim-specific concepts:</w:t>
      </w:r>
      <w:r>
        <w:t xml:space="preserve"> consensus, system, pathways; EU scope not established. This is a provisional connection, not an outcome finding.</w:t>
      </w:r>
    </w:p>
    <w:p>
      <w:pPr>
        <w:pStyle w:val="SourceNote"/>
      </w:pPr>
      <w:r>
        <w:rPr>
          <w:b/>
        </w:rPr>
        <w:t>Available abstract (not full text):</w:t>
      </w:r>
      <w:r>
        <w:t xml:space="preserve"> The perspectives of global peacebuilders are under-examined, yet vital to understanding how global actors frame pathways to peace in conflict settings. Global peacebuilding actors – such as those engaged with United Nations and global peace consortiums - often play a critical role in bridging communication gaps between local, state, and international actors, yet bring their own set of assumptions to identifying the drivers of everyday peace in conflict-affected societies. This calls for innovative ways to clarify how global peacebuilders think about pathways to peace and conflict. We convened four groups of global peacebuilding experts, engaging them with a visual, participatory approach known as Fuzzy Cognitive Mapping. Each group engaged in focus group discussion and drew a ‘mental map’ representing their consensus on the variables of importance and perceived causal drivers of everyday peace. The four maps represent visual data amenable for thematic analysis and semi-quantitative comparison. Simulation models illustrate divergent perspectives among global experts on what drives conflict and everyday peace. Fuzzy Cognitive Mapping thus enables stakeholder groups to visualize their assumptions, identify points of consensus or disconnect, and compare perspectives. A lack of conceptual clarity – mapping peace and justice in ways that fail to be clear, cohesive, or even inclusive </w:t>
      </w:r>
    </w:p>
    <w:p>
      <w:pPr/>
      <w:r>
        <w:rPr>
          <w:b/>
        </w:rPr>
        <w:t>POSSIBLE 2026:</w:t>
      </w:r>
      <w:r>
        <w:t xml:space="preserve"> An architecture for scaling performance and availability in global consensus systems — https://doi.org/10.17034/32641938</w:t>
      </w:r>
    </w:p>
    <w:p>
      <w:pPr/>
      <w:r>
        <w:rPr>
          <w:b/>
        </w:rPr>
        <w:t>Shared claim-specific concepts:</w:t>
      </w:r>
      <w:r>
        <w:t xml:space="preserve"> consensus, however, systems; EU scope not established. This is a provisional connection, not an outcome finding.</w:t>
      </w:r>
    </w:p>
    <w:p>
      <w:pPr>
        <w:pStyle w:val="SourceNote"/>
      </w:pPr>
      <w:r>
        <w:rPr>
          <w:b/>
        </w:rPr>
        <w:t>Available abstract (not full text):</w:t>
      </w:r>
      <w:r>
        <w:t xml:space="preserve"> Modern global consensus systems require both high availability and performance scalability to support planet-scale applications. However, existing consensus algorithms treat these properties as fundamental trade-offs: scaling fault tolerance, adding servers, or geographic distribution inevitably degrades either performance or availability. This thesis identifies that this tradeoff stems from a core bottleneck in traditional Paxos and Flexible Paxos-based algorithms: the requirement for all agents to participate in all aspects of every agreement, called here global participation. This thesis presents a systematic approach to removing global participation bottlenecks in consensus through Proposer Acceptor Mappings (PAMs), which partition consensus agents across different portions of the ledger. First, to enable broad adoption of PAMs, this thesis presents PAM-based Paxos, an abstraction generalisation of existing Paxos algorithms that unifies Synod and Multi-Paxos constructions whilst enabling agent partitioning. Building on this foundation, three PAM designs are presented: the Geographic PAM, Horizontal PAM, and Conflict Minimising PAM. Each addresses specific scalability bottlenecks arising from global participation. To further assist broad adoption, the thesis introduces the Proactive Proposals algorithm, to coordinate multiple proposer groups without critical-path synchronisa</w:t>
      </w:r>
    </w:p>
    <w:p>
      <w:pPr/>
      <w:r>
        <w:rPr>
          <w:b/>
        </w:rPr>
        <w:t>POSSIBLE 2026:</w:t>
      </w:r>
      <w:r>
        <w:t xml:space="preserve"> Sensor Placement for Predicting Consensus in Multi-agent Systems with Value Exchange — https://doi.org/10.1587/transfun.2026map0007</w:t>
      </w:r>
    </w:p>
    <w:p>
      <w:pPr/>
      <w:r>
        <w:rPr>
          <w:b/>
        </w:rPr>
        <w:t>Shared claim-specific concepts:</w:t>
      </w:r>
      <w:r>
        <w:t xml:space="preserve"> there, consensus, energy, system, however, systems; EU scope not established. This is a provisional connection, not an outcome finding.</w:t>
      </w:r>
    </w:p>
    <w:p>
      <w:pPr>
        <w:pStyle w:val="SourceNote"/>
      </w:pPr>
      <w:r>
        <w:rPr>
          <w:b/>
        </w:rPr>
        <w:t>Available abstract (not full text):</w:t>
      </w:r>
      <w:r>
        <w:t xml:space="preserve"> Multi-agent systems have been widely studied under the assumption that agents are cooperative, i.e., they work toward a common objective. However, in several multi-agent systems, there are also agents that act based on their own utilities rather than a global objective. Participatory sensing, where agents voluntarily collect data by their own devices to share the data with others, and cooperation of multiple microgrids, where agents exchange incentives for energy with others to balance energy supply and demand, are examples of such systems. In these systems, we can consider that agents possess some incentives and exchange them for other resources such as data and energy, i.e., they can be regarded as systems driven by the exchange of value. Models of such value exchange systems have been developed and analyzed in game theory and the field of mechanism design. We have also proposed a model in which each agent has some tokens as incentives and exchanges them for information with its neighbors according to a prespecified exchange rule, and analyzed the consensus property of this system. However, this result requires knowledge of the exchange rules, which may not be available in practice. In this paper, we aim to develop a method to determine whether the system achieves consensus or not without knowledge of the rules. Assuming that we can collect transaction data between specific a</w:t>
      </w:r>
    </w:p>
    <w:p>
      <w:pPr/>
      <w:r>
        <w:rPr>
          <w:b/>
        </w:rPr>
        <w:t>POSSIBLE 2026:</w:t>
      </w:r>
      <w:r>
        <w:t xml:space="preserve"> Consensus as cooling: A granular gas model for continuous opinions on structured networks — https://doi.org/10.1016/j.physa.2026.131270</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A continuous-opinion model accounting for the social compromise propensity is theoretically and numerically analysed. An agent’s opinion is represented by a real number that can be changed through social interactions with her neighbours. The proposed dynamics depends on two fundamental parameters, α ∈ [ − 1 , 1 ] and β ≥ 0 . If an interaction takes place between two agents, their relative opinions decreases an amount given by α . The probability of two neighbours to interact is proportional to the β -power of their relative opinions. We unveil the behaviour of the system for all physical relevant values of the parameters and several representative interaction networks. When α ∈ ( − 1 , 1 ) and β ≥ 0 , the system always reaches consensus, with all agents having the mean initial opinion, provided the interaction network is connected. The approach to consensus can be characterized by means of the mean opinion and the temperature (or opinion dispersion) of each agent. Three scenarios have been identified. When the agents are well mixed, as with all-to-all interactions, a pre-consensus regime is seen, with all agents having zero mean opinion and the same temperature, following the Haff’s law of granular gases. A similar regime is observed with Erdös-Rényi and Barabási-Albert networks: mean opinions are zero but agents with different degrees have different temperatures, though still </w:t>
      </w:r>
    </w:p>
    <w:p>
      <w:pPr/>
      <w:r>
        <w:rPr>
          <w:b/>
        </w:rPr>
        <w:t>POSSIBLE 2026:</w:t>
      </w:r>
      <w:r>
        <w:t xml:space="preserve"> Consensus of marginally stable systems of reaction–diffusion equations with decentralized boundary control — https://doi.org/10.1016/j.automatica.2026.112887</w:t>
      </w:r>
    </w:p>
    <w:p>
      <w:pPr/>
      <w:r>
        <w:rPr>
          <w:b/>
        </w:rPr>
        <w:t>Shared claim-specific concepts:</w:t>
      </w:r>
      <w:r>
        <w:t xml:space="preserve"> consensus, systems, possible; EU scope not established. This is a provisional connection, not an outcome finding.</w:t>
      </w:r>
    </w:p>
    <w:p>
      <w:pPr>
        <w:pStyle w:val="SourceNote"/>
      </w:pPr>
      <w:r>
        <w:rPr>
          <w:b/>
        </w:rPr>
        <w:t>Available abstract (not full text):</w:t>
      </w:r>
      <w:r>
        <w:t xml:space="preserve"> This paper deals with the consensus problem for a network of identical reaction–diffusion equations with boundary control. Under the assumptions of open-loop marginal stability and connectivity of the interconnection graph, a decentralized control law can be designed such that the states of the equations converge to the same constant value. The synthesis of the controllers is carried out based on spectral decomposition, which is possible thanks to a clever input-dependent change of coordinates. Furthermore, the proposed architecture can be enhanced to cope with in-domain couplings among the networked equations. Two simulation examples support and illustrate the theoretical findings.</w:t>
      </w:r>
    </w:p>
    <w:p>
      <w:pPr/>
      <w:r>
        <w:rPr>
          <w:b/>
        </w:rPr>
        <w:t>POSSIBLE 2026:</w:t>
      </w:r>
      <w:r>
        <w:t xml:space="preserve"> India &amp; G-20: The organisation for global north-south consensus — https://doi.org/10.33545/26646021.2026.v8.i3b.949</w:t>
      </w:r>
    </w:p>
    <w:p>
      <w:pPr/>
      <w:r>
        <w:rPr>
          <w:b/>
        </w:rPr>
        <w:t>Shared claim-specific concepts:</w:t>
      </w:r>
      <w:r>
        <w:t xml:space="preserve"> consensus, many; EU scope not established. This is a provisional connection, not an outcome finding.</w:t>
      </w:r>
    </w:p>
    <w:p>
      <w:pPr>
        <w:pStyle w:val="SourceNote"/>
      </w:pPr>
      <w:r>
        <w:rPr>
          <w:b/>
        </w:rPr>
        <w:t>Available abstract (not full text):</w:t>
      </w:r>
      <w:r>
        <w:t xml:space="preserve"> The Washington Consensus, formulated by economist John Williamson in 1989, was designed to revive and strengthen the economies of many developing countries. But in 1997-98, the Asian Financial Crisis cast doubt on policies primarily designed to address it. This study will examine why and how the creation of the G-20 deeply impacted the global economy, and later, it became one of the pivotal economic arrangements shaping and addressing the economic, social, and political aspirations of the Global South &amp; Global North.</w:t>
      </w:r>
    </w:p>
    <w:p>
      <w:pPr>
        <w:pStyle w:val="Heading2"/>
      </w:pPr>
      <w:r>
        <w:t>538. European Union, transnational terrorism and the strategic choice of counterterrorism policies in democratic countries</w:t>
      </w:r>
    </w:p>
    <w:p>
      <w:pPr>
        <w:pStyle w:val="SourceNote"/>
      </w:pPr>
      <w:r>
        <w:rPr>
          <w:b/>
        </w:rPr>
        <w:t>Original source (2022):</w:t>
      </w:r>
      <w:r>
        <w:t xml:space="preserve"> https://doi.org/10.1177/14651165221120370</w:t>
      </w:r>
    </w:p>
    <w:p>
      <w:pPr/>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article, different, countries;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The Role of the European Union and the Council of Europe in Promoting Democracy: The Case of the South Caucasus States — https://doi.org/10.54503/2579-2903-2026.1-183</w:t>
      </w:r>
    </w:p>
    <w:p>
      <w:pPr/>
      <w:r>
        <w:rPr>
          <w:b/>
        </w:rPr>
        <w:t>Shared claim-specific concepts:</w:t>
      </w:r>
      <w:r>
        <w:t xml:space="preserve"> article, highlights, combined, institutional, democratic; EU scope visible. This is a provisional connection, not an outcome finding.</w:t>
      </w:r>
    </w:p>
    <w:p>
      <w:pPr>
        <w:pStyle w:val="SourceNote"/>
      </w:pPr>
      <w:r>
        <w:rPr>
          <w:b/>
        </w:rPr>
        <w:t>Available abstract (not full text):</w:t>
      </w:r>
      <w:r>
        <w:t xml:space="preserve">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pPr/>
      <w:r>
        <w:rPr>
          <w:b/>
        </w:rPr>
        <w:t>POSSIBLE 2026:</w:t>
      </w:r>
      <w:r>
        <w:t xml:space="preserve"> Pragmatisation of Right-Wing Populists (The Case of “Patriots for Europe” Group in the European Parliament) — https://doi.org/10.20542/0131-2227-2026-70-6-42-51</w:t>
      </w:r>
    </w:p>
    <w:p>
      <w:pPr/>
      <w:r>
        <w:rPr>
          <w:b/>
        </w:rPr>
        <w:t>Shared claim-specific concepts:</w:t>
      </w:r>
      <w:r>
        <w:t xml:space="preserve"> article, highlights, institutional; EU scope visible. This is a provisional connection, not an outcome finding.</w:t>
      </w:r>
    </w:p>
    <w:p>
      <w:pPr>
        <w:pStyle w:val="SourceNote"/>
      </w:pPr>
      <w:r>
        <w:rPr>
          <w:b/>
        </w:rPr>
        <w:t>Available abstract (not full text):</w:t>
      </w:r>
      <w:r>
        <w:t xml:space="preserve">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pPr/>
      <w:r>
        <w:rPr>
          <w:b/>
        </w:rPr>
        <w:t>POSSIBLE 2026:</w:t>
      </w:r>
      <w:r>
        <w:t xml:space="preserve"> Cultural diplomacy and economic cooperation in Europe — https://doi.org/10.59295/dnwe2025.42</w:t>
      </w:r>
    </w:p>
    <w:p>
      <w:pPr/>
      <w:r>
        <w:rPr>
          <w:b/>
        </w:rPr>
        <w:t>Shared claim-specific concepts:</w:t>
      </w:r>
      <w:r>
        <w:t xml:space="preserve"> article, highlights, policies, strategic; EU scope visible. This is a provisional connection, not an outcome finding.</w:t>
      </w:r>
    </w:p>
    <w:p>
      <w:pPr>
        <w:pStyle w:val="SourceNote"/>
      </w:pPr>
      <w:r>
        <w:rPr>
          <w:b/>
        </w:rPr>
        <w:t>Available abstract (not full text):</w:t>
      </w:r>
      <w:r>
        <w:t xml:space="preserve">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pPr/>
      <w:r>
        <w:rPr>
          <w:b/>
        </w:rPr>
        <w:t>POSSIBLE 2026:</w:t>
      </w:r>
      <w:r>
        <w:t xml:space="preserve"> The impacts of scandal-based coalition terminations on voters — https://doi.org/10.1017/s1475676526101194</w:t>
      </w:r>
    </w:p>
    <w:p>
      <w:pPr/>
      <w:r>
        <w:rPr>
          <w:b/>
        </w:rPr>
        <w:t>Shared claim-specific concepts:</w:t>
      </w:r>
      <w:r>
        <w:t xml:space="preserve"> voter, propensity, democratic, countries; EU scope visible. This is a provisional connection, not an outcome finding.</w:t>
      </w:r>
    </w:p>
    <w:p>
      <w:pPr>
        <w:pStyle w:val="SourceNote"/>
      </w:pPr>
      <w:r>
        <w:rPr>
          <w:b/>
        </w:rPr>
        <w:t>Available abstract (not full text):</w:t>
      </w:r>
      <w:r>
        <w:t xml:space="preserve"> Abstract In established democracies, governing parties are expected to govern effectively. Government terminations that result from breaking the rule of law, policy blunders, or disastrous policy performances have the potential to damage voters’ perceptions of how well democracy functions in their countries. Yet, current research on coalition politics has not examined the specific consequences of scandal-based government terminations on voters’ attitudes toward politics and the quality of democracy. We analyze the attitudinal impacts of scandal-based government terminations and argue that this type of termination reduces citizens’ satisfaction with the way democracy functions in their countries and their propensity to vote for the party responsible for the scandal. We also examine whether scandal-based coalition terminations negatively impact voter perceptions of the government’s performance. We test our arguments by relying on a recent scandal that took place in Austria: the so-called Ibiza scandal, which caused the early termination of the coalition between the Austrian People’s Party (ÖVP) and the Austrian Freedom Party (FPÖ). At the time the scandal broke, the Austrian National Election Study was in the field. We utilize an Unexpected Event during Survey Design to test if the scandal had consequences for voters’ perceptions of the parties and their collaboration. The suppor</w:t>
      </w:r>
    </w:p>
    <w:p>
      <w:pPr/>
      <w:r>
        <w:rPr>
          <w:b/>
        </w:rPr>
        <w:t>POSSIBLE 2026:</w:t>
      </w:r>
      <w:r>
        <w:t xml:space="preserve"> Generational replacement and voter turnout in Japan — https://doi.org/10.1016/j.electstud.2026.103086</w:t>
      </w:r>
    </w:p>
    <w:p>
      <w:pPr/>
      <w:r>
        <w:rPr>
          <w:b/>
        </w:rPr>
        <w:t>Shared claim-specific concepts:</w:t>
      </w:r>
      <w:r>
        <w:t xml:space="preserve"> combined, voter, different; EU scope not established. This is a provisional connection, not an outcome finding.</w:t>
      </w:r>
    </w:p>
    <w:p>
      <w:pPr>
        <w:pStyle w:val="SourceNote"/>
      </w:pPr>
      <w:r>
        <w:rPr>
          <w:b/>
        </w:rPr>
        <w:t>Available abstract (not full text):</w:t>
      </w:r>
      <w:r>
        <w:t xml:space="preserve"> A large body of research shows that generational replacement has contributed to long-term declines in voter turnout by combining cohort-specific participation patterns with changes in population composition. This research note uses a different approach to understand how high turnout would be in a given election if entering cohorts voted as actively as the cohorts they replaced, conditional on age and electoral context. Using age-by-election official turnout data from Japan, we propose an approach that estimates cohort-specific turnout functions varying across both the life course and elections using Generalized Additive Models. These estimates are combined with observed demographic change to construct age-matched, election-conditioned counterfactual turnout rates for individual elections. The results show that generational turnout gaps in Japan are large but not constant. They vary systematically by age and election year. Accounting for this variation yields more precise assessments of the electoral impact of generational replacement and indicates that cohort differences explain a substantial share of Japan’s recent turnout decline. The findings underscore the value of modelling generational effects dynamically when evaluating turnout change in aging democracies.</w:t>
      </w:r>
    </w:p>
    <w:p>
      <w:pPr/>
      <w:r>
        <w:rPr>
          <w:b/>
        </w:rPr>
        <w:t>POSSIBLE 2026:</w:t>
      </w:r>
      <w:r>
        <w:t xml:space="preserve"> Resilience in Post-Truth and Post-Digital European Union: Youth-Led Civil Society Organisations in the 2024 European Elections — https://doi.org/10.1285/i20356609v19i1p94</w:t>
      </w:r>
    </w:p>
    <w:p>
      <w:pPr/>
      <w:r>
        <w:rPr>
          <w:b/>
        </w:rPr>
        <w:t>Shared claim-specific concepts:</w:t>
      </w:r>
      <w:r>
        <w:t xml:space="preserve"> article, highlights, institutional, democratic; EU scope visible. This is a provisional connection, not an outcome finding.</w:t>
      </w:r>
    </w:p>
    <w:p>
      <w:pPr>
        <w:pStyle w:val="SourceNote"/>
      </w:pPr>
      <w:r>
        <w:rPr>
          <w:b/>
        </w:rPr>
        <w:t>Available abstract (not full text):</w:t>
      </w:r>
      <w:r>
        <w:t xml:space="preserve"> In an era marked by epistemic instability, algorithmic disruption and institutional disaffection, the European Union faces a deepening crisis of communicative legitimacy. This article investigates the role of youth-led civil society organizations (CSOs) as agents of communicative resilience within the evolving landscape of European public institutional communication, focusing on the 2024 European Parliament elections. Drawing on 35 qualitative interviews with CSO representatives involved in the Use Your Vote institutional communication campaign, the study examines how these actors operate simultaneously as actors of disintermediation and multipliers of EU messaging. Through localized, participatory and pedagogical practices, youth-led CSOs rearticulate abstract institutional narratives into context-sensitive forms of civic engagement, countering information disorder and reconnecting citizens—especially in peripheral territories—with the European project. The research highlights how these organizations combine digital tools with offline presence and non-formal education to foster trust, critical awareness and democratic participation. It further explores emerging tensions surrounding the use of generative AI in civic communication, calling for a reflexive and situated approach to digital innovation. Ultimately, the article contends that strengthening communicative resilience in </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combined, effect, countries;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Parties’ responsiveness to voters’ positions in a direct democratic setting — https://doi.org/10.1017/s1475676526101030</w:t>
      </w:r>
    </w:p>
    <w:p>
      <w:pPr/>
      <w:r>
        <w:rPr>
          <w:b/>
        </w:rPr>
        <w:t>Shared claim-specific concepts:</w:t>
      </w:r>
      <w:r>
        <w:t xml:space="preserve"> voter, different, democratic; EU scope not established. This is a provisional connection, not an outcome finding.</w:t>
      </w:r>
    </w:p>
    <w:p>
      <w:pPr>
        <w:pStyle w:val="SourceNote"/>
      </w:pPr>
      <w:r>
        <w:rPr>
          <w:b/>
        </w:rPr>
        <w:t>Available abstract (not full text):</w:t>
      </w:r>
      <w:r>
        <w:t xml:space="preserve"> Abstract The responsiveness of political parties to voters’ policy preferences is a core feature of democracies. A growing number of studies analyze this phenomenon, but key obstacles remain, such as the availability of reliable measures and the infrequency of these measures (election periods). As a consequence, the literature remains vague in theorizing and analyzing instances where the preferences of the median voter clash with those of the party electorate. By studying party responsiveness in a different setting, this paper advances the literature on these fronts: we focus on the Swiss political context, where the frequent use of direct democratic institutions enables us to evaluate the dynamic responsiveness of political parties with several observations per year for a large variety of topics. The paper uses a Bayesian item response theory model to operationalize the general ideological position of ballot proposals and uses them to evaluate parties’ responsiveness to the median voter and party voter. Our results confirm the most recent literature that political parties are responsive to their own electorates’ position shift but not the median voter. Furthermore, we show that, in situations where the signal from the general electorate and the party voters disagree, parties value the party voter more, thus giving even more weight to their partisan electorate. These findings h</w:t>
      </w:r>
    </w:p>
    <w:p>
      <w:pPr/>
      <w:r>
        <w:rPr>
          <w:b/>
        </w:rPr>
        <w:t>POSSIBLE 2026:</w:t>
      </w:r>
      <w:r>
        <w:t xml:space="preserve"> Highlights from the first interdisciplinary summit of the European Association of Cardiovascular Imaging and the European Society for Cardiovascular Radiology — https://doi.org/10.1093/ehjci/jeag031</w:t>
      </w:r>
    </w:p>
    <w:p>
      <w:pPr/>
      <w:r>
        <w:rPr>
          <w:b/>
        </w:rPr>
        <w:t>Shared claim-specific concepts:</w:t>
      </w:r>
      <w:r>
        <w:t xml:space="preserve"> highlights, intelligence, different, efficient; EU scope visible. This is a provisional connection, not an outcome finding.</w:t>
      </w:r>
    </w:p>
    <w:p>
      <w:pPr>
        <w:pStyle w:val="SourceNote"/>
      </w:pPr>
      <w:r>
        <w:rPr>
          <w:b/>
        </w:rPr>
        <w:t>Available abstract (not full text):</w:t>
      </w:r>
      <w:r>
        <w:t xml:space="preserve"> On 12 April 2025, the European Association of Cardiovascular Imaging (EACVI) and the European Society of Cardiovascular Radiology (ESCR) hosted the Hot Topics in Cardiac Imaging Summit at Amsterdam UMC in the Netherlands. This event followed the successful Global CMR2024 meeting and was designed to deepen collaboration between cardiologists and radiologists. Over 100 participants gathered for scientific sessions, industry updates, and panel discussions, with a programme focused on four pressing themes: non-acute coronary artery disease (CAD), sustainability in imaging, valvular heart disease (VHD), and artificial intelligence (AI). The day opened with a discussion on one of the most common challenges in cardiology practice: how best to evaluate patients with non-acute chest pain (Figure 1A). Current ESC guidelines introduce a more comprehensive definition of CAD, including structural and functional changes in epicardial vessels and the microcirculation.1 It emphasizes determining pre-test probability (PTP), yet in practice, PTP is often skipped, and existing calculators still tend to overestimate the prevalence of obstructive CAD. Overview of the main points of the hot topic sessions. Attention then turned to coronary CT angiography (CCTA), which has become firmly established as the first-line test for most patients. With its very high negative predictive value, CCTA offers rea</w:t>
      </w:r>
    </w:p>
    <w:p>
      <w:pPr/>
      <w:r>
        <w:rPr>
          <w:b/>
        </w:rPr>
        <w:t>POSSIBLE 2026:</w:t>
      </w:r>
      <w:r>
        <w:t xml:space="preserve"> Climate change governance as a security policy: integrating climate risks into european and national governance frameworks — https://openalex.org/W7219988564</w:t>
      </w:r>
    </w:p>
    <w:p>
      <w:pPr/>
      <w:r>
        <w:rPr>
          <w:b/>
        </w:rPr>
        <w:t>Shared claim-specific concepts:</w:t>
      </w:r>
      <w:r>
        <w:t xml:space="preserve"> article, highlights, policies, institutional, strategic, democratic; EU scope visible. This is a provisional connection, not an outcome finding.</w:t>
      </w:r>
    </w:p>
    <w:p>
      <w:pPr>
        <w:pStyle w:val="SourceNote"/>
      </w:pPr>
      <w:r>
        <w:rPr>
          <w:b/>
        </w:rPr>
        <w:t>Available abstract (not full text):</w:t>
      </w:r>
      <w:r>
        <w:t xml:space="preserve"> Climate change has evolved in recent years from an environmental issue into a central dimension of the international security agenda. This article analyses the integration of climate change into security policies and governance frameworks at the level of the European Union and its Member States, highlighting the conceptual and institutional transformations generated by the emergence of climate risks. Drawing on recent literature on securitisation and climate governance, the study proposes an interdisciplinary analytical approach, combining perspectives from security studies, public policy and international relations.The methodology used is based on the analysis of European strategic documents, comparative international case studies and an examination of the relevant normative and institutional framework. The research results indicate that the European Union has developed a relatively advanced framework for integrating climate risks, reflected in policies such as the European Green Deal and adaptation strategies, but their implementation remains uneven and marked by institutional fragmentation.The article also highlights the existence of significant differences between European Union states in terms of the capacity to integrate climate risks, as well as the central role of multilevel governance in this process. The transformation of climate change into a security policy generate</w:t>
      </w:r>
    </w:p>
    <w:p>
      <w:pPr/>
      <w:r>
        <w:rPr>
          <w:b/>
        </w:rPr>
        <w:t>POSSIBLE 2026:</w:t>
      </w:r>
      <w:r>
        <w:t xml:space="preserve"> NETWORK SECURITY THROUGH COMBINED CRYPTOGRAPHY AND STEGANOGRAPHY: A REVIEW ARTICLE — https://doi.org/10.47832/2717-8234.26.8</w:t>
      </w:r>
    </w:p>
    <w:p>
      <w:pPr/>
      <w:r>
        <w:rPr>
          <w:b/>
        </w:rPr>
        <w:t>Shared claim-specific concepts:</w:t>
      </w:r>
      <w:r>
        <w:t xml:space="preserve"> article, highlights, combined, efficiency; EU scope not established. This is a provisional connection, not an outcome finding.</w:t>
      </w:r>
    </w:p>
    <w:p>
      <w:pPr>
        <w:pStyle w:val="SourceNote"/>
      </w:pPr>
      <w:r>
        <w:rPr>
          <w:b/>
        </w:rPr>
        <w:t>Available abstract (not full text):</w:t>
      </w:r>
      <w:r>
        <w:t xml:space="preserve"> As is well known, cryptography and steganography are two popular methods used to achieve secure data transmission and secret communication in today's communications systems.Cryptography is concerned with changing the representation of plaintext so as to render it unintelligible through mathematical processes, whereas steganography seeks to conceal the communication process in such a way that can be kept secret from an eavesdropper without raising any suspicion.This paper presents a survey of cryptographic-steganographic hybridbased security schemes for secure communication in networks, secured by encrypting and embedding secret data to cater high level of confidentiality and robustness.In addition to well-known encryption algorithms like AES, DES, RC4, and RSA, the study examines both traditional and contemporary methods such as least significant bit (LSB) insertion, discrete cosine transform (DCT), and discrete wavelet transform (DWT).We examine quality and embedding efficiency as performance assessment metrics, with a particular emphasis on mean squared error (MSE) and peak signal-to-noise ratio (PSNR).The current paper focuses on and highlights the capabilities, drawbacks, and future research prospects for combined cryptography steganography approaches to secure secret data sharing.It is based on a review of state-of-the-art advances and comparative studies.</w:t>
      </w:r>
    </w:p>
    <w:p>
      <w:pPr>
        <w:pStyle w:val="Heading2"/>
      </w:pPr>
      <w:r>
        <w:t>539. FRESHER: Challenges and opportunities for building Health/Healthy futures</w:t>
      </w:r>
    </w:p>
    <w:p>
      <w:pPr>
        <w:pStyle w:val="SourceNote"/>
      </w:pPr>
      <w:r>
        <w:rPr>
          <w:b/>
        </w:rPr>
        <w:t>Original source (2022):</w:t>
      </w:r>
      <w:r>
        <w:t xml:space="preserve"> https://doi.org/10.1093/eurpub/ckac129.121</w:t>
      </w:r>
    </w:p>
    <w:p>
      <w:pPr/>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POSSIBLE 2026:</w:t>
      </w:r>
      <w:r>
        <w:t xml:space="preserve"> Techno-economic evaluation of an elastic composite phase change material for building envelopes — https://doi.org/10.1016/j.tsep.2026.104727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pPr/>
      <w:r>
        <w:rPr>
          <w:b/>
        </w:rPr>
        <w:t>POSSIBLE 2026:</w:t>
      </w:r>
      <w:r>
        <w:t xml:space="preserve"> Evolution of the School Building Network in Portugal in the First Decade of the New Millennium — https://doi.org/10.31637/epsir-2026-2713</w:t>
      </w:r>
    </w:p>
    <w:p>
      <w:pPr/>
      <w:r>
        <w:rPr>
          <w:b/>
        </w:rPr>
        <w:t>Shared claim-specific concepts:</w:t>
      </w:r>
      <w:r>
        <w:t xml:space="preserve"> building, different, two; EU scope visible. This is a provisional connection, not an outcome finding.</w:t>
      </w:r>
    </w:p>
    <w:p>
      <w:pPr>
        <w:pStyle w:val="SourceNote"/>
      </w:pPr>
      <w:r>
        <w:rPr>
          <w:b/>
        </w:rPr>
        <w:t>Available abstract (not full text):</w:t>
      </w:r>
      <w:r>
        <w:t xml:space="preserve"> Introduction: The network of non-higher education has evolved in a very peculiar way over the decades in Portugal. The 21st century has been marked by the growth of competitive logic, which also affects the education sector. Even so, this evolution is reflected in different ways in each contexts. Methodology: The research adopted a descriptive quantitative approach, based on statistical data, focused on two regions of Portugal — Coimbra Region and Lisbon Metropolitan Area —, allowing a comparassion from 1999/2000 to 2009/2010. Results: The evolution of non-higher education establishments varies greatly between the two regions under study, although in the country as a whole, private provision has increased and public and total provision has decreased. Discussion: The study provides an interesting and objective analysis of the issue, that should considere a set of considerations, including the evolution of arts and specialized education and vocational education—which were particularly relevant during the period under study—and the emergence of new elements that reinforce the logic of competitiveness in schools, such as the rankings implemented in Portugal since 2001. Conclusions: The different needs of the education system reflect a varied evolution, highlighting territorial asymmetries in the country under study.</w:t>
      </w:r>
    </w:p>
    <w:p>
      <w:pPr/>
      <w:r>
        <w:rPr>
          <w:b/>
        </w:rPr>
        <w:t>POSSIBLE 2026:</w:t>
      </w:r>
      <w:r>
        <w:t xml:space="preserve"> Application of BIM in the Refined Management of Prefabricated Building Design Phase — https://doi.org/10.54097/v4031382</w:t>
      </w:r>
    </w:p>
    <w:p>
      <w:pPr/>
      <w:r>
        <w:rPr>
          <w:b/>
        </w:rPr>
        <w:t>Shared claim-specific concepts:</w:t>
      </w:r>
      <w:r>
        <w:t xml:space="preserve"> building, phase, case; EU scope not established. This is a provisional connection, not an outcome finding.</w:t>
      </w:r>
    </w:p>
    <w:p>
      <w:pPr>
        <w:pStyle w:val="SourceNote"/>
      </w:pPr>
      <w:r>
        <w:rPr>
          <w:b/>
        </w:rPr>
        <w:t>Available abstract (not full text):</w:t>
      </w:r>
      <w:r>
        <w:t xml:space="preserve"> This thesis will explore the application mechanism of BIM technology in the design phase of prefabricated buildings, focusing on the construction of standardized prefabricated component libraries, efficient multidisciplinary collaborative design, intelligent clash detection, professional detailed design and accurate engineering quantity calculation. By integrating theoretical analysis with typical engineering case studies, this paper analyzes the core advantages of BIM applied in prefabricated building design, including shortened project cycles, enhanced design refinement and remarkable cost reduction. The research demonstrates that compared with conventional design modes, BIM can effectively address major pain points in prefabricated building design. It provides reliable technical support for improving design efficiency and engineering quality, and presents great potential for accelerating the sustainable and standardized development of prefabricated architecture in China’s construction industry.</w:t>
      </w:r>
    </w:p>
    <w:p>
      <w:pPr/>
      <w:r>
        <w:rPr>
          <w:b/>
        </w:rPr>
        <w:t>POSSIBLE 2026:</w:t>
      </w:r>
      <w:r>
        <w:t xml:space="preserve"> Technical Factor Analysis that Impacts Building Maintenance in the Retention Phase — https://doi.org/10.53623/csue.v6i1.947</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Building maintenance during the retention phase (Defects Liability Period) was a critical stage in construction projects because defects frequently emerged after handover and could cause delays, cost overruns, and disputes between owners and contractors. In Indonesia, although a retention fund mechanism was applied, maintenance performance during this phase often remained suboptimal. This study aimed to identify and quantify the influence of technical factors on building maintenance success in high-rise projects during the retention phase in Surabaya. Data were collected through a structured questionnaire using a five-point Likert scale from 31 project staff members with relevant professional experience, selected using purposive sampling. The analysis was conducted using Partial Least Squares–Structural Equation Modeling (PLS-SEM) to evaluate both the measurement and structural models, supported by supplementary regression analysis. The results showed that technical factors had a strong and significant effect on building maintenance success, with material availability emerging as the most influential technical factor, while schedule planning was the most dominant success criterion. The high R² and effect size values indicated that technical factors played a substantial practical role in determining maintenance performance during the retention phase. These findings highlighted t</w:t>
      </w:r>
    </w:p>
    <w:p>
      <w:pPr/>
      <w:r>
        <w:rPr>
          <w:b/>
        </w:rPr>
        <w:t>POSSIBLE 2026:</w:t>
      </w:r>
      <w:r>
        <w:t xml:space="preserve"> Optimizing Energy Efficiency by Integrating Phase Change Materials into Building Envelopes — https://doi.org/10.14750/me.2026.054</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Ammar Saliby is a Ph.D. candidate specializing in mechanical engineering with a focus on energy-efficient building systems and thermal energy storage technologies.During his master studies, he developed expertise in building energy management and thermal modelling, which provided a strong foundation for his doctoral research.He commenced his Ph.D. studies at the University of Miskolc in the autumn of 2021, supported by the Stipendium Hungaricum scholarship program.Throughout his doctoral work, Ammar has demonstrated outstanding academic performance, completed all coursework, and actively contributed to scientific research within the field of sustainable building technologies.His research focuses on the integration and optimization of PCMs in building envelopes to enhance thermal performance and reduce energy consumption.He has made significant contributions to this field by developing validated CFD simulation models to analyze PCM behaviour, optimizing PCM layer configurations, and investigating encapsulation geometry for improved energy efficiency.Notably, his work explores the novel integration of PCMs into traditional masonry structures, such as Flemish bond walls, demonstrating a unique combination of architectural heritage and modern thermal storage solutions.Ammar has authored multiple scientific publications, including peer-reviewed journal articles and conference papers</w:t>
      </w:r>
    </w:p>
    <w:p>
      <w:pPr/>
      <w:r>
        <w:rPr>
          <w:b/>
        </w:rPr>
        <w:t>POSSIBLE 2026:</w:t>
      </w:r>
      <w:r>
        <w:t xml:space="preserve"> Recent Advances in Microencapsulated Phase Change Materials for Energy Efficiency in Buildings: A Review — https://doi.org/10.3390/polym18040451</w:t>
      </w:r>
    </w:p>
    <w:p>
      <w:pPr/>
      <w:r>
        <w:rPr>
          <w:b/>
        </w:rPr>
        <w:t>Shared claim-specific concepts:</w:t>
      </w:r>
      <w:r>
        <w:t xml:space="preserve"> building, phase, response; EU scope not established. This is a provisional connection, not an outcome finding.</w:t>
      </w:r>
    </w:p>
    <w:p>
      <w:pPr>
        <w:pStyle w:val="SourceNote"/>
      </w:pPr>
      <w:r>
        <w:rPr>
          <w:b/>
        </w:rPr>
        <w:t>Available abstract (not full text):</w:t>
      </w:r>
      <w:r>
        <w:t xml:space="preserve"> Phase change materials (PCMs) have attracted significant attention for their capacity to store and release large amounts of latent heat in response to ambient temperature variations, offering an effective strategy for thermal regulation in buildings. Meanwhile, recent research is focused on microencapsulated phase change materials (MPCMs), which provide enhanced thermal efficiency, improved stability, and easier integration into construction materials. This study stands apart from offering a structured comparative analysis of PCM and MPCM systems. Using detailed synthesis tables, the review systematically evaluates materials, encapsulation approaches, and performance indicators. The review presents an integrative framework that correlates materials' thermophysical properties with specialized simulation software and region-specific climatic conditions. MPCMs are assessed in terms of composition, phase change characteristics, and encapsulation techniques, with complex information condensed into practical selection criteria. Furthermore, MPCM products covering phase change temperature ranges from 18 °C to 32 °C are systematically aligned with specific climate zones and life cycle assessment outcomes, offering a clear framework for optimization. The polymers play a vital role in MPCM technology, and their applications for buildings have been studied thoroughly. This work also aims </w:t>
      </w:r>
    </w:p>
    <w:p>
      <w:pPr/>
      <w:r>
        <w:rPr>
          <w:b/>
        </w:rPr>
        <w:t>POSSIBLE 2026:</w:t>
      </w:r>
      <w:r>
        <w:t xml:space="preserve"> Analyses of the building insulation performance of double-layer walls with a phase change material in the hot summer and cold winter region — https://doi.org/10.1177/1420326x251388677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article studies the temperature regulation requirements of buildings in the hot summer and cold winter (HSCW) region through a combination of experiments and numerical simulations. The bidirectional heat transfer process in phase change material (PCM) walls was visualized using heatlines, and the thermal transfer behaviour characteristics between PCM walls and conventional walls were compared and analysed. The findings showed that double-layer PCM walls could effectively regulate energy, including reducing the peak temperature of the interior surface by 0.9–1.2°C in summer and increasing its minimum temperature by 0.8–1.7°C in winter, while the average interior temperatures for east, south, west and north-facing walls could be increased by 0°C, 1°C, 0.7°C and 0.5°C, respectively. Energy consumption analyses revealed that the optimal phase change temperatures for double-layer PCM walls in Changsha's climate are 23°C and 18°C. A PCM layer that is 30 mm thick could result in the biggest energy savings, lowering cold and hot loads by 39.3% and 23.1%, respectively. With a payback period ranging from 3.9 to 5.2 years, double-layer PCM walls have a high potential for widespread adoption across the 11 cities in the HSCW region. This study provides experimental support and recommendations for PCM wall design optimization in challenging climates.</w:t>
      </w:r>
    </w:p>
    <w:p>
      <w:pPr/>
      <w:r>
        <w:rPr>
          <w:b/>
        </w:rPr>
        <w:t>POSSIBLE 2025:</w:t>
      </w:r>
      <w:r>
        <w:t xml:space="preserve"> Documenting different building phases of a medieval chapel through GPR and image-based modelling — https://doi.org/10.4000/14ns9</w:t>
      </w:r>
    </w:p>
    <w:p>
      <w:pPr/>
      <w:r>
        <w:rPr>
          <w:b/>
        </w:rPr>
        <w:t>Shared claim-specific concepts:</w:t>
      </w:r>
      <w:r>
        <w:t xml:space="preserve"> building, combination, different; EU scope not established. This is a provisional connection, not an outcome finding.</w:t>
      </w:r>
    </w:p>
    <w:p>
      <w:pPr>
        <w:pStyle w:val="SourceNote"/>
      </w:pPr>
      <w:r>
        <w:rPr>
          <w:b/>
        </w:rPr>
        <w:t>Available abstract (not full text):</w:t>
      </w:r>
      <w:r>
        <w:t xml:space="preserve"> Non-destructive discrimination of building phases, Combination of GPR and image-based modelling, Detection of unknown layout of older chapel</w:t>
      </w:r>
    </w:p>
    <w:p>
      <w:pPr/>
      <w:r>
        <w:rPr>
          <w:b/>
        </w:rPr>
        <w:t>POSSIBLE 2025:</w:t>
      </w:r>
      <w:r>
        <w:t xml:space="preserve"> Optimising phase change materials for ventilated building components in sustainable building design: a comprehensive review — https://doi.org/10.1016/j.enbuild.2025.115947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pPr/>
      <w:r>
        <w:rPr>
          <w:b/>
        </w:rPr>
        <w:t>POSSIBLE 2025:</w:t>
      </w:r>
      <w:r>
        <w:t xml:space="preserve"> Formation and evolution of residential buildings in the Djelfa region of Algeria — https://doi.org/10.2478/alfa-2025-0003</w:t>
      </w:r>
    </w:p>
    <w:p>
      <w:pPr/>
      <w:r>
        <w:rPr>
          <w:b/>
        </w:rPr>
        <w:t>Shared claim-specific concepts:</w:t>
      </w:r>
      <w:r>
        <w:t xml:space="preserve"> building, selected, response; EU scope not established. This is a provisional connection, not an outcome finding.</w:t>
      </w:r>
    </w:p>
    <w:p>
      <w:pPr>
        <w:pStyle w:val="SourceNote"/>
      </w:pPr>
      <w:r>
        <w:rPr>
          <w:b/>
        </w:rPr>
        <w:t>Available abstract (not full text):</w:t>
      </w:r>
      <w:r>
        <w:t xml:space="preserve"> Abstract This study endeavours to refund the evolutionary trajectory of residential building within the Djelfa region of Algeria, a landscape characterised by the cohabitation of sedentary and nomadic modes of existence. The investigation reconstructs the typological development by examining its earliest roots, namely the rudimentary forms of habitation – the hut and the tent – respectively adapted to sedentary and nomadic lifestyles. A sample encompassing approximately sixty dwellings situated within the town of Djelfa and its environs was meticulously selected, ensuring representation of diverse typological features such as size, spatial arrangement within the urban fabric, orientation, accessibility, and internal spatial organisation. This analysis aims to discern both diachronic and synchronic variations: the enduring linkages between residential building types across time and the co-existence of concurrent typologies. The research reveals a dynamic of organic links of continuity throughout this evolutionary process, punctuated by transitional phases that give rise to novel building solutions. These innovative solutions, upon achieving a degree of stability, tend to be replicated in a serialized way. The study underscores the pivotal role of the urban courtyard house within this evolutionary narrative, emphasising its remarkable adaptability and capacity for diversification</w:t>
      </w:r>
    </w:p>
    <w:p>
      <w:pPr/>
      <w:r>
        <w:rPr>
          <w:b/>
        </w:rPr>
        <w:t>POSSIBLE 2025:</w:t>
      </w:r>
      <w:r>
        <w:t xml:space="preserve"> Experimental characterization of the thermophysical properties of some selected phase change materials for building applications: Critical input data for numerical simulations — https://doi.org/10.1016/j.est.2025.115463</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A precise characterization of the thermophysical properties of Phase Change Materials (PCMs) used for the Latent Heat Thermal Energy Storage (LHTES) is necessary for the development and manufacturing of LHTES technol- ogies. The complete input data for Computational Fluid Dynamics (CFD) simulations of PCMs phase transition processes is very lacking in the literature, making it difficult to set up CFD simulations and specially to guarantee the accuracy of the results. The present study focuses on a comprehensive experimental characterization of the thermophysical properties of six PCMs in order to support the numerical studies. Several measurement tech- niques allowed the characterization of these PCMs. The Anton Paar MCR 102 rheometer was used to determine the viscosity of the six PCMs and their temperature dependency. A TPS 2200 model HotDisk allowed the mea- surements of the thermal conductivity of both solid and liquid phases of the PCMs, using a temperature- controlled bath. A high-precision in-house experimental setup was developed and validated, for measuring the liquid phase density of PCMs and its temperature dependency. Subsequently, it allowed the determination of the thermal expansion coefficient, which is rare in the literature. Finally, a Differential Scanning Calorimeter (DSC) was used to determine the necessary thermal data for modeling the phase change processes</w:t>
      </w:r>
    </w:p>
    <w:p>
      <w:pPr/>
      <w:r>
        <w:rPr>
          <w:b/>
        </w:rPr>
        <w:t>POSSIBLE 2025:</w:t>
      </w:r>
      <w:r>
        <w:t xml:space="preserve"> Carbon Emission Measurement and Low-Carbon Path in the Operation Phase of Higher Education Teaching Buildings — https://doi.org/10.3233/atde251327</w:t>
      </w:r>
    </w:p>
    <w:p>
      <w:pPr/>
      <w:r>
        <w:rPr>
          <w:b/>
        </w:rPr>
        <w:t>Shared claim-specific concepts:</w:t>
      </w:r>
      <w:r>
        <w:t xml:space="preserve"> phase, combination, case; EU scope not established. This is a provisional connection, not an outcome finding.</w:t>
      </w:r>
    </w:p>
    <w:p>
      <w:pPr>
        <w:pStyle w:val="SourceNote"/>
      </w:pPr>
      <w:r>
        <w:rPr>
          <w:b/>
        </w:rPr>
        <w:t>Available abstract (not full text):</w:t>
      </w:r>
      <w:r>
        <w:t xml:space="preserve"> Aiming at energy saving and carbon reduction in the operation phase of university teaching buildings, this study analyses the operation characteristics and carbon emission sources of university teaching buildings, measures the specific carbon emissions in combination with actual cases, and predicts and evaluates the carbon reduction potential by using the STIRPAT model and scenario analysis method. The results show that the carbon emissions of the case teaching buildings increase from 1286.012t to 1538.929t in 2022-2024, showing yearly growth and seasonal fluctuations, with energy structure and energy intensity having the greatest impact on carbon emissions (elasticity coefficients of 0.352 and 0.321, respectively). The prediction of three scenarios, namely, baseline, low carbon and ultra-low carbon, shows that carbon emissions will grow rapidly and continuously under the baseline scenario, and the ultra-low carbon scenario can achieve a continuous reduction, and it is expected that the emission reduction in 2035 can reach 208.14∼259.28t. This study provides theoretical and practical references for the construction of green campuses.</w:t>
      </w:r>
    </w:p>
    <w:p>
      <w:pPr>
        <w:pStyle w:val="Heading2"/>
      </w:pPr>
      <w:r>
        <w:t>540. Facilitating transformative science education through futures thinking</w:t>
      </w:r>
    </w:p>
    <w:p>
      <w:pPr>
        <w:pStyle w:val="SourceNote"/>
      </w:pPr>
      <w:r>
        <w:rPr>
          <w:b/>
        </w:rPr>
        <w:t>Original source (2022):</w:t>
      </w:r>
      <w:r>
        <w:t xml:space="preserve"> https://doi.org/10.1108/oth-09-2021-0114</w:t>
      </w:r>
    </w:p>
    <w:p>
      <w:pPr/>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pPr/>
      <w:r>
        <w:rPr>
          <w:b/>
        </w:rPr>
        <w:t>POSSIBLE 2026:</w:t>
      </w:r>
      <w:r>
        <w:t xml:space="preserve"> Critical Discussion of Recent Research Findings on Learning Disabilities [Course Material] Msc in Psychology of Child Development PS4212 Language, Literacy and Learning Lesson 6. College for Humanistic Sciences-ICPS, University of Lancashire — https://doi.org/10.5281/zenodo.20758339</w:t>
      </w:r>
    </w:p>
    <w:p>
      <w:pPr/>
      <w:r>
        <w:rPr>
          <w:b/>
        </w:rPr>
        <w:t>Shared claim-specific concepts:</w:t>
      </w:r>
      <w:r>
        <w:t xml:space="preserve"> findings, recent, learning, systems; EU scope not established. This is a provisional connection, not an outcome finding.</w:t>
      </w:r>
    </w:p>
    <w:p>
      <w:pPr>
        <w:pStyle w:val="SourceNote"/>
      </w:pPr>
      <w:r>
        <w:rPr>
          <w:b/>
        </w:rPr>
        <w:t>Available abstract (not full text):</w:t>
      </w:r>
      <w:r>
        <w:t xml:space="preserve"> Abstract This chapter critically examines the most significant research findings of the last five years concerning learning disabilities, focusing on contemporary theoretical approaches, their cognitive and neurodevelopmental dimensions, and educational interventions supported by empirical evidence. Recent literature demonstrates a gradual shift from traditional categorical models toward multifactorial and dimensional approaches, which acknowledge the heterogeneity of learners and the interaction among linguistic, cognitive, emotional, and environmental factors. Particular emphasis is placed on current perspectives on dyslexia, the contribution of executive functions and neurocognitive mechanisms, as well as the frequent comorbidity with other neurodevelopmental disorders. Furthermore, findings from recent meta-analyses and systematic reviews regarding the effectiveness of educational interventions are discussed, highlighting the importance of explicit instruction, early intervention, differentiated teaching, and multi-tiered support systems. The critical evaluation of the available evidence underscores both the considerable progress achieved in understanding learning disabilities and the need for further methodologically rigorous and longitudinal research. Such efforts are expected to contribute to the improvement of educational practices and to the advancement of inclusive ed</w:t>
      </w:r>
    </w:p>
    <w:p>
      <w:pPr/>
      <w:r>
        <w:rPr>
          <w:b/>
        </w:rPr>
        <w:t>POSSIBLE 2026:</w:t>
      </w:r>
      <w:r>
        <w:t xml:space="preserve"> Recent Trends and Innovations in Science Education: A Systematic Review of Teaching, Learning, and Assessment Practices — https://doi.org/10.5281/zenodo.23408637</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Recent Trends and Innovations in Science Education: A Systematic Review of Teaching, Learning, and Assessment PracticesSashibala Devi (TGT, S.S.DEV PUBLIC SCHOOL)AbstractScience education has become one of the most significant pillars of educational development in the twenty-first century. Rapid technological advancement, globalization, environmental concerns, and the increasing demand for scientific literacy have transformed the objectives and methodologies of science teaching across the world. Traditional teacher-centered instruction has gradually shifted toward learner-centered, inquiry-based, technology-supported, and competency-oriented approaches. The National Education Policy (NEP) 2020 in India and international educational frameworks have further emphasized experiential learning, interdisciplinary education, digital integration, and scientific reasoning. This review paper synthesizes recent literature on science education published between 2018 and 2026 to identify emerging trends, innovations, challenges, and future research directions.The study adopts a systematic review methodology using peer-reviewed journal articles, conference proceedings, policy documents, and educational reports indexed in Scopus, Web of Science, ERIC, Google Scholar, and UGC CARE-listed journals. The literature highlights that inquiry-based learning, STEM education, virtual laboratories, artif</w:t>
      </w:r>
    </w:p>
    <w:p>
      <w:pPr/>
      <w:r>
        <w:rPr>
          <w:b/>
        </w:rPr>
        <w:t>POSSIBLE 2026:</w:t>
      </w:r>
      <w:r>
        <w:t xml:space="preserve"> Using Learning Progressions to Guide AI Feedback for Science Learning — https://openalex.org/W7133571101</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Generative artificial intelligence (AI) offers scalable support for formative feedback, yet most AI-generated feedback relies on task-specific rubrics authored by domain experts. While effective, rubric authoring is time-consuming and limits scalability across instructional contexts. Learning progressions (LP) provide a theoretically grounded representation of students' developing understanding and may offer an alternative solution. This study examines whether an LP-driven rubric generation pipeline can produce AI-generated feedback comparable in quality to feedback guided by expert-authored task rubrics. We analyzed AI-generated feedback for written scientific explanations produced by 207 middle school students in a chemistry task. Two pipelines were compared: (a) feedback guided by a human expert-designed, task-specific rubric, and (b) feedback guided by a task-specific rubric automatically derived from a learning progression prior to grading and feedback generation. Two human coders evaluated feedback quality using a multi-dimensional rubric assessing Clarity, Accuracy, Relevance, Engagement and Motivation, and Reflectiveness (10 sub-dimensions). Inter-rater reliability was high, with percent agreement ranging from 89% to 100% and Cohen's kappa values for estimable dimensions (kappa = .66 to .88). Paired t-tests revealed no statistically significant differences between the t</w:t>
      </w:r>
    </w:p>
    <w:p>
      <w:pPr/>
      <w:r>
        <w:rPr>
          <w:b/>
        </w:rPr>
        <w:t>POSSIBLE 2026:</w:t>
      </w:r>
      <w:r>
        <w:t xml:space="preserve"> Mesenchymal stromal cells in Rheumathology: Recent findings — https://doi.org/10.30574/wjarr.2026.29.3.0619</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Mesenchymal stromal cells (MSCs) have emerged as promising therapeutic candidates for osteoarticular diseases because of their combined immunomodulatory, trophic, and regenerative properties. Although initially studied for their multipotent differentiation capacity, MSCs are now understood to act predominantly through context-dependent paracrine mechanisms, including secretion of soluble mediators and extracellular vesicles, as well as through interactions with innate and adaptive immune cells. These mechanisms enable MSCs to modulate inflammatory responses, suppress T- and B-cell activation, inhibit dendritic cell maturation, and promote anti-inflammatory macrophage polarization, thereby reshaping the joint microenvironment toward resolution and tissue repair. In rheumatoid arthritis, MSC therapy is supported by strong biological plausibility, with preclinical studies demonstrating reduction of Th1/Th17 responses and enhancement of regulatory T-cell activity. Early clinical trials suggest a favorable safety profile, although evidence for sustained clinical remission remains limited. In focal cartilage defects, MSC-based strategies—particularly when combined with biomaterial scaffolds—have shown potential to enhance cartilage repair and improve functional outcomes. In osteoarthritis and degenerative disc disease, therapeutic effects appear to rely mainly on trophic and immunore</w:t>
      </w:r>
    </w:p>
    <w:p>
      <w:pPr/>
      <w:r>
        <w:rPr>
          <w:b/>
        </w:rPr>
        <w:t>POSSIBLE 2026:</w:t>
      </w:r>
      <w:r>
        <w:t xml:space="preserve"> 298. The highs and lows of long-term lithium prophylaxis: recent findings — https://doi.org/10.1093/ijnp/pyag040.041</w:t>
      </w:r>
    </w:p>
    <w:p>
      <w:pPr/>
      <w:r>
        <w:rPr>
          <w:b/>
        </w:rPr>
        <w:t>Shared claim-specific concepts:</w:t>
      </w:r>
      <w:r>
        <w:t xml:space="preserve"> findings, recent, shown; EU scope visible. This is a provisional connection, not an outcome finding.</w:t>
      </w:r>
    </w:p>
    <w:p>
      <w:pPr>
        <w:pStyle w:val="SourceNote"/>
      </w:pPr>
      <w:r>
        <w:rPr>
          <w:b/>
        </w:rPr>
        <w:t>Available abstract (not full text):</w:t>
      </w:r>
      <w:r>
        <w:t xml:space="preserve"> Abstract Background Lithium has been the gold standard for the relapse prevention of mood disorders, especially bipolar disorder (BD). Recently, case reports of a successful lithium prophylaxis lasting half a century appeared. Several adverse effects occur both in the early and late periods of lithium treatment, the most salient being a kidney injury appearing mainly after 15-20 years of lithium administration and frequently prompting lithium discontinuation. At the same time, lithium administration may bring many beneficial outcomes, beyond its prophylactic effects on mood recurrences, among which are anti-suicidal and neuroprotective effects, being the most important. Aims &amp; Objectives The presentation aims to consider the pivotal novel findings (published between 2021 and 2025) on the adverse and beneficial effects of long-term lithium administration. Method The most important publications on these issues that appeared during this period will be discussed. Results The papers on a possible kidney injury during long-term lithium administration and its treatment pointed to a lesser prevalence of such a complication in recent studies, as well as to the possibility of successful management, preventing the necessity of lithium discontinuation. New papers also appeared on the concurrent lithium and hemodialysis treatment in dialyzed patients. The issue of the anti-suicidal effect w</w:t>
      </w:r>
    </w:p>
    <w:p>
      <w:pPr/>
      <w:r>
        <w:rPr>
          <w:b/>
        </w:rPr>
        <w:t>POSSIBLE 2026:</w:t>
      </w:r>
      <w:r>
        <w:t xml:space="preserve"> Recent findings on the anticancer potential of coumarin hybrid derivatives — https://doi.org/10.12692/ijb/28.3.52-79</w:t>
      </w:r>
    </w:p>
    <w:p>
      <w:pPr/>
      <w:r>
        <w:rPr>
          <w:b/>
        </w:rPr>
        <w:t>Shared claim-specific concepts:</w:t>
      </w:r>
      <w:r>
        <w:t xml:space="preserve"> findings, recent, activities; EU scope not established. This is a provisional connection, not an outcome finding.</w:t>
      </w:r>
    </w:p>
    <w:p>
      <w:pPr>
        <w:pStyle w:val="SourceNote"/>
      </w:pPr>
      <w:r>
        <w:rPr>
          <w:b/>
        </w:rPr>
        <w:t>Available abstract (not full text):</w:t>
      </w:r>
      <w:r>
        <w:t xml:space="preserve"> Coumarin derivatives have attracted substantial scientific interest due to their broad therapeutic potential in the field of oncology research due to their anticancer potential. Both naturally occurring and synthetically modified coumarins possess diverse pharmacological activities, and evidence highlights their strong anticancer properties. Studies emphasize the importance of understanding molecular mechanisms and structural interactions that govern the biological actions of coumarin hybrids, as these insights are crucial for optimizing their therapeutic efficacy in term of treatment. Coumarin-based hybrid compounds demonstrate the ability to modulate multiple cellular signalling pathways critical for cancer progression, including those regulating apoptosis, angiogenesis, oxidative stress, and uncontrolled cell division. Mechanistic studies show that many coumarin hybrids effectively induce apoptosis through mitochondrial disruption, caspase activation, and modulation of pro and anti-apoptotic proteins. Additionally, several derivatives exhibit potent anti-angiogenic activity by inhibiting VEGF-mediated signaling, thereby limiting tumor vascularization and growth. Their capacity to interfere with cell cycle regulators, such as cyclins and CDKs, further contributes to their antiproliferative effects. The multitargeted nature of these molecular interactions highlights the therap</w:t>
      </w:r>
    </w:p>
    <w:p>
      <w:pPr/>
      <w:r>
        <w:rPr>
          <w:b/>
        </w:rPr>
        <w:t>POSSIBLE 2026:</w:t>
      </w:r>
      <w:r>
        <w:t xml:space="preserve"> Cooperative Learning Needs Analysis to Address Student Learning Dependence on Science Learning in Elementary Schools — https://doi.org/10.23887/jlls.v9i2.113338</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Science learning at the elementary school level still tends to be dominated by expository methods that have not been able to maximize students' cognitive engagement, even though they show a high interest in learning and social interaction. This condition results in limitations in the development of student learning independence, characterized by a high dependence on peer assistance. Therefore, this study aims to comprehensively analyze the empirical needs of cooperative learning syntax in order to formulate a basis for developing an effective model to overcome student learning dependence in science learning. This study applies a quantitative descriptive approach with a survey method on 206 fifth-grade students. Data were collected through a validated and tested questionnaire for reliability, then analyzed using descriptive statistics and a needs index. The findings indicate that although students have a strong interest in learning and social interaction, their learning independence is still low and is characterized by a high dependence on peer assistance. On the other hand, students' preference for collaborative learning is also very dominant. These results indicate a sociocognitive gap in science learning. Therefore, this study provides a conceptual contribution in the form of a foundation for developing a cooperative learning syntax based on social scaffolding to bridge the g</w:t>
      </w:r>
    </w:p>
    <w:p>
      <w:pPr/>
      <w:r>
        <w:rPr>
          <w:b/>
        </w:rPr>
        <w:t>POSSIBLE 2026:</w:t>
      </w:r>
      <w:r>
        <w:t xml:space="preserve"> The Role of Inquiry Based Learning in Science Learning: A Systematic Review of Literature — https://doi.org/10.29303/jppipa.v12i4.9941</w:t>
      </w:r>
    </w:p>
    <w:p>
      <w:pPr/>
      <w:r>
        <w:rPr>
          <w:b/>
        </w:rPr>
        <w:t>Shared claim-specific concepts:</w:t>
      </w:r>
      <w:r>
        <w:t xml:space="preserve"> science, learning, thinking, students; EU scope not established. This is a provisional connection, not an outcome finding.</w:t>
      </w:r>
    </w:p>
    <w:p>
      <w:pPr>
        <w:pStyle w:val="SourceNote"/>
      </w:pPr>
      <w:r>
        <w:rPr>
          <w:b/>
        </w:rPr>
        <w:t>Available abstract (not full text):</w:t>
      </w:r>
      <w:r>
        <w:t xml:space="preserve"> This study aims to examine the role of Inquiry-Based Learning (IBL) in improving the quality of science learning through a systematic literature review. The methodology followed the PRISMA framework, analyzing 17 reputable scientific articles retrieved from the Scopus database between 2018 and 2024. The results of the study indicate that IBL has a significant positive impact on science learning, particularly in enhancing students’ conceptual understanding, scientific process skills, and critical thinking abilities. Additionally, IBL contributes to increasing students’ motivation and positive attitudes toward science through active engagement in the learning process. Further discussion reveals that the success of IBL implementation is influenced by various factors, such as teacher readiness, availability of facilities, and learning time management. Nevertheless, IBL remains an effective approach in supporting student-centered science learning. Overall, this study concludes that IBL has great potential in improving the quality of science learning, but requires appropriate support and implementation strategies to be applied optimally</w:t>
      </w:r>
    </w:p>
    <w:p>
      <w:pPr/>
      <w:r>
        <w:rPr>
          <w:b/>
        </w:rPr>
        <w:t>POSSIBLE 2026:</w:t>
      </w:r>
      <w:r>
        <w:t xml:space="preserve"> Development of an Instrument for Assessing Critical Thinking in Science Learning among Secondary School Students: A Systematic Literature Review — https://openalex.org/W7216480916</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This systematic review synthesizes recent studies on the development and validation of critical thinking assessment instruments in science learning among secondary school students published between 2015 and 2025. Using the PRISMA 2020 framework, 20 eligible articles were identified from Scopus, Web of Science, and Crossref. The findings showed that reasoned multiple-choice test and essay tests were the most widely used formats, with Facione, Ennis, and the revised Bloom’s taxonomy serving as the dominant theoretical frameworks. Most instruments demonstrated good content validity and reliability, although evidence for construct validity remains limited. Instruments were primarily developed for senior high school students, focusing on biology, chemistry, and physics contexts, while development of instrument at the junior high school level were relatively scarce. Several studies also incorporated additional variables related to critical thinking, including science process skills, creative thinking, self-efficacy, and scientific literacy. Identified research gaps include the limited use of performance-based assessments, insufficient construct validity testing, and a lack of contextually grounded frameworks. These gaps highlight the need for more authentic, multidimensional, and empirically robust assessment models to measure students’ critical thinking skills in science learning.</w:t>
      </w:r>
    </w:p>
    <w:p>
      <w:pPr/>
      <w:r>
        <w:rPr>
          <w:b/>
        </w:rPr>
        <w:t>POSSIBLE 2026:</w:t>
      </w:r>
      <w:r>
        <w:t xml:space="preserve"> Innovation In Computer Science Learning Through Artificial Intelligence And Machine Learning Technologies — https://doi.org/10.66784/marlajar.v1i2.31</w:t>
      </w:r>
    </w:p>
    <w:p>
      <w:pPr/>
      <w:r>
        <w:rPr>
          <w:b/>
        </w:rPr>
        <w:t>Shared claim-specific concepts:</w:t>
      </w:r>
      <w:r>
        <w:t xml:space="preserve"> findings, recent, science, learning, systems; EU scope not established. This is a provisional connection, not an outcome finding.</w:t>
      </w:r>
    </w:p>
    <w:p>
      <w:pPr>
        <w:pStyle w:val="SourceNote"/>
      </w:pPr>
      <w:r>
        <w:rPr>
          <w:b/>
        </w:rPr>
        <w:t>Available abstract (not full text):</w:t>
      </w:r>
      <w:r>
        <w:t xml:space="preserve"> This conceptual paper proposes a novel framework for integrating artificial intelligence (AI) and machine learning (ML) technologies to innovate computer science education. The study employs a systematic literature review methodology, synthesizing recent advances in deep learning, transfer learning, and lifelong learning paradigms from peer-reviewed sources [1]–[22]. The findings reveal that AI-driven adaptive learning systems significantly enhance personalized instruction and student engagement, while ML-based predictive analytics enable early intervention strategies for at-risk learners. However, critical challenges persist, including algorithmic bias, data privacy concerns, and the need for continuous curriculum updates to maintain relevance. The novelty of this work lies in its unified framework that bridges theoretical underpinnings, such as unsupervised representation learning and continual learning—with practical implementations in intelligent tutoring, automated content generation, and ethical assessment systems. The primary contribution is a comprehensive roadmap for educators and policymakers to deploy AI/ML technologies responsibly, addressing both pedagogical efficacy and ethical considerations. This framework further identifies gaps in current evaluation metrics and faculty development initiatives, offering actionable directions for future research. By synthesizing</w:t>
      </w:r>
    </w:p>
    <w:p>
      <w:pPr/>
      <w:r>
        <w:rPr>
          <w:b/>
        </w:rPr>
        <w:t>POSSIBLE 2026:</w:t>
      </w:r>
      <w:r>
        <w:t xml:space="preserve"> DIFFERENTIATED LEARNING STRATEGIES TO IMPROVE THE INTERPERSONAL SKILLS OF STUDENTS WITH DISABILITIES IN SCIENCE LEARNING — https://doi.org/10.15408/elementar.v5i2.49692</w:t>
      </w:r>
    </w:p>
    <w:p>
      <w:pPr/>
      <w:r>
        <w:rPr>
          <w:b/>
        </w:rPr>
        <w:t>Shared claim-specific concepts:</w:t>
      </w:r>
      <w:r>
        <w:t xml:space="preserve"> findings, science, learning, activities, students; EU scope not established. This is a provisional connection, not an outcome finding.</w:t>
      </w:r>
    </w:p>
    <w:p>
      <w:pPr>
        <w:pStyle w:val="SourceNote"/>
      </w:pPr>
      <w:r>
        <w:rPr>
          <w:b/>
        </w:rPr>
        <w:t>Available abstract (not full text):</w:t>
      </w:r>
      <w:r>
        <w:t xml:space="preserve"> This study aims to analyze the role of differentiated learning in developing the interpersonal skills of students with disabilities through Natural Science (IPA) learning in an inclusive educational environment. Interpersonal skills, such as social participation, communication, collaboration, and self-confidence, are important competencies that support the academic and social success of students with disabilities, but are often not optimally developed in inclusive practices. This study used a Systematic Literature Review (SLR) design with a descriptive qualitative approach. Data were obtained from reputable national and international journal articles published between 2021 and 2025 and analyzed using thematic analysis techniques. The synthesis results indicate that differentiated learning—especially in the aspect of process differentiation—plays a significant role in improving the quality of social interactions of students with disabilities through flexible grouping, collaborative role assignments, and adjustments to learning activities according to students' readiness and learning profiles. Inquiry-based and collaborative IPA learning has proven to be an effective social space for inclusively training students' communication, cooperation, and self-confidence. These findings confirm that differentiated learning functions not only as an academic strategy but also as a social lea</w:t>
      </w:r>
    </w:p>
    <w:p>
      <w:pPr/>
      <w:r>
        <w:rPr>
          <w:b/>
        </w:rPr>
        <w:t>POSSIBLE 2026:</w:t>
      </w:r>
      <w:r>
        <w:t xml:space="preserve"> Effect of Problem-Based Learning Assisted by Wordwall on Science Learning in Elementary Schools — https://openalex.org/W7216694650</w:t>
      </w:r>
    </w:p>
    <w:p>
      <w:pPr/>
      <w:r>
        <w:rPr>
          <w:b/>
        </w:rPr>
        <w:t>Shared claim-specific concepts:</w:t>
      </w:r>
      <w:r>
        <w:t xml:space="preserve"> findings, science, learning, activities, involving, thinking; EU scope not established. This is a provisional connection, not an outcome finding.</w:t>
      </w:r>
    </w:p>
    <w:p>
      <w:pPr>
        <w:pStyle w:val="SourceNote"/>
      </w:pPr>
      <w:r>
        <w:rPr>
          <w:b/>
        </w:rPr>
        <w:t>Available abstract (not full text):</w:t>
      </w:r>
      <w:r>
        <w:t xml:space="preserve"> Science learning in elementary schools plays a crucial role in fostering students’ critical thinking skills. This study investigates the effect of implementing the Problem-Based Learning (PBL) model assisted by Wordwall in science education at an elementary school. A quasi-experimental design with a one-group pretest–posttest approach was employed, involving 14 students (N = 14). Research instruments included a validated and reliable multiple-choice achievement test, observation sheets of learning activities, and student response questionnaires. Data were analyzed using normality tests, N-gain, and paired t-tests with SPSS 21. The findings revealed a significant improvement in student learning outcomes, with mastery increasing from 35.71% (5 students) to 92.85% (13 students). The paired t-test produced a t-value of 9.165 with a significance level of p = 0.00006 (&lt; 0.05), indicating a highly significant difference before and after the intervention. These results suggest that the Problem-Based Learning model assisted by Wordwall is effective in enhancing science learning achievement and holds potential for application across other subjects and learning contexts.</w:t>
      </w:r>
    </w:p>
    <w:p>
      <w:pPr>
        <w:pStyle w:val="Heading2"/>
      </w:pPr>
      <w:r>
        <w:t>541. Forecast for the zone of viticulture in European Russia under climate change</w:t>
      </w:r>
    </w:p>
    <w:p>
      <w:pPr>
        <w:pStyle w:val="SourceNote"/>
      </w:pPr>
      <w:r>
        <w:rPr>
          <w:b/>
        </w:rPr>
        <w:t>Original source (2022):</w:t>
      </w:r>
      <w:r>
        <w:t xml:space="preserve"> https://doi.org/10.18699/vjgb-22-33</w:t>
      </w:r>
    </w:p>
    <w:p>
      <w:pPr/>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POSSIBLE 2026:</w:t>
      </w:r>
      <w:r>
        <w:t xml:space="preserve"> Non-stationary time series attribution for heatwaves over Europe — https://doi.org/10.5194/ascmo-12-243-2026</w:t>
      </w:r>
    </w:p>
    <w:p>
      <w:pPr/>
      <w:r>
        <w:rPr>
          <w:b/>
        </w:rPr>
        <w:t>Shared claim-specific concepts:</w:t>
      </w:r>
      <w:r>
        <w:t xml:space="preserve"> time, temperature, climate, heat;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time, decrease, increase, climate, reduce;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WINTER SOLSTICE DAY IN DIFFERENT CULTURES — https://doi.org/10.5281/zenodo.18169905</w:t>
      </w:r>
    </w:p>
    <w:p>
      <w:pPr/>
      <w:r>
        <w:rPr>
          <w:b/>
        </w:rPr>
        <w:t>Shared claim-specific concepts:</w:t>
      </w:r>
      <w:r>
        <w:t xml:space="preserve"> same, time, minimum, winter; EU scope visible. This is a provisional connection, not an outcome finding.</w:t>
      </w:r>
    </w:p>
    <w:p>
      <w:pPr>
        <w:pStyle w:val="SourceNote"/>
      </w:pPr>
      <w:r>
        <w:rPr>
          <w:b/>
        </w:rPr>
        <w:t>Available abstract (not full text):</w:t>
      </w:r>
      <w:r>
        <w:t xml:space="preserve"> The winter solstice is the moment when the Sun is at its minimum height above the horizon. The inclination of the axis along which the Earth rotates is at its maximum during the solstice, towards either the Northern or Southern Hemisphere. Therefore, the solstice occurs twice a year: in June, when the day becomes the longest, and in December, when the night turns out to be the longest. The phenomenon got its name because a few days before and after this moment, the position of the Sun in the sky at noon hardly changes. On the night of December 21-22 is the winter solstice, when the astronomical annual cycle ends, when you need to part with the old and not take it with you in the new year. This is the beginning of the astronomical winter. The longest night and the shortest day of the year. This is the holiday of the beginning of winter among the ancient Turks, the day of the renewal of time. A balloon reigns in space. For this reason, the Kazakhs call the first month of the winter season "zheltoksan" (December). December 25 is Nartugan Day, which is the same as Christmas in Europe, i.e. the birthday of the prophet Isa (Jesus). Kazakhs called the day of the winter solstice "karatun" (black night). For the nomadic people, karatun had a deep symbolic meaning and was perceived as a moment of transition when darkness reaches its peak, and then on the Day of Nartugan renewal and growt</w:t>
      </w:r>
    </w:p>
    <w:p>
      <w:pPr/>
      <w:r>
        <w:rPr>
          <w:b/>
        </w:rPr>
        <w:t>POSSIBLE 2026:</w:t>
      </w:r>
      <w:r>
        <w:t xml:space="preserve"> LITERATURE REVIEW: POLYPHARMACOTHERAPY AND ITS NEUROLOGICAL EFFECTS IN THE ELDERLY IN POLAND AND EUROPE — https://doi.org/10.31435/ijitss.2(50).2026.5712</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 recent years both in Poland and Europe there have been observed progressive demographic changes and aging of the population. Polypharmacy can be defined as the simultaneous and regular use of at least five different drugs and is particularly often used in elderly patients due to the multimorbidity. According to some sources, elderly people take between two and nine different medications daily, of which even about 60% are inappropriate. The aim of this paper is to summarize information on polypharmacy in seniors in order to plan it as best as possible and at the same time to avoid potential adverse effects, with particular emphasis on the nervous system. One of the most significant for polypharmacy is the age structure of the society. Poland is one of the European countries where the fastest growth of this ratio is observed. Huge problem seems to be the system of educating doctors, which is not adjusted to the changing demographics of the society. Furthermore, one of the factors contributing to polypharmacy is the excessive consumption of dietary supplements by Poles, especially geriatric patients - almost half of Poles consume them regularly. Polypharmacy can be defined as the simultaneous use of at least five different drugs. It is particularly often used in elderly patients due to the multimorbidity and lack of healthcare access. The advantage of polypharmacotherapy is fas</w:t>
      </w:r>
    </w:p>
    <w:p>
      <w:pPr/>
      <w:r>
        <w:rPr>
          <w:b/>
        </w:rPr>
        <w:t>POSSIBLE 2026:</w:t>
      </w:r>
      <w:r>
        <w:t xml:space="preserve"> Satellite-based Determination and Analysis of Groundwater Drought Index Time Series in Europe — https://doi.org/10.59440/ceer/220434</w:t>
      </w:r>
    </w:p>
    <w:p>
      <w:pPr/>
      <w:r>
        <w:rPr>
          <w:b/>
        </w:rPr>
        <w:t>Shared claim-specific concepts:</w:t>
      </w:r>
      <w:r>
        <w:t xml:space="preserve"> time, decrease, climate; EU scope visible. This is a provisional connection, not an outcome finding.</w:t>
      </w:r>
    </w:p>
    <w:p>
      <w:pPr>
        <w:pStyle w:val="SourceNote"/>
      </w:pPr>
      <w:r>
        <w:rPr>
          <w:b/>
        </w:rPr>
        <w:t>Available abstract (not full text):</w:t>
      </w:r>
      <w:r>
        <w:t xml:space="preserve"> According to the European Drought Observatory, more than 30% of Europe has been under drought warning conditions since 2018. This situation is primarily attributed to a persistent decline in groundwater resources. Satellite observations confirm that groundwater levels have not been recovering; in some regions, they continue to decrease. Data from the Global Gravity-based Groundwater Product (G3P) project, which employs satellite gravimetric measurements, enable continuous monitoring of groundwater variations and provide a globally consistent map of gravity field changes, directly converted into terrestrial water storage variations, of which groundwater is a key component. This study aims to estimate groundwater storage using models from the Global Gravity-based Groundwater Product derived from the Gravity Recovery and Climate Experiment (GRACE) mission. Based on the estimated groundwater storage, the Groundwater Drought Index (GDI) was calculated for climatically homogeneous regions in Europe, as defined by the Köppen–Geiger climate classification. To enhance the analysis of temporal GDI variations, the index time series was decomposed using the Fourier transform, allowing for the identification of dominant periodic components and long-term trends. Time series decomposition revealed a strong seasonal dependence of groundwater. The highest levels are observed in spring and the l</w:t>
      </w:r>
    </w:p>
    <w:p>
      <w:pPr/>
      <w:r>
        <w:rPr>
          <w:b/>
        </w:rPr>
        <w:t>POSSIBLE 2026:</w:t>
      </w:r>
      <w:r>
        <w:t xml:space="preserve"> Variations in Movement and Habitat Selection by Eurasian Curlew at Two Important Sites in Europe Throughout Winter — https://doi.org/10.1002/ece3.74164</w:t>
      </w:r>
    </w:p>
    <w:p>
      <w:pPr/>
      <w:r>
        <w:rPr>
          <w:b/>
        </w:rPr>
        <w:t>Shared claim-specific concepts:</w:t>
      </w:r>
      <w:r>
        <w:t xml:space="preserve"> time, winter, measures, coast, sea; EU scope visible. This is a provisional connection, not an outcome finding.</w:t>
      </w:r>
    </w:p>
    <w:p>
      <w:pPr>
        <w:pStyle w:val="SourceNote"/>
      </w:pPr>
      <w:r>
        <w:rPr>
          <w:b/>
        </w:rPr>
        <w:t>Available abstract (not full text):</w:t>
      </w:r>
      <w:r>
        <w:t xml:space="preserve"> ABSTRACT Shorebirds aim to replenish their body reserves during the wintering season to ensure their subsequent survival and to improve their breeding performance. However, their space use depends on their fluctuating resource availability and energy requirements throughout the winter. Hence, this study aimed to determine if the space and habitats used by Eurasian curlews ( Numenius arquata ) were influenced by their wintering site and stage. Sixty‐two curlews were equipped with GPS tags at two major wintering sites in Europe with contrasting waterbird density: the Pertuis Charentais (PC) in France and the German part of the Wadden Sea (WS). Their home ranges (HRs) and foraging habitat selection were compared according to three wintering stages requiring different energy demands (i.e., early winter, mid‐winter and late winter before migration). Curlews exhibited similar HR sizes at both sites throughout the winter, suggesting no effect of waterbird density on individuals' space use. HR sizes were larger during the day than at night and showed high inter‐individual variability, unrelated to sex. Notably, the HRs were larger during the first winter stage (i.e., Arrival–September), with curlews spending a greater proportion of time on mudflats, and selecting distinct foraging areas located further from the coast at this stage. Curlews in the WS fed mainly on the mudflats, while cu</w:t>
      </w:r>
    </w:p>
    <w:p>
      <w:pPr/>
      <w:r>
        <w:rPr>
          <w:b/>
        </w:rPr>
        <w:t>POSSIBLE 2026:</w:t>
      </w:r>
      <w:r>
        <w:t xml:space="preserve"> Non-native drought-resistant species withstand winter cold and spring frost in Central Europe — https://doi.org/10.1016/j.foreco.2026.123788</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Assisted migration of drought-resistant species represents an increasingly important strategy in forest management to mitigate the effects of climate change in Central Europe. However, their ecophysiology remains poorly understood, particularly regarding frost tolerance, limiting our ability to predict their establishment potential. Using a forest plantation established in 2012 at 658 m a.s.l. in Switzerland, we assessed winter frost hardiness and the risk of late spring frost in drought-resistant non-native tree species ( Fagus orientalis , Tilia tomentosa, Abies bornmuelleriana , and Cedrus libani ) and compared them with phylogenetically related native species ( Fagus sylvatica , Quercus petraea , Tilia platyphyllos , and Abies alba ). We measured lethal temperature thresholds (LT max ) for frost damage in buds and leaves, and evaluated phenological timing in relation to historical frost probability. Contrary to expectations, non-native species exhibited frost hardiness comparable to native species, with no significant differences in LT max values. As our study was conducted during the relatively mild winter of 2024–2025, the estimated frost hardiness may underestimate their full acclimation potential under colder conditions. The lack of consistent differences between native and non-native origins suggests that phenotypic plasticity and seasonal acclimation outweigh genetic </w:t>
      </w:r>
    </w:p>
    <w:p>
      <w:pPr/>
      <w:r>
        <w:rPr>
          <w:b/>
        </w:rPr>
        <w:t>POSSIBLE 2026:</w:t>
      </w:r>
      <w:r>
        <w:t xml:space="preserve"> European Energy Transition – Germany in the Heart of Europe — https://doi.org/10.34734/fzj-2026-02456</w:t>
      </w:r>
    </w:p>
    <w:p>
      <w:pPr/>
      <w:r>
        <w:rPr>
          <w:b/>
        </w:rPr>
        <w:t>Shared claim-specific concepts:</w:t>
      </w:r>
      <w:r>
        <w:t xml:space="preserve"> same, time, possible, require, measures, climate;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Atmospheric forcing of an extreme Baltic Sea-level depression and post-minimum exchange in winter 2025/2026 — https://doi.org/10.3389/fmars.2026.1949814</w:t>
      </w:r>
    </w:p>
    <w:p>
      <w:pPr/>
      <w:r>
        <w:rPr>
          <w:b/>
        </w:rPr>
        <w:t>Shared claim-specific concepts:</w:t>
      </w:r>
      <w:r>
        <w:t xml:space="preserve"> possible, decrease, minimum, winter, sea; EU scope not established. This is a provisional connection, not an outcome finding.</w:t>
      </w:r>
    </w:p>
    <w:p>
      <w:pPr>
        <w:pStyle w:val="SourceNote"/>
      </w:pPr>
      <w:r>
        <w:rPr>
          <w:b/>
        </w:rPr>
        <w:t>Available abstract (not full text):</w:t>
      </w:r>
      <w:r>
        <w:t xml:space="preserve"> Introduction During winter 2025/2026, the Baltic Sea experienced a pronounced basin-wide sea-level depression, with regional sea surface height (SSH) anomalies reaching approximately −60 cm or lower. We examine its atmospheric forcing, associated volume changes and subsequent hydrographic conditions. Methods We combine Copernicus Marine SSH, ERA5 atmospheric fields, Landsort/Landsort–Norra observations, modelled net transport across a Kattegat section, and CTD, Argo and glider measurements. Historical analyses assess the rarity of the atmospheric forcing and sea-level response. Results The minimum on 7 February 2026 followed persistent high pressure over the Baltic, easterly winds over the southern Baltic and North Sea, and an outflow-favourable Baltic–North Sea pressure difference. The Baltic–North Sea pressure-gradient anomaly peaked approximately five days before the Landsort–Norra sea-level minimum. The SSH-derived volume anomaly reached approximately −290 km³ relative to 1 November–15 December 2025 and increased to approximately −61 km³ by 6 April, a recovery of 229 km³, or 76% of the preceding 302 km³ decrease. The North Sea and southern Baltic easterly wind components ranked first among 87 winters, while the compound forcing index ranked second among 78 valid winters. The Landsort/Landsort–Norra sea-level minimum ranked fourth among 139 winter seasons. April CTD sections</w:t>
      </w:r>
    </w:p>
    <w:p>
      <w:pPr/>
      <w:r>
        <w:rPr>
          <w:b/>
        </w:rPr>
        <w:t>POSSIBLE 2026:</w:t>
      </w:r>
      <w:r>
        <w:t xml:space="preserve"> Holocene summer and winter temperature trends and excursions in East-Central Europe from Carpathian pollen records — https://doi.org/10.1038/s43247-026-04041-6</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This study reconstructs summer and winter temperatures for East-Central Europe (ECE) over the last 12 ka using pollen records from five mid-altitude sites in the Carpathian Mountains. Seasonal reconstructions were combined into composite records and statistically evaluated to identify significant long-term trends and short-term excursions. Both seasons reveal strong Early Holocene warming, followed by contrasting trajectories. Summer temperatures peaked at 7.2 ka (1.4 °C above Holocene mean) and then gradual declined, whereas winter temperatures continued rising until a Late Holocene maximum at 2.1 ka (1.7 °C above Holocene mean) before decreasing during the last two millennia. These opposing trends indicate a progressive reduction in continentality across ECE over the last 6 ka. The 8.2 ka event represents the only statistically significant short-term excursion, with a cooling of 2 °C in summer and 2.4 °C in winter. Comparison with independent proxy records and climate model simulations shows broad agreement with reconstructed pattern of Holocene seasonal temperature evolution.</w:t>
      </w:r>
    </w:p>
    <w:p>
      <w:pPr/>
      <w:r>
        <w:rPr>
          <w:b/>
        </w:rPr>
        <w:t>POSSIBLE 2026:</w:t>
      </w:r>
      <w:r>
        <w:t xml:space="preserve"> Emitted yesterday, polluting today: temporal source apportionment of fine particulate matter pollution over Central Europe — https://doi.org/10.5194/acp-26-4377-2026</w:t>
      </w:r>
    </w:p>
    <w:p>
      <w:pPr/>
      <w:r>
        <w:rPr>
          <w:b/>
        </w:rPr>
        <w:t>Shared claim-specific concepts:</w:t>
      </w:r>
      <w:r>
        <w:t xml:space="preserve"> time, decrease, minimum, winter; EU scope visible. This is a provisional connection, not an outcome finding.</w:t>
      </w:r>
    </w:p>
    <w:p>
      <w:pPr>
        <w:pStyle w:val="SourceNote"/>
      </w:pPr>
      <w:r>
        <w:rPr>
          <w:b/>
        </w:rPr>
        <w:t>Available abstract (not full text):</w:t>
      </w:r>
      <w:r>
        <w:t xml:space="preserve"> Abstract. Fine particulate matter (PM2.5) pollution remains a critical health issue in Europe. While numerous studies have quantified the spatio-sectoral sources of urban PM, the temporal origin has received minimum attention. This study addresses this gap by developing a novel Temporal Source Apportionment approach within the CAMx chemical transport model to quantify the long-term contributions of emissions from the preceding 14 days to PM concentrations, focusing on the 2010–2019 period and Central Europe. The results show that current-day emissions dominate winter PM2.5, contributing 30–60% on average, while day-1 emissions add further 20–30%. Contributions decrease with emission age, falling below 5% after three days and becoming negligible beyond seven days. Secondary inorganic aerosols and primary organic aerosols exhibit similar patterns, although for winter nitrate levels, the highest contribution comes from day-1 emissions, reflecting the time needed for chemical formation. Summer contributions are smaller due to enhanced mixing and faster removal, whereas biogenic emissions also contribute largely giving anthropogenic emissions a smaller role. Importantly, while the average contribution of older emissions is low, occasional episodes show substantial impacts: day-4 emissions can contribute up to 10%, and even week-old emissions can add 2% in winter. These findings emph</w:t>
      </w:r>
    </w:p>
    <w:p>
      <w:pPr/>
      <w:r>
        <w:rPr>
          <w:b/>
        </w:rPr>
        <w:t>POSSIBLE 2026:</w:t>
      </w:r>
      <w:r>
        <w:t xml:space="preserve"> European Strategic Autonomy and France — https://doi.org/10.36250/01328_11</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pStyle w:val="Heading2"/>
      </w:pPr>
      <w:r>
        <w:t>542. Forecasting the Volatility of European Union Allowance Futures with Climate Policy Uncertainty Using the EGARCH-MIDAS Model</w:t>
      </w:r>
    </w:p>
    <w:p>
      <w:pPr>
        <w:pStyle w:val="SourceNote"/>
      </w:pPr>
      <w:r>
        <w:rPr>
          <w:b/>
        </w:rPr>
        <w:t>Original source (2022):</w:t>
      </w:r>
      <w:r>
        <w:t xml:space="preserve"> https://doi.org/10.3390/su14074306</w:t>
      </w:r>
    </w:p>
    <w:p>
      <w:pPr/>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pPr/>
      <w:r>
        <w:rPr>
          <w:b/>
        </w:rPr>
        <w:t>POSSIBLE 2026:</w:t>
      </w:r>
      <w:r>
        <w:t xml:space="preserve"> Arithmetic modeling of a multilevel escape room — https://doi.org/10.3389/feduc.2026.1669956</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The acceptance of educational escape rooms as active evaluation tools is growing throughout the educational field, covering all areas and levels. In this paper, a multilevel educational escape room has been proposed, which is composed of a series of independent levels, such that each level has to be completed prior to taking up the next one. This specific layout allows instructors to allocate a given part of a course syllabus to each level, where a series of tests composed of randomly-selected questions must be taken in order to move along each level according to the scores obtained. A model for this type of escape room layout has been designed in order to find out the shortest possible time to complete it, considering a curvilinear relationship between the time spent in a test and the score obtained. Additionally, the verification of this model has been carried out by means of arithmetic calculations, as well as with a handcrafted algorithm coded in a programming language called Promela, which was run in a specific verification tool called Spin.</w:t>
      </w:r>
    </w:p>
    <w:p>
      <w:pPr/>
      <w:r>
        <w:rPr>
          <w:b/>
        </w:rPr>
        <w:t>POSSIBLE 2026:</w:t>
      </w:r>
      <w:r>
        <w:t xml:space="preserve"> Why Grey Room — https://doi.org/10.1162/grey.e.11</w:t>
      </w:r>
    </w:p>
    <w:p>
      <w:pPr/>
      <w:r>
        <w:rPr>
          <w:b/>
        </w:rPr>
        <w:t>Shared claim-specific concepts:</w:t>
      </w:r>
      <w:r>
        <w:t xml:space="preserve"> room, further, liquidity; EU scope visible. This is a provisional connection, not an outcome finding.</w:t>
      </w:r>
    </w:p>
    <w:p>
      <w:pPr>
        <w:pStyle w:val="SourceNote"/>
      </w:pPr>
      <w:r>
        <w:rPr>
          <w:b/>
        </w:rPr>
        <w:t>Available abstract (not full text):</w:t>
      </w:r>
      <w:r>
        <w:t xml:space="preserve"> Photo falling—Word falling—Break through in grey room—Towers, open fireWhen Branden Joseph, Reinhold Martin, and Felicity Scott founded Grey Room twenty-five years ago, they borrowed its title from a passage in William S. Burroughs's novel The Ticket That Exploded (1962). As a new editorial group takes the helm, we revisit this foundational part of the journal's identity to think about what it means to “break through in grey room” today.Burroughs wrote these lines amid a period of postwar, Atomic Age tumult. For a number of years he resided in the so-called International Zone of Tangier, Morocco—a semi-lawless place where sovereign state power was indefinite, a city on the cusp of decolonial revolution. In Burroughs's writings, it was fictionalized as the Interzone, “a place where the unknown past and the emergent future meet in a vibrating soundless hum.”1 No single national authority controlled the International Zone; its interstitial status was poised between a waning colonial Europe and the waxing Pax Americana, of which Burroughs was a certain sort of privileged scion. For decades, the Burroughs Corporation, a manufacturer of adding machines founded by the author's grandfather, acted as a significant rival to (and occasional collaborator with) IBM. In the first half of the twentieth century, its computers aided astronomical calculations that guided U.S. sailors on the open</w:t>
      </w:r>
    </w:p>
    <w:p>
      <w:pPr/>
      <w:r>
        <w:rPr>
          <w:b/>
        </w:rPr>
        <w:t>POSSIBLE 2026:</w:t>
      </w:r>
      <w:r>
        <w:t xml:space="preserve"> Empirical verification of the carbon dioxide concentration model in the didactic room — https://doi.org/10.12911/22998993/219343</w:t>
      </w:r>
    </w:p>
    <w:p>
      <w:pPr/>
      <w:r>
        <w:rPr>
          <w:b/>
        </w:rPr>
        <w:t>Shared claim-specific concepts:</w:t>
      </w:r>
      <w:r>
        <w:t xml:space="preserve"> room, carbon; EU scope not established. This is a provisional connection, not an outcome finding.</w:t>
      </w:r>
    </w:p>
    <w:p>
      <w:pPr>
        <w:pStyle w:val="SourceNote"/>
      </w:pPr>
      <w:r>
        <w:rPr>
          <w:b/>
        </w:rPr>
        <w:t>Available abstract (not full text):</w:t>
      </w:r>
      <w:r>
        <w:t xml:space="preserve"> Validation of the created mathematical model was based on the measurements of carbon dioxide concentration conducted in a teaching room in two variants.The highest average deviation of the results of the carbon dioxide concentration from the simulations and measurements is 2.1% (room A) and 1.6% (room B).The deviation of the results obtained from the simulation and the results obtained during experimental tests is smaller than the total measurement error for a given test series.The study showed the versatility of the model.It gives an opportunity to apply for a description of the hygiene conditions in different types of rooms, used by different number of people under variable internal conditions (temperature, relative humidity, atmospheric pressure).The assumptions and simplifications of the model are its advantages, because make the model easy to use.Simulation of carbon dioxide concentration in closed rooms using a model can be useful to determine the time of mechanical ventilation switching on or to determine its efficiency.The model can be used in the design of air quality monitoring systems, including the CO₂ sensors that control ventilation.It can also be useful for creating the tools for counting people in a room.</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there, possible;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Operating room planning problem under uncertainty: A regret minimization model — https://doi.org/10.1016/j.cor.2026.107614</w:t>
      </w:r>
    </w:p>
    <w:p>
      <w:pPr/>
      <w:r>
        <w:rPr>
          <w:b/>
        </w:rPr>
        <w:t>Shared claim-specific concepts:</w:t>
      </w:r>
      <w:r>
        <w:t xml:space="preserve"> room, further; EU scope not established. This is a provisional connection, not an outcome finding.</w:t>
      </w:r>
    </w:p>
    <w:p>
      <w:pPr>
        <w:pStyle w:val="SourceNote"/>
      </w:pPr>
      <w:r>
        <w:rPr>
          <w:b/>
        </w:rPr>
        <w:t>Available abstract (not full text):</w:t>
      </w:r>
      <w:r>
        <w:t xml:space="preserve"> Operating room (OR) planning presents a significant challenge for hospital managers due to inherent uncertainty in surgery durations, which are unknown at the time of scheduling. Decisions regarding the number of ORs to open and the assignment of surgeries must be made in advance, and inaccurate estimates can lead to idle capacity, excessive overtime, or delayed procedures. This study develops and compares three complementary optimization frameworks for OR planning under uncertainty: classical robust optimization (RO), regret minimization (RM), and a data-driven distributionally robust optimization (DRO) approach termed mean robust optimization (MRO). The RM model is designed to limit the maximum performance loss relative to an ex post optimal benchmark, thereby reducing excessive conservatism associated with worst-case planning. We show that both the RO and RM formulations admit equivalent robust counterparts and propose efficient column-and-constraint generation (C&amp;CG) algorithms to solve large-scale instances. To leverage historical surgery duration data, we further incorporate the MRO framework, which constructs data-driven ambiguity sets through clustering and provides a tunable balance between robustness and data adaptivity. Extensive computational experiments demonstrate clear behavioral differences among the models. While RO yields the most conservative schedules, RM ac</w:t>
      </w:r>
    </w:p>
    <w:p>
      <w:pPr/>
      <w:r>
        <w:rPr>
          <w:b/>
        </w:rPr>
        <w:t>POSSIBLE 2025:</w:t>
      </w:r>
      <w:r>
        <w:t xml:space="preserve"> The Elephant in the Family Policy Room: How Care Culture Influences the Effects of Public Childcare on Women’s Labor Market Participation in Europe — https://doi.org/10.1007/s11205-025-03719-2</w:t>
      </w:r>
    </w:p>
    <w:p>
      <w:pPr/>
      <w:r>
        <w:rPr>
          <w:b/>
        </w:rPr>
        <w:t>Shared claim-specific concepts:</w:t>
      </w:r>
      <w:r>
        <w:t xml:space="preserve"> room, achieve; EU scope visible. This is a provisional connection, not an outcome finding.</w:t>
      </w:r>
    </w:p>
    <w:p>
      <w:pPr>
        <w:pStyle w:val="SourceNote"/>
      </w:pPr>
      <w:r>
        <w:rPr>
          <w:b/>
        </w:rPr>
        <w:t>Available abstract (not full text):</w:t>
      </w:r>
      <w:r>
        <w:t xml:space="preserve">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pPr/>
      <w:r>
        <w:rPr>
          <w:b/>
        </w:rPr>
        <w:t>POSSIBLE 2025:</w:t>
      </w:r>
      <w:r>
        <w:t xml:space="preserve"> Stuck in the waiting room: citizen experiences of administrative limbo in three European crises — https://doi.org/10.1093/jopart/muaf017</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pPr/>
      <w:r>
        <w:rPr>
          <w:b/>
        </w:rPr>
        <w:t>POSSIBLE 2025:</w:t>
      </w:r>
      <w:r>
        <w:t xml:space="preserve"> EUROPEAN ASSESSMENT OF COASTAL FLOOD HAZARDS — https://doi.org/10.9753/icce.v38.management.202</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Although TWL calculation and flood modelling at large scales have been addressed in the literature before, there is still much room for improvement if adaptation policies are to be developed, as they require to be based on the most accurate and least uncertain risk analysis possible. As for the flood modeling itself, the highest resolution of digital elevation model (DEM) adopted is 25 m but with a static flood modeling approach, while the only pan-European dynamic flood modeling is applied to a 90 m DEM (Vousdoukas et al., 2016). By applying high-resolution and nearshore datasets of TWL, DEM and land use information to semi-empirical and process-based models, this study aims to advance knowledge in the identified gaps to better approach the requirements that risk-based adaptation frameworks are increasingly demanding as for resolution, accuracy, and uncertainty sampling.</w:t>
      </w:r>
    </w:p>
    <w:p>
      <w:pPr/>
      <w:r>
        <w:rPr>
          <w:b/>
        </w:rPr>
        <w:t>POSSIBLE 2025:</w:t>
      </w:r>
      <w:r>
        <w:t xml:space="preserve"> The Euclid Escape Room: a journey to the Origin of the Universe — https://doi.org/10.5281/zenodo.17828893</w:t>
      </w:r>
    </w:p>
    <w:p>
      <w:pPr/>
      <w:r>
        <w:rPr>
          <w:b/>
        </w:rPr>
        <w:t>Shared claim-specific concepts:</w:t>
      </w:r>
      <w:r>
        <w:t xml:space="preserve"> room, applied; EU scope visible. This is a provisional connection, not an outcome finding.</w:t>
      </w:r>
    </w:p>
    <w:p>
      <w:pPr>
        <w:pStyle w:val="SourceNote"/>
      </w:pPr>
      <w:r>
        <w:rPr>
          <w:b/>
        </w:rPr>
        <w:t>Available abstract (not full text):</w:t>
      </w:r>
      <w:r>
        <w:t xml:space="preserve"> Poster presented at the XXI International Workshop on Neutrino Telescopes - Padova 29 September - 3 October 2025 (https://agenda.infn.it/event/44606/) Abstract: The Euclid Escape Room is an Outreach project developed by the University of Padova and the INFN Euclid Group, it is officially endorsed by the Euclid International Collaboration.It is part of the efforts related to the European Researchers' Night, the first version of the game was developed in September 2022 and then updated every year with material describing the Euclid satellite launch and the official images released by ESA.The interactive activities are addressed to a group/class of about 25 people and fit an audience of kids and primary school students (up to 14 yrs). Euclid satellite components and scientific goals are described, several videos and pictures showing the satellite assembly and launch are shown and finally a 3D Euclid model can be admired. After the launch simulation several images and galaxy spectra are discussed, the procedures to be applied for redshift estimation are also introduced using Infrared cameras and diffraction gratings.Such activity was really appreciated by the public and we already reached an audience of about 1000 people; the project is complemented by educational material suitable to lectures and interactive activities aiming to introduce the study of the dark components of our Un</w:t>
      </w:r>
    </w:p>
    <w:p>
      <w:pPr/>
      <w:r>
        <w:rPr>
          <w:b/>
        </w:rPr>
        <w:t>POSSIBLE 2025:</w:t>
      </w:r>
      <w:r>
        <w:t xml:space="preserve"> European coastal flood hazards — https://doi.org/10.5194/egusphere-egu25-17323</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These risks include damage to coastal infrastructure and the built environment and impacts on the population. Identifying the key components of the total water level (TWL) reaching the coast and treating them properly to model flood propagation over land is a challenge whose complexity increases as the spatial scale increases. Although TWL calculation and flood modeling at large scales have been addressed in the literature before, there is still room for improvement if adaptation policies are to be developed, as they ought to be based on the most accurate and least uncertain risk analysis possible. For example, the resolution often adopted in existing studies for the TWL reconstruction (12.5 km to 70 km) is not high enough when it comes to estimating coastal impacts. This is mainly because such studies do not use downscaled wave dynamics but rather offshore conditions. Additionally, most research to date does not consider all main components of TWL neglecting the wave contribution, which can be an important driver of coastal flooding. Out of the ones that include it through wave setup, the majority use a simple approach (0.2Hs) and only a few adopt a semi-empirical formula, although with a spatially constant nea</w:t>
      </w:r>
    </w:p>
    <w:p>
      <w:pPr/>
      <w:r>
        <w:rPr>
          <w:b/>
        </w:rPr>
        <w:t>POSSIBLE 2025:</w:t>
      </w:r>
      <w:r>
        <w:t xml:space="preserve"> MATHEMATICAL MODELING OF ION DISPERSION IN ROOM : OPTIMIZATION PROBLEM SOLVING — https://doi.org/10.30838/ujcea.0434.270526.178.1272</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Problem statement. Ionization of air in the working room is an important task. The location of the ionizer in the room should be such as to provide the required concentration of ions in the working area. Thus, the task arises of determining the optimal location of the ionizer in the room for given room dimensions, the presence of furniture, equipment in the room and a given ventilation mode. The purpose of the article. Creation of a CFD model based on the aerodynamic equation and the coupled mass transfer equation to determine the optimal location of the ionizer in the room. Methodology. For the numerical solution of the modeling equations (the equation for the velocity potential and the conjugate mass transfer equation), finite-difference schemes are used. The numerical integration of the equation for the velocity potential is carried out using the Liebman method and a locally one-dimensional finite-difference scheme. For the numerical solution of the conjugate mass transfer equation, the methodology of G. Marchuk is used - the conjugate equation, through transformations, is reduced to the mass transfer equation. Then, two finite-difference schemes are used for the numerical integration of the mass transfer equation. The software implementation of the developed numerical models is carried out. The developed computer code makes it possible to take into account the presence of f</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applied;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pStyle w:val="Heading2"/>
      </w:pPr>
      <w:r>
        <w:t>543. Foresight Research as а Strategic Planning Component</w:t>
      </w:r>
    </w:p>
    <w:p>
      <w:pPr>
        <w:pStyle w:val="SourceNote"/>
      </w:pPr>
      <w:r>
        <w:rPr>
          <w:b/>
        </w:rPr>
        <w:t>Original source (2022):</w:t>
      </w:r>
      <w:r>
        <w:t xml:space="preserve"> https://doi.org/10.37491/unz.85-86.15</w:t>
      </w:r>
    </w:p>
    <w:p>
      <w:pPr/>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pPr/>
      <w:r>
        <w:rPr>
          <w:b/>
        </w:rPr>
        <w:t>POSSIBLE 2026:</w:t>
      </w:r>
      <w:r>
        <w:t xml:space="preserve"> Challenges and Opportunities in Single-Sample Network Modeling — https://doi.org/10.64898/2026.02.27.708608</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1 Abstract Analysis of biological networks can provide unprecedented insights into the mechanisms underlying disease. Although many methods have been developed to estimate biological networks, these approaches typically use multiple experimental samples to estimate a single ‘aggregate’ network, which fails to capture population-level heterogeneity. Recently, several methods have been developed that overcome this limitation by inferring networks for individual samples, i.e. single-sample networks. However, each approach for inferring single-sample networks has been formulated differently, making it challenging to compare them. To address this issue, we re-cast the mathematics of several single-sample network methods using common variables. We then systematically explore the parameters, caveats, and underlying assumptions made by each method and examine how these differences impact single-sample network prediction. Our analyses point to a critical trade-off that occurs when trying to simultaneously predict network edges that are both shared across samples as well as edges that are specific to a given sample. For example, the mathematics of both SWEET and BONOBO includes a scale factor that drives the weights of edges in the predicted single-sample networks toward a background network. The result is that, although networks predicted by these methods tend to have the highest accura</w:t>
      </w:r>
    </w:p>
    <w:p>
      <w:pPr/>
      <w:r>
        <w:rPr>
          <w:b/>
        </w:rPr>
        <w:t>POSSIBLE 2026:</w:t>
      </w:r>
      <w:r>
        <w:t xml:space="preserve"> A tissue time machine to forward-predict single-timepoint data applied to tuberculosis granulomas — https://doi.org/10.64898/2026.10.09.758083</w:t>
      </w:r>
    </w:p>
    <w:p>
      <w:pPr/>
      <w:r>
        <w:rPr>
          <w:b/>
        </w:rPr>
        <w:t>Shared claim-specific concepts:</w:t>
      </w:r>
      <w:r>
        <w:t xml:space="preserve"> predict, single, based, develop; EU scope not established. This is a provisional connection, not an outcome finding.</w:t>
      </w:r>
    </w:p>
    <w:p>
      <w:pPr>
        <w:pStyle w:val="SourceNote"/>
      </w:pPr>
      <w:r>
        <w:rPr>
          <w:b/>
        </w:rPr>
        <w:t>Available abstract (not full text):</w:t>
      </w:r>
      <w:r>
        <w:t xml:space="preserve"> Abstract Recent advances have improved understanding of infection; however many detailed datasets are based on single timepoints post-infection and cannot generate longitudinal insights needed to predict infection outcomes. For example, pulmonary infection with Mycobacterium tuberculosis (Mtb) initiates a complex system of immune and bacterial interactions that leads to granuloma formation, yet single snapshots in time need elaboration long-term. We develop a new approach, the tissue time machine , applied to predict outcomes of non-human primate granulomas from initiation to endpoint using single timepoint tissue datasets including high-dimensional spatial features. This involves identifying granuloma digital partners , simulations most closely resembling real granulomas from a virtual library of over 50,000. By analyzing digital partners, we predict infection outcomes of 22/28 granulomas, and that Mtb-specific, IFN-γ-producing T cell recruitment rates influence uncertainty for the 6/28. This method is applicable to any system that allows for mechanistic predictions over time using heterogeneous, incomplete, and high-dimensional datasets.</w:t>
      </w:r>
    </w:p>
    <w:p>
      <w:pPr/>
      <w:r>
        <w:rPr>
          <w:b/>
        </w:rPr>
        <w:t>POSSIBLE 2025:</w:t>
      </w:r>
      <w:r>
        <w:t xml:space="preserve"> The impacts of virtual try-on for online shopping on consumer purchase intention: the moderating role of technology experience — https://doi.org/10.1080/23311975.2025.2500774</w:t>
      </w:r>
    </w:p>
    <w:p>
      <w:pPr/>
      <w:r>
        <w:rPr>
          <w:b/>
        </w:rPr>
        <w:t>Shared claim-specific concepts:</w:t>
      </w:r>
      <w:r>
        <w:t xml:space="preserve"> based, usefulness, develop; EU scope not established. This is a provisional connection, not an outcome finding.</w:t>
      </w:r>
    </w:p>
    <w:p>
      <w:pPr>
        <w:pStyle w:val="SourceNote"/>
      </w:pPr>
      <w:r>
        <w:rPr>
          <w:b/>
        </w:rPr>
        <w:t>Available abstract (not full text):</w:t>
      </w:r>
      <w:r>
        <w:t xml:space="preserve"> This study investigates the impact of Virtual Try-On (VTO) on consumers’ purchase intentions in online shopping within an emerging economy, based on the Technology Acceptance Model (TAM). As e-commerce grows in markets like Vietnam, understanding VTO’s influence on consumer behavior is essential for enhancing engagement and sales. The study examines VTO’s effects on purchase intentions and explores the moderating role of technological experience. Data from 557 individuals in Vietnam were analyzed using Structural Equation Modeling (SEM). The results reveal that perceived value significantly impacts both customer attitudes toward VTO and purchase intentions. Perceived enjoyment (PE), along with two TAM factors—perceived usefulness (PU) and perceived ease of use (PEU)—positively influence attitudes toward VTO, with PU being the most significant. PU also directly affects purchase intentions. In contrast, perceived privacy risk (PR) negatively influences attitudes toward VTO. The study identifies the moderating role of technological experience (TE) in the relationship between attitudes toward VTO and purchase intentions, with greater TE strengthening the link. Overall, this research provides a comprehensive model for evaluating factors influencing online purchase decisions. The findings offer practical implications for e-commerce platforms and marketers to develop more effective VT</w:t>
      </w:r>
    </w:p>
    <w:p>
      <w:pPr/>
      <w:r>
        <w:rPr>
          <w:b/>
        </w:rPr>
        <w:t>POSSIBLE 2025:</w:t>
      </w:r>
      <w:r>
        <w:t xml:space="preserve"> Is it possible to predict single cane reed mouthpiece interaction by measuring the reed alone? — https://doi.org/10.61782/fa.2025.0509</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This paper deals with the experimental characterization of single cane reeds.According to some authors, the reed stiffness symmetry of the unmounted reed may explain it's perceived quality.Other studies show that the nonlinear stiffness of a reed mounted on a mouthpiece partially explains it's behavior in playing situations.According to these results, the aim of this work is to study the link between measurements performed on unmounted and mounted reeds.We adapted two experimental test rigs to characterize 90 reeds with 3 different strengths.The first is dedicated to unmounted reeds.It enables to measure the local stiffness at a known distance from the reed tip by imposing a displacement and measuring the force.The second test rig focuses on the reed mouthpiece interaction.Using a force sensor and a camera, it enables to estimate the nonlinear characteristics between lip force and reed channel area.Using these numerous measurements, we investigate the relation between the indicators by the use of statistical analysis and machine learning techniques.These methods enable to show several correlations between parameters obtained from unmounted and mounted reed measurements.</w:t>
      </w:r>
    </w:p>
    <w:p>
      <w:pPr/>
      <w:r>
        <w:rPr>
          <w:b/>
        </w:rPr>
        <w:t>POSSIBLE 2025:</w:t>
      </w:r>
      <w:r>
        <w:t xml:space="preserve"> A stochastic and microscopic model to predict road traffic noise by random generation of single vehicles' speeds — https://doi.org/10.1121/10.0035570</w:t>
      </w:r>
    </w:p>
    <w:p>
      <w:pPr/>
      <w:r>
        <w:rPr>
          <w:b/>
        </w:rPr>
        <w:t>Shared claim-specific concepts:</w:t>
      </w:r>
      <w:r>
        <w:t xml:space="preserve"> predict, single, sound; EU scope not established. This is a provisional connection, not an outcome finding.</w:t>
      </w:r>
    </w:p>
    <w:p>
      <w:pPr>
        <w:pStyle w:val="SourceNote"/>
      </w:pPr>
      <w:r>
        <w:rPr>
          <w:b/>
        </w:rPr>
        <w:t>Available abstract (not full text):</w:t>
      </w:r>
      <w:r>
        <w:t xml:space="preserve"> Road traffic noise is the major component of acoustic environmental pollution both in urban and rural areas. For this reason, much effort has been put into developing models to assess its impact. However, literature models are often suitable for standard conditions but can fail in non-standard ones, i.e., when the single vehicle speed cannot be neglected. Moreover, input data to literature models are not always available, e.g., if the road infrastructure is still in the design phase. The presented approach aims to try to overcome these shortcomings using a microscopic and stochastic-core model, in which the speed of each vehicle can be randomly generated using a specific speed distribution. The validation of the model, investigated through a statistical analysis of simulated continuous equivalent sound pressure levels, the error distribution, and the calculation of commonly used error metrics suggests that the proposed methodology provides good estimations of traffic noise. The errors of the model computed as the differences between measured and simulated sound levels, can be described as a distribution curve with a -0.6 dBA mean and a standard deviation of 2.3 dBA. The error metrics confirm the model's goodness, with a mean absolute error of 1.84 dBA and a coefficient of variation error of 0.03.</w:t>
      </w:r>
    </w:p>
    <w:p>
      <w:pPr/>
      <w:r>
        <w:rPr>
          <w:b/>
        </w:rPr>
        <w:t>POSSIBLE 2025:</w:t>
      </w:r>
      <w:r>
        <w:t xml:space="preserve"> P1152 Single center study of using clinical decision support tool to predict outcomes of vedolizumab therapy in Crohn’s disease patients — https://doi.org/10.1093/ecco-jcc/jjae190.1326</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Abstract Background There is a need to identify Crohn’s Disease (CD) patients who will be most suitable and obtain most clinical benefit from treatment with vedolizumab (VDZ), an anti-α4β7 integrin inhibitor for the treatment of ulcerative colitis and Crohn’s Disease (CD). Previously, a clinical decision support tool (CDST) has been developed and validated to guide treatment decisions in CD patients treated with VDZ.1 In this study, we analyzed the ability of the CDST to predict clinical outcomes in CD patients. Methods Patients with moderate to severe CD receiving maintenance treatment with VDZ in single center were retrospectively analyzed using the CDST. We divided patient by CDST into low (≤13 points), intermediate (&gt;13 and ≤19 points) and high response probability groups (&gt;19 points) based on the previously developed scoring system. Clinical outcomes assessed included persistence on therapy and CD-related hospitalizations and surgery rates. Results We included 174 patients who were treated with VDZ for at least 6 months in our center. Using the CDST, at baseline, 23 patients (13%) had a low, 81 (47%) had an intermediate, and 70 (40%) had a high probability of treatment response with VDZ. Patients with low probability showed a trend toward reduced persistence on therapy, though this difference did not reach statistical significance (p=0.13). However, when patients were anal</w:t>
      </w:r>
    </w:p>
    <w:p>
      <w:pPr/>
      <w:r>
        <w:rPr>
          <w:b/>
        </w:rPr>
        <w:t>POSSIBLE 2025:</w:t>
      </w:r>
      <w:r>
        <w:t xml:space="preserve"> Multi-Output Classification for Predicting Stock Market Trend in the Electronic Sector of Thailand — https://doi.org/10.3233/atde250583</w:t>
      </w:r>
    </w:p>
    <w:p>
      <w:pPr/>
      <w:r>
        <w:rPr>
          <w:b/>
        </w:rPr>
        <w:t>Shared claim-specific concepts:</w:t>
      </w:r>
      <w:r>
        <w:t xml:space="preserve"> tries, predict, single, several; EU scope not established. This is a provisional connection, not an outcome finding.</w:t>
      </w:r>
    </w:p>
    <w:p>
      <w:pPr>
        <w:pStyle w:val="SourceNote"/>
      </w:pPr>
      <w:r>
        <w:rPr>
          <w:b/>
        </w:rPr>
        <w:t>Available abstract (not full text):</w:t>
      </w:r>
      <w:r>
        <w:t xml:space="preserve"> General classification task in machine learning aims at predicting outcome of a single target, whereas multi-output classification tries to predict possible outcome of several targets simultaneously. In this research we propose a method of multi-output classification applied to the financial area. Historical trading data focusing only the electronic sector of Thailand’s stock exchange market have been used as an input feeding into our novel data augmentation framework to generate various features including financial indicators, movement trends within a short period of three days, and a set of three target fields that predict trend in the next two days. Our study contributes to the field by demonstrating the effectiveness of feature engineering method and multi-output classification algorithm in capturing the complex relationships and dependencies within the electronic sector, thereby aiding investors and analysts in making informed decisions.</w:t>
      </w:r>
    </w:p>
    <w:p>
      <w:pPr/>
      <w:r>
        <w:rPr>
          <w:b/>
        </w:rPr>
        <w:t>POSSIBLE 2025:</w:t>
      </w:r>
      <w:r>
        <w:t xml:space="preserve"> A two-stage randomized basket trial with latent baskets based on a single predictive biomarker — https://openalex.org/W7139423024</w:t>
      </w:r>
    </w:p>
    <w:p>
      <w:pPr/>
      <w:r>
        <w:rPr>
          <w:b/>
        </w:rPr>
        <w:t>Shared claim-specific concepts:</w:t>
      </w:r>
      <w:r>
        <w:t xml:space="preserve"> single, based, develop; EU scope not established. This is a provisional connection, not an outcome finding.</w:t>
      </w:r>
    </w:p>
    <w:p>
      <w:pPr>
        <w:pStyle w:val="SourceNote"/>
      </w:pPr>
      <w:r>
        <w:rPr>
          <w:b/>
        </w:rPr>
        <w:t>Available abstract (not full text):</w:t>
      </w:r>
      <w:r>
        <w:t xml:space="preserve"> Background: Randomized basket trials can evaluate the efficacy of a common experimental inter-vention versus a control intervention across multiple diseases, or “baskets”. Treatment effects may vary across patient subgroups for a predictive biomarker. We extend the basket design for a single disease with different “baskets” of patients with different biomarker values. Further, we consider the biomarker-based baskets as latent at the start of the trial. There are few published methods that have addressed subgroup identification in basket trials. Objective: For a single, known, con- tinuous biomarker with an unknown cutpoint, we aim to develop a method to identify the optimal cutpoint and apply it to a two-stage randomized basket design with a binary outcome. Methods: We conducted a simulation study to evaluate the power and type I error of our two-stage basket design with a binary outcome. In Stage 1, we enrol and randomize 50% of the target sample size. Using interim data, we estimate the optimal biomarker cutpoint that best identifies heterogeneous treatment effects and partition patients into two baskets. Then, we prune inactive baskets with low treatment efficacy. In Stage 2, we enrol additional patients in the remaining baskets until the target sample size. For the final pooled analysis, we declare superiority of the experimental intervention using the empirically-determine</w:t>
      </w:r>
    </w:p>
    <w:p>
      <w:pPr/>
      <w:r>
        <w:rPr>
          <w:b/>
        </w:rPr>
        <w:t>POSSIBLE 2024:</w:t>
      </w:r>
      <w:r>
        <w:t xml:space="preserve"> To be predicted, or not to be predicted — https://doi.org/10.4324/9781032656885-2</w:t>
      </w:r>
    </w:p>
    <w:p>
      <w:pPr/>
      <w:r>
        <w:rPr>
          <w:b/>
        </w:rPr>
        <w:t>Shared claim-specific concepts:</w:t>
      </w:r>
      <w:r>
        <w:t xml:space="preserve"> predict, single, uses; EU scope not established. This is a provisional connection, not an outcome finding.</w:t>
      </w:r>
    </w:p>
    <w:p>
      <w:pPr>
        <w:pStyle w:val="SourceNote"/>
      </w:pPr>
      <w:r>
        <w:rPr>
          <w:b/>
        </w:rPr>
        <w:t>Available abstract (not full text):</w:t>
      </w:r>
      <w:r>
        <w:t xml:space="preserve">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pPr/>
      <w:r>
        <w:rPr>
          <w:b/>
        </w:rPr>
        <w:t>POSSIBLE 2024:</w:t>
      </w:r>
      <w:r>
        <w:t xml:space="preserve"> Single Moving Average Method Forecasting to Predict Skincare Sales — https://doi.org/10.24014/ijaidm.v8i1.32028</w:t>
      </w:r>
    </w:p>
    <w:p>
      <w:pPr/>
      <w:r>
        <w:rPr>
          <w:b/>
        </w:rPr>
        <w:t>Shared claim-specific concepts:</w:t>
      </w:r>
      <w:r>
        <w:t xml:space="preserve"> tries, predict, single, based; EU scope not established. This is a provisional connection, not an outcome finding.</w:t>
      </w:r>
    </w:p>
    <w:p>
      <w:pPr>
        <w:pStyle w:val="SourceNote"/>
      </w:pPr>
      <w:r>
        <w:rPr>
          <w:b/>
        </w:rPr>
        <w:t>Available abstract (not full text):</w:t>
      </w:r>
      <w:r>
        <w:t xml:space="preserve">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pPr/>
      <w:r>
        <w:rPr>
          <w:b/>
        </w:rPr>
        <w:t>POSSIBLE 2024:</w:t>
      </w:r>
      <w:r>
        <w:t xml:space="preserve"> Significance of Anatomical Constraints in Virtual Try-On — https://doi.org/10.1109/tetci.2024.3353080</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pPr/>
      <w:r>
        <w:rPr>
          <w:b/>
        </w:rPr>
        <w:t>POSSIBLE 2024:</w:t>
      </w:r>
      <w:r>
        <w:t xml:space="preserve"> Hybrid Visual Predictive Control for Single and Multi-Agent Systems — https://doi.org/10.32920/25234732</w:t>
      </w:r>
    </w:p>
    <w:p>
      <w:pPr/>
      <w:r>
        <w:rPr>
          <w:b/>
        </w:rPr>
        <w:t>Shared claim-specific concepts:</w:t>
      </w:r>
      <w:r>
        <w:t xml:space="preserve"> single, several, based; EU scope not established. This is a provisional connection, not an outcome finding.</w:t>
      </w:r>
    </w:p>
    <w:p>
      <w:pPr>
        <w:pStyle w:val="SourceNote"/>
      </w:pPr>
      <w:r>
        <w:rPr>
          <w:b/>
        </w:rPr>
        <w:t>Available abstract (not full text):</w:t>
      </w:r>
      <w:r>
        <w:t xml:space="preserve">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pPr>
        <w:pStyle w:val="Heading2"/>
      </w:pPr>
      <w:r>
        <w:t>544. Foresight of teachers’ professional challenges</w:t>
      </w:r>
    </w:p>
    <w:p>
      <w:pPr>
        <w:pStyle w:val="SourceNote"/>
      </w:pPr>
      <w:r>
        <w:rPr>
          <w:b/>
        </w:rPr>
        <w:t>Original source (2022):</w:t>
      </w:r>
      <w:r>
        <w:t xml:space="preserve"> https://doi.org/10.17853/1994-5639-2022-6-60-83</w:t>
      </w:r>
    </w:p>
    <w:p>
      <w:pPr/>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POSSIBLE 2026:</w:t>
      </w:r>
      <w:r>
        <w:t xml:space="preserve"> Main Results of the Second LPT Challenge — https://doi.org/10.55037/lxlaser.22nd.105</w:t>
      </w:r>
    </w:p>
    <w:p>
      <w:pPr/>
      <w:r>
        <w:rPr>
          <w:b/>
        </w:rPr>
        <w:t>Shared claim-specific concepts:</w:t>
      </w:r>
      <w:r>
        <w:t xml:space="preserve"> main, challenge, time; EU scope not established. This is a provisional connection, not an outcome finding.</w:t>
      </w:r>
    </w:p>
    <w:p>
      <w:pPr>
        <w:pStyle w:val="SourceNote"/>
      </w:pPr>
      <w:r>
        <w:rPr>
          <w:b/>
        </w:rPr>
        <w:t>Available abstract (not full text):</w:t>
      </w:r>
      <w:r>
        <w:t xml:space="preserve">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pPr/>
      <w:r>
        <w:rPr>
          <w:b/>
        </w:rPr>
        <w:t>POSSIBLE 2026:</w:t>
      </w:r>
      <w:r>
        <w:t xml:space="preserve"> ANALYSIS OF COMPETENCY DEVELOPMENT POLICY IN IMPROVING EMPLOYEE PERFORMANCE AT THE SIROMBU DISTRICT OFFICE — https://doi.org/10.47652/metadata.v8i1.980</w:t>
      </w:r>
    </w:p>
    <w:p>
      <w:pPr/>
      <w:r>
        <w:rPr>
          <w:b/>
        </w:rPr>
        <w:t>Shared claim-specific concepts:</w:t>
      </w:r>
      <w:r>
        <w:t xml:space="preserve"> found, lack, techniques; EU scope not established. This is a provisional connection, not an outcome finding.</w:t>
      </w:r>
    </w:p>
    <w:p>
      <w:pPr>
        <w:pStyle w:val="SourceNote"/>
      </w:pPr>
      <w:r>
        <w:rPr>
          <w:b/>
        </w:rPr>
        <w:t>Available abstract (not full text):</w:t>
      </w:r>
      <w:r>
        <w:t xml:space="preserve"> ABSTRACT This study aims to analyze the competency development policy implemented to improve employee performance at the Sirombu Sub-district Office. The research method used is qualitative with data collection techniques through in-depth interviews with relevant employees. The results of the study indicate that the implemented competency development policy has had a positive impact on improving employee performance, although several obstacles were still found such as limited resources and a lack of structured training. The conclusion of this study is that the competency development policy needs to be strengthened with more consistent training support and regular evaluations so that employee performance can continue to improve significantly. The results of the study indicate that the sub-district office has improved training and competency development programs and conducted regular monitoring to ensure the effectiveness of the implemented policies.</w:t>
      </w:r>
    </w:p>
    <w:p>
      <w:pPr/>
      <w:r>
        <w:rPr>
          <w:b/>
        </w:rPr>
        <w:t>POSSIBLE 2026:</w:t>
      </w:r>
      <w:r>
        <w:t xml:space="preserve"> IMPLEMENTATION OF 12 CORE COMPETENCY TRAINING, PRECEPTORSHIP METHOD FOR NEW NURSES IN IMPROVING THE 12 CORE COMPETENCIES OF NEW NURSES AT PRIMAYA PGI CIKINI HOSPITAL, CENTRAL JAKARTA — https://doi.org/10.58439/hnp.v4i1.474</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In accordance with the Hospital Law No. 44 of 2009 concerning hospitals, hospitals must have nursing staff including New Nurses. New nurses in their work environment are found to lack clinical, social and emotional support which reduces their confidence in practicing nursing care such as lack of knowledge and practical competence when facing complex situations in the work environment. According to SKPI 2012, nurses must be able to carry out 12 basic nursing competencies competently. The implementation of 12 core competencies for new nurses is very important to improve nurse competence. The purpose of this study is to determine the effectiveness of training on the implementation of 12 core competencies by Preceptors on improving 12 core competencies for New Nurses. The research method uses quantitative research with a quasi-experimental design with a pretest-posttest control group design, namely a two-group design selected by consecutive sampling that meets the inclusion criteria with a sample of 20 new nurses, 10 nurses in the intervention group and 10 nurses in the control group. The results of the normality and homogeneity tests showed that the data were normally distributed and both groups had homogeneous variances, so the selection of parametric statistical tests such as the paired t-test and independent t-test was appropriate. The results of the paired t-test in the interv</w:t>
      </w:r>
    </w:p>
    <w:p>
      <w:pPr/>
      <w:r>
        <w:rPr>
          <w:b/>
        </w:rPr>
        <w:t>POSSIBLE 2026:</w:t>
      </w:r>
      <w:r>
        <w:t xml:space="preserve"> The AI Answer Evidence Index: data, code and results of the main run — https://doi.org/10.5281/zenodo.23238428</w:t>
      </w:r>
    </w:p>
    <w:p>
      <w:pPr/>
      <w:r>
        <w:rPr>
          <w:b/>
        </w:rPr>
        <w:t>Shared claim-specific concepts:</w:t>
      </w:r>
      <w:r>
        <w:t xml:space="preserve"> result, found, main, time; EU scope not established. This is a provisional connection, not an outcome finding.</w:t>
      </w:r>
    </w:p>
    <w:p>
      <w:pPr>
        <w:pStyle w:val="SourceNote"/>
      </w:pPr>
      <w:r>
        <w:rPr>
          <w:b/>
        </w:rPr>
        <w:t>Available abstract (not full text):</w:t>
      </w:r>
      <w:r>
        <w:t xml:space="preserve"> This record holds the data, the code and the results of the main run of The AI Answer Evidence Index. The study asks whether a reader who follows an AI answer engine's own sources can find there the figures the answer gives: do the numbers in AI answers have sources? It measures whether a figure in an answer occurs on the pages that answer cites, and it does not measure whether any figure is correct. Fifty buyer questions about prices, costs, fees and value, drawn by a written rule from Google autocomplete suggestions, were put to Google AI Overviews, ChatGPT and Gemini through their free public web interfaces from a New York network exit on 5 to 7 October 2026, by fixed scripts, and the first ten were asked a second time. The design, the questions and the instrument were registered for these three engines before the first answer was collected (doi:10.5281/zenodo.23145556, published 5 October 2026 at 13:32:08 UTC). A local model listed the figures in each answer, a script checked every listed figure against the pages the answer cites, the figures that were not found were classified, and a 40-figure sample drawn from the figures of the three registered engines was read by a second model; both readings are model readings and are reported as such. Two engines were added after the registration and outside it, as exploratory additions. The same fifty questions were put once to Perpl</w:t>
      </w:r>
    </w:p>
    <w:p>
      <w:pPr/>
      <w:r>
        <w:rPr>
          <w:b/>
        </w:rPr>
        <w:t>POSSIBLE 2026:</w:t>
      </w:r>
      <w:r>
        <w:t xml:space="preserve"> The Three Dimensions of Cultural Competency in Art Therapy Education: Awareness, Knowledge, and Skills — https://doi.org/10.25777/xppk-0605</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The subject of multicultural competent practice has gained attention from the mental health professions for the last few decades. Many health profession’s associations took actions to ensure that cultural competent practice is one of the major focuses in the educational setting. The American Art Therapy Association understood the necessity of multicultural competency education and in December 2011, announced the Multicultural / Diversity Competencies as a guideline for practicing art therapists and educators to establish cultural competency standards. Lack of research in the subject of multicultural competency inspired this study to examine the art therapy education program in a wide range of areas, from curriculum design to teaching methods. A new instrument, Survey for Art Therapy Educators of Cultural Competency Course Content, was designed specifically for the purpose of this study to assess cultural competency within the art therapy educational programs. Results found from the study were promising in terms of identifying current issues and for use as a reference for future study in art therapy multicultural competency education.</w:t>
      </w:r>
    </w:p>
    <w:p>
      <w:pPr/>
      <w:r>
        <w:rPr>
          <w:b/>
        </w:rPr>
        <w:t>POSSIBLE 2026:</w:t>
      </w:r>
      <w:r>
        <w:t xml:space="preserve"> Diagnosis and Derivation of Implications for the Integrated Management and Operation of Competency-Based Extracurricular Programs : Focusing on Operational Data of University A's Student Competency Management System — https://doi.org/10.46392/kjge.2026.20.4.127</w:t>
      </w:r>
    </w:p>
    <w:p>
      <w:pPr/>
      <w:r>
        <w:rPr>
          <w:b/>
        </w:rPr>
        <w:t>Shared claim-specific concepts:</w:t>
      </w:r>
      <w:r>
        <w:t xml:space="preserve"> result, found, lack, competencies; EU scope not established. This is a provisional connection, not an outcome finding.</w:t>
      </w:r>
    </w:p>
    <w:p>
      <w:pPr>
        <w:pStyle w:val="SourceNote"/>
      </w:pPr>
      <w:r>
        <w:rPr>
          <w:b/>
        </w:rPr>
        <w:t>Available abstract (not full text):</w:t>
      </w:r>
      <w:r>
        <w:t xml:space="preserve"> This study aims to diagnose the operational structure of university extracurricular curricula from various perspectives based on data and to derive implications for the integrated management and operation of competency-based extracurricular programs. Previous research on extracurricular activities has focused on verifying the effectiveness of individual programs or surveys of student perceptions, resulting in a relative lack of effort in interpreting the significance of operational data accumulated in systems. Therefore, this study focused on interpretation rather than data collection, analyzing all extracurricular programs from the 2023-2025 academic years accumulated by University A in its Student Competency Management System. The analysis was conducted by diagnosing the distribution of programs by type, operating entities, semester linkage structures, inter-core competency linkage structures, similar and overlapping operations, and the actual state of data quality through descriptive statistics, frequency analysis, chi-square tests, and effect sizes (Cramér's V).As a result, it was confirmed that the extracurricular curriculum at University A operates around a single, biased axis converging on types of employment and entrepreneurship, administrative and support departments, regular semesters, and problem-solving competencies. Furthermore, it was found that for three years, t</w:t>
      </w:r>
    </w:p>
    <w:p>
      <w:pPr/>
      <w:r>
        <w:rPr>
          <w:b/>
        </w:rPr>
        <w:t>POSSIBLE 2026:</w:t>
      </w:r>
      <w:r>
        <w:t xml:space="preserve"> How to Evaluate the Relevance of Skills and Competencies — https://doi.org/10.59490/mt.266.96</w:t>
      </w:r>
    </w:p>
    <w:p>
      <w:pPr/>
      <w:r>
        <w:rPr>
          <w:b/>
        </w:rPr>
        <w:t>Shared claim-specific concepts:</w:t>
      </w:r>
      <w:r>
        <w:t xml:space="preserve"> competencies, skills, teachers; EU scope not established. This is a provisional connection, not an outcome finding.</w:t>
      </w:r>
    </w:p>
    <w:p>
      <w:pPr>
        <w:pStyle w:val="SourceNote"/>
      </w:pPr>
      <w:r>
        <w:rPr>
          <w:b/>
        </w:rPr>
        <w:t>Available abstract (not full text):</w:t>
      </w:r>
      <w:r>
        <w:t xml:space="preserve"> This chapter discusses the rationale and means to evaluate the relevance of transferable competencies and skills for engineering degrees. It presents three processes that have been used in different contexts to identify which transferable skills and competencies are needed in engineering work. The cases also illustrate how the viewpoints of different stakeholders can be brought to the table. Although the evaluation of the relevance of skills may be more pertinent to programme heads and other educational leaders responsible for the construction of entire degrees, knowing about these processes and their outcomes can also benefit lecturers of a single course or module by showing where some of the requirements set for the teachers originate from and how they are justified. The chapter finishes with recommendations for those who wish to conduct an evaluation of relevance in their own context.</w:t>
      </w:r>
    </w:p>
    <w:p>
      <w:pPr/>
      <w:r>
        <w:rPr>
          <w:b/>
        </w:rPr>
        <w:t>POSSIBLE 2026:</w:t>
      </w:r>
      <w:r>
        <w:t xml:space="preserve"> The role of general competencies in the success of engineering project managers. — https://openalex.org/W7163092825</w:t>
      </w:r>
    </w:p>
    <w:p>
      <w:pPr/>
      <w:r>
        <w:rPr>
          <w:b/>
        </w:rPr>
        <w:t>Shared claim-specific concepts:</w:t>
      </w:r>
      <w:r>
        <w:t xml:space="preserve"> found, main, lack, competencies, skills; EU scope not established. This is a provisional connection, not an outcome finding.</w:t>
      </w:r>
    </w:p>
    <w:p>
      <w:pPr>
        <w:pStyle w:val="SourceNote"/>
      </w:pPr>
      <w:r>
        <w:rPr>
          <w:b/>
        </w:rPr>
        <w:t>Available abstract (not full text):</w:t>
      </w:r>
      <w:r>
        <w:t xml:space="preserve"> This thesis analyzes the role of general competencies in the success of engineering project managers. The relevance of the topic is driven by the changing nature of engineering projects, which are increasingly influenced by digitalization, technological complexity, sustainability requirements, and the need to work with multidisciplinary specialists. Although engineering project managers are traditionally associated with technical knowledge and project management methods, the analysis shows that these elements alone are insufficient to ensure successful project outcomes. Therefore, this thesis addresses the problem of what role general competencies play in the success of engineering project managers. The theoretical part examines the concept of competence and general competencies, their models, and their significance in project management. General competencies are transferable skills that help individuals operate in changing professional situations; they encompass communication, collaboration, conflict management, critical thinking, self-regulation, planning, decision-making, and the use of information and technology. Based on this, a theoretical model was developed in this study, distinguishing three main groups of general competencies relevant to engineering project managers: the ability to act autonomously, the ability to act in socially heterogeneous groups, and the ability </w:t>
      </w:r>
    </w:p>
    <w:p>
      <w:pPr/>
      <w:r>
        <w:rPr>
          <w:b/>
        </w:rPr>
        <w:t>POSSIBLE 2026:</w:t>
      </w:r>
      <w:r>
        <w:t xml:space="preserve"> COMPARATIVE ANALYSIS OF THE MAIN PRINCIPLES OF DOMESTIC CRIMINAL LAW — https://doi.org/10.14258/ralj(2026)1.12</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article provides a comparative analysis of the main starting points and principles of domesticcriminal legislation. It examines the principles of legality, equality of citizens before the law, guilt, justice, andhumanism, which are currently enshrined in the Criminal Code of the Russian Federation. The article alsoexplores the relationship between these principles and the main starting points found in the previous criminallaws of the RSFSR. It identifies the constructive and positive aspects of the criminal laws of previous historicaleras. The article concludes that the principles of the Criminal Code of the Russian Federation are a result ofthe development of the main starting points and principles of the criminal laws of previous historical periods.</w:t>
      </w:r>
    </w:p>
    <w:p>
      <w:pPr/>
      <w:r>
        <w:rPr>
          <w:b/>
        </w:rPr>
        <w:t>POSSIBLE 2026:</w:t>
      </w:r>
      <w:r>
        <w:t xml:space="preserve"> Rubrics for assessing clinical competencies in simulation-based nursing education: An integrative review — https://doi.org/10.1016/j.teln.2026.08.009</w:t>
      </w:r>
    </w:p>
    <w:p>
      <w:pPr/>
      <w:r>
        <w:rPr>
          <w:b/>
        </w:rPr>
        <w:t>Shared claim-specific concepts:</w:t>
      </w:r>
      <w:r>
        <w:t xml:space="preserve"> found, main, lack, competencies, skills; EU scope not established. This is a provisional connection, not an outcome finding.</w:t>
      </w:r>
    </w:p>
    <w:p>
      <w:pPr>
        <w:pStyle w:val="SourceNote"/>
      </w:pPr>
      <w:r>
        <w:rPr>
          <w:b/>
        </w:rPr>
        <w:t>Available abstract (not full text):</w:t>
      </w:r>
      <w:r>
        <w:t xml:space="preserve"> Background Evaluation rubrics are essential for systematizing and measuring clinical competency progression in nursing simulation. Aim To identify the rubrics used to assess clinical competencies and skills in nursing simulation. Method An integrative review was conducted across nine databases in August 2025. Study selection was double-blind. Methodological quality was assessed using the Medical Education Research Quality Assessment Instrument. Results Initially, 905 studies were identified, and 41 comprised the final sample. Thirteen different rubrics were found, with a prevalence of studies using the Lasater Clinical Judgment Rubric. Most studies had moderate methodological quality. The evidence shows that the use of rubrics favors clinical judgment, self-confidence, and the structuring of formative feedback. Conclusion Rubrics are gaining pedagogical maturity in simulation, consolidating themselves as essential tools for competency-based nursing curricula. However, the lack of psychometric validation in specific instruments and the need for tools for new digital modalities represent the main challenges for the area.</w:t>
      </w:r>
    </w:p>
    <w:p>
      <w:pPr/>
      <w:r>
        <w:rPr>
          <w:b/>
        </w:rPr>
        <w:t>POSSIBLE 2026:</w:t>
      </w:r>
      <w:r>
        <w:t xml:space="preserve"> Transformational Leadership by Department Heads in Enhancing the Digital Competencies of Civil Servants — https://doi.org/10.58905/saluspublica.v4i2.749</w:t>
      </w:r>
    </w:p>
    <w:p>
      <w:pPr/>
      <w:r>
        <w:rPr>
          <w:b/>
        </w:rPr>
        <w:t>Shared claim-specific concepts:</w:t>
      </w:r>
      <w:r>
        <w:t xml:space="preserve"> found, lack, competencies; EU scope not established. This is a provisional connection, not an outcome finding.</w:t>
      </w:r>
    </w:p>
    <w:p>
      <w:pPr>
        <w:pStyle w:val="SourceNote"/>
      </w:pPr>
      <w:r>
        <w:rPr>
          <w:b/>
        </w:rPr>
        <w:t>Available abstract (not full text):</w:t>
      </w:r>
      <w:r>
        <w:t xml:space="preserve"> Digital transformation in the field of public administration needs high digital competences in civil servants, where leadership becomes a key in this process. This research tries to build up analysis of transformational leadership of the department head in enhancing the digital competences of civil servants, the barriers found, and how the barriers have been overcome. The research was conducted through qualitative research with semi-structured interviews on three informants, namely department head, structural officers, and civil servants of the Cirebon City Department of Cooperatives, SMEs, Trade and Industry. The results of this research prove that the transformational leadership of the Department Head can be seen from the exemplary use of digital technology, consistent vision and motivation communication, innovation, and differences in digital competence of civil servants. Nevertheless, there are some barriers for enhancing digital competencies, which consist of the gaps in digital literacy between employees, a lack of internal training programs, and technological barriers. According to the findings of this study, it is possible to say that transformational leadership plays an important role in promoting the enhancement of digital competencies of civil servants; however, for increasing the effectiveness of this strategy, it should be supported by a continuous training program</w:t>
      </w:r>
    </w:p>
    <w:p>
      <w:pPr/>
      <w:r>
        <w:rPr>
          <w:b/>
        </w:rPr>
        <w:t>POSSIBLE 2026:</w:t>
      </w:r>
      <w:r>
        <w:t xml:space="preserve"> Developing Mathematics Teachers’ TPACK Competencies through Technology-Enhanced Learning Approaches — https://doi.org/10.58355/dirosat.v4i1.228</w:t>
      </w:r>
    </w:p>
    <w:p>
      <w:pPr/>
      <w:r>
        <w:rPr>
          <w:b/>
        </w:rPr>
        <w:t>Shared claim-specific concepts:</w:t>
      </w:r>
      <w:r>
        <w:t xml:space="preserve"> found, lack, competencies, teachers; EU scope not established. This is a provisional connection, not an outcome finding.</w:t>
      </w:r>
    </w:p>
    <w:p>
      <w:pPr>
        <w:pStyle w:val="SourceNote"/>
      </w:pPr>
      <w:r>
        <w:rPr>
          <w:b/>
        </w:rPr>
        <w:t>Available abstract (not full text):</w:t>
      </w:r>
      <w:r>
        <w:t xml:space="preserve"> The ability of teachers to effectively integrate technology into the learning process has become essential for the development of students' competencies in STEM fields, especially in mathematics. The purpose of this study is to analyze the development of Technological Competencies, Pedagogical and Content Knowledge (TPACK) in mathematics teachers through Technology-Enhanced Learning (TEL). Effective integration of technology into teaching has become an essential component in teacher professional development and in improving the quality of learning in STEM fields. The study uses a mixed-methods approach, integrating quantitative data from a questionnaire with 52 teachers and qualitative data from eight semi-structured interviews. The results showed that teachers possess high levels of pedagogical and content knowledge, but technological competencies are still developing. Correlation analysis Pearson found a strong positive relationship between TEL use and TPACK level (r = .70, p &lt; .01), while linear regression showed that TEL use explains 39% of the variance in TPACK development (β = 0.62, p &lt; .001). On the other hand, qualitative data revealed that teachers perceive TEL as an approach that increases student motivation and engagement, although they encounter infrastructural barriers and a lack of consistent training. The study concludes that the systematic use of TEL positively </w:t>
      </w:r>
    </w:p>
    <w:p>
      <w:pPr>
        <w:pStyle w:val="Heading2"/>
      </w:pPr>
      <w:r>
        <w:t>545. Future population ageing and productivity in Finland under different education and fertility scenarios</w:t>
      </w:r>
    </w:p>
    <w:p>
      <w:pPr>
        <w:pStyle w:val="SourceNote"/>
      </w:pPr>
      <w:r>
        <w:rPr>
          <w:b/>
        </w:rPr>
        <w:t>Original source (2022):</w:t>
      </w:r>
      <w:r>
        <w:t xml:space="preserve"> https://doi.org/10.23979/fypr.119666</w:t>
      </w:r>
    </w:p>
    <w:p>
      <w:pPr/>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POSSIBLE 2026:</w:t>
      </w:r>
      <w:r>
        <w:t xml:space="preserve"> MULTIDIMENSIONAL LOCAL RESILIENCE – ANALYSIS OF ENVIRONMENTAL, DEMOGRAPHIC AND INFRASTRUCTURAL FACTORS — https://doi.org/10.29119/1641-3466.2026.244.3</w:t>
      </w:r>
    </w:p>
    <w:p>
      <w:pPr/>
      <w:r>
        <w:rPr>
          <w:b/>
        </w:rPr>
        <w:t>Shared claim-specific concepts:</w:t>
      </w:r>
      <w:r>
        <w:t xml:space="preserve"> multidimensional, demographic, approach; EU scope visible. This is a provisional connection, not an outcome finding.</w:t>
      </w:r>
    </w:p>
    <w:p>
      <w:pPr>
        <w:pStyle w:val="SourceNote"/>
      </w:pPr>
      <w:r>
        <w:rPr>
          <w:b/>
        </w:rPr>
        <w:t>Available abstract (not full text):</w:t>
      </w:r>
      <w:r>
        <w:t xml:space="preserve">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pPr/>
      <w:r>
        <w:rPr>
          <w:b/>
        </w:rPr>
        <w:t>POSSIBLE 2026:</w:t>
      </w:r>
      <w:r>
        <w:t xml:space="preserve"> Understanding Life Insurance Demand In European Union: A Multidimensional Perspective — https://doi.org/10.6007/ijarbss/v16-i2/27518</w:t>
      </w:r>
    </w:p>
    <w:p>
      <w:pPr/>
      <w:r>
        <w:rPr>
          <w:b/>
        </w:rPr>
        <w:t>Shared claim-specific concepts:</w:t>
      </w:r>
      <w:r>
        <w:t xml:space="preserve"> multidimensional, traditional; EU scope visible. This is a provisional connection, not an outcome finding.</w:t>
      </w:r>
    </w:p>
    <w:p>
      <w:pPr>
        <w:pStyle w:val="SourceNote"/>
      </w:pPr>
      <w:r>
        <w:rPr>
          <w:b/>
        </w:rPr>
        <w:t>Available abstract (not full text):</w:t>
      </w:r>
      <w:r>
        <w:t xml:space="preserve">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pPr/>
      <w:r>
        <w:rPr>
          <w:b/>
        </w:rPr>
        <w:t>POSSIBLE 2026:</w:t>
      </w:r>
      <w:r>
        <w:t xml:space="preserve"> Educational Mismatch and Multidimensional Immigration Attitudes: Evidence from Europe — https://openalex.org/W7207961011</w:t>
      </w:r>
    </w:p>
    <w:p>
      <w:pPr/>
      <w:r>
        <w:rPr>
          <w:b/>
        </w:rPr>
        <w:t>Shared claim-specific concepts:</w:t>
      </w:r>
      <w:r>
        <w:t xml:space="preserve"> multidimensional, approach, educational, attainment; EU scope visible. This is a provisional connection, not an outcome finding.</w:t>
      </w:r>
    </w:p>
    <w:p>
      <w:pPr>
        <w:pStyle w:val="SourceNote"/>
      </w:pPr>
      <w:r>
        <w:rPr>
          <w:b/>
        </w:rPr>
        <w:t>Available abstract (not full text):</w:t>
      </w:r>
      <w:r>
        <w:t xml:space="preserve">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pPr/>
      <w:r>
        <w:rPr>
          <w:b/>
        </w:rPr>
        <w:t>POSSIBLE 2026:</w:t>
      </w:r>
      <w:r>
        <w:t xml:space="preserve"> Distinct profiles of free speech support and their demographic, ideological, and epistemic characteristics — https://doi.org/10.1016/j.paid.2026.114009</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labour;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multidimensional, approach, traditional;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The Right to a Fair Remuneration and Fair Income Replacement in the European Social Charter: A Multidimensional Approach — https://doi.org/10.3935/zpfz.75.6.2</w:t>
      </w:r>
    </w:p>
    <w:p>
      <w:pPr/>
      <w:r>
        <w:rPr>
          <w:b/>
        </w:rPr>
        <w:t>Shared claim-specific concepts:</w:t>
      </w:r>
      <w:r>
        <w:t xml:space="preserve"> multidimensional, approach, labour; EU scope visible. This is a provisional connection, not an outcome finding.</w:t>
      </w:r>
    </w:p>
    <w:p>
      <w:pPr>
        <w:pStyle w:val="SourceNote"/>
      </w:pPr>
      <w:r>
        <w:rPr>
          <w:b/>
        </w:rPr>
        <w:t>Available abstract (not full text):</w:t>
      </w:r>
      <w:r>
        <w:t xml:space="preserve"> The right to fair remuneration constitutes a fundamental employment-related entitlement and a cornerstone of the adequate standard of living. Closely linked to various provisions of the Revised (1996) European Social Charter – such as the right to social security – it not only ensures individuals can meet basic subsistence needs but also empowers them to autonomously pursue their life plans within market-based democracies. Its adequate protection is essential to preventing poverty, promoting social inclusion, and safeguarding equal opportunities in the labour market as well as in society. The European Committee of Social Rights plays a crucial role in this regard by monitoring compliance with the Charter, interpreting its provisions, and assessing whether national laws and practices align with the standards of fair remuneration set out in international law. The contribution examines the right to fair remuneration from different perspectives within as well as outside the European Social Charter, indicating its global importance and the sometimes-overlooked link to a number of other (social and economic) rights which together allow for persons’ development and execution of life plans in marked democracies. Since only a handful of countries, Members of the Council of Europe have not yet ratified the Revised European Social Charter, the article primarily focuses on the latter and n</w:t>
      </w:r>
    </w:p>
    <w:p>
      <w:pPr/>
      <w:r>
        <w:rPr>
          <w:b/>
        </w:rPr>
        <w:t>POSSIBLE 2026:</w:t>
      </w:r>
      <w:r>
        <w:t xml:space="preserve"> A Multidimensional Approach to Financial Fragility — https://doi.org/10.4324/9781003596851-5</w:t>
      </w:r>
    </w:p>
    <w:p>
      <w:pPr/>
      <w:r>
        <w:rPr>
          <w:b/>
        </w:rPr>
        <w:t>Shared claim-specific concepts:</w:t>
      </w:r>
      <w:r>
        <w:t xml:space="preserve"> multidimensional, approach, age; EU scope visible. This is a provisional connection, not an outcome finding.</w:t>
      </w:r>
    </w:p>
    <w:p>
      <w:pPr>
        <w:pStyle w:val="SourceNote"/>
      </w:pPr>
      <w:r>
        <w:rPr>
          <w:b/>
        </w:rPr>
        <w:t>Available abstract (not full text):</w:t>
      </w:r>
      <w:r>
        <w:t xml:space="preserve"> This chapter presents a comprehensive comparative analysis of household financial fragility across Central and Eastern European countries, drawing on harmonised micro-level data from the European Union Statistics on Income and Living Conditions. It conceptualises financial fragility as a multidimensional condition reflecting households’ limited capacity to absorb economic shocks, combining subjective perceptions of financial strain with objective indicators of material constraints. To capture this complexity, the chapter constructs a composite indicator of financial fragility using a fuzzy-set approach, allowing for nuanced differentiation among degrees of vulnerability rather than binary classifications. The empirical analysis compares levels, distributions, and trajectories of financial fragility across eleven countries over time, highlighting both convergence trends and persistent cross-country disparities. In addition, the chapter examines heterogeneity within countries by analysing differences across socio-demographic groups, settlement types, age cohorts, gender, education levels, and housing tenure. The findings reveal substantial overall improvements in household financial conditions since the global financial crisis, alongside enduring structural vulnerabilities affecting specific population groups and national contexts. By integrating theory, methodology, and comparat</w:t>
      </w:r>
    </w:p>
    <w:p>
      <w:pPr/>
      <w:r>
        <w:rPr>
          <w:b/>
        </w:rPr>
        <w:t>POSSIBLE 2026:</w:t>
      </w:r>
      <w:r>
        <w:t xml:space="preserve"> An Explainable Spatial Analytics and Machine Learning Framework for Highway–Rail Grade Crossing Safety Assessment — https://doi.org/10.3390/app16125968</w:t>
      </w:r>
    </w:p>
    <w:p>
      <w:pPr/>
      <w:r>
        <w:rPr>
          <w:b/>
        </w:rPr>
        <w:t>Shared claim-specific concepts:</w:t>
      </w:r>
      <w:r>
        <w:t xml:space="preserve"> approach, provided; EU scope not established. This is a provisional connection, not an outcome finding.</w:t>
      </w:r>
    </w:p>
    <w:p>
      <w:pPr>
        <w:pStyle w:val="SourceNote"/>
      </w:pPr>
      <w:r>
        <w:rPr>
          <w:b/>
        </w:rPr>
        <w:t>Available abstract (not full text):</w:t>
      </w:r>
      <w:r>
        <w:t xml:space="preserve"> Highway–rail grade crossing (HRGC) incidents remain a persistent safety concern due to repeated interactions between roadway users and rail operations under varying environmental and operational conditions. Existing studies rely on raw incident counts or partial exposure measures, which do not provide a consistent basis for comparing risk across locations or accounting for spatial dependence. This study developed an exposure-normalized framework to model incident intensity at the county level using accumulated incidents per crossing (AIPC). The analysis integrated statistical distribution modeling, spatial clustering, and supervised machine learning. The study combined county-level HRGC data for the contiguous United States with infrastructure, traffic, environmental, and accessibility variables. Results showed that AIPC was consistent with a gamma distribution, indicating a continuous representation of incident intensity without discrete risk regimes. Local Moran’s I identified statistically significant high-intensity clusters in specific regions, confirming spatial dependence in incident intensity. Machine learning models achieved strong predictive performance, with the extra trees model reaching AUC = 0.907 and ensemble methods outperforming linear and kernel approaches. Feature importance analysis identified temperature, train frequency, and accessibility measures as the mo</w:t>
      </w:r>
    </w:p>
    <w:p>
      <w:pPr/>
      <w:r>
        <w:rPr>
          <w:b/>
        </w:rPr>
        <w:t>POSSIBLE 2026:</w:t>
      </w:r>
      <w:r>
        <w:t xml:space="preserve"> Comparative analysis of healthcare systems in European Union countries based on socio-economic and demographic indicators — https://doi.org/10.46299/j.isjmef.20260504.03</w:t>
      </w:r>
    </w:p>
    <w:p>
      <w:pPr/>
      <w:r>
        <w:rPr>
          <w:b/>
        </w:rPr>
        <w:t>Shared claim-specific concepts:</w:t>
      </w:r>
      <w:r>
        <w:t xml:space="preserve"> demographic; EU scope visible. This is a provisional connection, not an outcome finding.</w:t>
      </w:r>
    </w:p>
    <w:p>
      <w:pPr>
        <w:pStyle w:val="SourceNote"/>
      </w:pPr>
      <w:r>
        <w:rPr>
          <w:b/>
        </w:rPr>
        <w:t>Available abstract (not full text):</w:t>
      </w:r>
      <w:r>
        <w:t xml:space="preserve"> The growing importance of healthcare in human capital development, enhancing labor productivity, and fostering long-term economic growth highlights the need to evaluate the performance of national healthcare systems amid population aging, increasing demand for healthcare services, and constrained financial resources. Despite a substantial body of research devoted to healthcare system models and their performance assessment, a comprehensive cross-country comparison integrating socioeconomic and demographic indicators using multivariate statistical methods remains underexplored. The aim of this study is to compare the healthcare systems of the European Union countries and evaluate their economic efficiency using correlation and cluster analysis. The study focuses on the healthcare systems of the European Union countries and Ukraine as institutional, organizational, and financial arrangements for the provision of healthcare services. It examines the relationships between indicators of economic development, healthcare financing, and healthcare system performance, as well as the methodological approaches used to assess these relationships. The study is based on statistical data obtained from Eurostat, OECD Health Statistics, the World Health Organization, and the World Bank. The methodological framework comprises comparative analysis, correlation analysis, hierarchical cluster analy</w:t>
      </w:r>
    </w:p>
    <w:p>
      <w:pPr/>
      <w:r>
        <w:rPr>
          <w:b/>
        </w:rPr>
        <w:t>POSSIBLE 2026:</w:t>
      </w:r>
      <w:r>
        <w:t xml:space="preserve"> An enhanced, nationally consistent, travel mode choice model:NZ Transport Agency research report 741 — https://openalex.org/W7203593076</w:t>
      </w:r>
    </w:p>
    <w:p>
      <w:pPr/>
      <w:r>
        <w:rPr>
          <w:b/>
        </w:rPr>
        <w:t>Shared claim-specific concepts:</w:t>
      </w:r>
      <w:r>
        <w:t xml:space="preserve"> demographic, traditional; EU scope not established. This is a provisional connection, not an outcome finding.</w:t>
      </w:r>
    </w:p>
    <w:p>
      <w:pPr>
        <w:pStyle w:val="SourceNote"/>
      </w:pPr>
      <w:r>
        <w:rPr>
          <w:b/>
        </w:rPr>
        <w:t>Available abstract (not full text):</w:t>
      </w:r>
      <w:r>
        <w:t xml:space="preserve"> This comprehensive report thoroughly reviews the literature on modelling and evidence related to travel mode choice. The key findings and insights from this review are summarised below. The report begins with a broad review of traditional and emerging approaches to mode choice modelling. Traditionally, mode choice models have relied on objective factors such as demographics, trip characteristics, and transportation mode attributes (eg, travel time, cost, reliability). These models, often based on discrete choice theory, aim to predict the probability of an individual choosing a particular mode of transportation. However, recent research has highlighted the importance of incorporating psychological variables, such as attitudes, perceived behavioural control, and subjective norms, in mode choice modelling. Hybrid choice models that combine traditional attributes with psychological variables have demonstrated improved predictive power and the ability to uncover causal relationships in mode choice. In addition, the scientific literature emphasises the critical role of habit, defined as the tendency to use a particular mode of transportation, as a strong predictor of mode choice that should be directly measured alongside intention. The review also addresses modelling complex travel behaviour, including multimodal, multi-leg, multi-user, and multi-purpose journeys. Capturing the inte</w:t>
      </w:r>
    </w:p>
    <w:p>
      <w:pPr/>
      <w:r>
        <w:rPr>
          <w:b/>
        </w:rPr>
        <w:t>POSSIBLE 2026:</w:t>
      </w:r>
      <w:r>
        <w:t xml:space="preserve"> Produce and reproduce! Understanding multidimensionality in contemporary radical right populist ideology — https://doi.org/10.1080/13569317.2026.2671673</w:t>
      </w:r>
    </w:p>
    <w:p>
      <w:pPr/>
      <w:r>
        <w:rPr>
          <w:b/>
        </w:rPr>
        <w:t>Shared claim-specific concepts:</w:t>
      </w:r>
      <w:r>
        <w:t xml:space="preserve"> multidimensional, demographic, introduced; EU scope visible. This is a provisional connection, not an outcome finding.</w:t>
      </w:r>
    </w:p>
    <w:p>
      <w:pPr>
        <w:pStyle w:val="SourceNote"/>
      </w:pPr>
      <w:r>
        <w:rPr>
          <w:b/>
        </w:rPr>
        <w:t>Available abstract (not full text):</w:t>
      </w:r>
      <w:r>
        <w:t xml:space="preserve"> Radical right populism represents a multidimensional and transforming ideology. This contribution tackles the complexity of radical right populism by drawing a theoretical framework based upon two related concepts: producerism and reproducerism. While the first is a well-known notion in the literature on populism, the second is introduced here as a complementary concept that involves reproductive politics, including natality and the family. This paper aims to highlight the theoretical advantage afforded by the related concepts of producerism and reproducerism, first by connecting the economic, cultural, and demographic dimensions of radical right populism. Then, it will illustrate their usefulness in capturing the contextually sensitive configurations of producerism and reproducerism enacted by current political and social actors in Europe and the United States.</w:t>
      </w:r>
    </w:p>
    <w:p>
      <w:pPr>
        <w:pStyle w:val="Heading2"/>
      </w:pPr>
      <w:r>
        <w:t>546. Futures and foresight of Croatian cultural heritage</w:t>
      </w:r>
    </w:p>
    <w:p>
      <w:pPr>
        <w:pStyle w:val="SourceNote"/>
      </w:pPr>
      <w:r>
        <w:rPr>
          <w:b/>
        </w:rPr>
        <w:t>Original source (2022):</w:t>
      </w:r>
      <w:r>
        <w:t xml:space="preserve"> https://doi.org/10.17018/portal.2022.10</w:t>
      </w:r>
    </w:p>
    <w:p>
      <w:pPr/>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POSSIBLE 2026:</w:t>
      </w:r>
      <w:r>
        <w:t xml:space="preserve"> Two papal Europes: Benedict XVI, Francis and competing Christian imaginaries of Europe — https://doi.org/10.1080/14782804.2026.2718750</w:t>
      </w:r>
    </w:p>
    <w:p>
      <w:pPr/>
      <w:r>
        <w:rPr>
          <w:b/>
        </w:rPr>
        <w:t>Shared claim-specific concepts:</w:t>
      </w:r>
      <w:r>
        <w:t xml:space="preserve"> primarily, not, identify; EU scope visible. This is a provisional connection, not an outcome finding.</w:t>
      </w:r>
    </w:p>
    <w:p>
      <w:pPr>
        <w:pStyle w:val="SourceNote"/>
      </w:pPr>
      <w:r>
        <w:rPr>
          <w:b/>
        </w:rPr>
        <w:t>Available abstract (not full text):</w:t>
      </w:r>
      <w:r>
        <w:t xml:space="preserve">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primarily, not, showing, methods;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predicting, methods, identify;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Predicting Enterprise AI Adoption in Europe from Cloud Sophistication, Digital Sales Capabilities, and Enterprise Size — https://doi.org/10.3390/a19040316</w:t>
      </w:r>
    </w:p>
    <w:p>
      <w:pPr/>
      <w:r>
        <w:rPr>
          <w:b/>
        </w:rPr>
        <w:t>Shared claim-specific concepts:</w:t>
      </w:r>
      <w:r>
        <w:t xml:space="preserve"> about, not, predicting, based; EU scope visible. This is a provisional connection, not an outcome finding.</w:t>
      </w:r>
    </w:p>
    <w:p>
      <w:pPr>
        <w:pStyle w:val="SourceNote"/>
      </w:pPr>
      <w:r>
        <w:rPr>
          <w:b/>
        </w:rPr>
        <w:t>Available abstract (not full text):</w:t>
      </w:r>
      <w:r>
        <w:t xml:space="preserve"> This paper examines whether broad enterprise AI adoption in Europe is best understood as an isolated technology decision or as the outcome of a wider bundle of digital capabilities. Using harmonized Eurostat data for European enterprises, the analysis builds a repeated cross-section at the country–size-class–year level and models high AI adoption with a combination of random forest and elastic-net estimation. The dependent variable captures enterprises using at least one AI technology, while the explanatory set focuses on cloud adoption, cloud CRM, cloud ERP, cloud database hosting, cloud security, cloud software use, e-sales intensity, and enterprise size. The findings reveal a stable predictive structure and consistent classification performance across specifications. Across models, cloud CRM and e-sales emerge as the strongest predictors of high AI adoption, followed by general cloud use and selected data-related cloud capabilities. This ordering remains largely stable in threshold-sensitivity checks based on alternative definitions of high adoption. The pattern also remains visible when country controls are removed, which suggests that the result is not merely a reflection of national heterogeneity. The paper contributes by shifting attention from broad claims about “digital readiness” to a narrower and more operational notion of capability complementarity: AI uptake tends </w:t>
      </w:r>
    </w:p>
    <w:p>
      <w:pPr/>
      <w:r>
        <w:rPr>
          <w:b/>
        </w:rPr>
        <w:t>POSSIBLE 2026:</w:t>
      </w:r>
      <w:r>
        <w:t xml:space="preserve"> Factors and predictors of educational inequalities in European schools: a systematic literature review with a longitudinal lens — https://doi.org/10.3389/feduc.2026.1892028</w:t>
      </w:r>
    </w:p>
    <w:p>
      <w:pPr/>
      <w:r>
        <w:rPr>
          <w:b/>
        </w:rPr>
        <w:t>Shared claim-specific concepts:</w:t>
      </w:r>
      <w:r>
        <w:t xml:space="preserve"> not, methods, identify; EU scope visible. This is a provisional connection, not an outcome finding.</w:t>
      </w:r>
    </w:p>
    <w:p>
      <w:pPr>
        <w:pStyle w:val="SourceNote"/>
      </w:pPr>
      <w:r>
        <w:rPr>
          <w:b/>
        </w:rPr>
        <w:t>Available abstract (not full text):</w:t>
      </w:r>
      <w:r>
        <w:t xml:space="preserve"> Background Ensuring equal access to quality education is essential for building fair and inclusive societies. However, educational inequalities persist across and within European countries, despite numerous policy initiatives aimed at addressing them. Objectives This systematic review aims to identify and categorise variables of educational inequalities in European primary and secondary schools, focusing on studies with longitudinal or repeated cross-sectional designs. Methods Following PRISMA 2020 guidelines, 1,399 studies published from 1995 to 2024 in seven European languages were identified through Scopus, Google Scholar, repositories of international organisations and citation mining. After a two-step screening, 157 studies that met the predefined criteria were analysed in depth using a review matrix. Inter-rater reliability checks ensured consistency. Results Despite targeted policy measures to enhance fairness and inclusion, inequalities remain widespread across European schools. Findings highlight that educational inequalities are multifaceted and begin early in a child's educational path, often widening over time. Overall, 70 variables influencing educational inequalities were identified and organised into a schema of four clusters: student, family, teacher/school and system levels. Solid links were observed between academic achievement, school engagement and student w</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about, identify, based;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management, developed;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2025:</w:t>
      </w:r>
      <w:r>
        <w:t xml:space="preserve"> Predicting the Potential Spread of Diabrotica virgifera virgifera in Europe Using Climate-Based Spatial Risk Modeling — https://doi.org/10.3390/insects16101005</w:t>
      </w:r>
    </w:p>
    <w:p>
      <w:pPr/>
      <w:r>
        <w:rPr>
          <w:b/>
        </w:rPr>
        <w:t>Shared claim-specific concepts:</w:t>
      </w:r>
      <w:r>
        <w:t xml:space="preserve"> about, not, predicting, management, based, established; EU scope visible. This is a provisional connection, not an outcome finding.</w:t>
      </w:r>
    </w:p>
    <w:p>
      <w:pPr>
        <w:pStyle w:val="SourceNote"/>
      </w:pPr>
      <w:r>
        <w:rPr>
          <w:b/>
        </w:rPr>
        <w:t>Available abstract (not full text):</w:t>
      </w:r>
      <w:r>
        <w:t xml:space="preserve"> Diabrotica virgifera virgifera Le Conte, 1868 (Coleoptera: Chrysomelidae), known as the western corn rootworm, is one of the most important alien insect pests affecting maize crops globally. It causes significant economic losses by feeding on the roots, which affects plant stability and nutrient absorption, as well as by attacking essential aerial organs (leaves, silk, pollen). Since its accidental introduction into Europe, the species has expanded its range across maize-growing regions, raising concerns about future distribution under climate change. This study aimed to estimate the risk of pest establishment across Europe over three future time frames (2034, 2054, 2074) based on geographic coordinates, climate data, and maize distribution. Spatial simulations were performed in QGIS using national centroid datasets, risk classification criteria, and temperature anomaly maps derived from Copernicus and ECA&amp;D databases for 1992–2024. The results indicate consistently high risk in southern and southeastern regions, with projected expansion toward central and western areas by 2074. Risk zones showed clear spatial aggregation and directional spread correlated with warming trends and maize availability. The pest’s high reproductive potential, thermal tolerance, and capacity for human-assisted dispersal further support these predictions. The model emphasizes the need for expanded sur</w:t>
      </w:r>
    </w:p>
    <w:p>
      <w:pPr/>
      <w:r>
        <w:rPr>
          <w:b/>
        </w:rPr>
        <w:t>POSSIBLE 2025:</w:t>
      </w:r>
      <w:r>
        <w:t xml:space="preserve"> Investigating stone materials from some European cultural heritage sites for predicting future decay — https://doi.org/10.1007/s12210-024-01298-x</w:t>
      </w:r>
    </w:p>
    <w:p>
      <w:pPr/>
      <w:r>
        <w:rPr>
          <w:b/>
        </w:rPr>
        <w:t>Shared claim-specific concepts:</w:t>
      </w:r>
      <w:r>
        <w:t xml:space="preserve"> primarily, predicting, processes, heritage; EU scope visible. This is a provisional connection, not an outcome finding.</w:t>
      </w:r>
    </w:p>
    <w:p>
      <w:pPr>
        <w:pStyle w:val="SourceNote"/>
      </w:pPr>
      <w:r>
        <w:rPr>
          <w:b/>
        </w:rPr>
        <w:t>Available abstract (not full text):</w:t>
      </w:r>
      <w:r>
        <w:t xml:space="preserve"> Abstract The preservation of Europe’s stone-built heritage is crucial for safeguarding our cultural legacy. This study investigates twelve distinct stones used in historical monuments across Italy, Spain, Greece, and Norway, including marbles (Carrara and Macael), limestones (Botticino, Red Verona, Costozza, Istrian, Sfouggaria, Santa Pudia), a carbonate-dominated sandstone (Lartios), volcanic rocks (Euganean trachyte and Tønsberg latite), and an intrusive igneous rock (Tønsbergite). Through comprehensive analysis of mineralogical composition, porosity, water interactions, and accelerated ageing tests, this research establishes a framework for assessing these materials susceptibility to decay mechanisms. The results demonstrate significant variability in durability and decay response among the stone types, primarily determined by pore abundance and distribution. This study enhances the understanding of stone materials behaviour under stressed conditions, offering valuable insights for mitigating future decay processes and protecting European cultural heritage. The stones examined were chosen for their significant presence at the four pilot sites of the European Hyperion project: Venice (Italy), Granada (Spain), Rhodes (Greece), and Tønsberg (Norway). Graphic abstract</w:t>
      </w:r>
    </w:p>
    <w:p>
      <w:pPr/>
      <w:r>
        <w:rPr>
          <w:b/>
        </w:rPr>
        <w:t>POSSIBLE 2025:</w:t>
      </w:r>
      <w:r>
        <w:t xml:space="preserve"> Climate-relevant land cover composition and configuration trajectories in Europe — https://doi.org/10.1088/1748-9326/adc8be</w:t>
      </w:r>
    </w:p>
    <w:p>
      <w:pPr/>
      <w:r>
        <w:rPr>
          <w:b/>
        </w:rPr>
        <w:t>Shared claim-specific concepts:</w:t>
      </w:r>
      <w:r>
        <w:t xml:space="preserve"> about, showing, affect; EU scope visible. This is a provisional connection, not an outcome finding.</w:t>
      </w:r>
    </w:p>
    <w:p>
      <w:pPr>
        <w:pStyle w:val="SourceNote"/>
      </w:pPr>
      <w:r>
        <w:rPr>
          <w:b/>
        </w:rPr>
        <w:t>Available abstract (not full text):</w:t>
      </w:r>
      <w:r>
        <w:t xml:space="preserve"> Abstract Land use and land cover change (LULCC) can affect the climate system by altering biophysical surface characteristics. At the local scale, climate regulating functions are co-determined by land cover composition and configuration, i.e. the proportions and the spatial arrangement of land cover types. However, research on the relationship between LULCC and climate often focuses individually either on compositional or configurational aspects. As a result, there is a gap in our knowledge about the spatiotemporal distribution of land cover composition and configuration patterns influencing the local climate regulating functions. Here, we used a range of LULCC metrics between 1992 and 2015 and applied Self-Organizing Maps to characterize dominant land cover composition and configuration trajectories in Europe. We then tested the climate relevance of the five most dominant trajectories with a high-resolution regional climate model. Land cover composition and configuration simultaneously changed in more than 20% of the European landmass, with cropland transition to forest patches and bare soil representing the major trajectory. Climate model simulations predict a general increase in the topsoil temperature due to only changes in land cover composition and configuration. All trajectories showed increasing topsoil temperature variability during the crop growing season, with fores</w:t>
      </w:r>
    </w:p>
    <w:p>
      <w:pPr/>
      <w:r>
        <w:rPr>
          <w:b/>
        </w:rPr>
        <w:t>POSSIBLE 2025:</w:t>
      </w:r>
      <w:r>
        <w:t xml:space="preserve"> Observed Distribution and Predicted Further Spread of Araujia sericifera From Europe to the Southern Caspian Sea Coast — https://doi.org/10.1111/wre.70041</w:t>
      </w:r>
    </w:p>
    <w:p>
      <w:pPr/>
      <w:r>
        <w:rPr>
          <w:b/>
        </w:rPr>
        <w:t>Shared claim-specific concepts:</w:t>
      </w:r>
      <w:r>
        <w:t xml:space="preserve"> primarily, showing, management, based; EU scope visible. This is a provisional connection, not an outcome finding.</w:t>
      </w:r>
    </w:p>
    <w:p>
      <w:pPr>
        <w:pStyle w:val="SourceNote"/>
      </w:pPr>
      <w:r>
        <w:rPr>
          <w:b/>
        </w:rPr>
        <w:t>Available abstract (not full text):</w:t>
      </w:r>
      <w:r>
        <w:t xml:space="preserve"> ABSTRACT Araujia sericifera , an alien species in Europe and Western Asia, is a perennial climbing vine that aggressively overgrows and shades native vegetation, causing substantial biodiversity loss. Its global distribution reveals five invasion hotspots, with a major hotspot extending from Western Europe to northern Iran. Historical records indicate a gradual eastward expansion along the Mediterranean corridor through Western Asia. Habitat suitability modelling, based on climate and land cover variables, identifies a continuous belt of high suitability from Portugal through southern Europe into Western Asia, particularly in coastal and lowland regions. In Iran, the southern Caspian Sea coast, including Gilan, Mazandaran, and Golestan provinces, represents a major area of invasion risk, with high suitability closely matching recent occurrence records. The species' climatic niche is characterised by winter temperatures above −10°C, summer temperatures below 35 C, and precipitation exceeding 20 mm during the driest month. It avoids extremely arid regions and areas with monsoonal rainfall exceeding 800 mm in the wettest month, showing a strong association with urban environments. Although historical dispersal followed a primarily longitudinal pattern, climate change projections indicate high potential for northward expansion. Given its rapid spread, high ecological suitability in</w:t>
      </w:r>
    </w:p>
    <w:p>
      <w:pPr/>
      <w:r>
        <w:rPr>
          <w:b/>
        </w:rPr>
        <w:t>POSSIBLE 2025:</w:t>
      </w:r>
      <w:r>
        <w:t xml:space="preserve"> Diverging trends in large floods across Europe in a warming climate — https://doi.org/10.1038/s43247-025-02734-y</w:t>
      </w:r>
    </w:p>
    <w:p>
      <w:pPr/>
      <w:r>
        <w:rPr>
          <w:b/>
        </w:rPr>
        <w:t>Shared claim-specific concepts:</w:t>
      </w:r>
      <w:r>
        <w:t xml:space="preserve"> affect, management, trends;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pStyle w:val="Heading2"/>
      </w:pPr>
      <w:r>
        <w:t>547. GHG emissions, trade balance, and carbon leakage: Insights from modeling thirty-one European decarbonization pathways towards 2050</w:t>
      </w:r>
    </w:p>
    <w:p>
      <w:pPr>
        <w:pStyle w:val="SourceNote"/>
      </w:pPr>
      <w:r>
        <w:rPr>
          <w:b/>
        </w:rPr>
        <w:t>Original source (2022):</w:t>
      </w:r>
      <w:r>
        <w:t xml:space="preserve"> https://doi.org/10.1016/j.eneco.2022.106240</w:t>
      </w:r>
    </w:p>
    <w:p>
      <w:pPr/>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POSSIBLE 2026:</w:t>
      </w:r>
      <w:r>
        <w:t xml:space="preserve"> Linguistic diversity of new minorities in Europe: A crossroads of rights and duties — https://doi.org/10.5281/zenodo.18845601</w:t>
      </w:r>
    </w:p>
    <w:p>
      <w:pPr/>
      <w:r>
        <w:rPr>
          <w:b/>
        </w:rPr>
        <w:t>Shared claim-specific concepts:</w:t>
      </w:r>
      <w:r>
        <w:t xml:space="preserve"> recognizing, urgent, need, flows; EU scope visible. This is a provisional connection, not an outcome finding.</w:t>
      </w:r>
    </w:p>
    <w:p>
      <w:pPr>
        <w:pStyle w:val="SourceNote"/>
      </w:pPr>
      <w:r>
        <w:rPr>
          <w:b/>
        </w:rPr>
        <w:t>Available abstract (not full text):</w:t>
      </w:r>
      <w:r>
        <w:t xml:space="preserve">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pPr/>
      <w:r>
        <w:rPr>
          <w:b/>
        </w:rPr>
        <w:t>POSSIBLE 2026:</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Shared claim-specific concepts:</w:t>
      </w:r>
      <w:r>
        <w:t xml:space="preserve"> urgent, need, information; EU scope visible. This is a provisional connection, not an outcome finding.</w:t>
      </w:r>
    </w:p>
    <w:p>
      <w:pPr>
        <w:pStyle w:val="SourceNote"/>
      </w:pPr>
      <w:r>
        <w:rPr>
          <w:b/>
        </w:rPr>
        <w:t>Available abstract (not full text):</w:t>
      </w:r>
      <w:r>
        <w:t xml:space="preserve"> BACKGROUND: As part of the European Be better informed about Fertility project (B2-InF), we carried out a normative analysis of the information provided online by assisted reproduction clinics to the European public. This analysis aimed to determine the degree to which this information complies with regulations of medically assisted reproduction (MAR) and commercial information, and the main ethical implications related to the duty of information. METHODS: Information was gathered from the websites of 33 clinics across 8 European countries (Albania, Belgium, Spain, Italy, Kosovo, Northern Macedonia, Slovenia, Switzerland). Nearly 2000 pages of information were reviewed and checked for compliance with relevant frameworks of national and international law. RESULTS: The assessment revealed significant inconsistencies in how clinics present information online, with particular concerns regarding transparency about success rates, associated risks, add-on techniques and the legal and ethical issues that may arise during the use of these techniques. CONCLUSIONS: The results of our analysis indicate an urgent need for enhanced regulatory oversight and standardized information requirements for assisted reproduction clinics across Europe. These findings suggest the necessity for harmonized legal frameworks that mandate comprehensive disclosure standards and establish effective enforcement</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Corrective and Restorative Dermatology in Cancer Survivors: An Urgent Unmet Need! — https://doi.org/10.1007/s40257-026-01027-0</w:t>
      </w:r>
    </w:p>
    <w:p>
      <w:pPr/>
      <w:r>
        <w:rPr>
          <w:b/>
        </w:rPr>
        <w:t>Shared claim-specific concepts:</w:t>
      </w:r>
      <w:r>
        <w:t xml:space="preserve"> recognizing, urgent, need; EU scope not established. This is a provisional connection, not an outcome finding.</w:t>
      </w:r>
    </w:p>
    <w:p>
      <w:pPr>
        <w:pStyle w:val="SourceNote"/>
      </w:pPr>
      <w:r>
        <w:rPr>
          <w:b/>
        </w:rPr>
        <w:t>Available abstract (not full text):</w:t>
      </w:r>
      <w:r>
        <w:t xml:space="preserve"> The increasing efficacy of oncological therapies has led to a rapidly growing population of cancer survivors, shifting clinical attention from acute treatment-related toxicities to long-term and late sequelae. Among these, dermatological sequelae represent some of the most visible and persistent consequences of cancer treatments and may significantly impair quality of life. Persistent alopecia, nail disorders, pigmentary alterations, chronic radiation-induced skin changes, scarring, vascular abnormalities, mucosal alterations, and secondary skin cancers may develop or persist long after treatment completion, acting as constant reminders of the cancer experience. These conditions are not only cosmetic; they may be associated with functional limitations, psychological distress, and altered body image, particularly in patients treated during childhood or adolescence. While the role of supportive oncodermatology during active cancer treatment is well established, structured dermatological care in the survivorship phase remains insufficiently developed. This narrative review provides a comprehensive overview of the main long-lasting dermatological adverse events associated with chemotherapy, radiotherapy, targeted therapies, immunotherapy, endocrine treatments, and hematopoietic stem cell transplantation. In addition, available restorative and corrective dermatological interventions</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climate, decarbonization, focusing, emissions;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Economics in judicial reasoning in the energy sector before the Court of Justice of the European Union — https://doi.org/10.1093/jiel/jgag025</w:t>
      </w:r>
    </w:p>
    <w:p>
      <w:pPr/>
      <w:r>
        <w:rPr>
          <w:b/>
        </w:rPr>
        <w:t>Shared claim-specific concepts:</w:t>
      </w:r>
      <w:r>
        <w:t xml:space="preserve"> urgent, climate; EU scope visible. This is a provisional connection, not an outcome finding.</w:t>
      </w:r>
    </w:p>
    <w:p>
      <w:pPr>
        <w:pStyle w:val="SourceNote"/>
      </w:pPr>
      <w:r>
        <w:rPr>
          <w:b/>
        </w:rPr>
        <w:t>Available abstract (not full text):</w:t>
      </w:r>
      <w:r>
        <w:t xml:space="preserve"> Abstract This article examines the role and usage of economics in the judicial reasoning in energy law, situating its analysis within the broader context of international economic law. Using European Union energy law, and in particular, the case-law from the Court of Justice of the European Union as an illustrative example, the article shows how the interpretation and application of energy law are conceptually and theoretically grounded in economics and demonstrates what that means for energy law as a discipline. This economic orientation not only reflects the deep integration of energy markets into the international economic order but also exposes how such foundations condition the law’s capacity to respond to global challenges, including climate change and energy crises. Two broader implications follow: first, that the economic orientation of energy law challenges traditional legal expertise and the way lawyers are trained; and secondly, that it influences how law mediates between economic activities and urgent societal imperatives. By uncovering these dynamics, the article contributes to understanding of the foundations of energy law and how law structures the decisional space of institutions tasked with steering the global energy transition.</w:t>
      </w:r>
    </w:p>
    <w:p>
      <w:pPr/>
      <w:r>
        <w:rPr>
          <w:b/>
        </w:rPr>
        <w:t>POSSIBLE 2026:</w:t>
      </w:r>
      <w:r>
        <w:t xml:space="preserve"> Organics as a response to the urgent need for resilient food systems – Proceedings — https://doi.org/10.54612/a.7v3mj6af21</w:t>
      </w:r>
    </w:p>
    <w:p>
      <w:pPr/>
      <w:r>
        <w:rPr>
          <w:b/>
        </w:rPr>
        <w:t>Shared claim-specific concepts:</w:t>
      </w:r>
      <w:r>
        <w:t xml:space="preserve"> urgent, need, climate; EU scope not established. This is a provisional connection, not an outcome finding.</w:t>
      </w:r>
    </w:p>
    <w:p>
      <w:pPr>
        <w:pStyle w:val="SourceNote"/>
      </w:pPr>
      <w:r>
        <w:rPr>
          <w:b/>
        </w:rPr>
        <w:t>Available abstract (not full text):</w:t>
      </w:r>
      <w:r>
        <w:t xml:space="preserve"> Resilience refers to a system’s capacity to withstand or adjust to changes imposed by the surrounding environment. In a world challenged by crises such as war, pandemics, climate change, biodiversity loss, finite nature resources, economic and political fluctuations, demographic shifts and rapidly changing market trends, building resilient food systems has never been more urgent. These external pressures affect the entire food system through all the stages of food production and consumption. At this conference we explore how organics and its innovative methods can contribute to the need for increased resilience in the food system, from farm to fork and from local to global level. What challenges lie ahead? How can organic practices from farm to fork further strengthen its own robustness as well as having impact in a larger context? All dimensions of resilience within the food landscape – ecological, social and economic – will be addressed. Research relevant for organic food and farming should be in line with the principles of organic agriculture as defined by IFOAM. The conference aims to share and discuss recent research outcomes, relevant for how organic food and farming can enhance food system resilience. With focus on the NordicBaltic region, which shares common conditions for food production and consumption, the conference also aims to strengthen networks among researchers</w:t>
      </w:r>
    </w:p>
    <w:p>
      <w:pPr/>
      <w:r>
        <w:rPr>
          <w:b/>
        </w:rPr>
        <w:t>POSSIBLE 2026:</w:t>
      </w:r>
      <w:r>
        <w:t xml:space="preserve"> Emerging Zoonotic Viral Diseases: Urgent Need for One Health Perspective — https://doi.org/10.2478/am-2026-0012</w:t>
      </w:r>
    </w:p>
    <w:p>
      <w:pPr/>
      <w:r>
        <w:rPr>
          <w:b/>
        </w:rPr>
        <w:t>Shared claim-specific concepts:</w:t>
      </w:r>
      <w:r>
        <w:t xml:space="preserve"> urgent, need, climate, pathways, trade; EU scope not established. This is a provisional connection, not an outcome finding.</w:t>
      </w:r>
    </w:p>
    <w:p>
      <w:pPr>
        <w:pStyle w:val="SourceNote"/>
      </w:pPr>
      <w:r>
        <w:rPr>
          <w:b/>
        </w:rPr>
        <w:t>Available abstract (not full text):</w:t>
      </w:r>
      <w:r>
        <w:t xml:space="preserve"> Abstract Zoonotic diseases are infectious diseases that are naturally transmitted between vertebrate animals and humans, either directly or indirectly. It has been estimated that over 60% of human pathogens originate in animals. These include bacteria, viruses, fungi, protozoa, parasites, and other pathogens. Newly emerging zoonotic viral diseases can greatly complicate the public health situation, primarily because such pathogens typically have high lethality, can cause large-scale outbreaks, and severely affect the socioeconomic conditions of societies. At the same time, the frequency of zoonotic outbreaks has been increasing at an alarming rate in recent decades, largely as a result of human actions such as increasing agricultural productivity, clearing forests, animal trade, and climate change. Cases such as the H1N1 influenza pandemic, Nipah virus infection, monkeypox, Ebola, and SARS-CoV-2 have clearly demonstrated the significant epidemic potential of zoonotic infections in human populations. Because recent experiences with emerging zoonotic diseases have been challenging, it is imperative that the One Health concept be strongly supported through effective implementation. This concept helps connect the human-animal-plant-environment interface, which is vitally important for preventing, detecting, and responding to health threats. It also ensures that development remains </w:t>
      </w:r>
    </w:p>
    <w:p>
      <w:pPr/>
      <w:r>
        <w:rPr>
          <w:b/>
        </w:rPr>
        <w:t>POSSIBLE 2026:</w:t>
      </w:r>
      <w:r>
        <w:t xml:space="preserve"> System innovation to address the urgency, scale and complexity of climate action: Climate KIC’s European vision and experience — https://doi.org/10.5802/crgeos.329</w:t>
      </w:r>
    </w:p>
    <w:p>
      <w:pPr/>
      <w:r>
        <w:rPr>
          <w:b/>
        </w:rPr>
        <w:t>Shared claim-specific concepts:</w:t>
      </w:r>
      <w:r>
        <w:t xml:space="preserve"> climate, decarbonization; EU scope visible. This is a provisional connection, not an outcome finding.</w:t>
      </w:r>
    </w:p>
    <w:p>
      <w:pPr>
        <w:pStyle w:val="SourceNote"/>
      </w:pPr>
      <w:r>
        <w:rPr>
          <w:b/>
        </w:rPr>
        <w:t>Available abstract (not full text):</w:t>
      </w:r>
      <w:r>
        <w:t xml:space="preserve"> Juxtaposing incremental solutions can no longer respond to the climate emergency. This requires integrated approaches that take into account the interdependencies between actors and combine the levers of transformation—technological, behavioral, regulatory, and financial. The European Commission has created five Missions under Horizon Europe, reinforcing the coherence of objectives and means in support of the Green Deal. Notably, the “Smart and climate-neutral cities” and “Adaptation to climate change” Missions support cities, metropolitan areas, communities and regions that are aiming for decarbonization and climate resilience by 2030. In this paper, we discuss some structuring projects for these Missions, and other systemic innovation initiatives anchored in specific places, in particular Deep Demonstration programs led by Climate KIC in support of national and regional governments.</w:t>
      </w:r>
    </w:p>
    <w:p>
      <w:pPr/>
      <w:r>
        <w:rPr>
          <w:b/>
        </w:rPr>
        <w:t>POSSIBLE 2026:</w:t>
      </w:r>
      <w:r>
        <w:t xml:space="preserve"> Conservation at risk: the urgent need for political action to protect river dolphins in South America — https://doi.org/10.55565/nhac.stjb9605</w:t>
      </w:r>
    </w:p>
    <w:p>
      <w:pPr/>
      <w:r>
        <w:rPr>
          <w:b/>
        </w:rPr>
        <w:t>Shared claim-specific concepts:</w:t>
      </w:r>
      <w:r>
        <w:t xml:space="preserve"> urgent, need, climate, trade; EU scope not established. This is a provisional connection, not an outcome finding.</w:t>
      </w:r>
    </w:p>
    <w:p>
      <w:pPr>
        <w:pStyle w:val="SourceNote"/>
      </w:pPr>
      <w:r>
        <w:rPr>
          <w:b/>
        </w:rPr>
        <w:t>Available abstract (not full text):</w:t>
      </w:r>
      <w:r>
        <w:t xml:space="preserve"> River dolphins in South America face critical threats including illegal hunting for bait, accidental bycatch, mercury pollution, habitat fragmentation from dams, and extreme droughts driven by climate change. Consequently, species such as Inia geoffrensis and Sotalia fluviatilis have been recategorized as endangered following decades of consolidated monitoring in the Amazon and Orinoco basins. To address this crisis, political advocacy led to the South American Action Plan (2010-2020) and the implementation of national management plans in Brazil, Colombia, Bolivia, Peru, Ecuador, and Venezuela. These efforts are supported by the River Dolphins Initiative SARDI, a consortium of organizations that leads and generates data on dolphin abundance and threats to guide science-based policy decisions. At a global level, conservation has advanced through the Conservation Management Plan (CMP) of the International Whaling Commission and the Global Declaration for River Dolphins (2023), which seeks to halt population declines and protect critical habitats. Furthermore, river dolphins have been integrated into international treaties like the Ramsar Convention, which recognizes them as indicator species for the health of freshwater ecosystems. However, the sources highlight that effective implementation is hindered by legal asymmetries between countries—such as differing regulations on the p</w:t>
      </w:r>
    </w:p>
    <w:p>
      <w:pPr/>
      <w:r>
        <w:rPr>
          <w:b/>
        </w:rPr>
        <w:t>POSSIBLE 2026:</w:t>
      </w:r>
      <w:r>
        <w:t xml:space="preserve"> Economic Burden of Physical Inactivity in Europe — https://doi.org/10.71125/sporteconres.25</w:t>
      </w:r>
    </w:p>
    <w:p>
      <w:pPr/>
      <w:r>
        <w:rPr>
          <w:b/>
        </w:rPr>
        <w:t>Shared claim-specific concepts:</w:t>
      </w:r>
      <w:r>
        <w:t xml:space="preserve"> urgent, need, relevance;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Climate risk assessment of China’s Cultural World Heritage highlights urgent need for adaptation — https://doi.org/10.1038/s40494-026-02512-9</w:t>
      </w:r>
    </w:p>
    <w:p>
      <w:pPr/>
      <w:r>
        <w:rPr>
          <w:b/>
        </w:rPr>
        <w:t>Shared claim-specific concepts:</w:t>
      </w:r>
      <w:r>
        <w:t xml:space="preserve"> urgent, need, climate; EU scope not established. This is a provisional connection, not an outcome finding.</w:t>
      </w:r>
    </w:p>
    <w:p>
      <w:pPr>
        <w:pStyle w:val="SourceNote"/>
      </w:pPr>
      <w:r>
        <w:rPr>
          <w:b/>
        </w:rPr>
        <w:t>Available abstract (not full text):</w:t>
      </w:r>
      <w:r>
        <w:t xml:space="preserve"> Abstract Climate change poses escalating risks to cultural heritage with substantial implications for adaptation to minimize losses and damages. Integrating expert elicitation with projected changes in mean and extreme temperature and precipitation, we assess climate risk for 148 heritage sites and buffer zones within 39 Cultural World Heritage properties in China. Even under a moderate-emissions pathway (SSP245), risk increases for 82% of sites by mid‑century, with all sites reaching moderate to extreme risk by the 2070 s; by century’s end, over one‑third shift from low to high, or extreme risk. Ancient Architectural Structures are at risk in the near term, including Mount Wutai and the Yungang Grottoes. Over half of the sites are located in urban or peri‑urban areas, with nine urban sites facing extreme risk by 2100 regardless of scenario. These findings underscore the urgent need for adaptation across properties and buffer zones and offer guidance for scheduling site‑specific interventions.</w:t>
      </w:r>
    </w:p>
    <w:p>
      <w:pPr>
        <w:pStyle w:val="Heading2"/>
      </w:pPr>
      <w:r>
        <w:t>548. Health horizons: Future trends and technologies from the European Medicines Agency’s horizon scanning collaborations</w:t>
      </w:r>
    </w:p>
    <w:p>
      <w:pPr>
        <w:pStyle w:val="SourceNote"/>
      </w:pPr>
      <w:r>
        <w:rPr>
          <w:b/>
        </w:rPr>
        <w:t>Original source (2022):</w:t>
      </w:r>
      <w:r>
        <w:t xml:space="preserve"> https://doi.org/10.3389/fmed.2022.1064003</w:t>
      </w:r>
    </w:p>
    <w:p>
      <w:pPr/>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context, medicines, agency, products, each;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Artificial Intelligence for Regulatory Evidence: A Systematic Document Analysis of European Medicines Agency Regulatory Advice and Public Reports — https://doi.org/10.1002/cpt.70300</w:t>
      </w:r>
    </w:p>
    <w:p>
      <w:pPr/>
      <w:r>
        <w:rPr>
          <w:b/>
        </w:rPr>
        <w:t>Shared claim-specific concepts:</w:t>
      </w:r>
      <w:r>
        <w:t xml:space="preserve"> context, medicines, agency, light, early; EU scope visible. This is a provisional connection, not an outcome finding.</w:t>
      </w:r>
    </w:p>
    <w:p>
      <w:pPr>
        <w:pStyle w:val="SourceNote"/>
      </w:pPr>
      <w:r>
        <w:rPr>
          <w:b/>
        </w:rPr>
        <w:t>Available abstract (not full text):</w:t>
      </w:r>
      <w:r>
        <w:t xml:space="preserve">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pPr/>
      <w:r>
        <w:rPr>
          <w:b/>
        </w:rPr>
        <w:t>POSSIBLE 2026:</w:t>
      </w:r>
      <w:r>
        <w:t xml:space="preserve"> Horizon scanning at EMA: preparing for the medicines of the future — https://doi.org/10.3389/fmed.2026.1800213</w:t>
      </w:r>
    </w:p>
    <w:p>
      <w:pPr/>
      <w:r>
        <w:rPr>
          <w:b/>
        </w:rPr>
        <w:t>Shared claim-specific concepts:</w:t>
      </w:r>
      <w:r>
        <w:t xml:space="preserve"> medicines, agency, horizon, scanning, early, relevant;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medicines, agency, horizon, scanning, relevant, products;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context, horizon, scanning, early, relevant, innovation;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report 2016-2025 update — https://openalex.org/W7212410651</w:t>
      </w:r>
    </w:p>
    <w:p>
      <w:pPr/>
      <w:r>
        <w:rPr>
          <w:b/>
        </w:rPr>
        <w:t>Shared claim-specific concepts:</w:t>
      </w:r>
      <w:r>
        <w:t xml:space="preserve"> horizon, scanning, innovation, technological, recommendations; EU scope not established. This is a provisional connection, not an outcome finding.</w:t>
      </w:r>
    </w:p>
    <w:p>
      <w:pPr>
        <w:pStyle w:val="SourceNote"/>
      </w:pPr>
      <w:r>
        <w:rPr>
          <w:b/>
        </w:rPr>
        <w:t>Available abstract (not full text):</w:t>
      </w:r>
      <w:r>
        <w:t xml:space="preserve"> that explore the links between vulnerability factors, amplification mechanisms, health crises, geopolitical instability, technological innovation, and radicalization dynamics.To achieve the research objectives, various academic databases and search engines were used, including Scopus, Web of Science, Google Scholar, Minerva, and other specialist platforms, in order to ensure broad coverage of available sources.The corpus analyzed includes peerreviewed scientific articles, institutional reports, policy documents, monographs, conference proceedings, and interdisciplinary contributions from fields such as sociology, psychology, political science, media studies, law, computer science, and information science.Overall, the methodology adopted has made it possible to develop an up-to-date, systemic analysis that is comparable with the first report, strengthening the focus on the middle-aged population and providing a solid empirical and theoretical basis for the subsequent development of operational and policy recommendations on combating disinformation and conspiracy theories.</w:t>
      </w:r>
    </w:p>
    <w:p>
      <w:pPr/>
      <w:r>
        <w:rPr>
          <w:b/>
        </w:rPr>
        <w:t>POSSIBLE 2026:</w:t>
      </w:r>
      <w:r>
        <w:t xml:space="preserve"> Preventing Invasive Non‐Native Species: A Horizon Scanning for the Canary Islands — https://doi.org/10.1111/ddi.70248</w:t>
      </w:r>
    </w:p>
    <w:p>
      <w:pPr/>
      <w:r>
        <w:rPr>
          <w:b/>
        </w:rPr>
        <w:t>Shared claim-specific concepts:</w:t>
      </w:r>
      <w:r>
        <w:t xml:space="preserve"> horizon, scanning, early; EU scope not established. This is a provisional connection, not an outcome finding.</w:t>
      </w:r>
    </w:p>
    <w:p>
      <w:pPr>
        <w:pStyle w:val="SourceNote"/>
      </w:pPr>
      <w:r>
        <w:rPr>
          <w:b/>
        </w:rPr>
        <w:t>Available abstract (not full text):</w:t>
      </w:r>
      <w:r>
        <w:t xml:space="preserve"> ABSTRACT Aim Oceanic islands host exceptional biodiversity and endemism but are highly vulnerable to biological invasions. We aimed to identify non‐native species with high potential to invade the Canary Islands within the next decade and to prioritise them based on their environmental and socioeconomic risks. Location The Canary Islands, Macaronesia, northeastern Atlantic Ocean. Methods We applied a structured horizon scanning protocol with a global scope. A panel of 37 experts assessed 823 species across five thematic groups (marine species, freshwater animals, terrestrial vertebrates, terrestrial invertebrates and plants) by scoring their likelihood of arrival, establishment and impacts. Impacts were evaluated separately as environmental and socioeconomic. Agreement and consistency among experts were quantified, and two consensus‐based ranked lists were developed. Results Although agreement in expert scores was relatively low, species rankings showed high consistency. A total of 94 species were identified as priorities for prevention based on environmental impacts (12 very high risk, 82 high risk), while 49 species were prioritized for socioeconomic impacts (2 very high, 47 high). Environmental risks were dominated by lizards, snakes and freshwater fish, whereas socioeconomic risks were mainly concentrated on insects. Environmental and socioeconomic impact scores were only w</w:t>
      </w:r>
    </w:p>
    <w:p>
      <w:pPr/>
      <w:r>
        <w:rPr>
          <w:b/>
        </w:rPr>
        <w:t>POSSIBLE 2026:</w:t>
      </w:r>
      <w:r>
        <w:t xml:space="preserve"> Horizon Scanning of Multiple Sclerosis Expenditure in Italy (2025–2029): Updated Insights from the Oracle Model — https://doi.org/10.1007/s40120-026-01042-7</w:t>
      </w:r>
    </w:p>
    <w:p>
      <w:pPr/>
      <w:r>
        <w:rPr>
          <w:b/>
        </w:rPr>
        <w:t>Shared claim-specific concepts:</w:t>
      </w:r>
      <w:r>
        <w:t xml:space="preserve"> horizon, scanning, innovation, each, expected; EU scope visible. This is a provisional connection, not an outcome finding.</w:t>
      </w:r>
    </w:p>
    <w:p>
      <w:pPr>
        <w:pStyle w:val="SourceNote"/>
      </w:pPr>
      <w:r>
        <w:rPr>
          <w:b/>
        </w:rPr>
        <w:t>Available abstract (not full text):</w:t>
      </w:r>
      <w:r>
        <w:t xml:space="preserve"> INTRODUCTION: Multiple sclerosis (MS) is a chronic and progressively disabling neurological disease associated with a substantial clinical and socioeconomic burden. The introduction of an increasing number of new innovative therapies has further intensified concerns regarding the long-term sustainability for the Italian National Healthcare Service (NHS). Despite substantial therapeutic progress in MS management, with several treatments available for most MS patient populations, no definitive cure is currently available, and a critical therapeutic gap persists for non-relapsing secondary progressive MS (NR-SPMS), for which no approved treatments are specifically indicated. The objective of the present research is to estimate the Italian NHS expenditure for MS disease-modifying therapies (DMTs) between 2025 and 2029. METHODS: Building on a published horizon-scanning model (i.e., Oracle), this study updates projections of expenditure and treatment patterns for MS DMTs through 2029, integrating clinical inputs (i.e., treated patients, patient shares for each reimbursed therapy) with economic inputs (i.e., annual therapy costs). Assumptions and input data were derived from IQVIA® proprietary databases and informed by clinical and pharmacoeconomic expert inputs. Results were validated in a multi-stakeholder roundtable. RESULTS: This study shows that the number of treated patients is </w:t>
      </w:r>
    </w:p>
    <w:p>
      <w:pPr/>
      <w:r>
        <w:rPr>
          <w:b/>
        </w:rPr>
        <w:t>POSSIBLE 2026:</w:t>
      </w:r>
      <w:r>
        <w:t xml:space="preserve"> Comparing harmonization in medicines regulation and health technology assessment in Europe: lessons for the EU HTA regulation — https://doi.org/10.1017/s0266462326104267</w:t>
      </w:r>
    </w:p>
    <w:p>
      <w:pPr/>
      <w:r>
        <w:rPr>
          <w:b/>
        </w:rPr>
        <w:t>Shared claim-specific concepts:</w:t>
      </w:r>
      <w:r>
        <w:t xml:space="preserve"> medicines, agency, relevant; EU scope visible. This is a provisional connection, not an outcome finding.</w:t>
      </w:r>
    </w:p>
    <w:p>
      <w:pPr>
        <w:pStyle w:val="SourceNote"/>
      </w:pPr>
      <w:r>
        <w:rPr>
          <w:b/>
        </w:rPr>
        <w:t>Available abstract (not full text):</w:t>
      </w:r>
      <w:r>
        <w:t xml:space="preserve"> OBJECTIVES: The European Union (EU) has long pursued harmonization in medicines regulation and, more recently, in health technology assessment (HTA). The European Medicines Agency (EMA) and the EU HTA Regulation (EU HTAR) represent key milestones in these respective trajectories. This study compares the harmonization trajectories of EU medicines regulation and EU HTA to identify lessons relevant for EU HTAR implementation. METHODS: We used a multi-method qualitative approach combining a narrative literature review with online focus groups involving eighteen regulatory and policy experts. The review explored the historical development of harmonization in both policy areas. The focus-group analysis examined perspectives on collaboration, harmonization dynamics, and implementation. RESULTS: Both policy areas moved from national arrangements and voluntary cooperation toward more formal EU-level structures. Medicines regulation developed earlier and resulted in more centralized procedures and binding EU-wide authorization decisions. EU HTA retains greater national responsibility for value judgments, pricing, and reimbursement. The two areas also differ in the scope and standardization of assessments. In both trajectories, harmonization was shaped by trust, willingness to collaborate, capacity differences, and legal and procedural contexts. Participants emphasized the importance of s</w:t>
      </w:r>
    </w:p>
    <w:p>
      <w:pPr/>
      <w:r>
        <w:rPr>
          <w:b/>
        </w:rPr>
        <w:t>POSSIBLE 2026:</w:t>
      </w:r>
      <w:r>
        <w:t xml:space="preserve"> Integral Drug-Device Combinations and Medical Device Regulation Article 117: The European Medicines Agency Perspective — https://doi.org/10.1007/s43441-026-00983-3</w:t>
      </w:r>
    </w:p>
    <w:p>
      <w:pPr/>
      <w:r>
        <w:rPr>
          <w:b/>
        </w:rPr>
        <w:t>Shared claim-specific concepts:</w:t>
      </w:r>
      <w:r>
        <w:t xml:space="preserve"> medicines, agency, relevant, medicinal, products, challenges; EU scope visible. This is a provisional connection, not an outcome finding.</w:t>
      </w:r>
    </w:p>
    <w:p>
      <w:pPr>
        <w:pStyle w:val="SourceNote"/>
      </w:pPr>
      <w:r>
        <w:rPr>
          <w:b/>
        </w:rPr>
        <w:t>Available abstract (not full text):</w:t>
      </w:r>
      <w:r>
        <w:t xml:space="preserve"> Integral drug-device combinations (iDDCs) are governed in the European Union (EU) under the medicinal products framework, but the medical device part must meet relevant requirements of the medical device framework. This implies increased complexity as actors with different responsibilities, expertise and priorities are involved. Regulation (EU) 2017/745 on medical devices (MDR) [1] came into effect on 26 May 2021. At the time of the repealed Council Directive 93/42/EEC on medical devices (MDD) [2], the European Medicines Agency (EMA) and EU National Competent Authorities (NCAs) were overseeing the evaluation of the quality, safety, efficacy, benefit/risk of the medicinal product and the relevant Essential Requirements according to the MDD of the integral medical device used in combination. Article 117 of the MDR introduced a fundamental change: notified bodies became responsible for assessing compliance of the integral medical device with the relevant General Safety and Performance Requirements (GSPRs), as set out in MDR Annex I. These GSPRs represent a more stringent set of requirements in comparison with the Essential Requirements in the MDD. One of the objectives of Article 117 and the MDR was to strengthen regulatory oversight of the device component of the iDDC and increase confidence in the regulatory system. Given the interface of the medicinal product and medical device</w:t>
      </w:r>
    </w:p>
    <w:p>
      <w:pPr/>
      <w:r>
        <w:rPr>
          <w:b/>
        </w:rPr>
        <w:t>POSSIBLE 2026:</w:t>
      </w:r>
      <w:r>
        <w:t xml:space="preserve"> Critical analysis of withdrawn drug applications in marketing authorization procedures of the European Medicines Agency (EMA) 2006–2024 — https://doi.org/10.1007/s00210-026-05443-1</w:t>
      </w:r>
    </w:p>
    <w:p>
      <w:pPr/>
      <w:r>
        <w:rPr>
          <w:b/>
        </w:rPr>
        <w:t>Shared claim-specific concepts:</w:t>
      </w:r>
      <w:r>
        <w:t xml:space="preserve"> medicines, agency, medicinal, products; EU scope visible. This is a provisional connection, not an outcome finding.</w:t>
      </w:r>
    </w:p>
    <w:p>
      <w:pPr>
        <w:pStyle w:val="SourceNote"/>
      </w:pPr>
      <w:r>
        <w:rPr>
          <w:b/>
        </w:rPr>
        <w:t>Available abstract (not full text):</w:t>
      </w:r>
      <w:r>
        <w:t xml:space="preserve"> Withdrawn drug applications (WDAs) are drug approval applications withdrawn by the applicant before the European Medicines Agency (EMA) has made a final decision. To better understand the main reasons for the emergence of WDAs, this study critically analyzes all WDAs in the period from 2006 to 2024. The data analysis is based on the 330 WDAs published by the EMA during the period mentioned above. Various parameters were analyzed, such as active substances, therapeutic subgroups and objections raised by the EMA. The most common therapeutic subgroups are antineoplastic agents (N = 80), followed by immunosuppressants (N = 23). Most drug approval applications are for initial approval (N = 244; 73.9%), supported by a single key clinical trial. In 77.3% (N = 255) of cases, the key clinical trials included a control arm (reference drug and/or placebo). In 69.7% (N = 230) of cases, no initial marketing authorization recommendation was made by the EMA's Committee for Medicinal Products for Human Use (CHMP). The most common reason for this was concerns about clinical efficacy (33.46%; N = 348), partly due to inadequate clinical trial design. A major reason for the accumulation of WDAs in the antineoplastic agents group is presumably the high demand for supply and the resulting economic potential of this drug group. The present analysis may contribute to the identification of obstacles an</w:t>
      </w:r>
    </w:p>
    <w:p>
      <w:pPr/>
      <w:r>
        <w:rPr>
          <w:b/>
        </w:rPr>
        <w:t>POSSIBLE 2026:</w:t>
      </w:r>
      <w:r>
        <w:t xml:space="preserve"> Analysis of marketing authorizations, withdrawals, and refusals by the European Medicines Agency (EMA): trends in approval procedures 1995–2025 — https://doi.org/10.1007/s00210-026-05887-5</w:t>
      </w:r>
    </w:p>
    <w:p>
      <w:pPr/>
      <w:r>
        <w:rPr>
          <w:b/>
        </w:rPr>
        <w:t>Shared claim-specific concepts:</w:t>
      </w:r>
      <w:r>
        <w:t xml:space="preserve"> medicines, agency, trends, medicinal, products; EU scope visible. This is a provisional connection, not an outcome finding.</w:t>
      </w:r>
    </w:p>
    <w:p>
      <w:pPr>
        <w:pStyle w:val="SourceNote"/>
      </w:pPr>
      <w:r>
        <w:rPr>
          <w:b/>
        </w:rPr>
        <w:t>Available abstract (not full text):</w:t>
      </w:r>
      <w:r>
        <w:t xml:space="preserve"> The European Medicines Agency (EMA) is an institution of the European Union (EU), responsible for the authorization and pharmacovigilance of medicinal products. In our study, we present a systematic analysis of the 1,985 centralized EMA marketing authorization procedures (MAP) between 1995 and 2025. The analysis mainly includes EMA marketing authorizations, withdrawals of marketing authorizations, and revocations of marketing authorizations or refusals of drug applications. With regard to the analysis period, it is evident that the number of marketing authorizations recommended by the EMA increased significantly between 1996 (first fully published evaluation year) and 2025. Among the active substances (International Nonproprietary Names, INNs) in centralized EMA MAPs, clopidogrel and denosumab are the most frequently represented. On the other hand, antineoplastic agents and immunosuppressants are the most common therapeutic subgroups according to the Anatomical Therapeutic Chemical Classification (ATC) in MAPs. Notably, special MAPs for medicines such as generics, biosimilars, and medicines for the treatment of rare diseases (orphan medicines) account for more than 30% of MAPs. Our analysis shows that the development of centralized EMA MAPs is influenced by multiple factors such as medical need, regulatory framework, the economic potential of medicines, and patent law considera</w:t>
      </w:r>
    </w:p>
    <w:p>
      <w:pPr>
        <w:pStyle w:val="Heading2"/>
      </w:pPr>
      <w:r>
        <w:t>549. Horizon scanning exercise on preparedness for future risk assessment requirements and possible challenges in regulatory science</w:t>
      </w:r>
    </w:p>
    <w:p>
      <w:pPr>
        <w:pStyle w:val="SourceNote"/>
      </w:pPr>
      <w:r>
        <w:rPr>
          <w:b/>
        </w:rPr>
        <w:t>Original source (2022):</w:t>
      </w:r>
      <w:r>
        <w:t xml:space="preserve"> https://doi.org/10.2903/sp.efsa.2022.en-7297</w:t>
      </w:r>
    </w:p>
    <w:p>
      <w:pPr/>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POSSIBLE 2026:</w:t>
      </w:r>
      <w:r>
        <w:t xml:space="preserve"> Horizon scanning for potential upcoming invasive alien species in the European Union — https://doi.org/10.3897/aca.9.e202112</w:t>
      </w:r>
    </w:p>
    <w:p>
      <w:pPr/>
      <w:r>
        <w:rPr>
          <w:b/>
        </w:rPr>
        <w:t>Shared claim-specific concepts:</w:t>
      </w:r>
      <w:r>
        <w:t xml:space="preserve"> horizon, resulted, recommended, six, thematic, areas; EU scope visible. This is a provisional connection, not an outcome finding.</w:t>
      </w:r>
    </w:p>
    <w:p>
      <w:pPr>
        <w:pStyle w:val="SourceNote"/>
      </w:pPr>
      <w:r>
        <w:rPr>
          <w:b/>
        </w:rPr>
        <w:t>Available abstract (not full text):</w:t>
      </w:r>
      <w:r>
        <w:t xml:space="preserve">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horizon, scanning, direction;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horizon, areas, potential, scanning, considered;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horizon, scan, contribute, potential, findings, scanning;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horizon, scan, scanning;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A global review of horizon scanning exercises for invasive alien species — https://doi.org/10.3897/aca.9.e202375</w:t>
      </w:r>
    </w:p>
    <w:p>
      <w:pPr/>
      <w:r>
        <w:rPr>
          <w:b/>
        </w:rPr>
        <w:t>Shared claim-specific concepts:</w:t>
      </w:r>
      <w:r>
        <w:t xml:space="preserve"> horizon, challenges, potential, scanning;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horizon, contribute, potential, findings, scanning;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2025 Results of the EEA – Eionet participatory horizon scan to identify emerging issues relevant to sustainable consumption &amp; production — https://doi.org/10.5281/zenodo.22808836</w:t>
      </w:r>
    </w:p>
    <w:p>
      <w:pPr/>
      <w:r>
        <w:rPr>
          <w:b/>
        </w:rPr>
        <w:t>Shared claim-specific concepts:</w:t>
      </w:r>
      <w:r>
        <w:t xml:space="preserve"> horizon, scan, areas, challenges, potential, scanning; EU scope visible. This is a provisional connection, not an outcome finding.</w:t>
      </w:r>
    </w:p>
    <w:p>
      <w:pPr>
        <w:pStyle w:val="SourceNote"/>
      </w:pPr>
      <w:r>
        <w:rPr>
          <w:b/>
        </w:rPr>
        <w:t>Available abstract (not full text):</w:t>
      </w:r>
      <w:r>
        <w:t xml:space="preserve">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pPr/>
      <w:r>
        <w:rPr>
          <w:b/>
        </w:rPr>
        <w:t>POSSIBLE 2026:</w:t>
      </w:r>
      <w:r>
        <w:t xml:space="preserve"> Horizon scanning at EMA: preparing for the medicines of the future — https://doi.org/10.3389/fmed.2026.1800213</w:t>
      </w:r>
    </w:p>
    <w:p>
      <w:pPr/>
      <w:r>
        <w:rPr>
          <w:b/>
        </w:rPr>
        <w:t>Shared claim-specific concepts:</w:t>
      </w:r>
      <w:r>
        <w:t xml:space="preserve"> horizon, preparedness, challenges, scanning;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horizon, scan, preventing,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Multiple introductions of invasive alien species on a Mediterranean Island predicted by horizon scanning — https://doi.org/10.1007/s10530-025-03729-8</w:t>
      </w:r>
    </w:p>
    <w:p>
      <w:pPr/>
      <w:r>
        <w:rPr>
          <w:b/>
        </w:rPr>
        <w:t>Shared claim-specific concepts:</w:t>
      </w:r>
      <w:r>
        <w:t xml:space="preserve"> horizon, scan, scanning, ongoing; EU scope visible. This is a provisional connection, not an outcome finding.</w:t>
      </w:r>
    </w:p>
    <w:p>
      <w:pPr>
        <w:pStyle w:val="SourceNote"/>
      </w:pPr>
      <w:r>
        <w:rPr>
          <w:b/>
        </w:rPr>
        <w:t>Available abstract (not full text):</w:t>
      </w:r>
      <w:r>
        <w:t xml:space="preserve"> Abstract In 2017 and 2019 two horizon scan workshops were undertaken for the island of Cyprus, which focused on making predictions about the invasive alien species (IAS) most likely to arrive and impact biodiversity, human health and the economy. Herein, we assess the species lists derived from these two horizon scans and consider the accuracy of the predictions so far. In less than ten years, 26 new IAS were found in Cyprus, 10 out of which were predicted to arrive by the horizon scans. Eight introduced IAS were ranked as high risk during the horizon scanning process. Horizon scanning helped raise awareness amongst the authorities, scientists and the public, leading in some cases to a rapid response by the competent authorities to control the arrival. We conclude that horizon scanning is a useful process that can inform contingency planning and action. Furthermore, it facilitates communication between IAS experts, policy makers and society, encouraging active engagement and raising awareness regarding the importance of early warning, rapid response and management of IAS. We propose that the horizon scanning process for the island of Cyprus is repeated regularly, recognizing the ongoing increase in the number of new IAS arriving year on year.</w:t>
      </w:r>
    </w:p>
    <w:p>
      <w:pPr/>
      <w:r>
        <w:rPr>
          <w:b/>
        </w:rPr>
        <w:t>POSSIBLE 2026:</w:t>
      </w:r>
      <w:r>
        <w:t xml:space="preserve"> Wetland bird conservation: Insights from a horizon scan across Atlantic Europe — https://doi.org/10.1016/j.biocon.2026.111974</w:t>
      </w:r>
    </w:p>
    <w:p>
      <w:pPr/>
      <w:r>
        <w:rPr>
          <w:b/>
        </w:rPr>
        <w:t>Shared claim-specific concepts:</w:t>
      </w:r>
      <w:r>
        <w:t xml:space="preserve"> horizon, scan, not; EU scope visible. This is a provisional connection, not an outcome finding.</w:t>
      </w:r>
    </w:p>
    <w:p>
      <w:pPr>
        <w:pStyle w:val="SourceNote"/>
      </w:pPr>
      <w:r>
        <w:rPr>
          <w:b/>
        </w:rPr>
        <w:t>Available abstract (not full text):</w:t>
      </w:r>
      <w:r>
        <w:t xml:space="preserve"> The conservation of wetland and wet-grassland birds remains a major challenge across Europe. This challenge is driven by compounding pressures from agricultural intensification, habitat degradation, climate change, and governance constraints. Effective conservation outcomes depend not only on ecological knowledge but also on governance and implementation. Consequently, understanding practitioner perspectives is vital for informing the development of effective conservation strategies. To synthesize practitioner perspectives, we conducted a Horizon Scan survey across eight Atlantic European countries (Germany, the Netherlands, Belgium, France, Spain, Portugal, the United Kingdom, and Ireland), engaging 176 conservation professionals. Using a combination of dictionary-based text analysis, term frequency assessment, and keyness analysis, we evaluated perceived strengths, weaknesses, opportunities, and threats (SWOT) for wetland and wet-grassland bird conservation. Habitat management emerged as a unifying and cross-cutting theme across all countries and SWOT categories, while agriculture was predominantly framed as a weakness or threat, except in the Netherlands where it was also associated with opportunities. Climate change and predation were consistently identified as escalating threats, whereas research and monitoring capacity showed strong national disparities, opposing for exam</w:t>
      </w:r>
    </w:p>
    <w:p>
      <w:pPr>
        <w:pStyle w:val="Heading2"/>
      </w:pPr>
      <w:r>
        <w:t>550. How Sustainable Development Goals interlinkages influence European Union countries’ progress towards the 2030 Agenda</w:t>
      </w:r>
    </w:p>
    <w:p>
      <w:pPr>
        <w:pStyle w:val="SourceNote"/>
      </w:pPr>
      <w:r>
        <w:rPr>
          <w:b/>
        </w:rPr>
        <w:t>Original source (2022):</w:t>
      </w:r>
      <w:r>
        <w:t xml:space="preserve"> https://doi.org/10.1002/sd.2290</w:t>
      </w:r>
    </w:p>
    <w:p>
      <w:pPr/>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POSSIBLE 2026:</w:t>
      </w:r>
      <w:r>
        <w:t xml:space="preserve"> Digital trade in Africa : a research agenda — https://doi.org/10.2870/8695379</w:t>
      </w:r>
    </w:p>
    <w:p>
      <w:pPr/>
      <w:r>
        <w:rPr>
          <w:b/>
        </w:rPr>
        <w:t>Shared claim-specific concepts:</w:t>
      </w:r>
      <w:r>
        <w:t xml:space="preserve"> trade, between, agenda, countries; EU scope not established. This is a provisional connection, not an outcome finding.</w:t>
      </w:r>
    </w:p>
    <w:p>
      <w:pPr>
        <w:pStyle w:val="SourceNote"/>
      </w:pPr>
      <w:r>
        <w:rPr>
          <w:b/>
        </w:rPr>
        <w:t>Available abstract (not full text):</w:t>
      </w:r>
      <w:r>
        <w:t xml:space="preserve"> Africa’s digital economy is poised for significant growth, driven by initiatives like the recently adopted Digital Trade Protocol under the African Continental Free Trade Area (AfCFTA), which aims to reduce trade barriers and enhance regional integration. However, persistent challenges – including infrastructure deficits, regulatory inconsistencies, and the digital divide between countries – must be addressed to promote digital trade in the African continent. This book seeks to identify key research gaps and shape a forward-looking research agenda to support the creation of a single digital market in Africa. It consists of four sections covering infrastructure, competitiveness, the implementation of the AfCFTA, and cross-cutting issues, and it is a scholarly resource for academics and practitioners examining digital trade in the African context, as well as for policy-makers engaged in the design and implementation of a continental digital area capable of catalysing Africa’s economic growth.</w:t>
      </w:r>
    </w:p>
    <w:p>
      <w:pPr/>
      <w:r>
        <w:rPr>
          <w:b/>
        </w:rPr>
        <w:t>POSSIBLE 2026:</w:t>
      </w:r>
      <w:r>
        <w:t xml:space="preserve"> ‘EASE OF TRADE’ AND ‘EASE OF PAYING TAXES’: VOICING THE CONCERNS OF TRADE FACILITATION AGENDA THROUGH ‘GOODS AND SERVICES TAX’ PARADIGM IN INDIA — https://doi.org/10.69953/ijlsr.v7i1.692</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World Bank’s ‘Ease of Doing Business’ report cards of the Indian Economy create a dilapidated imprint of India’s trade ecosystem on the world map owing to numerous factors. Amidst this, two watershed developments in the history of India’s national and international front i.e., India’s recent signing of the Trade Facilitation Agreement as well as the successful promulgation of the law on creating a unified indirect tax system in India, can be seen as life boats. The idea of the paper is to study these two events in connection with each other, whereas at the same time finding out the various horizons of opportunities and the hues of challenges which India would have to face yet embrace in reaching out to the core objectives of these two ‘movements’. In the paper, the authors contend that the cumulative long-term impact of the marriage of these two events is going to be economically enduring.</w:t>
      </w:r>
    </w:p>
    <w:p>
      <w:pPr/>
      <w:r>
        <w:rPr>
          <w:b/>
        </w:rPr>
        <w:t>POSSIBLE 2026:</w:t>
      </w:r>
      <w:r>
        <w:t xml:space="preserve"> The Problem of Digital Trade Regulation: Silences Regarding Labour and Their Potential Disruption by a Sustainability Agenda — https://doi.org/10.60082/2819-2567.1136</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growing impact of digital trade on work in global supply chains is readily detectable but there are curious regulatory silences on labour-related issues. The key problem identified in digital trade law is national obstruction to the free flow of data needed to promote online ordering and delivery of goods and services. In comparison, the concerns of those whose work is constitutive of digital trade, such as platform workers, are largely overlooked. Arguably, provisions often found in trade agreements relating to digital privacy and the effects of algorithmic management could be utilised by those at work. However, there remain uncertainties regarding their scope and therefore their effect on labour markets. Meanwhile, other labour-related issues concerning migration have not even entered the digital trade governance discourse. The case for addressing these silences is presented here, alongside exploration of the potential for a sustainability agenda to disrupt and reshape this representation of the digital trade problem. In this respect, reference to “digital inclusion” in trade agreements indicates that no one should be left behind, including those in the world of work. Sustainability objectives can also be linked to digital product passports, traceability initiatives which could address breaches of fundamental international labour standards associated with production and d</w:t>
      </w:r>
    </w:p>
    <w:p>
      <w:pPr/>
      <w:r>
        <w:rPr>
          <w:b/>
        </w:rPr>
        <w:t>POSSIBLE 2026:</w:t>
      </w:r>
      <w:r>
        <w:t xml:space="preserve"> Trade‐Offs in Sustainable Development? The Relationship Between the Sustainable Development Goals and Circular Economy Outcomes in the European Union — https://doi.org/10.1002/sd.71766</w:t>
      </w:r>
    </w:p>
    <w:p>
      <w:pPr/>
      <w:r>
        <w:rPr>
          <w:b/>
        </w:rPr>
        <w:t>Shared claim-specific concepts:</w:t>
      </w:r>
      <w:r>
        <w:t xml:space="preserve"> trade, offs, between, countries, goals, progress; EU scope visible. This is a provisional connection, not an outcome finding.</w:t>
      </w:r>
    </w:p>
    <w:p>
      <w:pPr>
        <w:pStyle w:val="SourceNote"/>
      </w:pPr>
      <w:r>
        <w:rPr>
          <w:b/>
        </w:rPr>
        <w:t>Available abstract (not full text):</w:t>
      </w:r>
      <w:r>
        <w:t xml:space="preserve"> ABSTRACT Countries around the world have committed to a range of sustainable development initiatives aimed at advancing the Sustainable Development Goals and promoting the circular economy. However, the implementation of these sustainability initiatives entails substantial costs and resource requirements which may result in potential trade‐offs. We examine these sustainability trade‐offs by focusing on the relationship between the Sustainable Development Goals and the circular economy. Drawing on a panel dataset of European Union member states spanning 2009–2021, we find that progress on the Sustainable Development Goals is negatively associated with circular economy outcomes, indicating potential trade‐offs between these major sustainability initiatives. Furthermore, we find that strong environmental policy settings within ruling governments, higher levels of government spending, and greater trade freedom positively moderate the relationship between the Sustainable Development Goals and circular economy outcomes, thereby reducing sustainability trade‐offs. The findings of this study contribute to extant theory and have implications for policymakers.</w:t>
      </w:r>
    </w:p>
    <w:p>
      <w:pPr/>
      <w:r>
        <w:rPr>
          <w:b/>
        </w:rPr>
        <w:t>POSSIBLE 2026:</w:t>
      </w:r>
      <w:r>
        <w:t xml:space="preserve"> The Safe Guardian of Europe : A Critical Discourse Analysis of the European Commission's Geopolitical Actorness and Enlargement Agenda — https://openalex.org/W7212332556</w:t>
      </w:r>
    </w:p>
    <w:p>
      <w:pPr/>
      <w:r>
        <w:rPr>
          <w:b/>
        </w:rPr>
        <w:t>Shared claim-specific concepts:</w:t>
      </w:r>
      <w:r>
        <w:t xml:space="preserve"> agenda, countries, goals, achieve; EU scope visible. This is a provisional connection, not an outcome finding.</w:t>
      </w:r>
    </w:p>
    <w:p>
      <w:pPr>
        <w:pStyle w:val="SourceNote"/>
      </w:pPr>
      <w:r>
        <w:rPr>
          <w:b/>
        </w:rPr>
        <w:t>Available abstract (not full text):</w:t>
      </w:r>
      <w:r>
        <w:t xml:space="preserve"> This research analyses how the European Commission uses 13 press releases and political guidelines as institutional instruments to advocate its own agenda, presenting itself as a rational actor that uses different powers to achieve its political goals and enhance its own actorness. The transition from technocratic rhetoric demonstrates that enlargement is no longer seen merely as a technical process, but as a ‘geopolitical imperative’ that requires urgent action. The Commission clearly demands that the candidate states follow strict ‘merit-based criteria’, which illustrates its strong actorness. Furthermore, existential discourses such as ‘History is calling once again’ create an image of urgency, suggesting that the EU must make radical changes to enlarge the Union and strengthen its actorness. This research introduces the author’s own conceptualization that the Commission acts as a ‘safe guardian’ of Europe, which advocates the enlargement agenda as a necessity to maintain the EU's position in global politics. By applying a realist-constructivist framework and Critical Discourse Analysis (CDA)—where the Commission is not merely seen as a normative and altruistic humanitarian actor, nor solely focused on candidate countries—this research reveals how the European Commission is actively evolving its own actorness in times of crisis.</w:t>
      </w:r>
    </w:p>
    <w:p>
      <w:pPr/>
      <w:r>
        <w:rPr>
          <w:b/>
        </w:rPr>
        <w:t>POSSIBLE 2026:</w:t>
      </w:r>
      <w:r>
        <w:t xml:space="preserve"> Trade induced extinction risk footprints by European financial institutions — https://doi.org/10.1038/s41598-026-58778-3</w:t>
      </w:r>
    </w:p>
    <w:p>
      <w:pPr/>
      <w:r>
        <w:rPr>
          <w:b/>
        </w:rPr>
        <w:t>Shared claim-specific concepts:</w:t>
      </w:r>
      <w:r>
        <w:t xml:space="preserve"> trade, countries, all, far; EU scope visible. This is a provisional connection, not an outcome finding.</w:t>
      </w:r>
    </w:p>
    <w:p>
      <w:pPr>
        <w:pStyle w:val="SourceNote"/>
      </w:pPr>
      <w:r>
        <w:rPr>
          <w:b/>
        </w:rPr>
        <w:t>Available abstract (not full text):</w:t>
      </w:r>
      <w:r>
        <w:t xml:space="preserve"> Biodiversity loss is increasingly recognized as a source of systemic financial risk. The financial sector enables economic activities that exert pressure on ecosystems, sometimes far from where capital is held, so institutions in one region can enable biodiversity loss elsewhere by financing seemingly harmless sectors with value-chain links to harmful activities. We establish a novel correspondence matrix linking 104 environmental pressures to 124 IUCN biodiversity threats, and combine it with the GLORIA input-output model to quantify species extinction-risk for 164 countries. Particulate matter, land-use change, and nitrogenous gases are the most damaging pressures, exerted mainly by agriculture, manufacturing, and construction. Seventy-four countries are net importers of extinction risk and twenty-three net exporters; all twelve European countries analysed are importers, with approximately 40% of their financial assets linked to extinction-risk sectors. Because these pressures are so embedded in production, a 1% reduction in the extinction-risk footprint propagates almost one-for-one through the economy: output falls by about 0.88% on average, while firms' capacity to service debt weakens as revenues drop but interest obligations hold fixed. This exposes how structurally dependent financial systems are on nature-harming activity, supporting efforts to disclose and reduce hold</w:t>
      </w:r>
    </w:p>
    <w:p>
      <w:pPr/>
      <w:r>
        <w:rPr>
          <w:b/>
        </w:rPr>
        <w:t>POSSIBLE 2026:</w:t>
      </w:r>
      <w:r>
        <w:t xml:space="preserve"> Understanding trade-offs in project stakeholder engagement: evidence from participatory environmental research — https://doi.org/10.1016/j.plas.2026.100239</w:t>
      </w:r>
    </w:p>
    <w:p>
      <w:pPr/>
      <w:r>
        <w:rPr>
          <w:b/>
        </w:rPr>
        <w:t>Shared claim-specific concepts:</w:t>
      </w:r>
      <w:r>
        <w:t xml:space="preserve"> evident, between, achieving, all, extent, interactions; EU scope visible. This is a provisional connection, not an outcome finding.</w:t>
      </w:r>
    </w:p>
    <w:p>
      <w:pPr>
        <w:pStyle w:val="SourceNote"/>
      </w:pPr>
      <w:r>
        <w:rPr>
          <w:b/>
        </w:rPr>
        <w:t>Available abstract (not full text):</w:t>
      </w:r>
      <w:r>
        <w:t xml:space="preserve"> 1. Introduction Stakeholder engagement is fundamental for good environmental governance and crucial for both steering environmental projects and achieving robust and widely accepted outcomes. The 2000s saw substantial growth in stakeholder research with stakeholder engagement becoming a widely used and influential concept in both academic literature and management practice (Kujala et al., 2022; Bridoux and Stoelhorst, 2022). The expansion of research projects that include participation of stakeholders is noticeable and particularly evident in the field of environmental governance, where promised benefits of engagement include generating results that are directly relevant to society and decision makers, enhancing the communication of results to broader audiences, increasing stakeholder understanding of and trust in science, promoting active citizenship, and increasing adaptive capacity (Hollmann et al., 2022; Smyth et al., 2021). Engaging stakeholders in research projects is considered important for local data collection, fostering legitimacy, and communicating results (Kammer-Kerwick et al., 2025; Reyes-García et al., 2022). Moreover, ensuring the inclusion of multiple perspectives can facilitate learning among actors, improve resilience (Johnston et al., 2024) and minimize conflicts (Nesheim et al., 2021; Yang et al., 2022). Other strands of the engagement literature, for exam</w:t>
      </w:r>
    </w:p>
    <w:p>
      <w:pPr/>
      <w:r>
        <w:rPr>
          <w:b/>
        </w:rPr>
        <w:t>POSSIBLE 2026:</w:t>
      </w:r>
      <w:r>
        <w:t xml:space="preserve"> Spatial Modelling of Trade-offs between Carbon Stocks and Potential Timber Volume under Wildfire Risk in European Forests — https://doi.org/10.1007/s10342-026-01900-x</w:t>
      </w:r>
    </w:p>
    <w:p>
      <w:pPr/>
      <w:r>
        <w:rPr>
          <w:b/>
        </w:rPr>
        <w:t>Shared claim-specific concepts:</w:t>
      </w:r>
      <w:r>
        <w:t xml:space="preserve"> between, objectives, achieving; EU scope visible. This is a provisional connection, not an outcome finding.</w:t>
      </w:r>
    </w:p>
    <w:p>
      <w:pPr>
        <w:pStyle w:val="SourceNote"/>
      </w:pPr>
      <w:r>
        <w:rPr>
          <w:b/>
        </w:rPr>
        <w:t>Available abstract (not full text):</w:t>
      </w:r>
      <w:r>
        <w:t xml:space="preserve"> European forests provide critical economic and climate-regulating services, notably timber production and carbon sequestration. Intensive management for timber often conflicts with maximizing carbon storage, and this balance is further complicated by increasing wildfire risk due to climate change. In this study, we develop a spatial model to assess tradeoffs between potential timber volume and forest carbon stocks across Europe’s major biomes, explicitly incorporating wildfire disturbance risk. We compiled continental-scale datasets on forest structure, biomass, and management and applied a wildfire hazard-fuel matrix to adjust expected timber volumes and carbon stocks for probabilistic fire damage. Using these risk-adjusted values, we conducted a multi-objective tradeoff analysis, constructing Pareto frontiers of carbon vs. timber outcomes under various management scenarios. Results show a concave tradeoff curve between timber volume and carbon storage: initial increases in timber harvest potential incur modest carbon losses, but beyond a threshold point, gains in timber entail steep losses in carbon stock. Incorporating wildfire risk markedly shifts this frontier inward: under realistic fire regimes, attainable carbon stocks for a given timber outcome are about 10–20% lower, effectively imposing a “disturbance tax” on carbon. Spatial analysis across Europe reveals distinct ge</w:t>
      </w:r>
    </w:p>
    <w:p>
      <w:pPr/>
      <w:r>
        <w:rPr>
          <w:b/>
        </w:rPr>
        <w:t>POSSIBLE 2026:</w:t>
      </w:r>
      <w:r>
        <w:t xml:space="preserve"> Human rights and the European Union’s external trade policy: the cases of Kenya and Ethiopia — https://openalex.org/W7165088160</w:t>
      </w:r>
    </w:p>
    <w:p>
      <w:pPr/>
      <w:r>
        <w:rPr>
          <w:b/>
        </w:rPr>
        <w:t>Shared claim-specific concepts:</w:t>
      </w:r>
      <w:r>
        <w:t xml:space="preserve"> trade, between, countries, all, extent; EU scope visible. This is a provisional connection, not an outcome finding.</w:t>
      </w:r>
    </w:p>
    <w:p>
      <w:pPr>
        <w:pStyle w:val="SourceNote"/>
      </w:pPr>
      <w:r>
        <w:rPr>
          <w:b/>
        </w:rPr>
        <w:t>Available abstract (not full text):</w:t>
      </w:r>
      <w:r>
        <w:t xml:space="preserve"> Protection of human rights is the conerstone of the European Union’s identity and legally mandated by Article 21 of the Treaty on European Union to be universally applied in all external action of the European Union. However, this application of human rights in European Union’s cooperation with third countries has noted to be inconsistent by the critisism of the Normative Power Europe framework, especially in cooperation with African countries which have recently gained strategic and economic importance for the European Union. This thesis addresses the question of to what extent human rights have been applied in European Union’s trade relations with Kenya and Ethiopia. To explore the possible differences between the cases, this study conducts a comparative qualitative content analysis of European Union’s policy and trade documents between 2019 and 2024. The study identifies variations in human rights integration across four deductive categories: normative framing, conditionality, language intensity and universality. The findings reveal that inconsistencies do exist in the case of Ethiopia and Kenya. In relations to more stable country like Kenya, human rights are integrated as technical market standards and human rights are presented in trade documents to a low political extent. In the case of Ethiopia that was more crisis-driven country in the research period, human rights act</w:t>
      </w:r>
    </w:p>
    <w:p>
      <w:pPr/>
      <w:r>
        <w:rPr>
          <w:b/>
        </w:rPr>
        <w:t>POSSIBLE 2026:</w:t>
      </w:r>
      <w:r>
        <w:t xml:space="preserve"> Circular Economy Synergies and Trade-offs in Data Centres — https://doi.org/10.48550/arxiv.2608.04571</w:t>
      </w:r>
    </w:p>
    <w:p>
      <w:pPr/>
      <w:r>
        <w:rPr>
          <w:b/>
        </w:rPr>
        <w:t>Shared claim-specific concepts:</w:t>
      </w:r>
      <w:r>
        <w:t xml:space="preserve"> between, all, synergies, little; EU scope not established. This is a provisional connection, not an outcome finding.</w:t>
      </w:r>
    </w:p>
    <w:p>
      <w:pPr>
        <w:pStyle w:val="SourceNote"/>
      </w:pPr>
      <w:r>
        <w:rPr>
          <w:b/>
        </w:rPr>
        <w:t>Available abstract (not full text):</w:t>
      </w:r>
      <w:r>
        <w:t xml:space="preserve"> This report analyses data centre (DC) sustainability and circularity, revealing existing synergies and trade-offs: The PUE is too coarse, mixing cooling and power provisioning. It wrongly attributes server fan consumption and transformation losses to IT energy. It does not measure compute but infrastructure efficiency, which is already outstanding. Compute energy, however, is exploding. Better energy metrics for DCs would thus cover i) compute efficiency, ii) transformation efficiency, and iii) cooling overhead. Trade-offs exist between cooling energy and water as well as on-site and upstream water: Consuming water on-site lowers the cooling energy, which also lowers the water consumed upstream in power generation. For 'wet' electricity, there is little competition: It is worth spending more on-site energy to save both electricity and related upstream water. For 'dry' electricity, there is a trade-off. Waste heat recovery brings energy circularity but has limited uses and is not the same energy quality, a fact not reflected by current metrics. A better metric would consider the avoided energy through heat recovery instead of the amount recovered. Material circularity can be achieved by interpreting the 9R framework in the context of DCs. Circularity-enhancing measures can be categorised into product design, process design and business models, choice of materials, and operating </w:t>
      </w:r>
    </w:p>
    <w:p>
      <w:pPr/>
      <w:r>
        <w:rPr>
          <w:b/>
        </w:rPr>
        <w:t>POSSIBLE 2026:</w:t>
      </w:r>
      <w:r>
        <w:t xml:space="preserve"> Tax harmonization and the innovation–FDI trade-off: A quantitative analysis — https://doi.org/10.1016/j.jimonfin.2026.103682</w:t>
      </w:r>
    </w:p>
    <w:p>
      <w:pPr/>
      <w:r>
        <w:rPr>
          <w:b/>
        </w:rPr>
        <w:t>Shared claim-specific concepts:</w:t>
      </w:r>
      <w:r>
        <w:t xml:space="preserve"> between, countries, interactions; EU scope visible. This is a provisional connection, not an outcome finding.</w:t>
      </w:r>
    </w:p>
    <w:p>
      <w:pPr>
        <w:pStyle w:val="SourceNote"/>
      </w:pPr>
      <w:r>
        <w:rPr>
          <w:b/>
        </w:rPr>
        <w:t>Available abstract (not full text):</w:t>
      </w:r>
      <w:r>
        <w:t xml:space="preserve"> This paper examines how international tax harmonization affects the trade-off between domestic innovation and foreign direct investment (FDI) in small open economies. We develop a Schumpeterian dynamic stochastic general equilibrium (S-DSGE) model featuring endogenous innovation by domestic firms and frontier technology entry by multinational enterprises (MNEs). The model distinguishes between headline and effective corporate tax rates and captures interactions between domestic R&amp;D and foreign firm entry. Focusing on Hungary and Ireland—two countries with low corporate tax rates and high FDI exposure—we simulate reforms inspired by the European Union’s global minimum tax initiative. Our results reveal that higher corporate taxes reduce FDI and frontier innovation and generate private welfare losses. At the same time, higher fiscal revenues and public spending can offset these losses in the model’s total welfare measure, although the magnitude of this effect depends on the assumptions governing the valuation and scaling of public goods. These findings underscore the importance of balancing dynamic efficiency, distributional considerations, and fiscal capacity in international tax policy.</w:t>
      </w:r>
    </w:p>
    <w:p>
      <w:pPr/>
      <w:r>
        <w:rPr>
          <w:b/>
        </w:rPr>
        <w:t>POSSIBLE 2026:</w:t>
      </w:r>
      <w:r>
        <w:t xml:space="preserve"> Between agroecological objectives and political realities: governance, structural constraints and trade-offs of transition in Tunisia — https://doi.org/10.3389/fsufs.2026.1755644</w:t>
      </w:r>
    </w:p>
    <w:p>
      <w:pPr/>
      <w:r>
        <w:rPr>
          <w:b/>
        </w:rPr>
        <w:t>Shared claim-specific concepts:</w:t>
      </w:r>
      <w:r>
        <w:t xml:space="preserve"> between, agenda, objectives, all, hinder; EU scope not established. This is a provisional connection, not an outcome finding.</w:t>
      </w:r>
    </w:p>
    <w:p>
      <w:pPr>
        <w:pStyle w:val="SourceNote"/>
      </w:pPr>
      <w:r>
        <w:rPr>
          <w:b/>
        </w:rPr>
        <w:t>Available abstract (not full text):</w:t>
      </w:r>
      <w:r>
        <w:t xml:space="preserve"> This paper explores the policy framework and the structural barriers that shape Tunisia’s transition to agroecology. The study builds on an analysis of strategies recently issued by the Ministry of Agriculture, Hydraulic Resources and Fisheries and the Ministry of Environment, complemented by a literature review, and insights from farmers collected from participatory workshops conducted under the NATAE project’s Living Lab in Siliana. Eleven strategies were selected and analyzed to identify explicit mention of agroecology and references to the 10 FAO elements of agroecology. For each element, the degree of integration within agricultural and environmental strategies was assessed. While only six strategies explicitly mention agroecology, agroecological FAO elements are embedded in all of them, reflecting the State’s increasing commitment to integrating this approach into its development agenda. Despite this awareness, several barriers hinder the effective transition. These include compartmentalized and disconnected policy visions, institutional weaknesses, and the exclusion of farmers from the decision-making process. Furthermore, the prioritization of food self-sufficiency policies, coupled with land tenure challenges and financial limitations, constrain the implementation of agroecology. The findings highlight a paradox: despite a long history of agroecological initiatives and</w:t>
      </w:r>
    </w:p>
    <w:p>
      <w:pPr>
        <w:pStyle w:val="Heading2"/>
      </w:pPr>
      <w:r>
        <w:t>551. Impact of demographic changes and screening colonoscopy on long-term projection of incident colorectal cancer cases in Germany: A modelling study</w:t>
      </w:r>
    </w:p>
    <w:p>
      <w:pPr>
        <w:pStyle w:val="SourceNote"/>
      </w:pPr>
      <w:r>
        <w:rPr>
          <w:b/>
        </w:rPr>
        <w:t>Original source (2022):</w:t>
      </w:r>
      <w:r>
        <w:t xml:space="preserve"> https://doi.org/10.1016/j.lanepe.2022.100451</w:t>
      </w:r>
    </w:p>
    <w:p>
      <w:pPr/>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POSSIBLE 2026:</w:t>
      </w:r>
      <w:r>
        <w:t xml:space="preserve"> Estimating European Pilchard ( Sardina pilchardus ) Total Length: New Equations for the Ichthyoarchaeological Record — https://doi.org/10.1002/oa.70087</w:t>
      </w:r>
    </w:p>
    <w:p>
      <w:pPr/>
      <w:r>
        <w:rPr>
          <w:b/>
        </w:rPr>
        <w:t>Shared claim-specific concepts:</w:t>
      </w:r>
      <w:r>
        <w:t xml:space="preserve"> number, until, between, times; EU scope visible. This is a provisional connection, not an outcome finding.</w:t>
      </w:r>
    </w:p>
    <w:p>
      <w:pPr>
        <w:pStyle w:val="SourceNote"/>
      </w:pPr>
      <w:r>
        <w:rPr>
          <w:b/>
        </w:rPr>
        <w:t>Available abstract (not full text):</w:t>
      </w:r>
      <w:r>
        <w:t xml:space="preserve">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pPr/>
      <w:r>
        <w:rPr>
          <w:b/>
        </w:rPr>
        <w:t>POSSIBLE 2026:</w:t>
      </w:r>
      <w:r>
        <w:t xml:space="preserve"> The Price of Speed: Estimating the Impact of List Prices on Time to Availability of New Medicines in 18 European Countries — https://doi.org/10.1007/s40258-026-01053-3</w:t>
      </w:r>
    </w:p>
    <w:p>
      <w:pPr/>
      <w:r>
        <w:rPr>
          <w:b/>
        </w:rPr>
        <w:t>Shared claim-specific concepts:</w:t>
      </w:r>
      <w:r>
        <w:t xml:space="preserve"> number, use, increase, between; EU scope visible. This is a provisional connection, not an outcome finding.</w:t>
      </w:r>
    </w:p>
    <w:p>
      <w:pPr>
        <w:pStyle w:val="SourceNote"/>
      </w:pPr>
      <w:r>
        <w:rPr>
          <w:b/>
        </w:rPr>
        <w:t>Available abstract (not full text):</w:t>
      </w:r>
      <w:r>
        <w:t xml:space="preserve">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until, use, between, current;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number, increase, between, annual;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Elasticity in CES Production Functions: New Estimates for Europe and Different Nesting Structures — https://doi.org/10.1177/01956574261440162</w:t>
      </w:r>
    </w:p>
    <w:p>
      <w:pPr/>
      <w:r>
        <w:rPr>
          <w:b/>
        </w:rPr>
        <w:t>Shared claim-specific concepts:</w:t>
      </w:r>
      <w:r>
        <w:t xml:space="preserve"> constant, between, levels; EU scope visible. This is a provisional connection, not an outcome finding.</w:t>
      </w:r>
    </w:p>
    <w:p>
      <w:pPr>
        <w:pStyle w:val="SourceNote"/>
      </w:pPr>
      <w:r>
        <w:rPr>
          <w:b/>
        </w:rPr>
        <w:t>Available abstract (not full text):</w:t>
      </w:r>
      <w:r>
        <w:t xml:space="preserve"> This study addresses the scarcity of empirical estimates on the elasticity of production factor substitutions, a crucial parameter in general equilibrium models for policy analysis. Employing the non-linear least squares estimation method, we determine the elasticity of substitution between capital, labor, energy, and materials in the Constant Elasticity of Substitution model across Europe at both aggregate and sectoral levels. Through rigorous analysis, we identify the optimal nesting structure of the production function for our data, rejecting widely used CES functional forms such as Cobb-Douglas and Leontief. Our findings reveal changes in elasticity of substitution over time, with Eastern Europe exhibiting greater ease of substitution compared to Western Europe, particularly between capital and labor. While elasticities in tertiary sectors diverge over time, those in energy-intensive sectors converge, though they remain statistically different, underscoring the necessity of region-specific elasticity sets in CGE models. JEL Classification: C51, Model Construction and Estimation; D24, Production; Cost; Capital; Capital, Total Factor, and Multifactor Productivity; Capacity</w:t>
      </w:r>
    </w:p>
    <w:p>
      <w:pPr/>
      <w:r>
        <w:rPr>
          <w:b/>
        </w:rPr>
        <w:t>POSSIBLE 2026:</w:t>
      </w:r>
      <w:r>
        <w:t xml:space="preserve"> HIGH Horizons - Preliminary estimates of the number of preterm births attributable to climate change — https://doi.org/10.5281/zenodo.20396484</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report, deliverable D2.5, describes a preliminary investigation into attributing the effects of anthropogenic climate change on preterm birth incidence across multiple countries. Leveraging results on the association between short-term heat exposure and preterm birth across 15 countries in Africa, Europe, and Latin America and the Caribbean, we generate a historical estimate of the number of preterm births caused by anthropogenic climate change utilizing the new Large Ensemble Single Forcing Model Intercomparison Project (LESFMIP) simulations, comparing actual heat exposure to a counterfactual world without human-induced warming. This preliminary investigation found evidence of preterm births attributable to anthropogenic climate change, with the highest attributable burden in Tanzania, Uganda and South Africa. This work provides one of the first multi-country estimates of the burden of preterm birth attributable to anthropogenic climate change. Coralie Adams and Lebohang Radebe are joint first authors.</w:t>
      </w:r>
    </w:p>
    <w:p>
      <w:pPr/>
      <w:r>
        <w:rPr>
          <w:b/>
        </w:rPr>
        <w:t>POSSIBLE 2026:</w:t>
      </w:r>
      <w:r>
        <w:t xml:space="preserve"> Estimated incidence and number of new cases with prenatal alcohol exposure and fetal alcohol spectrum disorders in Finland 1990–2025 — https://doi.org/10.1371/journal.pone.0349964</w:t>
      </w:r>
    </w:p>
    <w:p>
      <w:pPr/>
      <w:r>
        <w:rPr>
          <w:b/>
        </w:rPr>
        <w:t>Shared claim-specific concepts:</w:t>
      </w:r>
      <w:r>
        <w:t xml:space="preserve"> estimated, number, cases, until, use, between; EU scope visible. This is a provisional connection, not an outcome finding.</w:t>
      </w:r>
    </w:p>
    <w:p>
      <w:pPr>
        <w:pStyle w:val="SourceNote"/>
      </w:pPr>
      <w:r>
        <w:rPr>
          <w:b/>
        </w:rPr>
        <w:t>Available abstract (not full text):</w:t>
      </w:r>
      <w:r>
        <w:t xml:space="preserve"> BACKGROUND: Fetal alcohol spectrum disorders (FASD) arising from prenatal alcohol exposure (PAE) are the leading preventable cause of neurobehavioral disorders. Early pregnancy is particularly vulnerable to ethanol toxicity, yet alcohol use often continues until pregnancy recognition. In Finland, national incidence estimates of PAE and FASD remain limited. OBJECTIVE: To estimate the incidence of any PAE and heavy PAE in Finland between 1990 and 2025, and to model the annual number of children with FASD born in Finland. METHODS: We developed a mathematical modelling framework integrating studies on alcohol use during pregnancy in Finland, biomarker-based estimates of heavy PAE, national population statistics, and international active case ascertainment studies on FASD prevalence. Incidence of any PAE was estimated from self-reported alcohol use, including pre-recognition exposure. Heavy PAE was estimated by combining binge-drinking prevalence, delayed pregnancy recognition, biomarker data and anonymous self-reports. FASD incidence was modelled using two approaches: 1) an international multiplier linking FASD prevalence to heavy episodic drinking prevalence among women (Model M), and 2) a conventional epidemiological ratio between any PAE and FASD (Model L). RESULTS: Self-reported alcohol use during pregnancy declined following abstinence recommendations in the early 2000s, while</w:t>
      </w:r>
    </w:p>
    <w:p>
      <w:pPr/>
      <w:r>
        <w:rPr>
          <w:b/>
        </w:rPr>
        <w:t>POSSIBLE 2025:</w:t>
      </w:r>
      <w:r>
        <w:t xml:space="preserve"> European turtle dove (Streptopelia turtur) in Apulia: preliminary estimate of the breeding population abundance — https://openalex.org/W7112675328</w:t>
      </w:r>
    </w:p>
    <w:p>
      <w:pPr/>
      <w:r>
        <w:rPr>
          <w:b/>
        </w:rPr>
        <w:t>Shared claim-specific concepts:</w:t>
      </w:r>
      <w:r>
        <w:t xml:space="preserve"> estimated, number, until, between; EU scope visible. This is a provisional connection, not an outcome finding.</w:t>
      </w:r>
    </w:p>
    <w:p>
      <w:pPr>
        <w:pStyle w:val="SourceNote"/>
      </w:pPr>
      <w:r>
        <w:rPr>
          <w:b/>
        </w:rPr>
        <w:t>Available abstract (not full text):</w:t>
      </w:r>
      <w:r>
        <w:t xml:space="preserve"> The European Turtle Dove (TD, Streptopelia turtur) is a bird with Euro-Central Asian and Mediterranean corology, characterized by four subspecies distributed in an area of about 10 million km2 across Eurasia and North Africa. In Italy, the TD is a regular migratory species widely distributed, except for the Alps and the highest peaks of the Apennines; its presence is lower in the Eastern part of the Po plain, in the Lower Tyrrhenian coast and in the central-southern areas of Apulia, probably due to the reduced presence and extension of woods and hedges. TD arrives in Apulia in Spring to nest. According to BirdLife International (2017), TD is classified as SPEC 1 being in an unfavourable state of conservation. Recently, action plans have been implemented to improve its conservation, in balance with sustainable hunting, allowed in September. So far, limited information is available on the TD’s abundance in each Italian region; therefore, this study aimed at providing preliminary information on the distribution and abundance of the TD in Apulia. The methodology adopted for the Farmland Bird Index (FBI) project was further intensified to obtain a more homogeneous coverage of the sampling points; for this purpose, in addition to the 34 UTM squares monitored within the FBI project, other 17 grid squares of 10 km of length were analysed. The count technique used for the FBI project is</w:t>
      </w:r>
    </w:p>
    <w:p>
      <w:pPr/>
      <w:r>
        <w:rPr>
          <w:b/>
        </w:rPr>
        <w:t>POSSIBLE 2025:</w:t>
      </w:r>
      <w:r>
        <w:t xml:space="preserve"> Critical load exceedances for North America and Europe using an ensemble of models and an investigation of causes of environmental impact estimate variability: an AQMEII4 study — https://doi.org/10.5194/acp-25-3049-2025</w:t>
      </w:r>
    </w:p>
    <w:p>
      <w:pPr/>
      <w:r>
        <w:rPr>
          <w:b/>
        </w:rPr>
        <w:t>Shared claim-specific concepts:</w:t>
      </w:r>
      <w:r>
        <w:t xml:space="preserve"> estimated, number, use, between, annual, predicted; EU scope visible. This is a provisional connection, not an outcome finding.</w:t>
      </w:r>
    </w:p>
    <w:p>
      <w:pPr>
        <w:pStyle w:val="SourceNote"/>
      </w:pPr>
      <w:r>
        <w:rPr>
          <w:b/>
        </w:rPr>
        <w:t>Available abstract (not full text):</w:t>
      </w:r>
      <w:r>
        <w:t xml:space="preserve"> Abstract. Exceedances of critical loads for deposition of sulphur (S) and nitrogen (N) to different ecosystems were estimated using European and North American ensembles of air quality models, under Phase 4 of the Air Quality Model Evaluation International Initiative (AQMEII4), to identify where risk of ecosystem harm is expected to occur based on model deposition estimates. The ensembles were driven by common emissions and lateral boundary condition inputs. Model output was regridded to common North American and Europe 0.125° resolution domains, which were then used to calculate critical load exceedances. New, targeted deposition diagnostics implemented in AQMEII4 allowed an unprecedented level of post-simulation analysis to be carried out and facilitated the identification of specific causes of model-to-model variability in critical load exceedance estimates. New datasets for North American critical loads for acidity for forest soil water and aquatic ecosystems were combined with the ensemble deposition predictions to show a substantial decrease in the area and number of locations in exceedance between 2010 and 2016 (forest soils: 13.2 % to 6.1 %; aquatic ecosystems: 21.2 % to 11.4 %). All models agreed in the direction of the ensemble exceedance change between 2010 and 2016. The North American ensemble also predicted a decrease in both severity and total area in exceedance b</w:t>
      </w:r>
    </w:p>
    <w:p>
      <w:pPr/>
      <w:r>
        <w:rPr>
          <w:b/>
        </w:rPr>
        <w:t>POSSIBLE 2025:</w:t>
      </w:r>
      <w:r>
        <w:t xml:space="preserve"> The development of the cost of cancer in 31 European countries. — https://doi.org/10.1200/jco.2025.43.16_suppl.1596</w:t>
      </w:r>
    </w:p>
    <w:p>
      <w:pPr/>
      <w:r>
        <w:rPr>
          <w:b/>
        </w:rPr>
        <w:t>Shared claim-specific concepts:</w:t>
      </w:r>
      <w:r>
        <w:t xml:space="preserve"> estimated, number, cases, between, overall; EU scope visible. This is a provisional connection, not an outcome finding.</w:t>
      </w:r>
    </w:p>
    <w:p>
      <w:pPr>
        <w:pStyle w:val="SourceNote"/>
      </w:pPr>
      <w:r>
        <w:rPr>
          <w:b/>
        </w:rPr>
        <w:t>Available abstract (not full text):</w:t>
      </w:r>
      <w:r>
        <w:t xml:space="preserve"> 1596 Background: The estimated number of new cancer cases in Europe has risen from 2.6 million in 1995 to 4.1 million in 2022. Around every fourth death is due to cancer, yet survival rates have been improving due to advances in early detection, diagnosis, and treatment. The implications of these epidemiological changes and medical advances for the overall cost of cancer are not well documented. Methods: This cost-of-illness study estimated the direct and indirect costs of cancer across 31 European countries (the EU-27 countries, plus Iceland, Norway, Switzerland, and the UK) from 1995 to 2023. For direct costs, information on cancer-specific health expenditure was searched for all countries and combined with data from Eurostat and the OECD. Extrapolations were made for countries with missing information. For indirect costs, productivity losses due to premature mortality were calculated using mortality data from the World Health Organization, Eurostat, and the Office for National Statistics, combined with labor market data from Eurostat. Productivity loss due to morbidity were estimated using data from prior studies and changes in population structure. The human-capital approach was employed to calculate indirect costs. Total costs, costs per capita, and costs per new case were estimated for Europe as a whole and for each individual country. Results: Between 1995 and 2023, the </w:t>
      </w:r>
    </w:p>
    <w:p>
      <w:pPr/>
      <w:r>
        <w:rPr>
          <w:b/>
        </w:rPr>
        <w:t>POSSIBLE 2025:</w:t>
      </w:r>
      <w:r>
        <w:t xml:space="preserve"> Regional Strategies for PV-Based Sustainable Energy in GCC and Europe — https://doi.org/10.31875/2410-2199.2025.12.09</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study analyzes the feasibility of the production of solar power as a sustainable solution to the climate and energy crisis, focusing on two areas in particular: the Gulf Cooperation Council countries and Europe. Focused attention goes to emerging economies in analyzing how solar power can aid in reducing carbon dioxide emissions and attaining sustainable development. Comparative analysis is performed for the GCC region and Europe on the basis of unique solar system design ability and the performance of photovoltaic (PV) systems, taking into account realistic environmental and working parameters. In this comparative design research, mathematical equations were applied to determine the number of required solar panels to achieve determined energy efficiency in both regions. A novel mathematical modeling approach was designed and presented as new equations to achieve a correct estimate of the quantity of PV panels required from the energy requirement and a parameter called the Power Generation Factor (PGF). The practical design approach employed in the present work synchronizes the technical aspects of electrical system design with broader sustainable development goals, particularly for developing nations. By creating new mathematical equations for estimating how many PV panels would be necessary based on desired energy yields and incorporating the PGF, the study underscores t</w:t>
      </w:r>
    </w:p>
    <w:p>
      <w:pPr/>
      <w:r>
        <w:rPr>
          <w:b/>
        </w:rPr>
        <w:t>POSSIBLE 2025:</w:t>
      </w:r>
      <w:r>
        <w:t xml:space="preserve"> Trends in prevalence and number of cases of diagnosed type 2 diabetes in Germany: Projections until 2050 — https://doi.org/10.25646/13381</w:t>
      </w:r>
    </w:p>
    <w:p>
      <w:pPr/>
      <w:r>
        <w:rPr>
          <w:b/>
        </w:rPr>
        <w:t>Shared claim-specific concepts:</w:t>
      </w:r>
      <w:r>
        <w:t xml:space="preserve"> number, cases, until, assuming, increase, annual; EU scope visible. This is a provisional connection, not an outcome finding.</w:t>
      </w:r>
    </w:p>
    <w:p>
      <w:pPr>
        <w:pStyle w:val="SourceNote"/>
      </w:pPr>
      <w:r>
        <w:rPr>
          <w:b/>
        </w:rPr>
        <w:t>Available abstract (not full text):</w:t>
      </w:r>
      <w:r>
        <w:t xml:space="preserve"> Background: In order to assess the prevention and care needs for type 2 diabetes in the coming decades from a public health perspective, forecasts on the trends in prevalence and case numbers are essential. Methods: The data are based on age-specific estimates of diagnosed diabetes prevalence from the survey German Health Update (GEDA) 2022, and on the proportion of type 2 diabetes derived from routine health insurance data. Using routine data on the incidence and excess mortality of diabetes, various scenarios for the future trends of type 2 diabetes are modelled using an illness-death model. Results: Based on a type 2 diabetes prevalence of 8.6 % in 2022 (women: 8.2 %, men: 9.2 %), corresponding to a total of 6.05 million cases (women: 2.92 million, men 3.13 million), the prevalence is expected to rise to 16.1 % by 2050 (women: 14.8 %, men: 17.4 %), with the number of cases increasing to 11.01 million (women: 5.19 million, men: 5.82 million). Assuming a 2.0 % annual decline in incidence, the prevalence is expected to rise to only 12.2 % (8.39 million cases); with a simultaneous 2.0 % annual decline in excess mortality, the prevalence is expected to reach 13.0 % (8.94 million cases). Conclusions: The prognosis is mainly influenced by changes in incidence. Primary preventive approaches to reduce risk factors for type 2 diabetes are therefore crucial to counteract an increase in</w:t>
      </w:r>
    </w:p>
    <w:p>
      <w:pPr>
        <w:pStyle w:val="Heading2"/>
      </w:pPr>
      <w:r>
        <w:t>552. Impacts of Scaling up Agroecology on the Sustainability of European Agriculture in 2050</w:t>
      </w:r>
    </w:p>
    <w:p>
      <w:pPr>
        <w:pStyle w:val="SourceNote"/>
      </w:pPr>
      <w:r>
        <w:rPr>
          <w:b/>
        </w:rPr>
        <w:t>Original source (2022):</w:t>
      </w:r>
      <w:r>
        <w:t xml:space="preserve"> https://doi.org/10.1111/1746-692x.12373</w:t>
      </w:r>
    </w:p>
    <w:p>
      <w:pPr/>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here, based, novel, approach;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Climate Change and Vector-Borne Diseases in Europe: Implications for Public Health and Environmental Sanitation Strategies — https://doi.org/10.3390/ijem1030010</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Climate change is significantly altering the distribution, seasonality, and transmission dynamics of vector-borne diseases, posing an increasing public health concern, particularly in regions previously considered at low risk. Key climatic variables, including temperature, precipitation, and humidity, strongly influence vector survival, reproduction, and pathogen transmission capacity. This review provides an overview of current evidence on the relationship between climate change, vector ecology, and vector-borne disease epidemiology in Europe, based on evidence extracted from peer-reviewed literature published between 2010 and 2024 and retrieved from PubMed, Scopus, and Web of Science. Particular attention is given to vector-borne diseases with current or potential relevance to Europe. This includes infections that are already endemic, such as leishmaniasis and tick-borne encephalitis, as well as diseases currently imported, such as malaria, dengue, chikungunya, Zika, yellow fever, and Chagas disease, that may pose a future risk of local transmission due to climate-driven changes in vector distribution and abundance. The analysis highlights potential health and economic impacts, and discusses implications for public health preparedness, environmental sanitation, surveillance, and vector control strategies. Strengthening adaptive and mitigation policies, alongside targeted rese</w:t>
      </w:r>
    </w:p>
    <w:p>
      <w:pPr/>
      <w:r>
        <w:rPr>
          <w:b/>
        </w:rPr>
        <w:t>POSSIBLE 2026:</w:t>
      </w:r>
      <w:r>
        <w:t xml:space="preserve"> Beyond detection: assessing the environmental, economic, and social implications of UAV-based forest fire monitoring — https://doi.org/10.1016/j.tfp.2026.101413</w:t>
      </w:r>
    </w:p>
    <w:p>
      <w:pPr/>
      <w:r>
        <w:rPr>
          <w:b/>
        </w:rPr>
        <w:t>Shared claim-specific concepts:</w:t>
      </w:r>
      <w:r>
        <w:t xml:space="preserve"> environmental, implications, based; EU scope not established. This is a provisional connection, not an outcome finding.</w:t>
      </w:r>
    </w:p>
    <w:p>
      <w:pPr>
        <w:pStyle w:val="SourceNote"/>
      </w:pPr>
      <w:r>
        <w:rPr>
          <w:b/>
        </w:rPr>
        <w:t>Available abstract (not full text):</w:t>
      </w:r>
      <w:r>
        <w:t xml:space="preserve"> Wildfire monitoring technologies are increasingly promoted as tools for faster detection and more effective prevention, yet evidence on their broader environmental, economic, and social implications remains fragmented. This paper evaluates the environmental, economic, and social impacts of an Unmanned Aerial Vehicle (UAV)-based forest fire monitoring system supported by enhanced connectivity in an ex ante Lithuanian case study. A structured literature review was combined with a forward-looking empirical assessment comparing the proposed UAV system with fixed cameras, ground patrols, and helicopter surveillance within a common use-phase framework. The results show that fixed cameras have the lowest hourly environmental footprint and operational cost where permanent infrastructure is feasible. The UAV system performs less favourably than fixed cameras on these criteria, but substantially outperforms ground patrols and helicopter surveillance in terms of carbon emissions, biodiversity impact, and human health impact. Economically, UAV monitoring does not minimise routine hourly operating costs, yet it yields the highest avoided fire-related cost estimate per hectare, suggesting that its value lies in flexible, targeted monitoring rather than low-cost, continuous surveillance. Socially, stakeholders anticipated positive effects on technology development, economic development, and c</w:t>
      </w:r>
    </w:p>
    <w:p>
      <w:pPr/>
      <w:r>
        <w:rPr>
          <w:b/>
        </w:rPr>
        <w:t>POSSIBLE 2026:</w:t>
      </w:r>
      <w:r>
        <w:t xml:space="preserve"> The first RNAi ‐based biopesticide approved in the United States: regulatory implications for the European Union – the case of Ledprona (Calantha™) — https://doi.org/10.1002/ps.71219</w:t>
      </w:r>
    </w:p>
    <w:p>
      <w:pPr/>
      <w:r>
        <w:rPr>
          <w:b/>
        </w:rPr>
        <w:t>Shared claim-specific concepts:</w:t>
      </w:r>
      <w:r>
        <w:t xml:space="preserve"> here, environmental, implications, union, based, novel; EU scope visible. This is a provisional connection, not an outcome finding.</w:t>
      </w:r>
    </w:p>
    <w:p>
      <w:pPr>
        <w:pStyle w:val="SourceNote"/>
      </w:pPr>
      <w:r>
        <w:rPr>
          <w:b/>
        </w:rPr>
        <w:t>Available abstract (not full text):</w:t>
      </w:r>
      <w:r>
        <w:t xml:space="preserve"> RNA interference (RNAi), a naturally occurring gene-silencing mechanism, has emerged as a promising platform for developing innovative, non-genetically modified (GM) plant protection products. In the context of climate change, biodiversity loss, and growing resistance to traditional pesticides, the need for highly specific, environmentally compatible alternatives for sustainable pest management is increasing. RNAi-based sprays are a novel approach in which double-stranded RNA (dsRNA) molecules silence essential genes in target pests without acting like toxic conventional compounds. A significant advancement in this technology occurred with the 2023 approval of Calantha™ (Ledprona) in the USA, marking the first authorization of an RNAi-based biopesticide for agricultural use. Ledprona targets the Colorado potato beetle by silencing specific genes following foliar dsRNA application. Here, we summarize the mechanism of action, efficacy, environmental behavior, and safety assessment of Ledprona as evaluated by the US Environmental Protection Agency. In addition, we discuss the broader regulatory implications of this approval and highlight key challenges and opportunities for assessing and implementing RNAi-based plant protection products within the European Union's regulatory framework. © 2026 The Author(s). Pest Management Science published by John Wiley &amp; Sons Ltd on behalf of So</w:t>
      </w:r>
    </w:p>
    <w:p>
      <w:pPr/>
      <w:r>
        <w:rPr>
          <w:b/>
        </w:rPr>
        <w:t>POSSIBLE 2026:</w:t>
      </w:r>
      <w:r>
        <w:t xml:space="preserve"> The impact of socio-economic factors and digital performance on environmental sustainability: the case of European Union — https://doi.org/10.1007/s10668-026-07759-7</w:t>
      </w:r>
    </w:p>
    <w:p>
      <w:pPr/>
      <w:r>
        <w:rPr>
          <w:b/>
        </w:rPr>
        <w:t>Shared claim-specific concepts:</w:t>
      </w:r>
      <w:r>
        <w:t xml:space="preserve"> environmental, union, ghg; EU scope visible. This is a provisional connection, not an outcome finding.</w:t>
      </w:r>
    </w:p>
    <w:p>
      <w:pPr>
        <w:pStyle w:val="SourceNote"/>
      </w:pPr>
      <w:r>
        <w:rPr>
          <w:b/>
        </w:rPr>
        <w:t>Available abstract (not full text):</w:t>
      </w:r>
      <w:r>
        <w:t xml:space="preserve"> Abstract Environmental degradation, driven by economic growth, remains a pressing concern. The European Union (EU) has responded by adopting international protocols to mitigate climate change. However, rapid digital transformation has also influenced economic growth and environmental quality. Greenhouse gas (GHG) as well as CO 2 emissions have risen markedly in recent decades. Thus, a major contemporary concern is to thoroughly investigate the interconnections of economic growth, technological advancements and environmental sustainability to design effective policies for mitigating CO 2 emissions. The EU developed Digital Economy and Society Index (DESI) as a comprehensive framework for assessing the digital development and performance of its member states. Despite the research on DESI concerning sustainability, its influence on environmental sustainability, notably on CO 2 emissions, remains inadequately examined. Moreover, the impact of the Kyoto and Doha protocols on CO 2 emissions has not been studied extensively. This study addresses this gap studying the nexus of economic growth, digital performance, designated international protocols, and CO 2 emissions observed in EU member states across the span of 1995 to 2018. The impact of several socio-economic factors on CO 2 emissions is evaluated using Mixed Effect Models. The results confirm the mitigating role of renewable ene</w:t>
      </w:r>
    </w:p>
    <w:p>
      <w:pPr/>
      <w:r>
        <w:rPr>
          <w:b/>
        </w:rPr>
        <w:t>POSSIBLE 2026:</w:t>
      </w:r>
      <w:r>
        <w:t xml:space="preserve"> Assessing Urban Sustainable Competitiveness and Happiness From the Perspective of Socio‐Economic Environment — https://doi.org/10.1111/rode.70218</w:t>
      </w:r>
    </w:p>
    <w:p>
      <w:pPr/>
      <w:r>
        <w:rPr>
          <w:b/>
        </w:rPr>
        <w:t>Shared claim-specific concepts:</w:t>
      </w:r>
      <w:r>
        <w:t xml:space="preserve"> socio, environmental, multiple, based, approach; EU scope not established. This is a provisional connection, not an outcome finding.</w:t>
      </w:r>
    </w:p>
    <w:p>
      <w:pPr>
        <w:pStyle w:val="SourceNote"/>
      </w:pPr>
      <w:r>
        <w:rPr>
          <w:b/>
        </w:rPr>
        <w:t>Available abstract (not full text):</w:t>
      </w:r>
      <w:r>
        <w:t xml:space="preserve"> ABSTRACT This study examines the sustainable competitiveness of Taiwan's 22 counties and cities between 2016 and 2020. We develop and apply a parallel dynamic two‐stage slacks‐based measure data envelopment analysis framework that integrates Shannon entropy to measure sustainability performance across social, economic, and environmental dimensions, and to evaluate how effectively these outcomes translate into residents' quality of life. Our approach consolidates multiple indicators into subsystem‐specific measures while directionally adjusting for undesirable outputs—such as pollution, waste, and crime—thus ensuring that efficiency estimates fully reflect these critical constraints. The results reveal that persistent inefficiency in the economic subsystem represents the main barrier to sustainable competitiveness. In contrast, environmental governance and social inclusion exhibit a stronger, more direct relationship with well‐being. Spatial regression models further indicate that differences in quality of life are primarily explained by local governance capacity, with limited spillover effects from neighboring regions. A striking finding is that smaller, less industrialized jurisdictions frequently outperform major metropolitan areas, indicating that sustainable competitiveness stems not from administrative scale, but from balanced advancement across all sustainability domains.</w:t>
      </w:r>
    </w:p>
    <w:p>
      <w:pPr/>
      <w:r>
        <w:rPr>
          <w:b/>
        </w:rPr>
        <w:t>POSSIBLE 2026:</w:t>
      </w:r>
      <w:r>
        <w:t xml:space="preserve"> Insufficient environmental protection by the European regulatory framework for pesticides — https://doi.org/10.32942/x24q1g</w:t>
      </w:r>
    </w:p>
    <w:p>
      <w:pPr/>
      <w:r>
        <w:rPr>
          <w:b/>
        </w:rPr>
        <w:t>Shared claim-specific concepts:</w:t>
      </w:r>
      <w:r>
        <w:t xml:space="preserve"> here, environmental, union, based;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new and previous evidence from monitoring, systematic reviews, and different types of field studies. The clear outcome is that measured pesticide concentrations frequently exceed predicted concentrations and regulatory thresholds and that they relate to adverse impacts on ecological communities. The mechanisms driving this result include the joint action of pesticides applied in temporal and spatial proximity, varied environmental conditions, interactive effects of pesticides with additional stressors, and indirect ecological effects propagating within biological communities. These neglected intricacies explain why current single-substance prospective assessments tend to underpredict real pesticide exposure and impacts in field settings. The corollary is that the current regulatory framework in Europe proves insufficient to protect biodiversity and ecosystems. Necessary improvements embedded in a policy reform include strengthening post-registration monitoring, refining predictive exposure models, and explicitly considering landscape contexts, indirect and mixture effects, and interactions with non-chemical stressors.</w:t>
      </w:r>
    </w:p>
    <w:p>
      <w:pPr/>
      <w:r>
        <w:rPr>
          <w:b/>
        </w:rPr>
        <w:t>POSSIBLE 2026:</w:t>
      </w:r>
      <w:r>
        <w:t xml:space="preserve"> Insufficient Environmental Protection by the European Regulatory Framework for Pesticides — https://doi.org/10.1021/acs.est.6c06604</w:t>
      </w:r>
    </w:p>
    <w:p>
      <w:pPr/>
      <w:r>
        <w:rPr>
          <w:b/>
        </w:rPr>
        <w:t>Shared claim-specific concepts:</w:t>
      </w:r>
      <w:r>
        <w:t xml:space="preserve"> here, environmental, union, based;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existing evidence from monitoring, systematic reviews, and different types of field studies. The available evidence indicates that measured pesticide concentrations frequently exceed predicted concentrations and regulatory thresholds and are associated with adverse ecological impacts. The mechanisms driving this result include the joint action of pesticides applied in temporal and spatial proximity, varied environmental conditions, interactive effects of pesticides with additional stressors, and indirect ecological effects that propagate within biological communities. These neglected intricacies explain why current single-substance prospective assessments tend to underpredict real-world pesticide exposure and impact in field settings. The corollary is that the current regulatory framework in Europe proves to be insufficient to protect biodiversity and ecosystems. Priority regulatory reforms include strengthening postregistration monitoring, refining predictive exposure models, and explicitly considering landscape context, indirect and mixture effects, and interactions with nonchemical stressors.</w:t>
      </w:r>
    </w:p>
    <w:p>
      <w:pPr/>
      <w:r>
        <w:rPr>
          <w:b/>
        </w:rPr>
        <w:t>POSSIBLE 2026:</w:t>
      </w:r>
      <w:r>
        <w:t xml:space="preserve"> Environmental and nutritional implications of replacing meat and dairy with alternatives — https://doi.org/10.1038/s44458-026-00075-1</w:t>
      </w:r>
    </w:p>
    <w:p>
      <w:pPr/>
      <w:r>
        <w:rPr>
          <w:b/>
        </w:rPr>
        <w:t>Shared claim-specific concepts:</w:t>
      </w:r>
      <w:r>
        <w:t xml:space="preserve"> here, environmental, implications; EU scope not established. This is a provisional connection, not an outcome finding.</w:t>
      </w:r>
    </w:p>
    <w:p>
      <w:pPr>
        <w:pStyle w:val="SourceNote"/>
      </w:pPr>
      <w:r>
        <w:rPr>
          <w:b/>
        </w:rPr>
        <w:t>Available abstract (not full text):</w:t>
      </w:r>
      <w:r>
        <w:t xml:space="preserve"> The environmental burden of meat and dairy has drawn attention to alternatives, although their capacity to fulfil similar dietary roles remains uncertain. Here, we evaluate the effects of replacing meat and jointly replacing meat and dairy with alternatives on the environmental impacts and nutrient profiles of current and recommended diets. We consolidate environmental inventory and food composition databases in a product- and diet-level analysis to evaluate various impact categories and nutrients. The results show that replacing meat with alternatives can lower environmental impacts by up to 52%, though adequate intake of some critical nutrients, particularly vitamin B12, needs to be ensured. Compared to dairy products, dairy alternatives more frequently lack nutrients, such as calcium and iodine, and certain ingredients, such as almond and coconut, may increase specific environmental impacts. Our findings highlight the challenges of reducing environmental impacts without compromising nutrition, with implications for high-income countries pursuing sustainable dietary transitions. Replacing meat with more sustainable alternatives can halve environmental impacts, but adequate intake of key nutrients such as vitamin B12 must be ensured, suggest integrated assessments of environmental inventories and food composition data.</w:t>
      </w:r>
    </w:p>
    <w:p>
      <w:pPr/>
      <w:r>
        <w:rPr>
          <w:b/>
        </w:rPr>
        <w:t>POSSIBLE 2025:</w:t>
      </w:r>
      <w:r>
        <w:t xml:space="preserve"> Mapping socio-environmental policy integration in the European Union: A multilayer network approach — https://doi.org/10.1016/j.jclepro.2025.144792</w:t>
      </w:r>
    </w:p>
    <w:p>
      <w:pPr/>
      <w:r>
        <w:rPr>
          <w:b/>
        </w:rPr>
        <w:t>Shared claim-specific concepts:</w:t>
      </w:r>
      <w:r>
        <w:t xml:space="preserve"> union, based, approach; EU scope visible. This is a provisional connection, not an outcome finding.</w:t>
      </w:r>
    </w:p>
    <w:p>
      <w:pPr>
        <w:pStyle w:val="SourceNote"/>
      </w:pPr>
      <w:r>
        <w:rPr>
          <w:b/>
        </w:rPr>
        <w:t>Available abstract (not full text):</w:t>
      </w:r>
      <w:r>
        <w:t xml:space="preserve"> This paper faces the relevant task of assessing the integration of European countries when dealing with three paradigmatic socio-environmental themes: Circular Economy (CE), Energy Transition (ET), and Social Justice (SJ). Specifically, we aim to explore whether a similar behavior in facing one of the considered aspects is mirrored by similarity in the others. We move from a dataset composed of five variables for CE, two for ET, and three for SJ, representing yearly data for the quinquennium 2016–2020 and European countries. We build a multilayer network based on the ten variables having countries as nodes. Each layer/variable has weighted links based on countries’ similarity. Inter-layer links are created through a community detection exercise over the individual layers. This approach allows us to evaluate analogies, leading to the assessment of intra- and inter-layer policy integration. We find a relatively low level of integration at the European level and a high sensitivity to the number of detected communities, thus revealing the role of countries’ heterogeneity in driving integration.</w:t>
      </w:r>
    </w:p>
    <w:p>
      <w:pPr/>
      <w:r>
        <w:rPr>
          <w:b/>
        </w:rPr>
        <w:t>POSSIBLE 2025:</w:t>
      </w:r>
      <w:r>
        <w:t xml:space="preserve"> REGIONAL SOCIO-ECONOMIC CHANGES IN THE FACE OF DEVELOPMENT CONDITIONS IN THE EUROPEAN UNION — https://doi.org/10.29119/1641-3466.2025.220.5</w:t>
      </w:r>
    </w:p>
    <w:p>
      <w:pPr/>
      <w:r>
        <w:rPr>
          <w:b/>
        </w:rPr>
        <w:t>Shared claim-specific concepts:</w:t>
      </w:r>
      <w:r>
        <w:t xml:space="preserve"> assess, implications, union, approach; EU scope visible. This is a provisional connection, not an outcome finding.</w:t>
      </w:r>
    </w:p>
    <w:p>
      <w:pPr>
        <w:pStyle w:val="SourceNote"/>
      </w:pPr>
      <w:r>
        <w:rPr>
          <w:b/>
        </w:rPr>
        <w:t>Available abstract (not full text):</w:t>
      </w:r>
      <w:r>
        <w:t xml:space="preserve"> Purpose: To identify economic development trends in the European Union, the extent of which is driven by new dimensions of security and cohesion in the socio-economic development of regions, and to analyse and assess the impact of new crisis phenomena on changes in public expenditure to finance public investment projects in EU regions. Design/methodology/approach: The method of critical analysis of the literature on the subject, the method of comparative analysis and the method of time series analysis with the use of selected methods of descriptive statistics in the field of empirical and statistical data in the generic and territorial arrangement by selected categories of regional units were used. Findings: A group of issues was identified that can be regarded as important directions of investment activity, shaping economic processes and introducing changes in social relations and expectations in the EU. The economic differentiation of European regions at the NUTS 2 level was identified, as well as the directions of changes in the spatial disparities of investment potential in regions in Poland, taking into account changes resulting from crisis phenomena. Research limitations/implications: The presented research results are limited by the availability of empirical data in detailed territorial arrangements. Due to the currently observed factors of socio-economic instability, it</w:t>
      </w:r>
    </w:p>
    <w:p>
      <w:pPr/>
      <w:r>
        <w:rPr>
          <w:b/>
        </w:rPr>
        <w:t>POSSIBLE 2025:</w:t>
      </w:r>
      <w:r>
        <w:t xml:space="preserve"> A reform of value-added taxes on foods can have health, environmental and economic benefits in Europe — https://doi.org/10.1038/s43016-024-01097-5</w:t>
      </w:r>
    </w:p>
    <w:p>
      <w:pPr/>
      <w:r>
        <w:rPr>
          <w:b/>
        </w:rPr>
        <w:t>Shared claim-specific concepts:</w:t>
      </w:r>
      <w:r>
        <w:t xml:space="preserve"> environmental, based; EU scope visible. This is a provisional connection, not an outcome finding.</w:t>
      </w:r>
    </w:p>
    <w:p>
      <w:pPr>
        <w:pStyle w:val="SourceNote"/>
      </w:pPr>
      <w:r>
        <w:rPr>
          <w:b/>
        </w:rPr>
        <w:t>Available abstract (not full text):</w:t>
      </w:r>
      <w:r>
        <w:t xml:space="preserve"> Fiscal policies can provide important incentives for encouraging the dietary changes needed to achieve global policy targets. Across Europe, the foods relevant to health and the environment often incur reduced but non-zero value-added tax (VAT) rates at about half the maximum rates, which allows for providing both incentives and disincentives. Integrating economic, health and environmental modelling, we show that reforming VAT rates on foods, including increasing rates on meat and dairy, and reducing VAT rates on fruits and vegetables can improve diets and result in health, environmental and economic benefits in most European countries. The health improvements were primarily driven by reductions in VAT rates on fruits and vegetables, whereas most of the environmental and revenue benefits were driven by increased rates on meat and dairy. Our findings suggest that differentiating VAT rates based on health and environmental considerations can support changes towards healthier and more sustainable diets in Europe.</w:t>
      </w:r>
    </w:p>
    <w:p>
      <w:pPr>
        <w:pStyle w:val="Heading2"/>
      </w:pPr>
      <w:r>
        <w:t>553. Implementing Systemic Innovation Strategies for a More Sustainable Future: The Case of Three Overseas Countries and Territories</w:t>
      </w:r>
    </w:p>
    <w:p>
      <w:pPr>
        <w:pStyle w:val="SourceNote"/>
      </w:pPr>
      <w:r>
        <w:rPr>
          <w:b/>
        </w:rPr>
        <w:t>Original source (2022):</w:t>
      </w:r>
      <w:r>
        <w:t xml:space="preserve"> https://doi.org/10.3389/frma.2021.801789</w:t>
      </w:r>
    </w:p>
    <w:p>
      <w:pPr/>
      <w:r>
        <w:t>Original wording (abstract; indexed_source_text_not_full_document_verified): We conclude by discussing the potential implications of this foresight approach for the sustainable development and transformation of other less-favoured regions and territories.</w:t>
      </w:r>
    </w:p>
    <w:p>
      <w:pPr/>
      <w:r>
        <w:rPr>
          <w:b/>
        </w:rPr>
        <w:t>POSSIBLE 2026:</w:t>
      </w:r>
      <w:r>
        <w:t xml:space="preserve"> Concluding Comments — https://doi.org/10.4324/9781003645337-16</w:t>
      </w:r>
    </w:p>
    <w:p>
      <w:pPr/>
      <w:r>
        <w:rPr>
          <w:b/>
        </w:rPr>
        <w:t>Shared claim-specific concepts:</w:t>
      </w:r>
      <w:r>
        <w:t xml:space="preserve"> potential, implications; EU scope not established. This is a provisional connection, not an outcome finding.</w:t>
      </w:r>
    </w:p>
    <w:p>
      <w:pPr>
        <w:pStyle w:val="SourceNote"/>
      </w:pPr>
      <w:r>
        <w:rPr>
          <w:b/>
        </w:rPr>
        <w:t>Available abstract (not full text):</w:t>
      </w:r>
      <w:r>
        <w:t xml:space="preserve">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pPr/>
      <w:r>
        <w:rPr>
          <w:b/>
        </w:rPr>
        <w:t>POSSIBLE 2026:</w:t>
      </w:r>
      <w:r>
        <w:t xml:space="preserve"> FORESIGHT AS AN INNOVATIVE METHOD OF BUSINESS DEVELOPMENT: FROM PREDICTION TO CONSTRUCTING THE FUTURE — https://doi.org/10.36871/ek.up.p.r.2026.01.12.018</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In the context of growing uncertainty and accelerating technological change, traditional forecasting methods are no longer sufficient for strategic business management. The purpose of this article is to reveal the essence of foresight as an innovative method of business development, to characterize its methodological apparatus and to show the possibilities of practical application based on the analysis of foreign and domestic experience, including the prospects for adapting the method for small and medium-sized businesses. This article focuses on foresight — an innovative approach to working with the future, which is actively used in the corporate sector to identify new opportunities, reduce risks, and formulate long-term strategy. The theoretical foundations of foresight, its differences from classical forecasting, key methods (horizon scanning, Delphi method, scenario planning, roadmaps, morphological analysis) and implementation stages are examined. Examples of foresight application in foreign and Russian companies, including the experience of small and medium-sized businesses, are provided, and the advantages and limitations of the method are discussed. Special attention is paid to current trends — the digitalization of foresight and its integration with the Agile approach. It is concluded that foresight is becoming an essential tool for innovative development, enabling bus</w:t>
      </w:r>
    </w:p>
    <w:p>
      <w:pPr/>
      <w:r>
        <w:rPr>
          <w:b/>
        </w:rPr>
        <w:t>POSSIBLE 2026:</w:t>
      </w:r>
      <w:r>
        <w:t xml:space="preserve"> The next episode for narrative foresight — https://doi.org/10.1016/j.futures.2026.103876</w:t>
      </w:r>
    </w:p>
    <w:p>
      <w:pPr/>
      <w:r>
        <w:rPr>
          <w:b/>
        </w:rPr>
        <w:t>Shared claim-specific concepts:</w:t>
      </w:r>
      <w:r>
        <w:t xml:space="preserve"> conclude, foresight,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approach, territories;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Foresight Insight for the Transformational Imperative: Toward a Futures-Oriented Evaluation Practice — https://doi.org/10.56645/jmde.v22i53.1315</w:t>
      </w:r>
    </w:p>
    <w:p>
      <w:pPr/>
      <w:r>
        <w:rPr>
          <w:b/>
        </w:rPr>
        <w:t>Shared claim-specific concepts:</w:t>
      </w:r>
      <w:r>
        <w:t xml:space="preserve"> foresight, approach, transformation; EU scope not established. This is a provisional connection, not an outcome finding.</w:t>
      </w:r>
    </w:p>
    <w:p>
      <w:pPr>
        <w:pStyle w:val="SourceNote"/>
      </w:pPr>
      <w:r>
        <w:rPr>
          <w:b/>
        </w:rPr>
        <w:t>Available abstract (not full text):</w:t>
      </w:r>
      <w:r>
        <w:t xml:space="preserve"> This article argues that evaluation must radically reorient to meet the transformational imperative posed by the global polycrisis. It critiques evaluation-as-usual (e.g., retrospective, technocratic, and short-term) for reinforcing the systems it purports to assess, and proposes Transformative Foresight (TF) as not merely a technical shift, but as a paradigmatic reorientation that integrates anticipatory, participatory, and decolonial practices into evaluation, moving beyond incremental improvement toward systemic transformation. The authors use three TF subtypes—Trauma-Transformative, Queer, and Indigenous Foresight—that center healing, justice, and relationality in how futures are imagined, evidenced, and governed. A mini case study supports each subtype. This approach expands validity, rigor, and evidence to include affect, stories, ritual, and futures consciousness, and cultivate H2+ niches within the Three Horizons framework. Using Causal Layered Analysis and the Twelve Principles of Transformation-Focused Evaluation as scaffolds, the article repositions evaluators as companions of systemic transition rather than neutral auditors. It concludes with suggestions for funders, evaluators, and communities. They should adopt foresight-driven, justice-oriented practices. This will help make evaluation an anticipatory, reparative, and ecological tool. Together, they can co-create</w:t>
      </w:r>
    </w:p>
    <w:p>
      <w:pPr/>
      <w:r>
        <w:rPr>
          <w:b/>
        </w:rPr>
        <w:t>POSSIBLE 2026:</w:t>
      </w:r>
      <w:r>
        <w:t xml:space="preserve"> The Three Fashion Times: A multitemporal framework towards a fashion foresight approach — https://doi.org/10.1016/j.futures.2026.103772</w:t>
      </w:r>
    </w:p>
    <w:p>
      <w:pPr/>
      <w:r>
        <w:rPr>
          <w:b/>
        </w:rPr>
        <w:t>Shared claim-specific concepts:</w:t>
      </w:r>
      <w:r>
        <w:t xml:space="preserve"> foresight, approach, sustainable; EU scope not established. This is a provisional connection, not an outcome finding.</w:t>
      </w:r>
    </w:p>
    <w:p>
      <w:pPr>
        <w:pStyle w:val="SourceNote"/>
      </w:pPr>
      <w:r>
        <w:rPr>
          <w:b/>
        </w:rPr>
        <w:t>Available abstract (not full text):</w:t>
      </w:r>
      <w:r>
        <w:t xml:space="preserve"> Drawing on a reflection-in-action methodological approach, this paper proposes a three-layered temporal framework that transcends the short-termism of fashion trends to embrace a more complex perspective on fashion and futures. The Three Fashion Times comprises distinct yet interconnected temporalities that aim to conceptually inform alternative futures-thinking practices in the fashion field, more closely aligned with foresight and the deep roots of sustainability. Ultimately, this multilayered framework advocates for an expanded understanding of the relationships between fashion and time, suggesting conceptual seeds for illuminating paths for a fashion foresight practice through which fashion can become truly sustainable.</w:t>
      </w:r>
    </w:p>
    <w:p>
      <w:pPr/>
      <w:r>
        <w:rPr>
          <w:b/>
        </w:rPr>
        <w:t>POSSIBLE 2026:</w:t>
      </w:r>
      <w:r>
        <w:t xml:space="preserve"> Strategic Foresight for FinTech Governance: A Scenario-Based MCDA Approach for Kuwait — https://doi.org/10.3390/fintech5010008</w:t>
      </w:r>
    </w:p>
    <w:p>
      <w:pPr/>
      <w:r>
        <w:rPr>
          <w:b/>
        </w:rPr>
        <w:t>Shared claim-specific concepts:</w:t>
      </w:r>
      <w:r>
        <w:t xml:space="preserve"> foresight, approach, other; EU scope not established. This is a provisional connection, not an outcome finding.</w:t>
      </w:r>
    </w:p>
    <w:p>
      <w:pPr>
        <w:pStyle w:val="SourceNote"/>
      </w:pPr>
      <w:r>
        <w:rPr>
          <w:b/>
        </w:rPr>
        <w:t>Available abstract (not full text):</w:t>
      </w:r>
      <w:r>
        <w:t xml:space="preserve"> This study investigates how strategic foresight can enhance FinTech governance and policy resilience in emerging economies, using Kuwait as an illustrative case. It aims to identify which foresight interventions should be prioritized across alternative futures to strengthen innovation, security, and institutional adaptability within the digital finance ecosystem. A scenario-based Multi-Criteria Decision Analysis (MCDA) framework is applied, combining the Analytic Hierarchy Process (AHP) and the Technique for Order Preference by Similarity to Ideal Solution (TOPSIS). Expert evaluations were conducted to assess five foresight interventions against eight policy and performance criteria across three plausible scenarios: Optimistic Growth, Status Quo, and Crisis and Contraction. Sensitivity analyses were performed to validate the stability of intervention rankings. The results reveal distinct priorities under each scenario: SME-oriented digital finance platforms and talent development dominate under growth and stability, while cybersecurity investment becomes paramount during crisis conditions. Regulatory fast-tracking maintains a consistent, moderate influence across all contexts. These outcomes underscore the need for adaptive, context-sensitive policy design that accommodates uncertainty. The framework provides policymakers with a structured approach to align FinTech strategies w</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potential, implications, foresight,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Future of Counseling: Foresights of Guidance Practitioners — https://doi.org/10.47772/ijriss.2026.100500538</w:t>
      </w:r>
    </w:p>
    <w:p>
      <w:pPr/>
      <w:r>
        <w:rPr>
          <w:b/>
        </w:rPr>
        <w:t>Shared claim-specific concepts:</w:t>
      </w:r>
      <w:r>
        <w:t xml:space="preserve"> implications, approach, transformation;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approach, transformation, regions;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2026:</w:t>
      </w:r>
      <w:r>
        <w:t xml:space="preserve"> AI as a contractor: an economy where transactions are concluded without humans — https://doi.org/10.36871/26189976.2026.06-4.007</w:t>
      </w:r>
    </w:p>
    <w:p>
      <w:pPr/>
      <w:r>
        <w:rPr>
          <w:b/>
        </w:rPr>
        <w:t>Shared claim-specific concepts:</w:t>
      </w:r>
      <w:r>
        <w:t xml:space="preserve"> conclude, potential, transformation; EU scope not established. This is a provisional connection, not an outcome finding.</w:t>
      </w:r>
    </w:p>
    <w:p>
      <w:pPr>
        <w:pStyle w:val="SourceNote"/>
      </w:pPr>
      <w:r>
        <w:rPr>
          <w:b/>
        </w:rPr>
        <w:t>Available abstract (not full text):</w:t>
      </w:r>
      <w:r>
        <w:t xml:space="preserve"> This article examines the phenomenon of an emerging economy driven by autonomous artificial intelligence systems acting as independent economic entities. It analyzes the transition from systems that execute human instructions to decentralized ecosystems where algorithms conclude transactions with one another. The study investigates the decision-making mechanisms of AI agents that possess their own resources and objective functions. Particular attention is paid to the transformation of traditional market relations within the context of a machine-to-machine economy. Emerging systemic risks–including potential algorithmic crises and legal regulation challenges–are also discussed. The article outlines key challenges associated with integrating non-human agents into the economic system and proposes avenues for future research.</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conclude, foresight, other;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pStyle w:val="Heading2"/>
      </w:pPr>
      <w:r>
        <w:t>554. Integrated energy planning to meet 2050 European targets: A Southern Italian region case study</w:t>
      </w:r>
    </w:p>
    <w:p>
      <w:pPr>
        <w:pStyle w:val="SourceNote"/>
      </w:pPr>
      <w:r>
        <w:rPr>
          <w:b/>
        </w:rPr>
        <w:t>Original source (2022):</w:t>
      </w:r>
      <w:r>
        <w:t xml:space="preserve"> https://doi.org/10.1016/j.esr.2022.100844</w:t>
      </w:r>
    </w:p>
    <w:p>
      <w:pPr/>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pPr/>
      <w:r>
        <w:rPr>
          <w:b/>
        </w:rPr>
        <w:t>POSSIBLE 2026:</w:t>
      </w:r>
      <w:r>
        <w:t xml:space="preserve"> Circular Economy and Energy Transition as Drivers of Carbon Emission Reduction: Evidence from Central and Eastern European Countries — https://doi.org/10.3390/su18147209</w:t>
      </w:r>
    </w:p>
    <w:p>
      <w:pPr/>
      <w:r>
        <w:rPr>
          <w:b/>
        </w:rPr>
        <w:t>Shared claim-specific concepts:</w:t>
      </w:r>
      <w:r>
        <w:t xml:space="preserve"> transition, reduction, emissions; EU scope visible. This is a provisional connection, not an outcome finding.</w:t>
      </w:r>
    </w:p>
    <w:p>
      <w:pPr>
        <w:pStyle w:val="SourceNote"/>
      </w:pPr>
      <w:r>
        <w:rPr>
          <w:b/>
        </w:rPr>
        <w:t>Available abstract (not full text):</w:t>
      </w:r>
      <w:r>
        <w:t xml:space="preserve">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pPr/>
      <w:r>
        <w:rPr>
          <w:b/>
        </w:rPr>
        <w:t>POSSIBLE 2026:</w:t>
      </w:r>
      <w:r>
        <w:t xml:space="preserve"> Spatial Analysis of the Progress of Energy Transition in Europe — https://doi.org/10.3390/en19020353</w:t>
      </w:r>
    </w:p>
    <w:p>
      <w:pPr/>
      <w:r>
        <w:rPr>
          <w:b/>
        </w:rPr>
        <w:t>Shared claim-specific concepts:</w:t>
      </w:r>
      <w:r>
        <w:t xml:space="preserve"> transition, emissions, obtained; EU scope visible. This is a provisional connection, not an outcome finding.</w:t>
      </w:r>
    </w:p>
    <w:p>
      <w:pPr>
        <w:pStyle w:val="SourceNote"/>
      </w:pPr>
      <w:r>
        <w:rPr>
          <w:b/>
        </w:rPr>
        <w:t>Available abstract (not full text):</w:t>
      </w:r>
      <w:r>
        <w:t xml:space="preserve">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pPr/>
      <w:r>
        <w:rPr>
          <w:b/>
        </w:rPr>
        <w:t>POSSIBLE 2026:</w:t>
      </w:r>
      <w:r>
        <w:t xml:space="preserve"> UKRAINE’S TRANSITION TO THE EUROPEAN VERTICAL REFERENCE SYSTEM (EVRS): GEODETIC PRECONDITIONS AND SPATIAL IMPLICATIONS — https://doi.org/10.25128/2519-4577.26.1.13</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pPr/>
      <w:r>
        <w:rPr>
          <w:b/>
        </w:rPr>
        <w:t>POSSIBLE 2026:</w:t>
      </w:r>
      <w:r>
        <w:t xml:space="preserve"> Green Transition in Europe: The Effectiveness of Environmental Taxes and Green Innovation in Reducing CO2 Emissions — https://doi.org/10.3390/economies14060231</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examines the determinants of carbon dioxide (CO2) emissions across 25 European Union countries over the period 2000–2021, with particular emphasis on the roles of environmental taxation and green innovation in shaping environmental sustainability. The analysis is grounded in ecological modernization theory, endogenous growth theory, and the Environmental Kuznets Curve hypothesis, which collectively explain the long-run and dynamic interactions between environmental policy, economic activity, structural transformation, and environmental outcomes. To ensure robust empirical inference, this study applies a comprehensive econometric framework that accounts for cross-sectional dependence, heterogeneity, non-stationarity, cointegration, and endogeneity. The empirical strategy begins with Pesaran cross-sectional dependence tests and slope heterogeneity diagnostics, followed by second-generation panel unit root tests (Pesaran CADF/CIPS) and Westerlund cointegration tests to establish the existence of long-run equilibrium relationships among the variables. Long-run coefficients are estimated using Fully Modified Ordinary Least Squares (FMOLS), Dynamic Ordinary Least Squares (DOLS), Canonical Cointegrating Regression (CCR), and Common Correlated Effects Mean Group (CCEMG) estimators. In addition, the Panel Autoregressive Distributed Lag (ARDL) model is employed to capture both</w:t>
      </w:r>
    </w:p>
    <w:p>
      <w:pPr/>
      <w:r>
        <w:rPr>
          <w:b/>
        </w:rPr>
        <w:t>POSSIBLE 2026:</w:t>
      </w:r>
      <w:r>
        <w:t xml:space="preserve"> Regional Energy Transition: Decoupling CO2 Emissions and Policy Perspectives — https://doi.org/10.3390/su18020652</w:t>
      </w:r>
    </w:p>
    <w:p>
      <w:pPr/>
      <w:r>
        <w:rPr>
          <w:b/>
        </w:rPr>
        <w:t>Shared claim-specific concepts:</w:t>
      </w:r>
      <w:r>
        <w:t xml:space="preserve"> transition, reduction, emissions, show, co2; EU scope visible. This is a provisional connection, not an outcome finding.</w:t>
      </w:r>
    </w:p>
    <w:p>
      <w:pPr>
        <w:pStyle w:val="SourceNote"/>
      </w:pPr>
      <w:r>
        <w:rPr>
          <w:b/>
        </w:rPr>
        <w:t>Available abstract (not full text):</w:t>
      </w:r>
      <w:r>
        <w:t xml:space="preserve"> This study examines the relationship between energy consumption and energy-related CO2 emissions for a sample of 79 reporting entities, grouped into seven regions, over the period 2013–2023. The methodology uses three empirical tools: (i) Tapio elasticity to classify types of decoupling; (ii) Kaya–LMDI decomposition to identify factors that determine emissions; and (iii) a log-difference panel model to separate year- and country-specific effects. The results indicate a reduction in carbon intensity in all regions, more pronounced in Europe and North America. According to the Tapio classification, Europe is in recessive decoupling, the Middle East is on the verge of expansive decoupling, North and South America are in strong expansive decoupling, and Asia Pacific, Africa, and CIS show only weak signals of expansive decoupling. The LMDI results show that, in regions with strong decoupling, the decrease in carbon intensity contributes to reducing emissions. In those with weak decoupling, the effects are partially canceled out by population growth and energy demand. Finally, the fixed-effects panel model does not identify any structural decoupling at the regional level. Overall, this study contributes to the literature by separating long-term structural effects from annual fluctuations. On this basis, we provide clear guidelines for designing regional energy policies.</w:t>
      </w:r>
    </w:p>
    <w:p>
      <w:pPr/>
      <w:r>
        <w:rPr>
          <w:b/>
        </w:rPr>
        <w:t>POSSIBLE 2026:</w:t>
      </w:r>
      <w:r>
        <w:t xml:space="preserve"> Sustainable Development Regimes, Transition Dynamics and Environmental Performance in the European Union — https://doi.org/10.3390/su18147219</w:t>
      </w:r>
    </w:p>
    <w:p>
      <w:pPr/>
      <w:r>
        <w:rPr>
          <w:b/>
        </w:rPr>
        <w:t>Shared claim-specific concepts:</w:t>
      </w:r>
      <w:r>
        <w:t xml:space="preserve"> transition, characterized, emissions; EU scope visible. This is a provisional connection, not an outcome finding.</w:t>
      </w:r>
    </w:p>
    <w:p>
      <w:pPr>
        <w:pStyle w:val="SourceNote"/>
      </w:pPr>
      <w:r>
        <w:rPr>
          <w:b/>
        </w:rPr>
        <w:t>Available abstract (not full text):</w:t>
      </w:r>
      <w:r>
        <w:t xml:space="preserve"> Sustainable development has become a strategic priority for the European Union in response to climate change, resource constraints and environmental degradation. Despite common policy objectives, Member States exhibit substantial differences in sustainability performance and transition capacities. This study investigates sustainable development pathways in the European Union using an integrated framework combining cluster analysis, transition analysis, panel econometrics and a conceptual Petri Net model. The empirical analysis is based on a balanced panel dataset covering the 27 EU Member States during the period 2015–2024. K-means clustering was employed to identify sustainable development regimes, transition matrices were used to evaluate regime persistence, and panel data models were estimated to examine the determinants of environmental performance measured through greenhouse gas emissions per capita. The results confirm the existence of four distinct sustainable development regimes characterized by different combinations of economic performance, environmental pressure and resource efficiency. Transition analysis confirms heterogeneous transition dynamics characterized by a generally high degree of regime persistence, while only a limited number of countries experienced regime changes during the study period. The econometric findings confirm that renewable energy deployment</w:t>
      </w:r>
    </w:p>
    <w:p>
      <w:pPr/>
      <w:r>
        <w:rPr>
          <w:b/>
        </w:rPr>
        <w:t>POSSIBLE 2026:</w:t>
      </w:r>
      <w:r>
        <w:t xml:space="preserve"> Energy transition in the Brazilian Northeast: emissions and electrical sustainability — https://doi.org/10.1007/s40430-026-06492-6</w:t>
      </w:r>
    </w:p>
    <w:p>
      <w:pPr/>
      <w:r>
        <w:rPr>
          <w:b/>
        </w:rPr>
        <w:t>Shared claim-specific concepts:</w:t>
      </w:r>
      <w:r>
        <w:t xml:space="preserve"> transition, reduction, ghg, emissions; EU scope not established. This is a provisional connection, not an outcome finding.</w:t>
      </w:r>
    </w:p>
    <w:p>
      <w:pPr>
        <w:pStyle w:val="SourceNote"/>
      </w:pPr>
      <w:r>
        <w:rPr>
          <w:b/>
        </w:rPr>
        <w:t>Available abstract (not full text):</w:t>
      </w:r>
      <w:r>
        <w:t xml:space="preserve"> Abstract The Brazilian Northeast has been consolidating itself as a key hub in the country’s energy transition, due to its high technical potential for electricity generation from renewables. This study analyzes the dynamics of the Northeastern electricity matrix between 2015 and 2023. The central methodology applied is the Life Cycle Assessment (LCA), which enabled the quantification of the greenhouse gas (GHG) emissions (carbon footprint). The Renewability Index ( $$\:RI$$ ) of electricity production is also determined along with the electricity self-sufficiency of the states in the region. The results reveal a significant transformation in the electricity mix during the study period, with a strong substitution of fossil fuels by renewables. Wind power expanded prominently in Rio Grande do Norte, Piauí, and Bahia, while solar power grew in Ceará, Sergipe, and Paraíba. This regional energy transition led to a remarkable reduction in the carbon intensity of electricity, reaching 0.062 kg CO 2 -eq/kWh in 2023, an 83.29% decrease compared to 2015. The total GHG emissions in the region also dropped by 71.73%, despite an 88.87% increase in electricity generation. The regional average $$\:RI$$ increased from 53.89% in 2015 to 94.78% in 2023, demonstrating a steady improvement in renewable integration. In conclusion, the Brazilian Northeast has made substantial progress in building a</w:t>
      </w:r>
    </w:p>
    <w:p>
      <w:pPr/>
      <w:r>
        <w:rPr>
          <w:b/>
        </w:rPr>
        <w:t>POSSIBLE 2026:</w:t>
      </w:r>
      <w:r>
        <w:t xml:space="preserve"> Decoupling economic growth and CO2 emissions: a geopolitical comparison of the EU and GCC energy transitions — https://doi.org/10.1007/s11135-026-02572-w</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investigates the differing trajectories of carbon dioxide (CO 2 ) emissions decoupling in the European Union (EU) and Gulf Cooperation Council (GCC) countries from 1990 to 2023. Using the Decoupling Consistency Index (DCI) in conjunction with the Logarithmic Mean Divisia Index (LMDI) decomposition, we analyze the contributions of CO 2 , energy intensity, economic growth, and population to emissions changes across distinct periods. The results reveal that the EU has achieved absolute decoupling, driven by sustained reductions in energy and CO₂ that outweigh economic growth pressures. In contrast, the GCC exhibits partial decoupling, with efficiency gains often offset by rapid economic expansion and population growth. Notably, the United Arab Emirates and Kuwait have made significant progress toward emissions reductions through accelerated renewable investments and energy reforms. At the same time, other GCC countries face challenges from fossil-fuel dependency. The study highlights the importance of tailored, region-specific climate policies and structural reforms to advance sustainable decarbonization. These findings provide critical insights for policymakers aiming to balance economic growth with environmental objectives in fossil-fuel-rich and transition economies.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characterized, ghg, emissions, show;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Temporal dynamics of energy transition and carbon emissions for ecological footprint in Mozambique — https://doi.org/10.21203/rs.3.rs-11067119/v1</w:t>
      </w:r>
    </w:p>
    <w:p>
      <w:pPr/>
      <w:r>
        <w:rPr>
          <w:b/>
        </w:rPr>
        <w:t>Shared claim-specific concepts:</w:t>
      </w:r>
      <w:r>
        <w:t xml:space="preserve"> transition, emissions;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Plasma Conditions Govern the Reversible Transition Between STEVE and Picket Fence Emissions — https://doi.org/10.1029/2025gl118616</w:t>
      </w:r>
    </w:p>
    <w:p>
      <w:pPr/>
      <w:r>
        <w:rPr>
          <w:b/>
        </w:rPr>
        <w:t>Shared claim-specific concepts:</w:t>
      </w:r>
      <w:r>
        <w:t xml:space="preserve"> transition, characterized, emissions; EU scope not established. This is a provisional connection, not an outcome finding.</w:t>
      </w:r>
    </w:p>
    <w:p>
      <w:pPr>
        <w:pStyle w:val="SourceNote"/>
      </w:pPr>
      <w:r>
        <w:rPr>
          <w:b/>
        </w:rPr>
        <w:t>Available abstract (not full text):</w:t>
      </w:r>
      <w:r>
        <w:t xml:space="preserve"> Abstract On 6 May 2018, a remarkable subauroral optical event exhibiting three phases of evolution (Strong Thermal Emission Velocity Enhancement [STEVE] → Picket Fence → STEVE) and co‐occurrence with a stable auroral red arc was observed over Alberta, Canada. Using ground‐based instruments (Redline Emission Geospace Observatory and TREx) and satellite measurements (Swarm and DMSP), we characterized the associated ionospheric conditions. The results suggest that a visible STEVE may require density depletion, electron heating, and intense ion drifts. The observed STEVE‐Picket Fence transition indicates that these phenomena may share the same subauroral ion drift channel, yet are modulated by local Ne structure. These findings provide new insights into the physical differences between STEVE and Picket Fence emissions, and offer key observational constraints for understanding magnetosphere‐ionosphere coupling in subauroral regions.</w:t>
      </w:r>
    </w:p>
    <w:p>
      <w:pPr/>
      <w:r>
        <w:rPr>
          <w:b/>
        </w:rPr>
        <w:t>POSSIBLE 2026:</w:t>
      </w:r>
      <w:r>
        <w:t xml:space="preserve"> Vessel Pooling as a Compliance Strategy in the European Shipping Energy Transition — https://doi.org/10.3390/en19051155</w:t>
      </w:r>
    </w:p>
    <w:p>
      <w:pPr/>
      <w:r>
        <w:rPr>
          <w:b/>
        </w:rPr>
        <w:t>Shared claim-specific concepts:</w:t>
      </w:r>
      <w:r>
        <w:t xml:space="preserve"> transition, show; EU scope visible. This is a provisional connection, not an outcome finding.</w:t>
      </w:r>
    </w:p>
    <w:p>
      <w:pPr>
        <w:pStyle w:val="SourceNote"/>
      </w:pPr>
      <w:r>
        <w:rPr>
          <w:b/>
        </w:rPr>
        <w:t>Available abstract (not full text):</w:t>
      </w:r>
      <w:r>
        <w:t xml:space="preserve"> The European Union’s energy transition framework presents significant challenges for the maritime sector, requiring technical, organizational, and market-based compliance measures. The FuelEU Maritime Regulation (FuelEU) introduces flexible mechanisms such as banking, borrowing, and pooling that broaden compliance options for shipowners. This study examines the role of pooling in European shipping, focusing on its operational models, enabling conditions, and economic implications. Pool formation demands extensive information exchange and effective coordination, creating a need for specialized intermediaries and supporting the emergence of a market in which pooling prices are shaped by supply and demand. The research employs a qualitative methodology combining stakeholder and exploratory market analysis, assessment of regulatory and market drivers, case studies, and comparative analysis, complemented by expert interviews and a targeted survey. The findings highlight pooling as a pivotal compliance instrument, particularly as a fallback option during the reporting period, and show that it currently represents the most cost-efficient means of achieving FuelEU compliance. Intermediary service providers, especially digital platforms, play a central role by facilitating coordination, improving transparency, and reducing compliance costs. The study further identifies key factors influ</w:t>
      </w:r>
    </w:p>
    <w:p>
      <w:pPr>
        <w:pStyle w:val="Heading2"/>
      </w:pPr>
      <w:r>
        <w:t>555. Investigating European Union Decarbonization Strategies: Evaluating the Pathway to Carbon Neutrality by 2050</w:t>
      </w:r>
    </w:p>
    <w:p>
      <w:pPr>
        <w:pStyle w:val="SourceNote"/>
      </w:pPr>
      <w:r>
        <w:rPr>
          <w:b/>
        </w:rPr>
        <w:t>Original source (2022):</w:t>
      </w:r>
      <w:r>
        <w:t xml:space="preserve"> https://doi.org/10.3390/su14084728</w:t>
      </w:r>
    </w:p>
    <w:p>
      <w:pPr/>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national;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Functionally rich crop rotations increase calorie and macronutrient outputs across Europe — https://doi.org/10.1038/s43016-026-01293-5</w:t>
      </w:r>
    </w:p>
    <w:p>
      <w:pPr/>
      <w:r>
        <w:rPr>
          <w:b/>
        </w:rPr>
        <w:t>Shared claim-specific concepts:</w:t>
      </w:r>
      <w:r>
        <w:t xml:space="preserve"> rich, provided, long-term; EU scope visible. This is a provisional connection, not an outcome finding.</w:t>
      </w:r>
    </w:p>
    <w:p>
      <w:pPr>
        <w:pStyle w:val="SourceNote"/>
      </w:pPr>
      <w:r>
        <w:rPr>
          <w:b/>
        </w:rPr>
        <w:t>Available abstract (not full text):</w:t>
      </w:r>
      <w:r>
        <w:t xml:space="preserve"> Increased crop diversity in cereal-dominated rotations can enhance crop protection, nutrient use efficiency and climate change adaptation. Nevertheless, it is argued that replacing cereals in rotations diminishes food production, threatening food security. Here we compared outputs of calories and macronutrients (carbohydrates, proteins, fats) for human consumption from cereal monocultures, cereal-only rotations and rotations including two or three functionally distinct crop types (cereals plus root and oil crops, legumes or ley) in 16 long-term experiments across Europe. Rotations with three functional types produced more calories and macronutrients than cereal monocultures and cereal-only rotations with forage crops used to produce milk. Carbohydrate gains depended on growing conditions and crop choice. Advantages increased over time but were lost with forage crops used for beef or biofuel. Functionally rich rotations provided macronutrient proportions closer to recommended human diets. Our analysis shows no trade-off between functionally rich rotations and food production or agricultural land expansion.</w:t>
      </w:r>
    </w:p>
    <w:p>
      <w:pPr/>
      <w:r>
        <w:rPr>
          <w:b/>
        </w:rPr>
        <w:t>POSSIBLE 2026:</w:t>
      </w:r>
      <w:r>
        <w:t xml:space="preserve"> Unequal Equals? The Status of Member States in an Integrating European Union — https://doi.org/10.54237/profnet.2026.dsuesmsieu</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Following his graduation</w:t>
      </w:r>
    </w:p>
    <w:p>
      <w:pPr/>
      <w:r>
        <w:rPr>
          <w:b/>
        </w:rPr>
        <w:t>POSSIBLE 2026:</w:t>
      </w:r>
      <w:r>
        <w:t xml:space="preserve"> Environmental and technical efficiency of agriculture - the case of the European Union member states — https://doi.org/10.34659/eis.2026.98.3.1147</w:t>
      </w:r>
    </w:p>
    <w:p>
      <w:pPr/>
      <w:r>
        <w:rPr>
          <w:b/>
        </w:rPr>
        <w:t>Shared claim-specific concepts:</w:t>
      </w:r>
      <w:r>
        <w:t xml:space="preserve"> member, states, evaluate, union; EU scope visible. This is a provisional connection, not an outcome finding.</w:t>
      </w:r>
    </w:p>
    <w:p>
      <w:pPr>
        <w:pStyle w:val="SourceNote"/>
      </w:pPr>
      <w:r>
        <w:rPr>
          <w:b/>
        </w:rPr>
        <w:t>Available abstract (not full text):</w:t>
      </w:r>
      <w:r>
        <w:t xml:space="preserve"> The objective of this study is to evaluate the technical and environmental efficiency of agriculture in the member states of the European Union (EU). The research employed the DEA (Data Envelopment Analysis) method – a standard BCC model to measure technical efficiency and its modification, which takes into account undesirable outputs and makes it possible to perform an assessment of environmental efficiency in the sample countries. This study has demonstrated that accounting for undesirable outputs, such as greenhouse gas emissions, did not affect the consistency between the country rankings based on the environmental efficiency score and the technical efficiency score in countries where the latter was high. The relative emission level in all these countries was either low or decreased considerably between 2013 and 2022. On the other hand, in countries with high emissions per agricultural output, a widening gap between environmental and technical efficiency has often been observed. The findings of this study justify changes in agricultural production based on sustainable intensification and the choice of the right direction of investment in agriculture.</w:t>
      </w:r>
    </w:p>
    <w:p>
      <w:pPr/>
      <w:r>
        <w:rPr>
          <w:b/>
        </w:rPr>
        <w:t>POSSIBLE 2026:</w:t>
      </w:r>
      <w:r>
        <w:t xml:space="preserve"> Educational Psychology in the European Union in the Twenty-first Century: An Extensive Bibliometric Study — https://doi.org/10.5093/psed2026a22</w:t>
      </w:r>
    </w:p>
    <w:p>
      <w:pPr/>
      <w:r>
        <w:rPr>
          <w:b/>
        </w:rPr>
        <w:t>Shared claim-specific concepts:</w:t>
      </w:r>
      <w:r>
        <w:t xml:space="preserve"> extensive, member, states, union; EU scope visible. This is a provisional connection, not an outcome finding.</w:t>
      </w:r>
    </w:p>
    <w:p>
      <w:pPr>
        <w:pStyle w:val="SourceNote"/>
      </w:pPr>
      <w:r>
        <w:rPr>
          <w:b/>
        </w:rPr>
        <w:t>Available abstract (not full text):</w:t>
      </w:r>
      <w:r>
        <w:t xml:space="preserve"> This paper reviews recent research in Educational Psychology related to twenty-first century development in the European Union (EU). Over the last two decades, researchers have promoted interdisciplinary and collaborative approaches across areas such as literacy, reading and writing, cognitive disabilities, creativity, motivation, social and individual differences, and academic achievement. The study focuses on the EU due to the limited research examining its specific contribution to Educational Psychology. It addresses key questions regarding the contribution of the EU and its member states, the main topics covered in Web of Science publications, the evolution of research trends, the leading European journals in the field, and the impact of the post-Brexit context. Through bibliometric analysis, the study highlights the EU’s significant contribution to the scientific community and recent advances in Educational Psychology research.</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member, states, very, union;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Institutional Configuration and the Effectiveness of Parole: Comparative Evidence from Council of Europe Member States — https://doi.org/10.33327/ajee-18-9.4-a0002005</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Background: Parole research across Council of Europe member states has long debated which model to adopt: discretionary, mandatory, or mixed. Yet, this framing misses a more consequential variable: how deeply any model is institutionally embedded. In terms of justice, insufficiently institutionalized parole risks reducing early release to a formal entitlement detached from fair decision-making, whereas robust institutional design enables it to function as a corrective mechanism against disproportionate punishment and as a practical expression of fairness in the execution of sentences. Method: The study employs a multi-method comparative legal approach combining documentary analysis, index construction, and non-parametric statistical testing. Standardized data for 2010–2024 were drawn from the World Prison Brief and SPACE I (Annual Prison Statistics of the Council of Europe — Statistiques Pénales Annuelles du Conseil de l’Europe) reports. We selected eight jurisdictions to maximise institutional variance: Kazakhstan, France, England and Wales, Sweden, Germany, the Netherlands, Poland, and Georgia. The IIP was constructed as a five-criterion composite instrument: standardized risk assessment tools, formalized decision-making body, court–probation coordination, mandatory post-release supervision, and institutionalized reintegration programmes, each scored 0–2 (composite range 0–10</w:t>
      </w:r>
    </w:p>
    <w:p>
      <w:pPr/>
      <w:r>
        <w:rPr>
          <w:b/>
        </w:rPr>
        <w:t>POSSIBLE 2026:</w:t>
      </w:r>
      <w:r>
        <w:t xml:space="preserve"> Risk Alert Briefing: Clay shrink–swell property damage and the increasing protection gap in Europe — https://doi.org/10.5281/zenodo.21492635</w:t>
      </w:r>
    </w:p>
    <w:p>
      <w:pPr/>
      <w:r>
        <w:rPr>
          <w:b/>
        </w:rPr>
        <w:t>Shared claim-specific concepts:</w:t>
      </w:r>
      <w:r>
        <w:t xml:space="preserve"> despite, provided, member, states, national; EU scope visible. This is a provisional connection, not an outcome finding.</w:t>
      </w:r>
    </w:p>
    <w:p>
      <w:pPr>
        <w:pStyle w:val="SourceNote"/>
      </w:pPr>
      <w:r>
        <w:rPr>
          <w:b/>
        </w:rPr>
        <w:t>Available abstract (not full text):</w:t>
      </w:r>
      <w:r>
        <w:t xml:space="preserve"> Clay shrink–swell (CSS) processes pose an under-recognised but increasingly material risk to buildings and infrastructure across Europe. These processes occur when clay-rich soils contract during dry periods and expand again when moisture returns, causing ground movement that can lead to cracking and structural damage to buildings and infrastructure. Climate change is projected to significantly increase the frequency and severity of deep-soil drought across large parts of Europe. Climate model projections indicate that by 2050, severe drought episodes affecting deep soil layers may occur approximately three times more often. These conditions are strongly associated with CSS events. Despite the growing hazard, CSS risk remains poorly visible in national climate adaptation planning and insurance arrangements in many EU Member States. At the same time, CSS property damage is typically excluded from standard private insurance contracts – and the protection provided by any state natural catastrophe mechanism (where these exist) is uncertain. This creates an increasing protection gap. The purpose of this Briefing is to draw attention to this CSS risk and increasing protection gap. Extending our initial analysis of the issue in France to a further five EU countries – Finland, Germany, Italy, Luxembourg and Spain – this Briefing highlights evidence showing a consistent pattern of incre</w:t>
      </w:r>
    </w:p>
    <w:p>
      <w:pPr/>
      <w:r>
        <w:rPr>
          <w:b/>
        </w:rPr>
        <w:t>POSSIBLE 2026:</w:t>
      </w:r>
      <w:r>
        <w:t xml:space="preserve"> Meat quality of indigenous pig breeds in selected countries of central and southwestern Europe – a review — https://doi.org/10.2478/aoas-2025-0122</w:t>
      </w:r>
    </w:p>
    <w:p>
      <w:pPr/>
      <w:r>
        <w:rPr>
          <w:b/>
        </w:rPr>
        <w:t>Shared claim-specific concepts:</w:t>
      </w:r>
      <w:r>
        <w:t xml:space="preserve"> despite, rich, extensive; EU scope visible. This is a provisional connection, not an outcome finding.</w:t>
      </w:r>
    </w:p>
    <w:p>
      <w:pPr>
        <w:pStyle w:val="SourceNote"/>
      </w:pPr>
      <w:r>
        <w:rPr>
          <w:b/>
        </w:rPr>
        <w:t>Available abstract (not full text):</w:t>
      </w:r>
      <w:r>
        <w:t xml:space="preserve"> Abstract The conservation and promotion of local pig breeds through targeted breeding initiatives, support for niche markets, and appropriate policy measures are crucial for halting the loss of genetic diversity and ensuring a resilient, adaptable pig production industry. This fact prompted a review of the literature on native pig breeds in Europe, which are valued for their adaptability to extensive systems, their contribution to biodiversity, and the high-quality meat characteristics they produce. This review aims to examine the contribution of non-improved pig breeds to meat quality and identify the sources of the underlying differences. This paper synthesizes performance and meat quality data from major Western, Southern, Central, and Eastern European breeds, highlighting substantial diversity in growth rates, carcass yields, and physicochemical meat parameters. Despite slower growth and variable yields, many native breeds produce meat with favourable water-holding capacity, rich colour profiles, and distinct textural properties, characteristics linked to traditional feeding regimes and longer fattening cycles. The results underscore the potential of native pig breeds, not only in preserving regional heritage, but also in delivering premium-quality pork for niche markets. Understanding their growth dynamics, carcass composition, and meat characteristics is essential for dev</w:t>
      </w:r>
    </w:p>
    <w:p>
      <w:pPr/>
      <w:r>
        <w:rPr>
          <w:b/>
        </w:rPr>
        <w:t>POSSIBLE 2026:</w:t>
      </w:r>
      <w:r>
        <w:t xml:space="preserve"> Rich Radicals — https://doi.org/10.1515/9783111651163</w:t>
      </w:r>
    </w:p>
    <w:p>
      <w:pPr/>
      <w:r>
        <w:rPr>
          <w:b/>
        </w:rPr>
        <w:t>Shared claim-specific concepts:</w:t>
      </w:r>
      <w:r>
        <w:t xml:space="preserve"> rich, very, path; EU scope not established. This is a provisional connection, not an outcome finding.</w:t>
      </w:r>
    </w:p>
    <w:p>
      <w:pPr>
        <w:pStyle w:val="SourceNote"/>
      </w:pPr>
      <w:r>
        <w:rPr>
          <w:b/>
        </w:rPr>
        <w:t>Available abstract (not full text):</w:t>
      </w:r>
      <w:r>
        <w:t xml:space="preserve"> How does money turn into political power today? As wealth concentrates at the very top, Rich Radicals shows how the wealthy are seeking to reshape societies. Using unique Finnish data, the books traces the top 0.1% and follows them into the worlds of family dynasties, corporate leaders and high‑flying entrepreneurs showing how wealth shapes moral conscience and drives radical politics. The book traces the rise of a global force: affluent groups driving societal change. The wealthy emerge as bold, well‑connected elites looking to shake up the Nordic social contract. If they succeed, a vital path to equality may be lost. Changing one society at a time, the wealthy may become a transformative force on a global scale—a development that deserves attention across societies.</w:t>
      </w:r>
    </w:p>
    <w:p>
      <w:pPr/>
      <w:r>
        <w:rPr>
          <w:b/>
        </w:rPr>
        <w:t>POSSIBLE 2026:</w:t>
      </w:r>
      <w:r>
        <w:t xml:space="preserve"> The connection between control of corruption and economic growth in the new and old European Union member states — https://doi.org/10.1080/15140326.2026.2694860</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This paper analyzes the control of corruption–economic growth nexus in the EU in the period 1996–2022. Using panel data models, the analysis reveals divergent effects across the continent. In Old EU member states, control of corruption positively influenced economic growth, while in the New EU member states, it surprisingly had the opposite effect, reducing growth. Economic growth, however, consistently enhanced corruption control in both groups of countries. The findings also reveal that a larger urban population correlated with less control of corruption and harmed growth because of inefficient resource allocation. Bidirectional causality between corruption and GDP per capita is supported for the entire EU and specifically in the New member states, while in the Old EU, the causality runs only from economic growth to corruption. These empirical results provide a crucial starting point for tailored policy proposals to mitigate corruption and promote sustainable growth across the EU.</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rich, provided,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pStyle w:val="Heading2"/>
      </w:pPr>
      <w:r>
        <w:t>556. Long term impact of residue management on soil organic carbon stocks and nitrous oxide emissions from European croplands</w:t>
      </w:r>
    </w:p>
    <w:p>
      <w:pPr>
        <w:pStyle w:val="SourceNote"/>
      </w:pPr>
      <w:r>
        <w:rPr>
          <w:b/>
        </w:rPr>
        <w:t>Original source (2022):</w:t>
      </w:r>
      <w:r>
        <w:t xml:space="preserve"> https://doi.org/10.1016/j.scitotenv.2022.154932</w:t>
      </w:r>
    </w:p>
    <w:p>
      <w:pPr/>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POSSIBLE 2026:</w:t>
      </w:r>
      <w:r>
        <w:t xml:space="preserve"> Biophysical climate responses to albedo management for wheat residue retention, cover crops, and pale wheat across European croplands — https://doi.org/10.5194/egusphere-egu26-9895</w:t>
      </w:r>
    </w:p>
    <w:p>
      <w:pPr/>
      <w:r>
        <w:rPr>
          <w:b/>
        </w:rPr>
        <w:t>Shared claim-specific concepts:</w:t>
      </w:r>
      <w:r>
        <w:t xml:space="preserve"> retention, increase, over; EU scope visible. This is a provisional connection, not an outcome finding.</w:t>
      </w:r>
    </w:p>
    <w:p>
      <w:pPr>
        <w:pStyle w:val="SourceNote"/>
      </w:pPr>
      <w:r>
        <w:rPr>
          <w:b/>
        </w:rPr>
        <w:t>Available abstract (not full text):</w:t>
      </w:r>
      <w:r>
        <w:t xml:space="preserve">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pPr/>
      <w:r>
        <w:rPr>
          <w:b/>
        </w:rPr>
        <w:t>POSSIBLE 2026:</w:t>
      </w:r>
      <w:r>
        <w:t xml:space="preserve"> Implementing Reduced Tillage, Residue Retention and Nitrogen Rates on CO₂ and CH₄ Fluxes in Irrigated Wheat on Subtropical Floodplain Soils — https://doi.org/10.4236/oalib.1115720</w:t>
      </w:r>
    </w:p>
    <w:p>
      <w:pPr/>
      <w:r>
        <w:rPr>
          <w:b/>
        </w:rPr>
        <w:t>Shared claim-specific concepts:</w:t>
      </w:r>
      <w:r>
        <w:t xml:space="preserve"> retention, reduced, tillage, wide; EU scope not established. This is a provisional connection, not an outcome finding.</w:t>
      </w:r>
    </w:p>
    <w:p>
      <w:pPr>
        <w:pStyle w:val="SourceNote"/>
      </w:pPr>
      <w:r>
        <w:rPr>
          <w:b/>
        </w:rPr>
        <w:t>Available abstract (not full text):</w:t>
      </w:r>
      <w:r>
        <w:t xml:space="preserve">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pPr/>
      <w:r>
        <w:rPr>
          <w:b/>
        </w:rPr>
        <w:t>POSSIBLE 2026:</w:t>
      </w:r>
      <w:r>
        <w:t xml:space="preserve"> Associations between landscape-scale cereal residue management and local biodiversity in Europe — https://doi.org/10.1016/j.agee.2026.110664</w:t>
      </w:r>
    </w:p>
    <w:p>
      <w:pPr/>
      <w:r>
        <w:rPr>
          <w:b/>
        </w:rPr>
        <w:t>Shared claim-specific concepts:</w:t>
      </w:r>
      <w:r>
        <w:t xml:space="preserve"> residues, retention, increase, used; EU scope visible. This is a provisional connection, not an outcome finding.</w:t>
      </w:r>
    </w:p>
    <w:p>
      <w:pPr>
        <w:pStyle w:val="SourceNote"/>
      </w:pPr>
      <w:r>
        <w:rPr>
          <w:b/>
        </w:rPr>
        <w:t>Available abstract (not full text):</w:t>
      </w:r>
      <w:r>
        <w:t xml:space="preserve">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pPr/>
      <w:r>
        <w:rPr>
          <w:b/>
        </w:rPr>
        <w:t>POSSIBLE 2026:</w:t>
      </w:r>
      <w:r>
        <w:t xml:space="preserve"> Determination of Antibiotic Residues in Milk — https://doi.org/10.37547/tajabe/volume08issue05-06</w:t>
      </w:r>
    </w:p>
    <w:p>
      <w:pPr/>
      <w:r>
        <w:rPr>
          <w:b/>
        </w:rPr>
        <w:t>Shared claim-specific concepts:</w:t>
      </w:r>
      <w:r>
        <w:t xml:space="preserve"> residues, retention, calculated; EU scope not established. This is a provisional connection, not an outcome finding.</w:t>
      </w:r>
    </w:p>
    <w:p>
      <w:pPr>
        <w:pStyle w:val="SourceNote"/>
      </w:pPr>
      <w:r>
        <w:rPr>
          <w:b/>
        </w:rPr>
        <w:t>Available abstract (not full text):</w:t>
      </w:r>
      <w:r>
        <w:t xml:space="preserve"> Milk and dairy products are of great importance from the perspective of food safety, and the presence of antibiotic residues in their composition may pose a potential risk to human health. The widespread therapeutic use of antibiotics in livestock practice can lead to the occurrence of these residues in milk when withdrawal periods before milking are not properly observed. Therefore, the detection and quantitative assessment of antibiotic residues in milk is considered a relevant scientific problem. This study was designed as an experimental laboratory investigation in which 30 raw milk samples obtained from different sources were analyzed. High-performance liquid chromatography (HPLC) was applied as a confirmatory method for the detection and verification of antibiotic residues. Within the study, antibiotics belonging to the β-lactam, tetracycline, and sulfonamide groups were identified on the basis of retention time agreement and chromatographic peak characteristics, and their concentrations were calculated using calibration curves. The obtained results were compared with internationally accepted maximum residue limits (MRLs). According to the analytical results, antibiotic residues were detected in 60% of the milk samples (18 samples), while in 4 samples (13.3%) the antibiotic concentrations were close to or exceeded the MRL values. The HPLC method demonstrated high sensitiv</w:t>
      </w:r>
    </w:p>
    <w:p>
      <w:pPr/>
      <w:r>
        <w:rPr>
          <w:b/>
        </w:rPr>
        <w:t>POSSIBLE 2026:</w:t>
      </w:r>
      <w:r>
        <w:t xml:space="preserve"> Impacts on Soil Health of Soil Improvers Derived from Agri-Food Processing Residues: a Systematic Review with a Focus on European Field Studies — https://doi.org/10.1007/s42729-026-03037-7</w:t>
      </w:r>
    </w:p>
    <w:p>
      <w:pPr/>
      <w:r>
        <w:rPr>
          <w:b/>
        </w:rPr>
        <w:t>Shared claim-specific concepts:</w:t>
      </w:r>
      <w:r>
        <w:t xml:space="preserve"> residues, retention, approach; EU scope visible. This is a provisional connection, not an outcome finding.</w:t>
      </w:r>
    </w:p>
    <w:p>
      <w:pPr>
        <w:pStyle w:val="SourceNote"/>
      </w:pPr>
      <w:r>
        <w:rPr>
          <w:b/>
        </w:rPr>
        <w:t>Available abstract (not full text):</w:t>
      </w:r>
      <w:r>
        <w:t xml:space="preserve"> Abstract The circular bioeconomy, centred on the principles of “Reduce, Reuse, and Recycle”, is central to achieving the goals of the European Green Deal and the “Farm to Fork” strategy. The key approach, within this framework, is the valorisation of food processing side-streams through various processing technologies to produce fertilisers that, when applied to the soil, act as potential “soil improvers”. When applied to soil, these materials affect not only the physical, chemical, and biological properties of soil but also impact greenhouse gas emissions, nutrient leaching, and the levels of contaminants or pathogens. A systematic review of field studies conducted in European soils between 2014 and 2024 was performed with stringent inclusion and exclusion criteria, which allowed the identification of suitable articles in three independent steps. The main soil improvers derived from various agri-food side-streams were biochar, compost, and digestate. Their effects, along with the potential risks associated with their use in agricultural fields, were carefully evaluated and discussed. This review forms part of the DeliSoil project “Delivering safe, sustainable, tailored &amp; societally accepted soil improvers from circular food production for boosting soil health” funded under the European Union “A Soil Deal for Europe”. This systematic review showed that soil improvers enhance so</w:t>
      </w:r>
    </w:p>
    <w:p>
      <w:pPr/>
      <w:r>
        <w:rPr>
          <w:b/>
        </w:rPr>
        <w:t>POSSIBLE 2026:</w:t>
      </w:r>
      <w:r>
        <w:t xml:space="preserve"> Straw Retention Enables the Yield and Quality Benefits of Reduced Tillage in Winter Wheat and Spring Barley: A Long-Term Study — https://doi.org/10.3390/agriculture16090990</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Agronomic practices can modify cereal grain chemical composition and processing performance. Long-term evidence linking agricultural management with functionality-related quality remains limited, especially in terms of combined tillage x crop residue management strategy. We evaluated the effects of long-term tillage simplifications and straw management on productivity and processing-relevant traits of winter wheat and spring barley in a split-plot field experiment (Lithuania). Straw was either removed (S0) or chopped and retained (S1), and six tillage systems were compared (conventional ploughing (CP), shallow ploughing (SP), shallow cultivation (SOW), stubble over winter, no-till with cover crops (NTC), and no-till without cover crops (NT)). The yield and starch content of winter wheat and spring barley groats increased with the addition of straw and the application of SOW, NTC, and NT systems. The hectolitre mass of winter wheat and spring barley grains increased with the addition and removal of straw using SP technology. The protein content and wet gluten content of winter wheat and spring barley grains decreased, while the starch content increased, with the addition and removal of straw using SC technology. In wheat, protein content showed weak separation among treatments, while wet gluten and Zeleny sedimentation displayed mostly directional trends (wet gluten–sedimentatio</w:t>
      </w:r>
    </w:p>
    <w:p>
      <w:pPr/>
      <w:r>
        <w:rPr>
          <w:b/>
        </w:rPr>
        <w:t>POSSIBLE 2026:</w:t>
      </w:r>
      <w:r>
        <w:t xml:space="preserve"> On-farm assessment of tillage and residue management options for wheat yields, energy efficiency and reduced carbon emissions in India’s dominant agri-food system — https://doi.org/10.1016/j.rineng.2026.113351</w:t>
      </w:r>
    </w:p>
    <w:p>
      <w:pPr/>
      <w:r>
        <w:rPr>
          <w:b/>
        </w:rPr>
        <w:t>Shared claim-specific concepts:</w:t>
      </w:r>
      <w:r>
        <w:t xml:space="preserve"> residues, retention, reduced, tillage, increase, over; EU scope not established. This is a provisional connection, not an outcome finding.</w:t>
      </w:r>
    </w:p>
    <w:p>
      <w:pPr>
        <w:pStyle w:val="SourceNote"/>
      </w:pPr>
      <w:r>
        <w:rPr>
          <w:b/>
        </w:rPr>
        <w:t>Available abstract (not full text):</w:t>
      </w:r>
      <w:r>
        <w:t xml:space="preserve"> Intensive tillage coupled with uncontrolled burning of rice residues before wheat sowing in the rice–wheat system of northwestern India poses sustainability challenge by increasing energy consumption, environmental pollution, and reducing wheat productivity. On-farm studies across 90 farms evaluated the effects of tillage and residue management on energy use, carbon input-output, greenhouse gas (GHG) emissions, and wheat yield. Five management options were compared: conventional tillage (CT) with full residue burning (CT+Full Burnt, T 1 ), conventional tillage with partial residue burning (CT+Partial Burnt T 2 ), zero tillage (ZT) with full residue retention (ZT+Full Residue, T 3 ), ZT with partial residue retention (ZT+Partial Residue, T 4 ), and ZT with no residue retention (ZT+No Residue, T 5 ). T 3 recorded the highest wheat grain yield of 5.26±0.05 Mg ha⁻¹, representing 23% and 21% increase over T 1 and T 2 , respectively. ZT treatments, irrespective of residue level, reduced total energy input by 16.6-19.3% while enhanced energy output. Data Envelopment Analysis (DEA) showed a mean technical efficiency of 0.73 under the constant returns to scale, indicating 27% efficiency gap relative to the estimated DEA frontier. Whereas the input-oriented optimization indicated potential of 9.1% saving in energy input at the same output level. ZT with residue retention also reduced car</w:t>
      </w:r>
    </w:p>
    <w:p>
      <w:pPr/>
      <w:r>
        <w:rPr>
          <w:b/>
        </w:rPr>
        <w:t>POSSIBLE 2026:</w:t>
      </w:r>
      <w:r>
        <w:t xml:space="preserve"> Adoption and constraints of crop residue management practices among farmers — https://doi.org/10.33545/2618060x.2026.v9.i8r.6786</w:t>
      </w:r>
    </w:p>
    <w:p>
      <w:pPr/>
      <w:r>
        <w:rPr>
          <w:b/>
        </w:rPr>
        <w:t>Shared claim-specific concepts:</w:t>
      </w:r>
      <w:r>
        <w:t xml:space="preserve"> residues, retention, used; EU scope not established. This is a provisional connection, not an outcome finding.</w:t>
      </w:r>
    </w:p>
    <w:p>
      <w:pPr>
        <w:pStyle w:val="SourceNote"/>
      </w:pPr>
      <w:r>
        <w:rPr>
          <w:b/>
        </w:rPr>
        <w:t>Available abstract (not full text):</w:t>
      </w:r>
      <w:r>
        <w:t xml:space="preserve"> Crop residue management (CRM) is an important component of sustainable crop production because it can reduce residue burning, improve soil organic matter, conserve moisture and facilitate timely establishment of succeeding crops. The present study assessed the adoption of selected crop residue management practices among 200 respondents using a three-point continuum. Respondents were asked to indicate whether they adopted each practice Never, Sometimes or Always, assigned scores of 0, 1 and 2, respectively. The proposed assessment covered residue burning avoidance, surface retention, incorporation, zero-tillage, use of residue management machinery, composting, baling, bio-decomposer use and timely residue management. Prioritize the constraints perceived by farmers in crop residue management (CRM), Garrett’s ranking technique was used The results indicated comparatively greater adoption of avoiding residue burning, timely management before sowing and incorporation of residues, whereas baling for ex-situ utilization showed comparatively lower adoption. The findings highlight the importance of access to machinery, technical knowledge, demonstrations and extension support for wider adoption of CRM technologies. Overall, the constraint pattern indicates that CRM adoption is influenced by a combination of economic, technological, temporal and information-related factors.</w:t>
      </w:r>
    </w:p>
    <w:p>
      <w:pPr/>
      <w:r>
        <w:rPr>
          <w:b/>
        </w:rPr>
        <w:t>POSSIBLE 2026:</w:t>
      </w:r>
      <w:r>
        <w:t xml:space="preserve"> Climate and farming system dominate wheat yield responses across European pedoclimatic zones, despite widespread soil nutrient surpluses — https://doi.org/10.1007/s11104-026-08526-3</w:t>
      </w:r>
    </w:p>
    <w:p>
      <w:pPr/>
      <w:r>
        <w:rPr>
          <w:b/>
        </w:rPr>
        <w:t>Shared claim-specific concepts:</w:t>
      </w:r>
      <w:r>
        <w:t xml:space="preserve"> retention, reduced, tillage, average; EU scope visible. This is a provisional connection, not an outcome finding.</w:t>
      </w:r>
    </w:p>
    <w:p>
      <w:pPr>
        <w:pStyle w:val="SourceNote"/>
      </w:pPr>
      <w:r>
        <w:rPr>
          <w:b/>
        </w:rPr>
        <w:t>Available abstract (not full text):</w:t>
      </w:r>
      <w:r>
        <w:t xml:space="preserve"> Abstract Background and aims European wheat production faces the challenge of maintaining yields while reducing environmental impacts from agrochemicals. Organic farming is often considered a sustainable alternative to promote soil health and reduce chemical inputs. This study assessed nutrient status in wheat soils across nine European pedoclimatic zones, comparing conventional and organic systems and evaluating management practices such as crop rotation, tillage and fertilization type. Methods A total of 188 soils were analyzed for macro- and micronutrients, and wheat yield data were evaluated in relation to soil nutrients, climate, wheat type (winter- vs. spring-sown), and management using correlation, random forest, and regression analyses. Results Soils showed excess P, K, Mg, Cu, Fe, Mn, and Zn, but S and B deficiencies. Organic systems increased total N, while conventional farming enhanced nitrate, sulfate, and boron. Wheat yield was primarily driven by temperature, precipitation, wheat type (winter- vs. spring-sown), and farming system, with additional contributions from fertilization and nutrients (particularly exchangeable Ca, Fe, Mn, and Zn). On average, organic yields were 37% significantly lower than conventional, but these differences were smaller in Mediterranean zones due to reduced pest pressure and improved water retention and infiltration. Practices such as c</w:t>
      </w:r>
    </w:p>
    <w:p>
      <w:pPr/>
      <w:r>
        <w:rPr>
          <w:b/>
        </w:rPr>
        <w:t>POSSIBLE 2026:</w:t>
      </w:r>
      <w:r>
        <w:t xml:space="preserve"> A Review of Common Crop Residue Management Practices in Grain Production — https://doi.org/10.3390/agronomy16060625</w:t>
      </w:r>
    </w:p>
    <w:p>
      <w:pPr/>
      <w:r>
        <w:rPr>
          <w:b/>
        </w:rPr>
        <w:t>Shared claim-specific concepts:</w:t>
      </w:r>
      <w:r>
        <w:t xml:space="preserve"> residues, retention, reduced, tillage, approach; EU scope not established. This is a provisional connection, not an outcome finding.</w:t>
      </w:r>
    </w:p>
    <w:p>
      <w:pPr>
        <w:pStyle w:val="SourceNote"/>
      </w:pPr>
      <w:r>
        <w:rPr>
          <w:b/>
        </w:rPr>
        <w:t>Available abstract (not full text):</w:t>
      </w:r>
      <w:r>
        <w:t xml:space="preserve"> Crop residue plays a significant role on soil health, nutrient cycling, and crop yield, making residue management a key consideration in agricultural production. This review aims to synthesize current knowledge on two different aspects of crop residue in grain production systems: common management practices and their effects. A comprehensive literature survey was conducted using the Scopus database, covering worldwide publications from 1990 to 2025. First, this review explores various crop residue management practices, including burning, stubble retention, and different tillage methods (conservation tillage vs. conventional tillage). This section mainly focuses on tillage practices with an emphasis on the environmental, economic, and agronomic consequences of each approach. Then this review paper explores the effects of crop residue on soils and ecosystems, including the role of crop residues in improving soil quality and enhancing soil organic carbon sequestration. The interaction between crop residues and hydrological processes such as water infiltration and runoff is also examined in this section. The relationships between residue management practices and crop growth and yield responses are also critically assessed. This review highlights the shift from conventional, environmentally detrimental practices toward conservation-oriented approaches, especially reduced tillage, no</w:t>
      </w:r>
    </w:p>
    <w:p>
      <w:pPr/>
      <w:r>
        <w:rPr>
          <w:b/>
        </w:rPr>
        <w:t>POSSIBLE 2026:</w:t>
      </w:r>
      <w:r>
        <w:t xml:space="preserve"> Biodegradation of insecticide residue by lactic acid bacteria — https://doi.org/10.1038/s41598-025-34844-0</w:t>
      </w:r>
    </w:p>
    <w:p>
      <w:pPr/>
      <w:r>
        <w:rPr>
          <w:b/>
        </w:rPr>
        <w:t>Shared claim-specific concepts:</w:t>
      </w:r>
      <w:r>
        <w:t xml:space="preserve"> residues, reduced, over; EU scope not established. This is a provisional connection, not an outcome finding.</w:t>
      </w:r>
    </w:p>
    <w:p>
      <w:pPr>
        <w:pStyle w:val="SourceNote"/>
      </w:pPr>
      <w:r>
        <w:rPr>
          <w:b/>
        </w:rPr>
        <w:t>Available abstract (not full text):</w:t>
      </w:r>
      <w:r>
        <w:t xml:space="preserve"> The persistence of insecticide residues on food crops poses a significant risk to human health and the environment, necessitating effective residue mitigation strategies. This study evaluates the potential of lactic acid bacteria (LAB) strains, Lactobacillus pentosus and Lactococcus lactis subsp. lactis, for degrading residues of cyantraniliprole and chlorantraniliprole under laboratory conditions, and further assessed their degradation potential for cyantraniliprole under field conditions. Residue levels were quantified using liquid chromatography-tandem mass spectrometry, allowing precise measurement of degradation rates. In minimal broth, both strains reduced cyantraniliprole residues up to 33.07% and chlorantraniliprole residues by up to 23.44% over 12 days, with Lactobacillus pentosus demonstrating a higher degradation efficiency. Nutrient broth significantly enhanced biodegradation efficiency, with both LAB strains removing more than 98% of cyantraniliprole within 4 days and achieving complete degradation by 10th day. Controlled field evaluation demonstrated the practical efficacy of LAB application, where Lactobacillus pentosus and Lactococcus lactis reduced insecticide residues by up to 40.99 and 34.52% respectively, after 8 h of spraying. Overall, these findings highlight the potential of LAB as a natural, eco-friendly solution for mitigating pesticide residues in food</w:t>
      </w:r>
    </w:p>
    <w:p>
      <w:pPr/>
      <w:r>
        <w:rPr>
          <w:b/>
        </w:rPr>
        <w:t>POSSIBLE 2026:</w:t>
      </w:r>
      <w:r>
        <w:t xml:space="preserve"> Spectral Alert mining for Nontarget Screening of Contaminants and Residues — https://doi.org/10.26434/chemrxiv.15000999/v1</w:t>
      </w:r>
    </w:p>
    <w:p>
      <w:pPr/>
      <w:r>
        <w:rPr>
          <w:b/>
        </w:rPr>
        <w:t>Shared claim-specific concepts:</w:t>
      </w:r>
      <w:r>
        <w:t xml:space="preserve"> residues, approach, resolution; EU scope not established. This is a provisional connection, not an outcome finding.</w:t>
      </w:r>
    </w:p>
    <w:p>
      <w:pPr>
        <w:pStyle w:val="SourceNote"/>
      </w:pPr>
      <w:r>
        <w:rPr>
          <w:b/>
        </w:rPr>
        <w:t>Available abstract (not full text):</w:t>
      </w:r>
      <w:r>
        <w:t xml:space="preserve"> Nontargeted liquid chromatography high resolution tandem mass spectrometry approaches have gained substantial attention to detect unknown or unexpected contaminants in environmental and food safety analysis. With liquid chromatography high resolution tandem mass spectrometry routinely detecting thousands of features, prioritizing contaminant features through nontargeted screening remains a major challenge. Current approaches often trade interpretability for scalability, or vice versa. Using pesticides as a case study, we bridge this gap by applying MS2LDA 2.0 to around 5200 selected consensus mass spectra from public mass spectral libraries, extracting and curating 50 annotated Mass2Motif fragmentation patterns, here termed spectral alerts, that capture diverse pesticide substructures. When benchmarked against manually curated fragmentation patterns, spectral alerts retrieved a larger number of compounds containing the targeted pesticide substructures in MassBank. In tomato and orange samples spiked with a pesticide mixture, spectral alerts prioritized fewer than 1.7% of all detected features (between 5,194 and 7,523). Blank matrices produced at most three prioritized features, indicating a low false-positive rate. Although the current set of spectral alerts does not yet cover the full chemical diversity of pesticides and spectral alerts are no guarantee that all compounds cont</w:t>
      </w:r>
    </w:p>
    <w:p>
      <w:pPr>
        <w:pStyle w:val="Heading2"/>
      </w:pPr>
      <w:r>
        <w:t>557. Long-term transport decarbonization pathways in the European Union: a strategic energy-economy analysis</w:t>
      </w:r>
    </w:p>
    <w:p>
      <w:pPr>
        <w:pStyle w:val="SourceNote"/>
      </w:pPr>
      <w:r>
        <w:rPr>
          <w:b/>
        </w:rPr>
        <w:t>Original source (2022):</w:t>
      </w:r>
      <w:r>
        <w:t xml:space="preserve"> https://doi.org/10.1080/15567249.2022.2101712</w:t>
      </w:r>
    </w:p>
    <w:p>
      <w:pPr/>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POSSIBLE 2026:</w:t>
      </w:r>
      <w:r>
        <w:t xml:space="preserve"> Unpacking the Paradoxes of Trust in Uncertain Times — https://doi.org/10.1177/01708406261430577</w:t>
      </w:r>
    </w:p>
    <w:p>
      <w:pPr/>
      <w:r>
        <w:rPr>
          <w:b/>
        </w:rPr>
        <w:t>Shared claim-specific concepts:</w:t>
      </w:r>
      <w:r>
        <w:t xml:space="preserve"> uncertain, however, technology, implications; EU scope not established. This is a provisional connection, not an outcome finding.</w:t>
      </w:r>
    </w:p>
    <w:p>
      <w:pPr>
        <w:pStyle w:val="SourceNote"/>
      </w:pPr>
      <w:r>
        <w:rPr>
          <w:b/>
        </w:rPr>
        <w:t>Available abstract (not full text):</w:t>
      </w:r>
      <w:r>
        <w:t xml:space="preserve">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pPr/>
      <w:r>
        <w:rPr>
          <w:b/>
        </w:rPr>
        <w:t>POSSIBLE 2026:</w:t>
      </w:r>
      <w:r>
        <w:t xml:space="preserve"> Assessing the importance of the European armament sector: a multiregional approach — https://doi.org/10.1080/10242694.2026.2673058</w:t>
      </w:r>
    </w:p>
    <w:p>
      <w:pPr/>
      <w:r>
        <w:rPr>
          <w:b/>
        </w:rPr>
        <w:t>Shared claim-specific concepts:</w:t>
      </w:r>
      <w:r>
        <w:t xml:space="preserve"> assess, potential, other; EU scope visible. This is a provisional connection, not an outcome finding.</w:t>
      </w:r>
    </w:p>
    <w:p>
      <w:pPr>
        <w:pStyle w:val="SourceNote"/>
      </w:pPr>
      <w:r>
        <w:rPr>
          <w:b/>
        </w:rPr>
        <w:t>Available abstract (not full text):</w:t>
      </w:r>
      <w:r>
        <w:t xml:space="preserve"> The threat posed by the war in Ukraine and the shift in the U.S. administration’s stance toward the European Union compel member states to cooperate in the armaments industry through co-production and co-development projects. This makes the present study particularly valuable for understanding the current state of the defence sector within EU member states.Our study examines the situation of the armaments industry across EU member states, focusing specifically on intersectoral relationships and their multiplier effect on the economy. This approach enables us to assess the state of the defence sector and anticipate worst-case scenarios arising from the ongoing conflict in neighboring territories. Furthermore, it allows us to identify potential capability gaps within the defence sector.To conduct this analysis, we employ a multisectoral and multinational modeling framework based on the input – output methodology, which enables the disaggregation of the armaments sector into its constituent subsectors, thereby facilitating the examination of income flows associated with this industry. The results obtained provide an in-depth understanding of both the weight of the armaments industry in the domestic economy of each EU member state and the impact of this sector on other economies through trade exchanges.</w:t>
      </w:r>
    </w:p>
    <w:p>
      <w:pPr/>
      <w:r>
        <w:rPr>
          <w:b/>
        </w:rPr>
        <w:t>POSSIBLE 2026:</w:t>
      </w:r>
      <w:r>
        <w:t xml:space="preserve"> Budget Impact Analysis of Vacuum-Assisted Excision Versus Surgical Excision for the Assessment of Breast Lesions of Uncertain Malignant Potential in Italy — https://doi.org/10.1007/s41669-026-00663-w</w:t>
      </w:r>
    </w:p>
    <w:p>
      <w:pPr/>
      <w:r>
        <w:rPr>
          <w:b/>
        </w:rPr>
        <w:t>Shared claim-specific concepts:</w:t>
      </w:r>
      <w:r>
        <w:t xml:space="preserve"> owing, uncertain, potential; EU scope visible. This is a provisional connection, not an outcome finding.</w:t>
      </w:r>
    </w:p>
    <w:p>
      <w:pPr>
        <w:pStyle w:val="SourceNote"/>
      </w:pPr>
      <w:r>
        <w:rPr>
          <w:b/>
        </w:rPr>
        <w:t>Available abstract (not full text):</w:t>
      </w:r>
      <w:r>
        <w:t xml:space="preserve"> BACKGROUND/OBJECTIVE: B3 breast lesions, of uncertain malignant potential, pose diagnostic challenges owing to their intermediate malignancy risk. While surgical excision (SE) is traditionally used for definitive diagnosis, vacuum-assisted excision (VAE) offers a less invasive alternative. As diagnostic practices evolve, this study assesses the financial impact of adopting VAE for B3 lesion management from the hospital perspective within the Italian healthcare system. MATERIALS AND METHODS: A budget impact analysis (BIA) was conducted from the hospital perspective over a 5-year time horizon. Clinical complication rates for SE and VAE were derived through a systematic literature review and meta-analysis. A micro-costing approach was used to estimate direct medical costs on the basis of detailed resource utilization data collected via structured questionnaires administered across five Italian hospitals. One-way sensitivity analyses and scenario analyses were conducted to test the robustness of the results. RESULTS: VAE was associated with significantly lower costs than SE, mainly owing to reduced hospitalization, operating room use, and personnel time. The average per-patient cost was €820 for VAE versus €1663 for SE, yielding savings of €843. Over 5 years, with VAE adoption rising from 20% to 80%, cumulative hospital savings were estimated to be between €11.1 million and €13.7 m</w:t>
      </w:r>
    </w:p>
    <w:p>
      <w:pPr/>
      <w:r>
        <w:rPr>
          <w:b/>
        </w:rPr>
        <w:t>POSSIBLE 2026:</w:t>
      </w:r>
      <w:r>
        <w:t xml:space="preserve"> Bayesian Signaling and Entry Decisions under Uncertain Market Conditions — https://doi.org/10.48550/arxiv.2608.17273</w:t>
      </w:r>
    </w:p>
    <w:p>
      <w:pPr/>
      <w:r>
        <w:rPr>
          <w:b/>
        </w:rPr>
        <w:t>Shared claim-specific concepts:</w:t>
      </w:r>
      <w:r>
        <w:t xml:space="preserve"> uncertain, potential, contribution; EU scope not established. This is a provisional connection, not an outcome finding.</w:t>
      </w:r>
    </w:p>
    <w:p>
      <w:pPr>
        <w:pStyle w:val="SourceNote"/>
      </w:pPr>
      <w:r>
        <w:rPr>
          <w:b/>
        </w:rPr>
        <w:t>Available abstract (not full text):</w:t>
      </w:r>
      <w:r>
        <w:t xml:space="preserve"> We develop a continuous-time entry-deterrence game in which market demand evolves according to the Chan-Karolyi-Longstaff-Sanders (CKLS) stochastic differential equation, allowing mean reversion and state-dependent volatility. An incumbent with privately known strength strategically chooses advertising and promotional expenditures to influence a potential entrant's beliefs, while the entrant faces a costly, irreversible entry decision and optimally waits until market conditions justify participation. Within a dynamic Stackelberg setting, Bayesian learning, asymmetric information, stochastic demand, and strategic controls jointly determine entry and signaling behavior. Using a Feynman-type path-integral control formulation, we characterize a Markovian Nash feedback equilibrium for the firms' expenditure strategies. Our contribution is to integrate CKLS demand uncertainty, private information, irreversible entry, Bayesian belief updating, and path-integral feedback control within a unified continuous-time entry-deterrence framework, while providing a computational alternative to direct Hamilton-Jacobi-Bellman (HJB) approach. We illustrate the framework empirically using 2010-2024 revenue data for Enterprise Products Partners and Targa Resources. The resulting trajectories are qualitatively consistent with the model's predictions, exhibiting persistence, recovery after adverse sho</w:t>
      </w:r>
    </w:p>
    <w:p>
      <w:pPr/>
      <w:r>
        <w:rPr>
          <w:b/>
        </w:rPr>
        <w:t>POSSIBLE 2026:</w:t>
      </w:r>
      <w:r>
        <w:t xml:space="preserve"> Examining the Role of Adaptive Policy Frameworks and Organisational Sustainability in the Indian Manufacturing Industry under Uncertain Business Conditions — https://doi.org/10.63282/3050-9416.ijaibdcms-v7i2p139</w:t>
      </w:r>
    </w:p>
    <w:p>
      <w:pPr/>
      <w:r>
        <w:rPr>
          <w:b/>
        </w:rPr>
        <w:t>Shared claim-specific concepts:</w:t>
      </w:r>
      <w:r>
        <w:t xml:space="preserve"> uncertain, role, climate, technology; EU scope not established. This is a provisional connection, not an outcome finding.</w:t>
      </w:r>
    </w:p>
    <w:p>
      <w:pPr>
        <w:pStyle w:val="SourceNote"/>
      </w:pPr>
      <w:r>
        <w:rPr>
          <w:b/>
        </w:rPr>
        <w:t>Available abstract (not full text):</w:t>
      </w:r>
      <w:r>
        <w:t xml:space="preserve"> The Indian manufacturing industry is experiencing a radical change as a result of globalization, digitization, environmental factors, technological disruption, and business uncertainties. Supply chain disruptions, fluctuations in prices of raw materials, geopolitical issues, climate change regulations, and the emergence of Industry 4.0 technology are some of the factors responsible for creating operational and strategic issues for manufacturing firms. The traditional rigid governance strategies are becoming obsolete in managing such uncertain scenarios and, therefore, require new policy strategies that enhance adaptability and sustainability. In this research, an explorative methodology will be used through literature analysis concerning adaptive governance, organizational sustainability, Industry 4.0, and sustainable manufacturing. This study explores the role played by the mechanisms of adaptive governance, which include value chain flexibility, real-time data integration, monitoring mechanisms, and organizational culture with a focus on sustainability, in facilitating organizational resilience, efficient use of resources, innovations, and competitiveness. In addition, the study evaluates the key driving forces and the key hindrances to the uptake of sustainability in India. These factors include institutional pressure, competitive pressure, technical hurdles, financial limit</w:t>
      </w:r>
    </w:p>
    <w:p>
      <w:pPr/>
      <w:r>
        <w:rPr>
          <w:b/>
        </w:rPr>
        <w:t>POSSIBLE 2026:</w:t>
      </w:r>
      <w:r>
        <w:t xml:space="preserve"> Electrofuels for Road, Rail, Maritime, and Aviation Sectors: Assessing the Potential Challenges and Opportunities for Decarbonization — https://doi.org/10.1021/acsomega.5c05945</w:t>
      </w:r>
    </w:p>
    <w:p>
      <w:pPr/>
      <w:r>
        <w:rPr>
          <w:b/>
        </w:rPr>
        <w:t>Shared claim-specific concepts:</w:t>
      </w:r>
      <w:r>
        <w:t xml:space="preserve"> potential, e-fuels, deployment, transport, decarbonization, fuel; EU scope not established. This is a provisional connection, not an outcome finding.</w:t>
      </w:r>
    </w:p>
    <w:p>
      <w:pPr>
        <w:pStyle w:val="SourceNote"/>
      </w:pPr>
      <w:r>
        <w:rPr>
          <w:b/>
        </w:rPr>
        <w:t>Available abstract (not full text):</w:t>
      </w:r>
      <w:r>
        <w:t xml:space="preserve"> High Resolution Image Download MS PowerPoint Slide Electrofuels (e-fuels) offer a decarbonization pathway for the hard-to-abate transport sectors of aviation, maritime, rail, and heavy-duty road transport by exploiting existing fuel infrastructure while eliminating fossil carbon emissions. Despite this advantage, commercial deployment remains constrained by prohibitive production costs (currently €3–6/L for e-diesel, €2–5/L for e-methanol), intensive energy requirements (∼50 kWh renewable electricity per liter), and systemic upscaling barriers including feedstock availability and carbon source purity. We critically examine sector-specific deployment potential, identifying aviation and maritime as priority markets where electrification alternatives remain limited while highlighting hybrid architectures (e-fuel/electric synergies) for rail and road applications. This review synthesizes recent technological advances demonstrating pathway efficiency improvements up to 70% through process intensification and advanced catalytic systems, notably CO 2 hydrogenation selectivity exceeding 80% for e-kerosene synthesis. Life cycle assessments indicate emission reductions of 75–90% relative to fossil-fuel counterparts, contingent on fully renewable energy inputs. Economic modeling projects cost parity trajectories toward €1.5–3.0/L by 2030, driven by renewable energy scale-up and learning-c</w:t>
      </w:r>
    </w:p>
    <w:p>
      <w:pPr/>
      <w:r>
        <w:rPr>
          <w:b/>
        </w:rPr>
        <w:t>POSSIBLE 2026:</w:t>
      </w:r>
      <w:r>
        <w:t xml:space="preserve"> Embracing Emerging and Disruptive Technologies: A Multidimensional Strategy for Resilience and Innovation — https://doi.org/10.33423/mc9npf70</w:t>
      </w:r>
    </w:p>
    <w:p>
      <w:pPr/>
      <w:r>
        <w:rPr>
          <w:b/>
        </w:rPr>
        <w:t>Shared claim-specific concepts:</w:t>
      </w:r>
      <w:r>
        <w:t xml:space="preserve"> disruptive, contribution, two; EU scope not established. This is a provisional connection, not an outcome finding.</w:t>
      </w:r>
    </w:p>
    <w:p>
      <w:pPr>
        <w:pStyle w:val="SourceNote"/>
      </w:pPr>
      <w:r>
        <w:rPr>
          <w:b/>
        </w:rPr>
        <w:t>Available abstract (not full text):</w:t>
      </w:r>
      <w:r>
        <w:t xml:space="preserve"> This research addresses absorptive capacity in maintaining technological advantage amidst Emerging and Disruptive Technologies (EDTs). While traditional models focus on incremental integration, this study introduces the construct of transformative capability to account for the systemic reconfiguration necessitated by Artificial Intelligence and Big Data as two out of nine EDTs. Utilizing a structured policy research methodology, the study evaluates a purposive sample of 56 NATO policy documents, triangulated with semi-structured stakeholder interviews to identify high-priority catalysts for adoption. Findings identify four interconnected factors—technological, human, organizational, and societal—functioning as a recursive, systemic feedback loop. A distinctive contribution is the identification of the psychological unimaginability of EDTs as a primary barrier to diffusion, necessitating cognitive anchors through robust standardization, ethical governance and social institutionalization. By positioning ethics and societal assimilation as functional prerequisites, this research offers a multidimensional framework for fostering double-loop learning and organizational resilience in 21st-century defense ecosystems.</w:t>
      </w:r>
    </w:p>
    <w:p>
      <w:pPr/>
      <w:r>
        <w:rPr>
          <w:b/>
        </w:rPr>
        <w:t>POSSIBLE 2025:</w:t>
      </w:r>
      <w:r>
        <w:t xml:space="preserve"> Persistent positive anomalies in geopotential heights drive enhanced wildfire activity across Europe — https://doi.org/10.1098/rstb.2023.0455</w:t>
      </w:r>
    </w:p>
    <w:p>
      <w:pPr/>
      <w:r>
        <w:rPr>
          <w:b/>
        </w:rPr>
        <w:t>Shared claim-specific concepts:</w:t>
      </w:r>
      <w:r>
        <w:t xml:space="preserve"> role, climate, fuel, implications; EU scope visible. This is a provisional connection, not an outcome finding.</w:t>
      </w:r>
    </w:p>
    <w:p>
      <w:pPr>
        <w:pStyle w:val="SourceNote"/>
      </w:pPr>
      <w:r>
        <w:rPr>
          <w:b/>
        </w:rPr>
        <w:t>Available abstract (not full text):</w:t>
      </w:r>
      <w:r>
        <w:t xml:space="preserve">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pPr/>
      <w:r>
        <w:rPr>
          <w:b/>
        </w:rPr>
        <w:t>POSSIBLE 2025:</w:t>
      </w:r>
      <w:r>
        <w:t xml:space="preserve"> Uncertain research country rankings. Should we continue producing uncertain rankings? — https://doi.org/10.2478/jdis-2025-0030</w:t>
      </w:r>
    </w:p>
    <w:p>
      <w:pPr/>
      <w:r>
        <w:rPr>
          <w:b/>
        </w:rPr>
        <w:t>Shared claim-specific concepts:</w:t>
      </w:r>
      <w:r>
        <w:t xml:space="preserve"> uncertain, however, implications; EU scope not established. This is a provisional connection, not an outcome finding.</w:t>
      </w:r>
    </w:p>
    <w:p>
      <w:pPr>
        <w:pStyle w:val="SourceNote"/>
      </w:pPr>
      <w:r>
        <w:rPr>
          <w:b/>
        </w:rPr>
        <w:t>Available abstract (not full text):</w:t>
      </w:r>
      <w:r>
        <w:t xml:space="preserve">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pPr/>
      <w:r>
        <w:rPr>
          <w:b/>
        </w:rPr>
        <w:t>POSSIBLE 2025:</w:t>
      </w:r>
      <w:r>
        <w:t xml:space="preserve"> The Uncertain World of Renaissance Geneva and Savoy — https://doi.org/10.5117/9789048566396</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Uncertain World of Renaissance Geneva and Savoy — https://doi.org/10.1515/9789048566402</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Double Tidal Disruption Event AT 2022dbl Implies that at Least Some “Standard” Optical Tidal Disruption Events Are Partial Disruptions — https://doi.org/10.3847/2041-8213/ade155</w:t>
      </w:r>
    </w:p>
    <w:p>
      <w:pPr/>
      <w:r>
        <w:rPr>
          <w:b/>
        </w:rPr>
        <w:t>Shared claim-specific concepts:</w:t>
      </w:r>
      <w:r>
        <w:t xml:space="preserve"> two; EU scope not established. This is a provisional connection, not an outcome finding.</w:t>
      </w:r>
    </w:p>
    <w:p>
      <w:pPr>
        <w:pStyle w:val="SourceNote"/>
      </w:pPr>
      <w:r>
        <w:rPr>
          <w:b/>
        </w:rPr>
        <w:t>Available abstract (not full text):</w:t>
      </w:r>
      <w:r>
        <w:t xml:space="preserve">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pPr>
        <w:pStyle w:val="Heading2"/>
      </w:pPr>
      <w:r>
        <w:t>558. Making the EU Carbon Border Adjustment Mechanism acceptable and climate friendly for least developed countries</w:t>
      </w:r>
    </w:p>
    <w:p>
      <w:pPr>
        <w:pStyle w:val="SourceNote"/>
      </w:pPr>
      <w:r>
        <w:rPr>
          <w:b/>
        </w:rPr>
        <w:t>Original source (2022):</w:t>
      </w:r>
      <w:r>
        <w:t xml:space="preserve"> https://doi.org/10.1016/j.enpol.2022.113245</w:t>
      </w:r>
    </w:p>
    <w:p>
      <w:pPr/>
      <w:r>
        <w:t>Original wording (abstract; indexed_source_text_not_full_document_verified): A more stringent climate target results in carbon leakage, and implementing CBAM will reduce the rate by one-third by 2040. Implementation of CBAM to support EU climate neutrality by 2050 has raised several concerns.</w:t>
      </w:r>
    </w:p>
    <w:p>
      <w:pPr/>
      <w:r>
        <w:rPr>
          <w:b/>
        </w:rPr>
        <w:t>POSSIBLE 2026:</w:t>
      </w:r>
      <w:r>
        <w:t xml:space="preserve"> Climate disclosure and risk premium in the European bond market — https://doi.org/10.1007/s40822-026-00401-x</w:t>
      </w:r>
    </w:p>
    <w:p>
      <w:pPr/>
      <w:r>
        <w:rPr>
          <w:b/>
        </w:rPr>
        <w:t>Shared claim-specific concepts:</w:t>
      </w:r>
      <w:r>
        <w:t xml:space="preserve"> stringent, climate, carbon; EU scope visible. This is a provisional connection, not an outcome finding.</w:t>
      </w:r>
    </w:p>
    <w:p>
      <w:pPr>
        <w:pStyle w:val="SourceNote"/>
      </w:pPr>
      <w:r>
        <w:rPr>
          <w:b/>
        </w:rPr>
        <w:t>Available abstract (not full text):</w:t>
      </w:r>
      <w:r>
        <w:t xml:space="preserve"> Abstract Stringent climate regulations are necessary to achieve robust mitigation targets, putting carbon-intensive activities under pressure and increasing the risk perceived in financial markets. This paper empirically investigates how transition risk is priced into European firms' risk and creditworthiness, using five-year credit default swap (CDS) spreads and Merton's Distance to Default (DtD). The sample comprises European listed companies covered by the EU Emissions Trading System (ETS). Evidence suggests that the ETS carbon price and verified emissions increase credit risk, whereas disclosing emissions reduces it. We find heterogeneous effects across the two indicators, which could indicate different ways in which transition risk is channelled to bond markets. Furthermore, the divergent effects between voluntary and compliance-based measurement of environmental performance could indicate underpricing of emissions relocated outside regulated jurisdictions.</w:t>
      </w:r>
    </w:p>
    <w:p>
      <w:pPr/>
      <w:r>
        <w:rPr>
          <w:b/>
        </w:rPr>
        <w:t>POSSIBLE 2026:</w:t>
      </w:r>
      <w:r>
        <w:t xml:space="preserve"> Methane leakage thresholds for net climate benefits of wastewater biogas recovery — https://doi.org/10.1038/s41893-026-01818-7</w:t>
      </w:r>
    </w:p>
    <w:p>
      <w:pPr/>
      <w:r>
        <w:rPr>
          <w:b/>
        </w:rPr>
        <w:t>Shared claim-specific concepts:</w:t>
      </w:r>
      <w:r>
        <w:t xml:space="preserve"> climate, leakage, rate; EU scope not established. This is a provisional connection, not an outcome finding.</w:t>
      </w:r>
    </w:p>
    <w:p>
      <w:pPr>
        <w:pStyle w:val="SourceNote"/>
      </w:pPr>
      <w:r>
        <w:rPr>
          <w:b/>
        </w:rPr>
        <w:t>Available abstract (not full text):</w:t>
      </w:r>
      <w:r>
        <w:t xml:space="preserve"> Biogas recovery is crucial for decarbonizing water resource recovery facilities (WRRFs), offering renewable energy production alongside waste treatment. However, methane (CH4) leakage during digestion and biogas handling can largely compromise their climate benefits, yet this risk remains uncharacterized. Here we present a US national-scale assessment of CH4 leakage thresholds beyond which WRRF biogas systems lose net climate benefits. By compiling measured leakage data from over 50 facilities and all available literature, we found the leakage rate ranged from 0.4% to 65%, and a large fraction of current systems exceeds the net-zero emission threshold, indicating substantial climate risk. The regional- and technology-specific scenario and sensitivity analyses show that net-zero thresholds range from 2% to 10% of biogas produced, depending on heat recovery, grid emissions intensity and biogas utilization pathways. Grid decarbonization further shifts these tolerances, making renewable natural gas systems more viable than combined heat and power in future low-carbon energy contexts. The analysis offers a quantitative roadmap showing how targeted leak detection and repair can transform most facilities from climate liabilities into assets, delivering both climate and economic gains and underscoring the urgent need for binding methane monitoring and mitigation policies to realize the</w:t>
      </w:r>
    </w:p>
    <w:p>
      <w:pPr/>
      <w:r>
        <w:rPr>
          <w:b/>
        </w:rPr>
        <w:t>POSSIBLE 2026:</w:t>
      </w:r>
      <w:r>
        <w:t xml:space="preserve"> Stringent climate policies and energy poverty: Evidence of spatial spillovers and challenges for a just transition — https://doi.org/10.1016/j.enpol.2026.115590</w:t>
      </w:r>
    </w:p>
    <w:p>
      <w:pPr/>
      <w:r>
        <w:rPr>
          <w:b/>
        </w:rPr>
        <w:t>Shared claim-specific concepts:</w:t>
      </w:r>
      <w:r>
        <w:t xml:space="preserve"> stringent, climate, implementing, reduce; EU scope not established. This is a provisional connection, not an outcome finding.</w:t>
      </w:r>
    </w:p>
    <w:p>
      <w:pPr>
        <w:pStyle w:val="SourceNote"/>
      </w:pPr>
      <w:r>
        <w:rPr>
          <w:b/>
        </w:rPr>
        <w:t>Available abstract (not full text):</w:t>
      </w:r>
      <w:r>
        <w:t xml:space="preserve"> Stringent climate policies (SCPs) are central to decarbonization, yet their distributive impacts on energy poverty (EP) and regional inequality remain contentious, especially under growing fragmentation and weaker policy coordination. This study investigates the impact of SCPs on EP in China, examining heterogeneity across policy instruments, mechanisms, and spatial contexts. Using more than 7000 subnational policies from 2007 to 2022, we construct a text-based SCP index and apply fixed-effects and spatial econometric models. The results show that SCPs are consistently associated with lower EP, with command-and-control instruments exhibiting particularly strong effects, partly through industrial upgrading. However, once spatial dependence is considered, the effects become more uneven: Spatial Durbin Models show that SCPs reduce EP within implementing provinces but increase EP pressure in neighbouring regions. Further evidence from polluting-firm entry suggests that stricter SCPs may discourage polluting activities locally while increasing their relative entry in nearby provinces, helping to explain the observed beggar-thy-neighbour pattern. Spatial effect decomposition shows that local gains are largely offset by cross-border spillovers, leading to a small and statistically insignificant total effect. We conclude that climate policy design should account for spatial externaliti</w:t>
      </w:r>
    </w:p>
    <w:p>
      <w:pPr/>
      <w:r>
        <w:rPr>
          <w:b/>
        </w:rPr>
        <w:t>POSSIBLE 2026:</w:t>
      </w:r>
      <w:r>
        <w:t xml:space="preserve"> The Carbon Border Adjustment Mechanism: a new european tax to address carbon leakage — https://doi.org/10.4013/rechtd.2025.173.03</w:t>
      </w:r>
    </w:p>
    <w:p>
      <w:pPr/>
      <w:r>
        <w:rPr>
          <w:b/>
        </w:rPr>
        <w:t>Shared claim-specific concepts:</w:t>
      </w:r>
      <w:r>
        <w:t xml:space="preserve"> climate, carbon, leakage, cbam, implementation; EU scope visible. This is a provisional connection, not an outcome finding.</w:t>
      </w:r>
    </w:p>
    <w:p>
      <w:pPr>
        <w:pStyle w:val="SourceNote"/>
      </w:pPr>
      <w:r>
        <w:rPr>
          <w:b/>
        </w:rPr>
        <w:t>Available abstract (not full text):</w:t>
      </w:r>
      <w:r>
        <w:t xml:space="preserve"> In the framework of strengthening policies to address the global climate crisis, the European Union, through Regulation 2023/956, has adopted the Carbon Border Adjustment Mechanism (CBAM), a fiscal measure imposed on imports of carbon-intensive products originating from non-EU countries. With this instrument, the EU seeks to prevent its regulatory efforts for environmental protection from being undermined by third countries lacking adequate environmental strategies. The climate emergency, however, is a global challenge that requires the active contribution of economic actors worldwide, whose conduct — also through the application of fiscal levies — can be steered towards greener or at least more sustainable production practices. Nevertheless, the phased implementation of the CBAM, which has not yet fully entered into force, together with the broader implications it may entail beyond the strictly environmental dimension, suggest that a medium- to long-term horizon will be necessary before the mechanism can yield tangible results, not only in terms of reducing pollution but also in fostering greater balance in international trade relations.</w:t>
      </w:r>
    </w:p>
    <w:p>
      <w:pPr/>
      <w:r>
        <w:rPr>
          <w:b/>
        </w:rPr>
        <w:t>POSSIBLE 2026:</w:t>
      </w:r>
      <w:r>
        <w:t xml:space="preserve"> Understanding Carbon Leakage — https://doi.org/10.65864/t2cdr13ckm</w:t>
      </w:r>
    </w:p>
    <w:p>
      <w:pPr/>
      <w:r>
        <w:rPr>
          <w:b/>
        </w:rPr>
        <w:t>Shared claim-specific concepts:</w:t>
      </w:r>
      <w:r>
        <w:t xml:space="preserve"> climate, carbon, leakage, implementing; EU scope visible. This is a provisional connection, not an outcome finding.</w:t>
      </w:r>
    </w:p>
    <w:p>
      <w:pPr>
        <w:pStyle w:val="SourceNote"/>
      </w:pPr>
      <w:r>
        <w:rPr>
          <w:b/>
        </w:rPr>
        <w:t>Available abstract (not full text):</w:t>
      </w:r>
      <w:r>
        <w:t xml:space="preserve"> Carbon leakage is a major concern in the design of unilateral climate policies aimed at reducing global emissions in a cost-effective manner. In order to assess the cost-effectiveness of anti-leakage measures, it is crucial to understand the fundamental mechanisms that contribute to leakage. We provide theoretical analysis of the two main channels of leakage: the fossil fuel market channel and the competitiveness channel. We show that the two channels reinforce each other. Furthermore, we find that whereas leakage via the fossil fuel market channel decreases with the fuel supply elasticity and increases with the fuel demand elasticity, the opposite is the case for the competitiveness channel. We show that the effectiveness of output-based allocation and border carbon adjustments to combat carbon leakage increases with the fuel supply elasticity and decreases with the fuel demand elasticity. We supplement the simplified theoretical analysis with numerical simulations using a more complex multi-sector, multi-region computable general equilibrium model of the global economy to quantify the implications of unilateral climate policy designs for the European Union. We find that leakage via the fossil fuel channel dominates leakage via the competitiveness channel unless fuel supply elasticities are quite high and fuel demand elasticities are quite low. Furthermore, we find that the lo</w:t>
      </w:r>
    </w:p>
    <w:p>
      <w:pPr/>
      <w:r>
        <w:rPr>
          <w:b/>
        </w:rPr>
        <w:t>POSSIBLE 2026:</w:t>
      </w:r>
      <w:r>
        <w:t xml:space="preserve"> Impact of International Climate Agreements on Stock Markets: A Sectoral and Regional Analysis — https://doi.org/10.66414/mlabs.9729</w:t>
      </w:r>
    </w:p>
    <w:p>
      <w:pPr/>
      <w:r>
        <w:rPr>
          <w:b/>
        </w:rPr>
        <w:t>Shared claim-specific concepts:</w:t>
      </w:r>
      <w:r>
        <w:t xml:space="preserve"> stringent, climate, reduce; EU scope visible. This is a provisional connection, not an outcome finding.</w:t>
      </w:r>
    </w:p>
    <w:p>
      <w:pPr>
        <w:pStyle w:val="SourceNote"/>
      </w:pPr>
      <w:r>
        <w:rPr>
          <w:b/>
        </w:rPr>
        <w:t>Available abstract (not full text):</w:t>
      </w:r>
      <w:r>
        <w:t xml:space="preserve"> Changes in the climate have encouraged international cooperation to reach a consensus on how to address this global challenge. This led to the creation of the United Nations Framework Convention on Climate Change (UNFCCC), aimed at tackling the main driver of these changes: rising greenhouse gas (GHG) concentrations in the atmosphere. Within this framework, the Conference of the Parties (COP) is held annually to assess progress and identify emerging challenges. Compliance with these agreements introduces transition risks for firms, linked to the level of commitment of participating countries. Signatories must implement national policies to reduce emissions, leading to higher operating costs that may affect future cash flows and increase market risk premiums, ultimately impacting stock prices. As markets respond to each region’s level of commitment, this study examines stock market reactions to international climate agreements across main economic sectors and geographic regions. The methodology employed is an event study analysing ten key economic sectors across three regions: Latin America, North America and Europe. Abnormal returns (AR) and cumulative abnormal returns (CAR) are calculated to measure the impact of climate agreements on stock prices, covering an analysis period from the UNFCCC (1994) to the Paris Agreement (2016), comprising twenty-two years of international cli</w:t>
      </w:r>
    </w:p>
    <w:p>
      <w:pPr/>
      <w:r>
        <w:rPr>
          <w:b/>
        </w:rPr>
        <w:t>POSSIBLE 2026:</w:t>
      </w:r>
      <w:r>
        <w:t xml:space="preserve"> Pricing Carbon, Preventing Leakage: A Comparative Analysis of Steel Decarbonization in the European Union, United States, and China — https://doi.org/10.46609/ijsser.2026.v11i07.045</w:t>
      </w:r>
    </w:p>
    <w:p>
      <w:pPr/>
      <w:r>
        <w:rPr>
          <w:b/>
        </w:rPr>
        <w:t>Shared claim-specific concepts:</w:t>
      </w:r>
      <w:r>
        <w:t xml:space="preserve"> climate, carbon, leakage, cbam; EU scope visible. This is a provisional connection, not an outcome finding.</w:t>
      </w:r>
    </w:p>
    <w:p>
      <w:pPr>
        <w:pStyle w:val="SourceNote"/>
      </w:pPr>
      <w:r>
        <w:rPr>
          <w:b/>
        </w:rPr>
        <w:t>Available abstract (not full text):</w:t>
      </w:r>
      <w:r>
        <w:t xml:space="preserve"> Steel manufacturing is an important pillar of the world economy, accounting for about 7-9% of annual carbon dioxide emissions. This paper discusses the role of climate policy in providing emission reductions in the steel sector without compromising industrial competitiveness and carbon leakage. It discusses the EU’s Emissions Trading System (ETS) and the Carbon Border Adjustment Mechanism (CBAM) within the framework of the USA’s subsidy-based model and China’s state-led industrial strategy. This paper uses comparative policy analysis and case studies of ArcelorMittal, Nucor, U.S. Steel, and China Baowu Steel Group to show that companies operating in environments with stronger climate policies are more likely to invest consistently in low-carbon technologies. The EU’s combination of carbon pricing and border adjustments provides the strongest and most coherent incentives, but China’s coordinated industrial planning shows that state-led investment can also accelerate technological change. In the United States, a hybrid model that combines carbon accountability with continuous investment incentives could be applied to accelerate steel decarbonization. Rising carbon dioxide (CO2) emissions present a significant global challenge, increasing pressure on countries to decarbonize carbon-intensive industries.</w:t>
      </w:r>
    </w:p>
    <w:p>
      <w:pPr/>
      <w:r>
        <w:rPr>
          <w:b/>
        </w:rPr>
        <w:t>POSSIBLE 2026:</w:t>
      </w:r>
      <w:r>
        <w:t xml:space="preserve"> CLIMATE JUSTICE AND SUSTAINABLE DEVELOPMENT: A COMPARATIVE STUDY OF PAKISTAN AND THE EUROPEAN UNION — https://openalex.org/W7220516621</w:t>
      </w:r>
    </w:p>
    <w:p>
      <w:pPr/>
      <w:r>
        <w:rPr>
          <w:b/>
        </w:rPr>
        <w:t>Shared claim-specific concepts:</w:t>
      </w:r>
      <w:r>
        <w:t xml:space="preserve"> climate, implementation, support, concerns; EU scope visible. This is a provisional connection, not an outcome finding.</w:t>
      </w:r>
    </w:p>
    <w:p>
      <w:pPr>
        <w:pStyle w:val="SourceNote"/>
      </w:pPr>
      <w:r>
        <w:rPr>
          <w:b/>
        </w:rPr>
        <w:t>Available abstract (not full text):</w:t>
      </w:r>
      <w:r>
        <w:t xml:space="preserve"> Climate justice concerns inequities in the burden of climate change and the ability to respond. This article examines this relationship by comparing the European Union and Pakistan. Pakistan's contribution to CO2 emissions is relatively small, but it is highly vulnerable to flooding, heat, drought, glacial changes, water stress, food insecurity, and development disruptions. The European Union has a greater historical responsibility, financial and technological power, regulatory authority, and influence in international climate governance. This comparison, then, illustrates the link between sustainable development and differentiated accountability. This article assesses the principles of climate justice; climate vulnerabilities and governance issues in Pakistan; EU climate policy and international obligations; and the interface between the two jurisdictions. It argues that both sides need to be held accountable, but in different ways. Pakistan needs to strengthen implementation, coordination, transparency, public engagement, and protection. The EU needs to make more ambitious emission cuts, offer reliable climate finance, enable just technology transfer, consider the external effects of its consumption and trade patterns, and contribute sufficiently to loss and damage support mechanisms. A fair partnership needs to include quantifiable contributions, available grants, durable in</w:t>
      </w:r>
    </w:p>
    <w:p>
      <w:pPr/>
      <w:r>
        <w:rPr>
          <w:b/>
        </w:rPr>
        <w:t>POSSIBLE 2026:</w:t>
      </w:r>
      <w:r>
        <w:t xml:space="preserve"> Carbon Border Adjustment Mechanism: Between Climate Target and Climate Justice — https://doi.org/10.21776/ub.arenahukum2026.01901.6</w:t>
      </w:r>
    </w:p>
    <w:p>
      <w:pPr/>
      <w:r>
        <w:rPr>
          <w:b/>
        </w:rPr>
        <w:t>Shared claim-specific concepts:</w:t>
      </w:r>
      <w:r>
        <w:t xml:space="preserve"> climate, target, carbon, leakage, cbam; EU scope visible. This is a provisional connection, not an outcome finding.</w:t>
      </w:r>
    </w:p>
    <w:p>
      <w:pPr>
        <w:pStyle w:val="SourceNote"/>
      </w:pPr>
      <w:r>
        <w:rPr>
          <w:b/>
        </w:rPr>
        <w:t>Available abstract (not full text):</w:t>
      </w:r>
      <w:r>
        <w:t xml:space="preserve"> The Carbon Border Adjustment Mechanism (CBAM) raises urgent legal questions about whether climate ambition pursued through border measures can be reconciled with equity and common but differentiated responsibilities and respective capabilities (CBDR-RC), and sustainable development. While Mehling et al. (2019) examine border carbon adjustments as tools for enhanced climate action and trade-law legitimacy, Beaufils et al. (2023) assess their distributional impacts on trade partners, and Boute (2024) analyses the recognition of third-country carbon pricing, these studies remain insufficiently integrated in explaining CBAM simultaneously as a climate-target instrument and a justice-sensitive legal mechanism. This article aims to critically assess whether CBAM can prevent carbon leakage and extend carbon pricing to imports without imposing disproportionate transition burdens on developing countries and carbon-intensive exporters. It employs normative legal research using statutory, conceptual, and critical policy approaches, focusing on Regulation (EU) 2023/956, international climate law, WTO-related principles, and climate justice scholarship. The article finds that CBAM may strengthen carbon accountability and protect the integrity of EU climate policy, but its current design remains overly centred on carbon-cost equalisation and gives inadequate recognition to differentiated cap</w:t>
      </w:r>
    </w:p>
    <w:p>
      <w:pPr/>
      <w:r>
        <w:rPr>
          <w:b/>
        </w:rPr>
        <w:t>POSSIBLE 2026:</w:t>
      </w:r>
      <w:r>
        <w:t xml:space="preserve"> Making international carbon markets work for Europe: Jurisdictional Reward Funds and the EU’s 2040 climate target — https://doi.org/10.48485/pik.2026.17</w:t>
      </w:r>
    </w:p>
    <w:p>
      <w:pPr/>
      <w:r>
        <w:rPr>
          <w:b/>
        </w:rPr>
        <w:t>Shared claim-specific concepts:</w:t>
      </w:r>
      <w:r>
        <w:t xml:space="preserve"> climate, target, carbon, implementing, reduce, support; EU scope visible. This is a provisional connection, not an outcome finding.</w:t>
      </w:r>
    </w:p>
    <w:p>
      <w:pPr>
        <w:pStyle w:val="SourceNote"/>
      </w:pPr>
      <w:r>
        <w:rPr>
          <w:b/>
        </w:rPr>
        <w:t>Available abstract (not full text):</w:t>
      </w:r>
      <w:r>
        <w:t xml:space="preserve"> The revised EU Climate Law allows the use of international flexibility mechanisms for up to 5% of 1990 net emissions under the 2040 target. The provision is not a relaxation of ambition: it shifts part of the mitigation effort abroad to contain costs while keeping the overall emissions reductions unchanged. The challenge is ensuring that what is credited abroad is real. Properly designed, international flexibility acts as an insurance mechanism against geopolitical uncertainty. If global climate ambition remains weak, access to lower-cost mitigation abroad helps contain compliance costs and sustain political support for ambitious EU targets. If international climate ambition strengthens, international opportunities for emission reductions become scarcer and mitigation efforts naturally shift back to Europe. We propose Jurisdictional Reward Funds (JRFs) as a high-integrity framework for implementing the 5% provision. Unlike previous mechanisms, whose systematic failure to deliver real emissions reductions is well-documented, JRFs rely on universal baselines on jurisdiction-level rather than project-level additionality assessments or negotiated benchmarks. They thereby avoid the existing incentive problems undermining existing Article 6 mechanisms and ensure credited mitigation is environmentally credible. A strategically optimized procurement portfolio for reducing fossil fuel u</w:t>
      </w:r>
    </w:p>
    <w:p>
      <w:pPr/>
      <w:r>
        <w:rPr>
          <w:b/>
        </w:rPr>
        <w:t>POSSIBLE 2026:</w:t>
      </w:r>
      <w:r>
        <w:t xml:space="preserve"> Progress on the Sustainable Development Goals in Asia requires ambitious climate targets combined with sustainability-focused measures — https://doi.org/10.1038/s43247-025-02970-2</w:t>
      </w:r>
    </w:p>
    <w:p>
      <w:pPr/>
      <w:r>
        <w:rPr>
          <w:b/>
        </w:rPr>
        <w:t>Shared claim-specific concepts:</w:t>
      </w:r>
      <w:r>
        <w:t xml:space="preserve"> climate, target, support; EU scope not established. This is a provisional connection, not an outcome finding.</w:t>
      </w:r>
    </w:p>
    <w:p>
      <w:pPr>
        <w:pStyle w:val="SourceNote"/>
      </w:pPr>
      <w:r>
        <w:rPr>
          <w:b/>
        </w:rPr>
        <w:t>Available abstract (not full text):</w:t>
      </w:r>
      <w:r>
        <w:t xml:space="preserve"> Abstract Asian countries face the dual challenge of fulfilling ambitious climate commitments under the Paris Agreement while simultaneously advancing the United Nations Sustainable Development Goals (SDGs). This study develops an integrated analytical framework that links decarbonization pathways with SDG indicators across energy, air quality, health, and the food-water-land nexus, as well as policy cost-effectiveness, explicitly incorporating national circumstances. Our findings indicate that current climate pledges primarily deliver gains in SDG indicators related to energy and air quality. Achieving broader progress across other SDG dimensions requires combining more ambitious climate targets with diverse, sustainability-oriented mitigation measures tailored to domestic contexts. Middle- and low-income countries face greater pressure in balancing transition costs and target feasibility; therefore, strengthened international support and robust domestic policies are needed to advance climate ambition alongside sustainable development, including climate finance, technology transfer, and measures that can ensure a just transition for vulnerable industries.</w:t>
      </w:r>
    </w:p>
    <w:p>
      <w:pPr/>
      <w:r>
        <w:rPr>
          <w:b/>
        </w:rPr>
        <w:t>POSSIBLE 2026:</w:t>
      </w:r>
      <w:r>
        <w:t xml:space="preserve"> Climate change is a human problem: Finding the voices of climate resilience — https://doi.org/10.62372/rlas1190</w:t>
      </w:r>
    </w:p>
    <w:p>
      <w:pPr/>
      <w:r>
        <w:rPr>
          <w:b/>
        </w:rPr>
        <w:t>Shared claim-specific concepts:</w:t>
      </w:r>
      <w:r>
        <w:t xml:space="preserve"> climate, reduce, support; EU scope visible. This is a provisional connection, not an outcome finding.</w:t>
      </w:r>
    </w:p>
    <w:p>
      <w:pPr>
        <w:pStyle w:val="SourceNote"/>
      </w:pPr>
      <w:r>
        <w:rPr>
          <w:b/>
        </w:rPr>
        <w:t>Available abstract (not full text):</w:t>
      </w:r>
      <w:r>
        <w:t xml:space="preserve"> Climate change is a human problem. It is not a distant phenomenon to be studied in laboratories or debated in abstract policy forums, It is a reality unfolding all around us, transforming landscapes, disrupting livelihoods, and fundamentally altering the daily lives of communities across the globe. Yet, while the world talks about emissions, mitigation, and adaptation, the voices of those most affected often remain unheard. This book seeks to change that. It amplifies the experiences, insights, and agency of the people living on the frontlines of climate change, centering human perspectives in a conversation too often dominated by numbers and models. At its core, this volume is about resilience. Not as an abstract concept, but as the practical, lived capacity of communities to respond, adapt, and thrive in the face of mounting climate risks. It emphasizes that resilience is not just about infrastructure, technology, or policies—it is also about behaviors, norms, and social systems. How people perceive risk, make decisions under uncertainty, share knowledge, or support one another profoundly shapes the success of adaptation efforts. Understanding these human dimensions is critical if we hope to design interventions that are not only effective but equitable and sustainable. Even interventions such as agricultural insurance, designed to reduce vulnerability, depend on trust, under</w:t>
      </w:r>
    </w:p>
    <w:p>
      <w:pPr>
        <w:pStyle w:val="Heading2"/>
      </w:pPr>
      <w:r>
        <w:t>559. Materials for Sustainable Nuclear Energy: A European Strategic Research and Innovation Agenda for All Reactor Generations</w:t>
      </w:r>
    </w:p>
    <w:p>
      <w:pPr>
        <w:pStyle w:val="SourceNote"/>
      </w:pPr>
      <w:r>
        <w:rPr>
          <w:b/>
        </w:rPr>
        <w:t>Original source (2022):</w:t>
      </w:r>
      <w:r>
        <w:t xml:space="preserve"> https://doi.org/10.3390/en15051845</w:t>
      </w:r>
    </w:p>
    <w:p>
      <w:pPr/>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r>
        <w:rPr>
          <w:b/>
        </w:rPr>
        <w:t>POSSIBLE 2026:</w:t>
      </w:r>
      <w:r>
        <w:t xml:space="preserve"> Enhanced nuclear fusion in the sub-keV energy regime — https://doi.org/10.1038/s41467-026-74421-1</w:t>
      </w:r>
    </w:p>
    <w:p>
      <w:pPr/>
      <w:r>
        <w:rPr>
          <w:b/>
        </w:rPr>
        <w:t>Shared claim-specific concepts:</w:t>
      </w:r>
      <w:r>
        <w:t xml:space="preserve"> nuclear, energy, expected; EU scope not established. This is a provisional connection, not an outcome finding.</w:t>
      </w:r>
    </w:p>
    <w:p>
      <w:pPr>
        <w:pStyle w:val="SourceNote"/>
      </w:pPr>
      <w:r>
        <w:rPr>
          <w:b/>
        </w:rPr>
        <w:t>Available abstract (not full text):</w:t>
      </w:r>
      <w:r>
        <w:t xml:space="preserve">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pPr/>
      <w:r>
        <w:rPr>
          <w:b/>
        </w:rPr>
        <w:t>POSSIBLE 2026:</w:t>
      </w:r>
      <w:r>
        <w:t xml:space="preserve"> Thorium as an Advanced Nuclear Fuel: Enhancing Supply-Chain Resilience for the Energy Transition — https://doi.org/10.2118/233268-ms</w:t>
      </w:r>
    </w:p>
    <w:p>
      <w:pPr/>
      <w:r>
        <w:rPr>
          <w:b/>
        </w:rPr>
        <w:t>Shared claim-specific concepts:</w:t>
      </w:r>
      <w:r>
        <w:t xml:space="preserve"> nuclear, energy, major, low-carbon, electricity, current; EU scope visible. This is a provisional connection, not an outcome finding.</w:t>
      </w:r>
    </w:p>
    <w:p>
      <w:pPr>
        <w:pStyle w:val="SourceNote"/>
      </w:pPr>
      <w:r>
        <w:rPr>
          <w:b/>
        </w:rPr>
        <w:t>Available abstract (not full text):</w:t>
      </w:r>
      <w:r>
        <w:t xml:space="preserve"> Nuclear energy is increasingly emerging as a central component of clean and sustainable power systems, supporting both decarbonization objectives and energy security in the context of the global net-zero transition. As electrification accelerates across sectors—including transport, industry, and digital infrastructure—the need for reliable, low-carbon baseload generation is becoming more acute. At the same time, the rapid expansion of energy-intensive applications such as artificial intelligence, data centers, and advanced manufacturing is placing unprecedented stress on electricity systems, reinforcing the strategic importance of dispatchable, high-density energy sources. Within this evolving landscape, nuclear power is regaining prominence. Policy shifts across major economies, from the United States to the European Union and Asia, reflect a renewed recognition of nuclear energy as a necessary complement to variable renewable sources. Ambitions to triple global nuclear capacity by 2050 further underscore the scale of the challenge ahead. However, this renewed momentum also exposes structural vulnerabilities embedded within the current nuclear fuel cycle. Uranium, which underpins the existing fleet of nuclear reactors, occupies a dual position: it is essential for expanding nuclear generation while remaining a strategically sensitive resource affected by geopolitical volatilit</w:t>
      </w:r>
    </w:p>
    <w:p>
      <w:pPr/>
      <w:r>
        <w:rPr>
          <w:b/>
        </w:rPr>
        <w:t>POSSIBLE 2026:</w:t>
      </w:r>
      <w:r>
        <w:t xml:space="preserve"> Nuclear or renewable energy? — https://doi.org/10.21175/rad.abstr.book.2026.41.2</w:t>
      </w:r>
    </w:p>
    <w:p>
      <w:pPr/>
      <w:r>
        <w:rPr>
          <w:b/>
        </w:rPr>
        <w:t>Shared claim-specific concepts:</w:t>
      </w:r>
      <w:r>
        <w:t xml:space="preserve"> nuclear, energy, major, electricity, even, current; EU scope not established. This is a provisional connection, not an outcome finding.</w:t>
      </w:r>
    </w:p>
    <w:p>
      <w:pPr>
        <w:pStyle w:val="SourceNote"/>
      </w:pPr>
      <w:r>
        <w:rPr>
          <w:b/>
        </w:rPr>
        <w:t>Available abstract (not full text):</w:t>
      </w:r>
      <w:r>
        <w:t xml:space="preserve"> Electrification of the economies is getting momentum; the world's electricity demand is constantly growing [1]. This change coincides with new challenges facing us for political and environmental reasons, such as climate protection and the creation of a zero-emission economy. The need to cover the growing electricity demand from low-emission energy sources in a reliable, affordable, safe and, if possible, sustainable manner is becoming increasingly urgent. The currently available sources of such energy are renewables and nuclear energy. However, many green and civil society organizations, as well as some politicians, believe that the use of the two energy sources in one system is impossible, or at least hinders the development of each other. An extreme form of this view is green energy messianism, whose proponents claim that renewables will solve all our problems, and that there is no need for either fossil or nuclear energy. In the presentation, an attempt was made to compare the properties of different energy sources, their integration into the system, and their economics. The results show that the artificial opposition between renewables and nuclear energy is unjustified, and that our energy strategy and climate policy goals could be successfully achieved by using them together. The rapid technological development and growth of renewable energies – especially wind and solar </w:t>
      </w:r>
    </w:p>
    <w:p>
      <w:pPr/>
      <w:r>
        <w:rPr>
          <w:b/>
        </w:rPr>
        <w:t>POSSIBLE 2026:</w:t>
      </w:r>
      <w:r>
        <w:t xml:space="preserve"> MANAGEMENT OF ENERGY TECHNOLOGY SELECTION FOR STRENGTHENING POLAND’S ENERGY SECURITY — https://doi.org/10.29119/1641-3466.2026.244.19</w:t>
      </w:r>
    </w:p>
    <w:p>
      <w:pPr/>
      <w:r>
        <w:rPr>
          <w:b/>
        </w:rPr>
        <w:t>Shared claim-specific concepts:</w:t>
      </w:r>
      <w:r>
        <w:t xml:space="preserve"> nuclear, energy, overall, current, power; EU scope visible. This is a provisional connection, not an outcome finding.</w:t>
      </w:r>
    </w:p>
    <w:p>
      <w:pPr>
        <w:pStyle w:val="SourceNote"/>
      </w:pPr>
      <w:r>
        <w:rPr>
          <w:b/>
        </w:rPr>
        <w:t>Available abstract (not full text):</w:t>
      </w:r>
      <w:r>
        <w:t xml:space="preserve"> Purpose: The objective of the present paper is to evaluate the energy technologies available and planned for implementation in Poland. This evaluation is conducted in the context of ensuring energy security (in the terminology used in the power sector: security of supply), the resilience of the power system, and compliance with political requirements. Design/methodology/approach: The research methods employed encompass statistical data analysis, technological parameter assessment, cost analysis, emission indicators, installation lifetime, and energy transition scenarios. The presentation included an exposition of technological and political risk models, alongside comparative analyses of their various iterations. Findings: The most significant element in enhancing Poland's energy security is to preserve the current technological mix and to incorporate high-power nuclear energy into it. The analysis demonstrated that the predominance of a particular technological approach was associated with an escalation in energy risk. Research limitations/implications: The study is constrained by the long-term uncertainty of the regulatory environment, the absence of comprehensive data for new technologies, and the significant influence of political decisions. Practical implications: The findings of the study have the potential to inform national energy policy, operator strategies, infrastruct</w:t>
      </w:r>
    </w:p>
    <w:p>
      <w:pPr/>
      <w:r>
        <w:rPr>
          <w:b/>
        </w:rPr>
        <w:t>POSSIBLE 2026:</w:t>
      </w:r>
      <w:r>
        <w:t xml:space="preserve"> Nuclear Energy: The Case for Greece — https://doi.org/10.68001/5ft1z6vsmk</w:t>
      </w:r>
    </w:p>
    <w:p>
      <w:pPr/>
      <w:r>
        <w:rPr>
          <w:b/>
        </w:rPr>
        <w:t>Shared claim-specific concepts:</w:t>
      </w:r>
      <w:r>
        <w:t xml:space="preserve"> nuclear, energy, low-carbon, electricity, power; EU scope visible. This is a provisional connection, not an outcome finding.</w:t>
      </w:r>
    </w:p>
    <w:p>
      <w:pPr>
        <w:pStyle w:val="SourceNote"/>
      </w:pPr>
      <w:r>
        <w:rPr>
          <w:b/>
        </w:rPr>
        <w:t>Available abstract (not full text):</w:t>
      </w:r>
      <w:r>
        <w:t xml:space="preserve"> This report examines the potential role of nuclear energy in Greece’s long-term energy strategy, focusing on the opportunities presented by advanced nuclear technologies, particularly Small Modular Reactors (SMRs). Against the backdrop of growing electricity demand, geopolitical uncertainty, ambitious decarbonization targets, and increasing concerns over energy security and industrial competitiveness, the study evaluates the technological, economic, environmental, and strategic arguments for reconsidering nuclear power as part of Greece’s energy mix. The report reviews recent developments in nuclear reactor technologies, highlighting the emergence of SMRs and microreactors, their modular construction, enhanced passive safety features, operational flexibility, and potential applications beyond conventional electricity generation. Particular attention is given to their ability to complement renewable energy sources by providing reliable, low-carbon electricity, while supporting energy-intensive industries, data centers, maritime infrastructure, district heating, and desalination. The analysis identifies several potential benefits for Greece, including reduced dependence on imported fossil fuels, improved energy system resilience, greater price stability, industrial development, and the creation of highly skilled employment opportunities. At the same time, the study recognizes sig</w:t>
      </w:r>
    </w:p>
    <w:p>
      <w:pPr/>
      <w:r>
        <w:rPr>
          <w:b/>
        </w:rPr>
        <w:t>POSSIBLE 2026:</w:t>
      </w:r>
      <w:r>
        <w:t xml:space="preserve"> A Review of Nuclear Power as a Sustainable Energy Source — https://doi.org/10.2139/ssrn.7482541</w:t>
      </w:r>
    </w:p>
    <w:p>
      <w:pPr/>
      <w:r>
        <w:rPr>
          <w:b/>
        </w:rPr>
        <w:t>Shared claim-specific concepts:</w:t>
      </w:r>
      <w:r>
        <w:t xml:space="preserve"> nuclear, energy, source, power;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JRC Nuclear News 5 — https://openalex.org/W7213483190</w:t>
      </w:r>
    </w:p>
    <w:p>
      <w:pPr/>
      <w:r>
        <w:rPr>
          <w:b/>
        </w:rPr>
        <w:t>Shared claim-specific concepts:</w:t>
      </w:r>
      <w:r>
        <w:t xml:space="preserve"> nuclear, energy, power; EU scope visible. This is a provisional connection, not an outcome finding.</w:t>
      </w:r>
    </w:p>
    <w:p>
      <w:pPr>
        <w:pStyle w:val="SourceNote"/>
      </w:pPr>
      <w:r>
        <w:rPr>
          <w:b/>
        </w:rPr>
        <w:t>Available abstract (not full text):</w:t>
      </w:r>
      <w:r>
        <w:t xml:space="preserve"> Fifth edition of the JRC Nuclear News, showcasing some of the most significant nuclear milestones over the past few months: The 45th anniversary of the European Commission Support Programme to the IAEA in the field of nuclear safeguards, 60 years of´cooperation with the French Alternative Energies and Atomic Energy Commission (CEA), significant advances in the JRC’s decommissioning programme, particularly at its Ispra site, the relocation of the Surface Science Laboratory station to Prague and the recent release of the 1st Clean Energy Technology Observatory (CETO) report on nuclear power in the EU.</w:t>
      </w:r>
    </w:p>
    <w:p>
      <w:pPr/>
      <w:r>
        <w:rPr>
          <w:b/>
        </w:rPr>
        <w:t>POSSIBLE 2026:</w:t>
      </w:r>
      <w:r>
        <w:t xml:space="preserve"> Nuclear Fusion — https://doi.org/10.1201/9781003649175</w:t>
      </w:r>
    </w:p>
    <w:p>
      <w:pPr/>
      <w:r>
        <w:rPr>
          <w:b/>
        </w:rPr>
        <w:t>Shared claim-specific concepts:</w:t>
      </w:r>
      <w:r>
        <w:t xml:space="preserve"> nuclear, energy, major, current; EU scope not established. This is a provisional connection, not an outcome finding.</w:t>
      </w:r>
    </w:p>
    <w:p>
      <w:pPr>
        <w:pStyle w:val="SourceNote"/>
      </w:pPr>
      <w:r>
        <w:rPr>
          <w:b/>
        </w:rPr>
        <w:t>Available abstract (not full text):</w:t>
      </w:r>
      <w:r>
        <w:t xml:space="preserve"> This book offers an accessible overview of the diverse approaches being pursued to make fusion energy a reality. Rather than diving into the underlying physics or speculating over future predictions, Nuclear Fusion: At Last? focuses on what can be known today: the technologies, the experiments, the challenges, and the players shaping the field. Organised into four parts, the book begins with a broad introduction to fusion before presenting a clear, structured overview of the major approaches, complete with up‑to‑date snapshots and profiles of key public laboratories and private companies in the field. Chapters explore the cross-cutting scientific, engineering, and safety issues every fusion concept must confront, including radiation protection and non‑proliferation. The text concludes with a discussion on economics, outlining the market realities and uncertainties that will influence the future of the industry. With minimal mathematics and a balanced analysis of pros and cons for each approach, this book empowers readers to critically evaluate and understand the real, current trajectory of fusion research. Whether you're curious about the science, intrigued by the technology, or watching the emerging fusion economy, this is an essential guide to this rapidly evolving field. Key Features An accessible introduction to different approaches in nuclear fusion Discusses the latest te</w:t>
      </w:r>
    </w:p>
    <w:p>
      <w:pPr/>
      <w:r>
        <w:rPr>
          <w:b/>
        </w:rPr>
        <w:t>POSSIBLE 2026:</w:t>
      </w:r>
      <w:r>
        <w:t xml:space="preserve"> Nuclear energy and carbon emissions in South Africa: new evidence from threshold and wavelet quantile regression — https://doi.org/10.1080/14786451.2026.2645936</w:t>
      </w:r>
    </w:p>
    <w:p>
      <w:pPr/>
      <w:r>
        <w:rPr>
          <w:b/>
        </w:rPr>
        <w:t>Shared claim-specific concepts:</w:t>
      </w:r>
      <w:r>
        <w:t xml:space="preserve"> nuclear, energy; EU scope not established. This is a provisional connection, not an outcome finding.</w:t>
      </w:r>
    </w:p>
    <w:p>
      <w:pPr>
        <w:pStyle w:val="SourceNote"/>
      </w:pPr>
      <w:r>
        <w:rPr>
          <w:b/>
        </w:rPr>
        <w:t>Available abstract (not full text):</w:t>
      </w:r>
      <w:r>
        <w:t xml:space="preserve"> This study applies threshold and wavelet quantile regression to investigate the relationship between nuclear energy and carbon emissions in South Africa. The findings reveal a U-shaped relationship between the two variables. The paper used lag GDP as the threshold variable, and the threshold value is 28.983. This threshold value determines the lower and upper regimes. The findings indicate that below the threshold, nuclear energy has a negative effect on carbon emissions, whereas above the threshold, there is a positive effect. With the application of WQR, the results reveal that in the short term, there is a negative effect of nuclear energy on carbon emissions, but the effect is weak. However, in the medium to long term, there is a strong negative effect. The findings may suggest that policymakers are encouraged to promote nuclear energy development cautiously, ensuring that it remains below the threshold level to prevent adverse environmental impacts.</w:t>
      </w:r>
    </w:p>
    <w:p>
      <w:pPr/>
      <w:r>
        <w:rPr>
          <w:b/>
        </w:rPr>
        <w:t>POSSIBLE 2026:</w:t>
      </w:r>
      <w:r>
        <w:t xml:space="preserve"> Nuclear Energy and Sustainable Business Models: Comparative Analysis of Corporate Reporting in the European Union — https://doi.org/10.24818/jamis.2026.01001</w:t>
      </w:r>
    </w:p>
    <w:p>
      <w:pPr/>
      <w:r>
        <w:rPr>
          <w:b/>
        </w:rPr>
        <w:t>Shared claim-specific concepts:</w:t>
      </w:r>
      <w:r>
        <w:t xml:space="preserve"> nuclear, energy, electricity; EU scope visible. This is a provisional connection, not an outcome finding.</w:t>
      </w:r>
    </w:p>
    <w:p>
      <w:pPr>
        <w:pStyle w:val="SourceNote"/>
      </w:pPr>
      <w:r>
        <w:rPr>
          <w:b/>
        </w:rPr>
        <w:t>Available abstract (not full text):</w:t>
      </w:r>
      <w:r>
        <w:t xml:space="preserve"> Research Question: How do EU-based nuclear energy producers align their operations with the EU Taxonomy for sustainable activities, and what are the implications for their long-term sustainability strategies and financial performance? Motivation: The integrated analysis of sustainability disclosures, financial metrics and cross-national comparisons of firms provides a lens on how nuclear energy is recast as sustainable within a new policy paradigm. Idea: This paper compares the deployment of nuclear energy by significant producers in the European Union (EDF, Nuclearelectrica and Vattenfall) over the 2020-2024 period. While every company has a unique approach to nuclear within their energy mix and national goals, all are viewing it as a critical component to the decarbonization strategy. Data: We analyze how these companies comply with the EU Taxonomy and how they add to the establishment of (4.26) electricity generation from nuclear, (4.27) construction of nuclear installations and (4.28) safe decommissioning of nuclear installations. Tools: Comparative analysis, content analysis, financial analysis. Findings: This paper also shows how the reports of selected European Union companies are different regarding the disclosure of information on nuclear activities. It additionally provides a financial framework to facilitate future analysis of the efficiency with which these firms de</w:t>
      </w:r>
    </w:p>
    <w:p>
      <w:pPr/>
      <w:r>
        <w:rPr>
          <w:b/>
        </w:rPr>
        <w:t>POSSIBLE 2026:</w:t>
      </w:r>
      <w:r>
        <w:t xml:space="preserve"> Mind the gap: Mixed-methods approach to investigate transition bottlenecks to low-carbon energy futures — https://doi.org/10.1016/j.egyr.2025.108973</w:t>
      </w:r>
    </w:p>
    <w:p>
      <w:pPr/>
      <w:r>
        <w:rPr>
          <w:b/>
        </w:rPr>
        <w:t>Shared claim-specific concepts:</w:t>
      </w:r>
      <w:r>
        <w:t xml:space="preserve"> nuclear, energy, low-carbon, electricity, increase, power; EU scope visible. This is a provisional connection, not an outcome finding.</w:t>
      </w:r>
    </w:p>
    <w:p>
      <w:pPr>
        <w:pStyle w:val="SourceNote"/>
      </w:pPr>
      <w:r>
        <w:rPr>
          <w:b/>
        </w:rPr>
        <w:t>Available abstract (not full text):</w:t>
      </w:r>
      <w:r>
        <w:t xml:space="preserve"> Electrification of transport and industry, a crucial pathway for emission mitigation, may result in a large increase of electricity demand in Sweden. In this study, we investigate the transition bottlenecks for Sweden's electrification using a mixed-methods approach. We first use energy systems modeling to identify cost-efficient combinations of generation, storage, and demand-side flexibility that can meet the projected demand from electrification. Three cases are applied that differ in predetermined investments in offshore wind power and nuclear power. We then apply a multi-level perspective analysis on the three cases with the aim to map out the main characteristics of the Swedish electricity system. We base this on historical development, as well as the impacting landscape, indicating broad, long-term trends external to the system, and niche factors, referring to technological and social innovations. Drawing on these characteristics and modeling insights, we identify transition bottlenecks to Swedish electrification. We find that changes at the landscape level have been insufficient to enable a shift to an electricity system that has a high share of wind and solar power. Instead, the operational and regulatory regimes are strongly influenced by the existing system, which is dominated by synchronous electricity generation from hydropower and nuclear power. Yet, new nuclear p</w:t>
      </w:r>
    </w:p>
    <w:p>
      <w:pPr>
        <w:pStyle w:val="Heading2"/>
      </w:pPr>
      <w:r>
        <w:t>560. Mismatch, empowerment, fatigue or balance? Four scenarios of physical activity up to 2030 in Finland</w:t>
      </w:r>
    </w:p>
    <w:p>
      <w:pPr>
        <w:pStyle w:val="SourceNote"/>
      </w:pPr>
      <w:r>
        <w:rPr>
          <w:b/>
        </w:rPr>
        <w:t>Original source (2022):</w:t>
      </w:r>
      <w:r>
        <w:t xml:space="preserve"> https://doi.org/10.1016/j.futures.2022.103036</w:t>
      </w:r>
    </w:p>
    <w:p>
      <w:pPr/>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POSSIBLE 2026:</w:t>
      </w:r>
      <w:r>
        <w:t xml:space="preserve"> Building understanding: a review of European farmers’ perceptions of agrobiodiversity — https://doi.org/10.1016/j.jnc.2026.127427</w:t>
      </w:r>
    </w:p>
    <w:p>
      <w:pPr/>
      <w:r>
        <w:rPr>
          <w:b/>
        </w:rPr>
        <w:t>Shared claim-specific concepts:</w:t>
      </w:r>
      <w:r>
        <w:t xml:space="preserve"> building, perceptions, alternative; EU scope visible. This is a provisional connection, not an outcome finding.</w:t>
      </w:r>
    </w:p>
    <w:p>
      <w:pPr>
        <w:pStyle w:val="SourceNote"/>
      </w:pPr>
      <w:r>
        <w:rPr>
          <w:b/>
        </w:rPr>
        <w:t>Available abstract (not full text):</w:t>
      </w:r>
      <w:r>
        <w:t xml:space="preserve">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pPr/>
      <w:r>
        <w:rPr>
          <w:b/>
        </w:rPr>
        <w:t>POSSIBLE 2026:</w:t>
      </w:r>
      <w:r>
        <w:t xml:space="preserve"> Stakeholders’ Perceptions of Barriers, Benefits, and Drivers for Digital Building Logbook Adoption in Building Renovation Projects in Europe — https://doi.org/10.3390/su18062688</w:t>
      </w:r>
    </w:p>
    <w:p>
      <w:pPr/>
      <w:r>
        <w:rPr>
          <w:b/>
        </w:rPr>
        <w:t>Shared claim-specific concepts:</w:t>
      </w:r>
      <w:r>
        <w:t xml:space="preserve"> building, perceptions, benefits; EU scope visible. This is a provisional connection, not an outcome finding.</w:t>
      </w:r>
    </w:p>
    <w:p>
      <w:pPr>
        <w:pStyle w:val="SourceNote"/>
      </w:pPr>
      <w:r>
        <w:rPr>
          <w:b/>
        </w:rPr>
        <w:t>Available abstract (not full text):</w:t>
      </w:r>
      <w:r>
        <w:t xml:space="preserve">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pPr/>
      <w:r>
        <w:rPr>
          <w:b/>
        </w:rPr>
        <w:t>POSSIBLE 2026:</w:t>
      </w:r>
      <w:r>
        <w:t xml:space="preserve"> Building consensus on demand-led legume breeding in Europe: Evidence from a Delphi expert study — https://doi.org/10.1016/j.jafr.2026.103142</w:t>
      </w:r>
    </w:p>
    <w:p>
      <w:pPr/>
      <w:r>
        <w:rPr>
          <w:b/>
        </w:rPr>
        <w:t>Shared claim-specific concepts:</w:t>
      </w:r>
      <w:r>
        <w:t xml:space="preserve"> building, experts, benefits; EU scope visible. This is a provisional connection, not an outcome finding.</w:t>
      </w:r>
    </w:p>
    <w:p>
      <w:pPr>
        <w:pStyle w:val="SourceNote"/>
      </w:pPr>
      <w:r>
        <w:rPr>
          <w:b/>
        </w:rPr>
        <w:t>Available abstract (not full text):</w:t>
      </w:r>
      <w:r>
        <w:t xml:space="preserve">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building, four, environmental;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Building consensus for Molecular Tumor Board implementation in Europe: a Delphi procedure — https://doi.org/10.1016/j.hlpt.2026.101287</w:t>
      </w:r>
    </w:p>
    <w:p>
      <w:pPr/>
      <w:r>
        <w:rPr>
          <w:b/>
        </w:rPr>
        <w:t>Shared claim-specific concepts:</w:t>
      </w:r>
      <w:r>
        <w:t xml:space="preserve"> building, experts, four, health; EU scope visible. This is a provisional connection, not an outcome finding.</w:t>
      </w:r>
    </w:p>
    <w:p>
      <w:pPr>
        <w:pStyle w:val="SourceNote"/>
      </w:pPr>
      <w:r>
        <w:rPr>
          <w:b/>
        </w:rPr>
        <w:t>Available abstract (not full text):</w:t>
      </w:r>
      <w:r>
        <w:t xml:space="preserve"> Background: Molecular Tumor Boards (MTBs) integrate molecular and clinical data to guide precision oncology decisions, but their structure remains heterogeneous across Europe. This study developed consensus-based policy recommendations to support their harmonized implementation. Methods: A two-round Delphi process was conducted among 17 European MTB experts. Questionnaire items were derived from two reviews on clinical impact and implementation aspects. Experts rated items on a five-point Likert scale; consensus was defined as a Content Validity Index (CVI) ≥80% agreement (scores 4–5). Results: Across two rounds, 76 items were evaluated; 36 reached consensus, resulting in 15 recommendations across four domains: organizational aspects (n=8), testing (n=3), inclusion criteria (n=2), and clinical aspects (n=2). Key organizational standards include appointing a referent clinician, using standardized digital submission tools, online meeting formats, and decision-support systems. MTBs should be multidisciplinary. For testing, experts agreed that Next Generation Sequencing should be preferred, performed in certified laboratories, with variant interpretation supported by curated databases. Inclusion criteria and clinical aspects prioritize patients with metastatic or rare disease, ECOG 0–2, life expectancy ≥12 weeks, and exhaustion of standard therapies. Conclusions: This Delphi produc</w:t>
      </w:r>
    </w:p>
    <w:p>
      <w:pPr/>
      <w:r>
        <w:rPr>
          <w:b/>
        </w:rPr>
        <w:t>POSSIBLE 2026:</w:t>
      </w:r>
      <w:r>
        <w:t xml:space="preserve"> Perceptions of rewilding in European abandoned agricultural lands — https://doi.org/10.1016/j.landurbplan.2026.105715</w:t>
      </w:r>
    </w:p>
    <w:p>
      <w:pPr/>
      <w:r>
        <w:rPr>
          <w:b/>
        </w:rPr>
        <w:t>Shared claim-specific concepts:</w:t>
      </w:r>
      <w:r>
        <w:t xml:space="preserve"> building, perceptions, related; EU scope visible. This is a provisional connection, not an outcome finding.</w:t>
      </w:r>
    </w:p>
    <w:p>
      <w:pPr>
        <w:pStyle w:val="SourceNote"/>
      </w:pPr>
      <w:r>
        <w:rPr>
          <w:b/>
        </w:rPr>
        <w:t>Available abstract (not full text):</w:t>
      </w:r>
      <w:r>
        <w:t xml:space="preserve"> Agricultural abandonment has been a trend in Europe over recent decades. The resultant abandoned land has been faced with multiple land change trajectories, including rewilding processes. Rewilding aims at facilitating ecological recovery, often through the reduction of human influence on the landscape or through restoring trophic complexity. However, rewilding is not always welcomed as it can challenge the place attachment stakeholders have for pre-existing and current landscapes. A total of 80 articles, published within Europe between 2000 and 2024, were analysed and coded using a conceptual framework. We found that the body of literature describing rewilding-related preferences is heterogeneous, with rewilding often being an implicit concept rather than an umbrella term encompassing related processes. Proforestation, the rewilding of forest areas, was rarely addressed in the literature, and while case-studies were found throughout the continent, they were under-represented in Eastern Europe, specifically in agricultural abandonment hotspots of the Carpathians and Baltic regions. Rather than rewilding, traditional management of the landscape was often preferred, specifically by rural, older, and farming communities. Discontent towards rewilding was primarily related to concerns around its potential impacts over the landscape such as landscape homogenisation and on economic ac</w:t>
      </w:r>
    </w:p>
    <w:p>
      <w:pPr/>
      <w:r>
        <w:rPr>
          <w:b/>
        </w:rPr>
        <w:t>POSSIBLE 2026:</w:t>
      </w:r>
      <w:r>
        <w:t xml:space="preserve"> Organisational intention to invest in energy efficiency improvements and perceptions of energy efficiency in buildings — https://openalex.org/W7134551432</w:t>
      </w:r>
    </w:p>
    <w:p>
      <w:pPr/>
      <w:r>
        <w:rPr>
          <w:b/>
        </w:rPr>
        <w:t>Shared claim-specific concepts:</w:t>
      </w:r>
      <w:r>
        <w:t xml:space="preserve"> perceptions, well, related, benefits, finland; EU scope visible. This is a provisional connection, not an outcome finding.</w:t>
      </w:r>
    </w:p>
    <w:p>
      <w:pPr>
        <w:pStyle w:val="SourceNote"/>
      </w:pPr>
      <w:r>
        <w:rPr>
          <w:b/>
        </w:rPr>
        <w:t>Available abstract (not full text):</w:t>
      </w:r>
      <w:r>
        <w:t xml:space="preserve"> The energy efficiency gap in buildings, meaning the gap between the potential and executed energy efficiency, is a prevailing paradox. Prior research on the phenomenon has focused on consumer and individual energy efficiency curtailment, while organisational behaviour and decision-making regarding energy efficiency investments in buildings is still a research area needing more attention. This study explores the organisational perceptions of the benefits of energy efficiency investments as well as factors affecting organisational intention to execute energy efficiency investments in buildings. A processual multimethod approach with both quantitative and qualitative methods was employed. This included a techno-economic analysis and emissions reduction calculations to determine case-specific benefits, an interview study exploring perceptions of these benefits, and regression analyses examining the factors affecting investment intentions. The organisations studied included two case municipalities and 97 companies from Finland. The results showed that the financial resources or financial uncertainty of the investment did not have an impact on companies’ managers’ intentions to execute energy efficiency investments. The factors affecting the managers’ temporal orientation and willingness to pay for energy efficiency were more related to the attitudes and experiences of the manager an</w:t>
      </w:r>
    </w:p>
    <w:p>
      <w:pPr/>
      <w:r>
        <w:rPr>
          <w:b/>
        </w:rPr>
        <w:t>POSSIBLE 2026:</w:t>
      </w:r>
      <w:r>
        <w:t xml:space="preserve"> Varying Perceptions of TESOL Instruction from Experts, Peers, and Learners — https://doi.org/10.1002/tesq.70075</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Abstract This study investigates the comparative value of feedback provided by expert teachers, peer teachers, and language learners within TESOL practicum settings. Drawing on data from 738 feedback comments on two video‐recorded lessons, the research explores variations in the quantity, type, tone, and evaluative content of feedback among the three groups. Results indicate that expert teachers gave the most extensive and pedagogically grounded feedback, though with a more critical tone. Peer teachers closely mirrored expert feedback in focus but provided more affirming and supportive responses. Language learners, in contrast, contributed the fewest comments, yet their feedback was notably more emotionally attuned, highlighting affective factors such as teacher demeanor and engagement. Despite these differences, all three groups emphasized instructional quality as a central concern. Quantitative ratings of teacher performance were similar across groups, yet qualitative justifications revealed diverging criteria. Findings highlight the unique and complementary perspectives each feedback source offers, suggesting that diversified feedback enhances reflective practice in TESOL teacher education. The study underscores the value of including learner voices in practicum assessments and encourages teacher education programs to adopt more inclusive, multi‐source feedback approaches to</w:t>
      </w:r>
    </w:p>
    <w:p>
      <w:pPr/>
      <w:r>
        <w:rPr>
          <w:b/>
        </w:rPr>
        <w:t>POSSIBLE 2026:</w:t>
      </w:r>
      <w:r>
        <w:t xml:space="preserve"> User perceptions and preferences for GeoHealth tools: A qualitative focus group study of non-expert and expert users — https://doi.org/10.17615/fe1n-tc70</w:t>
      </w:r>
    </w:p>
    <w:p>
      <w:pPr/>
      <w:r>
        <w:rPr>
          <w:b/>
        </w:rPr>
        <w:t>Shared claim-specific concepts:</w:t>
      </w:r>
      <w:r>
        <w:t xml:space="preserve"> experts, perceptions, four, related, health; EU scope not established. This is a provisional connection, not an outcome finding.</w:t>
      </w:r>
    </w:p>
    <w:p>
      <w:pPr>
        <w:pStyle w:val="SourceNote"/>
      </w:pPr>
      <w:r>
        <w:rPr>
          <w:b/>
        </w:rPr>
        <w:t>Available abstract (not full text):</w:t>
      </w:r>
      <w:r>
        <w:t xml:space="preserve"> Background: GeoHealth tools differ from other health-IT platforms, requiring analytical transformation tools, location-based discovery, and responsive design frameworks. While knowledge exists surrounding related platforms, there is a literature gap specific to GeoHealth tool end-user needs. Methods: This qualitative focus group study identified design needs for GeoHealth tools. Seven focus groups included non-experts (three sessions, n = 15) and experts (healthcare professionals, four sessions, n = 16) from October 2024 to February 2025. Researchers conducted inductive thematic analysis, identifying emerging themes. Results: Thirty-one participants completed seven sessions: 20 [65%] female, 16 [52%] White, and 16 [52%] with graduate degrees. Both groups identified similar facilitators and barriers: simple interfaces, contrasting colors, cross-device functionality. Both valued filtering, customizing regions, downloading data, and chatbot integration. Non-experts reported frustrations with mobile use and content density, while experts emphasized integrating GeoHealth tools into clinical workflows for decision-making. Discussion and Conclusion: End-user preferences are critical as GeoHealth tools expand. Key recommendations include: customizable features (filters, personalized regions, data layering, and export options), accessible design with high-contrast color schemes and intu</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building, experts, well, related, benefits;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2026:</w:t>
      </w:r>
      <w:r>
        <w:t xml:space="preserve"> The Role of Sociodemographic Characteristics in Expert Perceptions of the Ecological Impacts of Forest Roads — https://doi.org/10.33904/ejfe.1929934</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This study examined whether experts’ perceptions of the ecological impacts of forest roads differed by age, gender, professional experience, and sector of employment. The research involved 120 participants from civil engineering, forestry engineering, landscape architecture, and urban and regional planning. Data were collected using a structured questionnaire consisting of three sections: sociodemographic characteristics, open-ended questions, and a set of 36 questionnaire statements specifically developed for this to assess expert perceptions of the ecological impacts of roads in natural ecosystems. The data were analysed using frequency analysis, the independent samples t-test, one-way analysis of variance (ANOVA), and post hoc multiple comparison tests. The findings indicated that participants generally had at least a moderate level of knowledge regarding the ecological impacts of forest roads. Significant differences in responses were observed by gender, age, professional experience, and sector of employment. In particular, differences in sociodemographic variables emerged for habitat integrity, fragmentation, stream improvement, road density, ecological design solutions, and wildlife corridors. The finding that most experts demonstrated at least a moderate knowledge suggests that sociodemographic differences in expert evaluations may provide useful input for improving ecol</w:t>
      </w:r>
    </w:p>
    <w:p>
      <w:pPr/>
      <w:r>
        <w:rPr>
          <w:b/>
        </w:rPr>
        <w:t>POSSIBLE 2026:</w:t>
      </w:r>
      <w:r>
        <w:t xml:space="preserve"> Exploring the Soundscape Perception of Streets: A Thematic Analysis of Focus Groups with Experts — https://doi.org/10.3390/su18094369</w:t>
      </w:r>
    </w:p>
    <w:p>
      <w:pPr/>
      <w:r>
        <w:rPr>
          <w:b/>
        </w:rPr>
        <w:t>Shared claim-specific concepts:</w:t>
      </w:r>
      <w:r>
        <w:t xml:space="preserve"> experts, perceptions, four, environmental; EU scope not established. This is a provisional connection, not an outcome finding.</w:t>
      </w:r>
    </w:p>
    <w:p>
      <w:pPr>
        <w:pStyle w:val="SourceNote"/>
      </w:pPr>
      <w:r>
        <w:rPr>
          <w:b/>
        </w:rPr>
        <w:t>Available abstract (not full text):</w:t>
      </w:r>
      <w:r>
        <w:t xml:space="preserve"> Street soundscapes significantly shape communities’ environmental perceptions, behaviour and urban sustainability. Previous research has mainly focused on physical and acoustic aspects, while limited attention has been given to emotional and behavioural dimensions. This study explores how expert participants perceive street soundscapes through personal, physical, behavioural, and emotional dimensions, using international online focus groups with soundscape experts, urban planners, and policymakers (n = 12). Analysis followed a deductive thematic approach establishing four main a priori themes, with additional inductive coding used to refine these themes. The findings reveal that perception is shaped by contextual, cultural, temporal, multisensory, and environmental affordance factors. Notably, silence was found to carry a dilemma—perceived as either safe or unsafe depending on pedestrian density—and religious and cultural soundmarks were identified as evoking place attachment and belonging, areas largely overlooked in existing literature. These soundscapes were associated with emotional responses, including comfort, safety, restoration, and belonging, and with pedestrian behaviour encompassing mobility choices, coping strategies, and social interactions. Furthermore, seven out of ten Healthy Streets metrics were directly referenced by participants, highlighting the close relati</w:t>
      </w:r>
    </w:p>
    <w:p>
      <w:pPr>
        <w:pStyle w:val="Heading2"/>
      </w:pPr>
      <w:r>
        <w:t>561. On the Future(s) of Energy Communities in the German Energy Transition: A Derivation of Transformation Pathways</w:t>
      </w:r>
    </w:p>
    <w:p>
      <w:pPr>
        <w:pStyle w:val="SourceNote"/>
      </w:pPr>
      <w:r>
        <w:rPr>
          <w:b/>
        </w:rPr>
        <w:t>Original source (2022):</w:t>
      </w:r>
      <w:r>
        <w:t xml:space="preserve"> https://doi.org/10.3390/su14063169</w:t>
      </w:r>
    </w:p>
    <w:p>
      <w:pPr/>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POSSIBLE 2026:</w:t>
      </w:r>
      <w:r>
        <w:t xml:space="preserve"> The Changing Liberal World Order : Transatlantic Relations, Europe and Central Europe — https://openalex.org/W7213382557</w:t>
      </w:r>
    </w:p>
    <w:p>
      <w:pPr/>
      <w:r>
        <w:rPr>
          <w:b/>
        </w:rPr>
        <w:t>Shared claim-specific concepts:</w:t>
      </w:r>
      <w:r>
        <w:t xml:space="preserve"> order, about, transition, transformation; EU scope visible. This is a provisional connection, not an outcome finding.</w:t>
      </w:r>
    </w:p>
    <w:p>
      <w:pPr>
        <w:pStyle w:val="SourceNote"/>
      </w:pPr>
      <w:r>
        <w:rPr>
          <w:b/>
        </w:rPr>
        <w:t>Available abstract (not full text):</w:t>
      </w:r>
      <w:r>
        <w:t xml:space="preserve"> Is the liberal world order coming to an end, or are we witnessing its transformation into something new? The Changing Liberal World Order: Transatlantic Relations, Europe and Central Europe examines this question at a time of renewed great-power competition, the rise of China, Russia’s threat to European security, growing geopolitical fragmentation, and mounting uncertainty about the future of American leadership. Bringing realism, liberalism, and constructivism into conversation, the book argues that contemporary international order cannot be understood through power, institutions, or ideas alone. Its SurRealist perspective instead reveals an order in transition: liberal institutions and norms remain influential, but they increasingly operate alongside geopolitical rivalry, national sovereignty, competing identities, and shifting distributions of power.Moving from the global transformation of the international system to the European Union, transatlantic relations, Central Europe, and the Visegrád Group, the book explores how these changes are experienced at different levels of world politics. Particular attention is given to the strategic dilemmas facing the Europe and smaller Central European states as they navigate relations with the United States, China, and Russia while remaining deeply embedded in the EU and NATO. Rather than predicting either the collapse or the inevitab</w:t>
      </w:r>
    </w:p>
    <w:p>
      <w:pPr/>
      <w:r>
        <w:rPr>
          <w:b/>
        </w:rPr>
        <w:t>POSSIBLE 2026:</w:t>
      </w:r>
      <w:r>
        <w:t xml:space="preserve"> “I haven't thought about it before”: STEM researchers' views on decolonization with examples from Canada, Europe and New Zealand — https://doi.org/10.1108/edi-12-2024-0592</w:t>
      </w:r>
    </w:p>
    <w:p>
      <w:pPr/>
      <w:r>
        <w:rPr>
          <w:b/>
        </w:rPr>
        <w:t>Shared claim-specific concepts:</w:t>
      </w:r>
      <w:r>
        <w:t xml:space="preserve"> understand, about, applied, approach; EU scope visible. This is a provisional connection, not an outcome finding.</w:t>
      </w:r>
    </w:p>
    <w:p>
      <w:pPr>
        <w:pStyle w:val="SourceNote"/>
      </w:pPr>
      <w:r>
        <w:rPr>
          <w:b/>
        </w:rPr>
        <w:t>Available abstract (not full text):</w:t>
      </w:r>
      <w:r>
        <w:t xml:space="preserve"> Purpose This paper examines how researchers in the fields of science, technology, engineering and mathematics (STEM) working in academic institutions in Canada, Europe and New Zealand understand colonialism and decolonization. Design/methodology/approach For this exploratory study, we adopted a qualitative research approach and conducted interviews with 33 researchers in STEM fields. We then applied thematic analysis to the data, interpreting participants' understandings through theoretical frameworks of imperialism and colonialism. Findings Our results indicate that STEM researchers' understandings of decolonization are shaped by the colonial histories and institutional contexts of their respective countries. Furthermore, we find that while the dissemination of knowledge about Indigenous communities appears to increase engagement with the topic, it often overlooks the issue of land repatriation. Across all country contexts, we also observe a tendency to conflate decolonization with broader social justice concerns. Originality/value Rather than attempting to define decolonization, this paper seeks to examine how researchers in STEM fields understand the concept and how these understandings align with, or diverge from, theories of colonialism and imperialism. Building on these findings, we aim to contribute to a critical reflection on the aims and outcomes of awareness-raising e</w:t>
      </w:r>
    </w:p>
    <w:p>
      <w:pPr/>
      <w:r>
        <w:rPr>
          <w:b/>
        </w:rPr>
        <w:t>POSSIBLE 2026:</w:t>
      </w:r>
      <w:r>
        <w:t xml:space="preserve"> POSSIBILITIES AND OPPORTUNITIES OF THE PEOPLE OF THE WESTERN BALKANS IN THE DEVELOPMENT CIRCLE OF THE EUROPEAN UNION AND ITS INTEGRATION IN MODERN TIMES — https://doi.org/10.5281/zenodo.18756287</w:t>
      </w:r>
    </w:p>
    <w:p>
      <w:pPr/>
      <w:r>
        <w:rPr>
          <w:b/>
        </w:rPr>
        <w:t>Shared claim-specific concepts:</w:t>
      </w:r>
      <w:r>
        <w:t xml:space="preserve"> order, understand, applied, approach; EU scope visible. This is a provisional connection, not an outcome finding.</w:t>
      </w:r>
    </w:p>
    <w:p>
      <w:pPr>
        <w:pStyle w:val="SourceNote"/>
      </w:pPr>
      <w:r>
        <w:rPr>
          <w:b/>
        </w:rPr>
        <w:t>Available abstract (not full text):</w:t>
      </w:r>
      <w:r>
        <w:t xml:space="preserve"> Purpose: The purpose of this paper is to analyse the opportunities and possibilities available to the countries of the Western Balkans, with particular emphasis on Bosnia and Herzegovina, in the process of European integration. The paper focuses on the developmental challenges faced by multinational, multicultural, and multireligious societies in aligning with the values and strategic objectives of the European Union, including the goals of a green and sustainable Europe. Methodology: The paper is based on a scientific review approach. General analytical and comparative methods, as well as qualitative interpretation of secondary sources, are applied in order to understand development processes, institutional barriers, and socio-political factors influencing the integration of Western Balkan countries into the European Union. Results and Conclusions: The findings indicate that European integration offers significant economic, market, educational, scientific, and capital-related opportunities. However, in the countries of the Western Balkans these opportunities are often constrained by geopolitical, national, religious, social, and institutional factors. Diversity, which could represent a developmental advantage, frequently functions as a limiting factor in practice. In the case of Bosnia and Herzegovina, a notable gap is identified between the declarative commitment to European </w:t>
      </w:r>
    </w:p>
    <w:p>
      <w:pPr/>
      <w:r>
        <w:rPr>
          <w:b/>
        </w:rPr>
        <w:t>POSSIBLE 2026:</w:t>
      </w:r>
      <w:r>
        <w:t xml:space="preserve"> Sustainable Development and Industry 4.0 in Europe — https://doi.org/10.4324/9781003487968</w:t>
      </w:r>
    </w:p>
    <w:p>
      <w:pPr/>
      <w:r>
        <w:rPr>
          <w:b/>
        </w:rPr>
        <w:t>Shared claim-specific concepts:</w:t>
      </w:r>
      <w:r>
        <w:t xml:space="preserve"> approach, transition, transformation; EU scope visible. This is a provisional connection, not an outcome finding.</w:t>
      </w:r>
    </w:p>
    <w:p>
      <w:pPr>
        <w:pStyle w:val="SourceNote"/>
      </w:pPr>
      <w:r>
        <w:rPr>
          <w:b/>
        </w:rPr>
        <w:t>Available abstract (not full text):</w:t>
      </w:r>
      <w:r>
        <w:t xml:space="preserve"> The accelerating convergence of digital transformation and sustainability represents one of the most profound structural changes in contemporary Europe. This scientific monograph examines how Industry 4.0 technologies—artificial intelligence, Internet of Things, advanced data systems, and smart manufacturing—can be strategically embedded within the European Union’s sustainability framework. Bringing together perspectives from political economy, circular economy theory, innovation studies, and socio-economic analysis, the book explores important themes such as the European Green Deal and climate-neutrality targets, the role of Industry 4.0 in enabling sustainable industrial transformation, the circular economy approaches and best practices in Slovenia, the socio-economic implications of the green transition and the transformative potential of Cultural and Creative Industries (CCIs). Through an interdisciplinary approach, the authors demonstrate that technological innovation alone is insufficient. Sustainable Industry 4.0 requires coordinated governance, social investment mechanisms, and regionally differentiated strategies to ensure that the green transition is both environmentally effective and socially inclusive. This monograph contributes to ongoing academic and policy debates on digitalisation, sustainability, and Europe’s strategic future.</w:t>
      </w:r>
    </w:p>
    <w:p>
      <w:pPr/>
      <w:r>
        <w:rPr>
          <w:b/>
        </w:rPr>
        <w:t>POSSIBLE 2026:</w:t>
      </w:r>
      <w:r>
        <w:t xml:space="preserve"> Outdoor Learning in Europe: A Comparative Analysis of Selected Initiatives for Personal and Social Development — https://doi.org/10.3390/educsci16071158</w:t>
      </w:r>
    </w:p>
    <w:p>
      <w:pPr/>
      <w:r>
        <w:rPr>
          <w:b/>
        </w:rPr>
        <w:t>Shared claim-specific concepts:</w:t>
      </w:r>
      <w:r>
        <w:t xml:space="preserve"> developed, main; EU scope visible. This is a provisional connection, not an outcome finding.</w:t>
      </w:r>
    </w:p>
    <w:p>
      <w:pPr>
        <w:pStyle w:val="SourceNote"/>
      </w:pPr>
      <w:r>
        <w:rPr>
          <w:b/>
        </w:rPr>
        <w:t>Available abstract (not full text):</w:t>
      </w:r>
      <w:r>
        <w:t xml:space="preserve"> Outdoor learning has been used in different European contexts to support personal and social development. However, the ways in which these initiatives are organised and implemented can vary according to the target group, the educational purpose, and the local context. The aim of this study was to comparatively analyze selected Outdoor Learning initiatives for young people and adults in Europe, focusing on their main characteristics and on the forms of development they promote. A qualitative exploratory review was carried out using websites of educational networks, NGOs, training centers, and institutional projects. Seven initiatives were selected from an initial set of 27 cases identified through the search process. The selected initiatives were Venture Trust, Venture Out, Forest School, KOA Aventura, Moc Warmii, Die Seminarschneider, and LIFE Trekking. The results show a diversity of program durations, pedagogical approaches, and participant profiles, but also some common elements, such as experiential learning, reflection, cooperation, and contact with nature. The analysis suggests that Outdoor Learning initiatives may support different forms of personal and social development, although their design and aims are strongly influenced by the context in which they are developed.</w:t>
      </w:r>
    </w:p>
    <w:p>
      <w:pPr/>
      <w:r>
        <w:rPr>
          <w:b/>
        </w:rPr>
        <w:t>POSSIBLE 2025:</w:t>
      </w:r>
      <w:r>
        <w:t xml:space="preserve"> The European Union: A Sui Generis Legal Order: Prospects for Development — https://doi.org/10.54237/profnet.2025.azsvlbffde_6</w:t>
      </w:r>
    </w:p>
    <w:p>
      <w:pPr/>
      <w:r>
        <w:rPr>
          <w:b/>
        </w:rPr>
        <w:t>Shared claim-specific concepts:</w:t>
      </w:r>
      <w:r>
        <w:t xml:space="preserve"> order, approach, possible; EU scope visible. This is a provisional connection, not an outcome finding.</w:t>
      </w:r>
    </w:p>
    <w:p>
      <w:pPr>
        <w:pStyle w:val="SourceNote"/>
      </w:pPr>
      <w:r>
        <w:rPr>
          <w:b/>
        </w:rPr>
        <w:t>Available abstract (not full text):</w:t>
      </w:r>
      <w:r>
        <w:t xml:space="preserve">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pPr/>
      <w:r>
        <w:rPr>
          <w:b/>
        </w:rPr>
        <w:t>POSSIBLE 2025:</w:t>
      </w:r>
      <w:r>
        <w:t xml:space="preserve"> Typologies and influencing factors in the absorption of European funding for sustainable rural development — https://doi.org/10.1080/21681376.2025.2524440</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pPr/>
      <w:r>
        <w:rPr>
          <w:b/>
        </w:rPr>
        <w:t>POSSIBLE 2025:</w:t>
      </w:r>
      <w:r>
        <w:t xml:space="preserve"> (Un)avoidable conflict in Ukraine the ideal self and fault lines in Europe and Russia — https://openalex.org/W7208703499</w:t>
      </w:r>
    </w:p>
    <w:p>
      <w:pPr/>
      <w:r>
        <w:rPr>
          <w:b/>
        </w:rPr>
        <w:t>Shared claim-specific concepts:</w:t>
      </w:r>
      <w:r>
        <w:t xml:space="preserve"> order, understand, about, desired, approach; EU scope visible. This is a provisional connection, not an outcome finding.</w:t>
      </w:r>
    </w:p>
    <w:p>
      <w:pPr>
        <w:pStyle w:val="SourceNote"/>
      </w:pPr>
      <w:r>
        <w:rPr>
          <w:b/>
        </w:rPr>
        <w:t>Available abstract (not full text):</w:t>
      </w:r>
      <w:r>
        <w:t xml:space="preserve"> "Taking a conceptual approach to European-Russian relations in the post-Cold War era, this book traces how each side's "ideal self" came into conflict with "fault lines" in international politics. Russia's 2022 full-scale invasion of Ukraine is not only a symptom of conflict taking over the European continent but also a point of no return that will be difficult to roll back. Could the state of conflict on the European continent have been avoided? To understand the nature and evolution of conflict with Russia, this book presents a theoretically informed discussion of the way relations between the European Union (EU) and Russia deteriorated beyond repair during the more than three decades since the collapse of the Soviet Union. First, the book develops the concept of ideal self of states and international organisations like the EU, which posits that a series of ideal perceptions about how the self should act in the world order drives the behaviour of states and their policymakers. Second, the book turns to the study of fault lines, or spaces of divergence in the world order that harbour the potential for conflict. With these two theoretical toolkits, the book shows how leaders in the EU and Russia, by February 2022, came to view conflict as a feasible, preferable, and possibly the only option available to them. Even though neither the EU nor Russia had desired conflict, both made</w:t>
      </w:r>
    </w:p>
    <w:p>
      <w:pPr/>
      <w:r>
        <w:rPr>
          <w:b/>
        </w:rPr>
        <w:t>POSSIBLE 2025:</w:t>
      </w:r>
      <w:r>
        <w:t xml:space="preserve"> The Emergence of European Criminal Law in Relation to the European Union Development — https://doi.org/10.54237/profnet.2025.azsvlbffde_10</w:t>
      </w:r>
    </w:p>
    <w:p>
      <w:pPr/>
      <w:r>
        <w:rPr>
          <w:b/>
        </w:rPr>
        <w:t>Shared claim-specific concepts:</w:t>
      </w:r>
      <w:r>
        <w:t xml:space="preserve"> order, applied, application; EU scope visible. This is a provisional connection, not an outcome finding.</w:t>
      </w:r>
    </w:p>
    <w:p>
      <w:pPr>
        <w:pStyle w:val="SourceNote"/>
      </w:pPr>
      <w:r>
        <w:rPr>
          <w:b/>
        </w:rPr>
        <w:t>Available abstract (not full text):</w:t>
      </w:r>
      <w:r>
        <w:t xml:space="preserve"> EU law has expanded beyond the economic issues related to the internal market’s establishment and functioning. With successive treaty reforms, it now covers rules that were once reserved for national states, such as criminal law. Additionally, mechanisms aimed at strengthening the uniform application of EU law at the level of the Member States, where political consensus is difficult to attain, have been applied. The EU’s involvement in criminal law has posed significant challenges and tensions over time. However, the creation of criminal laws is the most significant evidence of EU autonomy. Progressively, both at a political and a regulatory level, and with the consistent involvement of the European Court of Justice, a convergence has been achieved, adding new elements for the unification of criminal law in the EU. General principles like mutual trust, supported by an enhanced activism of the ECJ in the promotion and protection of the values that establish the constitutional core of the EU, is seen as the strongest engines of development in recent years. This has led to extensive amendments in the criminal regulations in the MS. After discussing the milestones of the evolution of European criminal law (history, regulation, institutions), the analysis focuses on the principles of mutual recognition, mutual trust, sincere cooperation, the effectiveness of EU law in protecting the</w:t>
      </w:r>
    </w:p>
    <w:p>
      <w:pPr/>
      <w:r>
        <w:rPr>
          <w:b/>
        </w:rPr>
        <w:t>POSSIBLE 2025:</w:t>
      </w:r>
      <w:r>
        <w:t xml:space="preserve"> Development brut – a new concept to understand and appreciate outsider development — https://doi.org/10.1080/09614524.2025.2530435</w:t>
      </w:r>
    </w:p>
    <w:p>
      <w:pPr/>
      <w:r>
        <w:rPr>
          <w:b/>
        </w:rPr>
        <w:t>Shared claim-specific concepts:</w:t>
      </w:r>
      <w:r>
        <w:t xml:space="preserve"> understand, about; EU scope not established. This is a provisional connection, not an outcome finding.</w:t>
      </w:r>
    </w:p>
    <w:p>
      <w:pPr>
        <w:pStyle w:val="SourceNote"/>
      </w:pPr>
      <w:r>
        <w:rPr>
          <w:b/>
        </w:rPr>
        <w:t>Available abstract (not full text):</w:t>
      </w:r>
      <w:r>
        <w:t xml:space="preserve"> Despite recent and renewed interest in the contribution of localization to development, significant questions remain. For example, if development practice happens outside of a formal development project, does it count as development? How do we collectively describe people working on the fringes (and beyond) of formal development and what do we call their practice? How do we value or measure their contributions within the development industry? As the development landscape continues to shift and transform, it is more important now than ever to address such questions and to consider how such can contribute to development theory. In this viewpoint, a new way to think about development is suggested through the introduction of the concept of development brut or outsider development. This concept describes development practice that seeks to achieve good change, delivered by someone who does not have formal training in Development Studies or an associated discipline, but has a deep and nuanced understanding of a particular issue, context or people, combined with a rich history of successfully working in that sector to improve the lives or situations of others. The aim is to provoke further debate about power and control within development, to further develop equity within the sector.</w:t>
      </w:r>
    </w:p>
    <w:p>
      <w:pPr/>
      <w:r>
        <w:rPr>
          <w:b/>
        </w:rPr>
        <w:t>POSSIBLE 2025:</w:t>
      </w:r>
      <w:r>
        <w:t xml:space="preserve"> Efficiency and distribution in the European Union's digital deregulation push — https://openalex.org/W7116596116</w:t>
      </w:r>
    </w:p>
    <w:p>
      <w:pPr/>
      <w:r>
        <w:rPr>
          <w:b/>
        </w:rPr>
        <w:t>Shared claim-specific concepts:</w:t>
      </w:r>
      <w:r>
        <w:t xml:space="preserve"> order, understand, about, desired; EU scope visible. This is a provisional connection, not an outcome finding.</w:t>
      </w:r>
    </w:p>
    <w:p>
      <w:pPr>
        <w:pStyle w:val="SourceNote"/>
      </w:pPr>
      <w:r>
        <w:rPr>
          <w:b/>
        </w:rPr>
        <w:t>Available abstract (not full text):</w:t>
      </w:r>
      <w:r>
        <w:t xml:space="preserve"> To boost the European Union's digital economy, the European Commission is seeking to reduce the burden of its digital rulebook. However, the Commission's deregulatory strategy lacks a rigorous, evidence-based analysis of the expected effects entailed by proposed burden reductions, is insufficiently transparent and accountable in relation to potential distributive trade-offs, and is overly focused on a narrow geopolitical goal of 'catching up' with the United States, which may neglect Europe's distinct social and institutional priorities. This paper introduces a framework to analyse these issues. It distinguishes between efficiency effects that enhance total societal value, and distributive effects which determine how value is shared within society. The framework explains how total factor productivity (a proxy for competitiveness) may have a complementary and a substitutive relationship with digital regulatory protection. The Commission's deregulatory initiatives may entail both efficiency and distributive effects, but that the Commission typically only acknowledges the former. This misrepresentation leads to unrealistic goals, such as EU companies matching the same level of data use as US companies without compromising European privacy standards. Digital regulation can be designed to generate value and can distribute that value in accordance with the goals the Commission intend</w:t>
      </w:r>
    </w:p>
    <w:p>
      <w:pPr/>
      <w:r>
        <w:rPr>
          <w:b/>
        </w:rPr>
        <w:t>POSSIBLE 2025:</w:t>
      </w:r>
      <w:r>
        <w:t xml:space="preserve"> Medical Tourism Industry Analysis at the Level of European Union — https://doi.org/10.2478/picbe-2025-0387</w:t>
      </w:r>
    </w:p>
    <w:p>
      <w:pPr/>
      <w:r>
        <w:rPr>
          <w:b/>
        </w:rPr>
        <w:t>Shared claim-specific concepts:</w:t>
      </w:r>
      <w:r>
        <w:t xml:space="preserve"> order, understand, main; EU scope visible. This is a provisional connection, not an outcome finding.</w:t>
      </w:r>
    </w:p>
    <w:p>
      <w:pPr>
        <w:pStyle w:val="SourceNote"/>
      </w:pPr>
      <w:r>
        <w:rPr>
          <w:b/>
        </w:rPr>
        <w:t>Available abstract (not full text):</w:t>
      </w:r>
      <w:r>
        <w:t xml:space="preserve"> Abstract Medical tourism is continuously developing and nowadays represents a solid base within the healthcare sector. The Medical Tourism Index ranks 46 worldwide countries taking into consideration destination attractiveness, safety and quality of care. The study focuses on the European Union states that are part of the medical tourism ranking in order to emphasize the main characteristics of their healthcare systems in terms of: financing of the healthcare services, expenses and human resources that work in healthcare industry. The research methodology focuses on histogram in order to summarize distribution, shape and central tendency. The results show the variables’ distribution in order to better understand why some European Union member states rely on medical tourism, together with the development potential that the medical tourism can have for other European Union member states in terms of best practices.</w:t>
      </w:r>
    </w:p>
    <w:p>
      <w:pPr>
        <w:pStyle w:val="Heading2"/>
      </w:pPr>
      <w:r>
        <w:t>562. Organic farming in the European Union – perspectives for 2030</w:t>
      </w:r>
    </w:p>
    <w:p>
      <w:pPr>
        <w:pStyle w:val="SourceNote"/>
      </w:pPr>
      <w:r>
        <w:rPr>
          <w:b/>
        </w:rPr>
        <w:t>Original source (2022):</w:t>
      </w:r>
      <w:r>
        <w:t xml:space="preserve"> https://doi.org/10.2478/picbe-2022-0042</w:t>
      </w:r>
    </w:p>
    <w:p>
      <w:pPr/>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POSSIBLE 2026:</w:t>
      </w:r>
      <w:r>
        <w:t xml:space="preserve"> The Scramble for Europe — https://doi.org/10.1093/9780197781470.001.0001</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community, practices, population;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Europe Degree Zero: Community, Inoperativity, and Storytelling in Pieter de Buysser’s De keisnijders — https://openalex.org/W7215327951</w:t>
      </w:r>
    </w:p>
    <w:p>
      <w:pPr/>
      <w:r>
        <w:rPr>
          <w:b/>
        </w:rPr>
        <w:t>Shared claim-specific concepts:</w:t>
      </w:r>
      <w:r>
        <w:t xml:space="preserve"> same, time, set, community; EU scope visible. This is a provisional connection, not an outcome finding.</w:t>
      </w:r>
    </w:p>
    <w:p>
      <w:pPr>
        <w:pStyle w:val="SourceNote"/>
      </w:pPr>
      <w:r>
        <w:rPr>
          <w:b/>
        </w:rPr>
        <w:t>Available abstract (not full text):</w:t>
      </w:r>
      <w:r>
        <w:t xml:space="preserve"> This article considers Pieter de Buysser’s recent speculative novel De keisnijders (2012) from the perspective of the post-structuralist rethinking of the idea of Europe and the concept of community, as undertaken by Jacques Derrida and Jean-Luc Nancy respectively. Set halfway into the twenty-first century, De keisnijders depicts a (pseudo-) utopian enclave in the center of Berlin, frequented by individuals from all over the world and from practically all social strata. Unlike traditional utopias, the community does not revolve around a political blueprint or shared essence, but around philosophical speculation and storytelling. The characters in De keisnijders seek to fundamentally rethink the possibilities for a common, transnational identity, while at the same time attempting to think community in a non-identitarian, non-organicist manner.</w:t>
      </w:r>
    </w:p>
    <w:p>
      <w:pPr/>
      <w:r>
        <w:rPr>
          <w:b/>
        </w:rPr>
        <w:t>POSSIBLE 2026:</w:t>
      </w:r>
      <w:r>
        <w:t xml:space="preserve"> Strengthening European development policy: the case for Team Europe 2.0 — https://doi.org/10.23661/ipb11.2026</w:t>
      </w:r>
    </w:p>
    <w:p>
      <w:pPr/>
      <w:r>
        <w:rPr>
          <w:b/>
        </w:rPr>
        <w:t>Shared claim-specific concepts:</w:t>
      </w:r>
      <w:r>
        <w:t xml:space="preserve"> same, time, objectives, resources; EU scope visible. This is a provisional connection, not an outcome finding.</w:t>
      </w:r>
    </w:p>
    <w:p>
      <w:pPr>
        <w:pStyle w:val="SourceNote"/>
      </w:pPr>
      <w:r>
        <w:rPr>
          <w:b/>
        </w:rPr>
        <w:t>Available abstract (not full text):</w:t>
      </w:r>
      <w:r>
        <w:t xml:space="preserve"> The international order is undergoing profound change as rivalry among major powers realigns the global balance. This is also having an impact on European development policy. In many European Union (EU) member states, funding for official development assistance (ODA) is declining. At the same time, EU countries are reforming their development policies and increasingly channelling their remaining resources towards priorities that serve primarily their own interests. So far, these reforms have largely been defined bilaterally, whereas a political debate on the role, added value and joint objectives of EU development policy is largely absent. Yet, without strengthening European cooperation in development policy, Europe will not succeed in providing an adequate response to the current upheavals in global politics. In this policy brief, we argue that reform efforts in European development policy must strengthen co-operation and complementarity to respond effectively to the changed geopolitical landscape. Our analysis identifies four key policy areas where European actors are pursuing ongoing reforms and where development policy should make significant contributions: 1) promoting economic cooperation and private-sector engagement, 2) security policy, 3) managing and shaping migration and 4) human development including poverty reduction, particularly in least developed countries (LDCs</w:t>
      </w:r>
    </w:p>
    <w:p>
      <w:pPr/>
      <w:r>
        <w:rPr>
          <w:b/>
        </w:rPr>
        <w:t>POSSIBLE 2026:</w:t>
      </w:r>
      <w:r>
        <w:t xml:space="preserve"> European Energy Transition – Germany in the Heart of Europe — https://doi.org/10.34734/fzj-2026-02456</w:t>
      </w:r>
    </w:p>
    <w:p>
      <w:pPr/>
      <w:r>
        <w:rPr>
          <w:b/>
        </w:rPr>
        <w:t>Shared claim-specific concepts:</w:t>
      </w:r>
      <w:r>
        <w:t xml:space="preserve"> same, time, objectives, set, achieved, presented;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community, practices, sustainable;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Outreach and Science Education in the European Physics Community — https://doi.org/10.1051/epjconf/202637812003</w:t>
      </w:r>
    </w:p>
    <w:p>
      <w:pPr/>
      <w:r>
        <w:rPr>
          <w:b/>
        </w:rPr>
        <w:t>Shared claim-specific concepts:</w:t>
      </w:r>
      <w:r>
        <w:t xml:space="preserve"> community, practices, provides; EU scope visible. This is a provisional connection, not an outcome finding.</w:t>
      </w:r>
    </w:p>
    <w:p>
      <w:pPr>
        <w:pStyle w:val="SourceNote"/>
      </w:pPr>
      <w:r>
        <w:rPr>
          <w:b/>
        </w:rPr>
        <w:t>Available abstract (not full text):</w:t>
      </w:r>
      <w:r>
        <w:t xml:space="preserve"> Outreach and science education have progressively evolved from complementary dissemination activities into structural components of large-scale research in nuclear, particle, and astroparticle physics. Their role now extends to ensuring societal legitimacy, long-term sustainability of research infrastructures, and the development of human capital required to operate increasingly complex experiments. Within Europe, outreach and education activities are articulated through a multi-level ecosystem that combines institutional initiatives, transnational networks, and experiment-driven programs. This contribution provides a comprehensive overview of the European approach to outreach and science education, discussing institutional frameworks, educational programs across different levels, public engagement strategies, digital tools, and open science practices, as well as the main challenges and strategic perspectives for the future.</w:t>
      </w:r>
    </w:p>
    <w:p>
      <w:pPr/>
      <w:r>
        <w:rPr>
          <w:b/>
        </w:rPr>
        <w:t>POSSIBLE 2026:</w:t>
      </w:r>
      <w:r>
        <w:t xml:space="preserve"> Navigating Multilingualism among Moroccan Diaspora Communities in Europe — https://doi.org/10.32996/ijels.2026.8.3.2</w:t>
      </w:r>
    </w:p>
    <w:p>
      <w:pPr/>
      <w:r>
        <w:rPr>
          <w:b/>
        </w:rPr>
        <w:t>Shared claim-specific concepts:</w:t>
      </w:r>
      <w:r>
        <w:t xml:space="preserve"> same, time, community, involves, use, practices; EU scope visible. This is a provisional connection, not an outcome finding.</w:t>
      </w:r>
    </w:p>
    <w:p>
      <w:pPr>
        <w:pStyle w:val="SourceNote"/>
      </w:pPr>
      <w:r>
        <w:rPr>
          <w:b/>
        </w:rPr>
        <w:t>Available abstract (not full text):</w:t>
      </w:r>
      <w:r>
        <w:t xml:space="preserve"> Multilingualism has become an increasingly common feature of migrant communities across Europe. Among these communities, Moroccan diaspora populations navigate diverse linguistic environments that require the use of multiple languages in everyday life. Living between heritage and host-country cultures often involves managing complex linguistic demands across family, educational, professional, and social settings. Despite the growing presence of Moroccan communities throughout Europe, relatively limited research has focused on the multilingual challenges they encounter in their daily lives. This study investigates the challenges of multilingualism among Moroccan diaspora communities in Europe. Using a quantitative research design, data were collected through an online questionnaire distributed via Moroccan diaspora social media platforms and WhatsApp groups. A total of 189 participants residing in different European countries took part in the study. The questionnaire explored language use, multilingual challenges, intergenerational communication, and strategies employed to manage multilingual environments. The findings reveal that participants regularly use multiple languages, particularly Darija, French, English, and the language of the host country, across various social contexts. The results further indicate that heritage language maintenance, intergenerational communication,</w:t>
      </w:r>
    </w:p>
    <w:p>
      <w:pPr/>
      <w:r>
        <w:rPr>
          <w:b/>
        </w:rPr>
        <w:t>POSSIBLE 2026:</w:t>
      </w:r>
      <w:r>
        <w:t xml:space="preserve"> Towards Near-Real-Time Forest Disturbance Monitoring in Europe: Expert Meeting and Stakeholder Consultation Report — https://doi.org/10.3929/ethz-c-000806998</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Near-real-time (NRT) forest disturbance monitoring is increasingly relevant for European forest policy, carbon accounting, risk management, and operational forest management. In support of this agenda, the Joint Research Centre (JRC) convened an expert consultation process and an online expert workshop on 3 March 2026 to assess user requirements, review current technical capacities, and identify priorities for future European NRT forest disturbance monitoring. Drawing on 127 survey responses, ten semi-structured expert interviews, and expert discussions during the workshop, this report identifies substantial heterogeneity in user expectations across stakeholder groups and geographic contexts. Stakeholders expressed strong demand for timely disturbance information, high spatial detail, disturbance-type attribution, uncertainty information, and compatibility with existing institutional workflows. At the same time, the analysis highlights several operational mismatches between these expectations and current Earth observation capabilities, including irregular data availability caused by cloud cover, snow, terrain shadows, and seasonal limitations; constraints in achieving both high spatial resolution and low latency at continental scale; and the continuing difficulty of attributing observed canopy change to specific disturbance drivers. To address these diverse requirements without</w:t>
      </w:r>
    </w:p>
    <w:p>
      <w:pPr/>
      <w:r>
        <w:rPr>
          <w:b/>
        </w:rPr>
        <w:t>POSSIBLE 2026:</w:t>
      </w:r>
      <w:r>
        <w:t xml:space="preserve"> ASSESSMENT OF THE SECURITY ARCHITECTURE: DEFINED OBJECTIVES AND ACHIEVED OUTCOMES AT THE REGIONAL LEVEL — https://doi.org/10.17721/1728-2217.2026.66.104-112</w:t>
      </w:r>
    </w:p>
    <w:p>
      <w:pPr/>
      <w:r>
        <w:rPr>
          <w:b/>
        </w:rPr>
        <w:t>Shared claim-specific concepts:</w:t>
      </w:r>
      <w:r>
        <w:t xml:space="preserve"> same, time, objectives, achieved; EU scope visible. This is a provisional connection, not an outcome finding.</w:t>
      </w:r>
    </w:p>
    <w:p>
      <w:pPr>
        <w:pStyle w:val="SourceNote"/>
      </w:pPr>
      <w:r>
        <w:rPr>
          <w:b/>
        </w:rPr>
        <w:t>Available abstract (not full text):</w:t>
      </w:r>
      <w:r>
        <w:t xml:space="preserve"> Background. The instability of the pan-European security environment caused by contemporary military‑political conflicts and systemic security crises necessitates an analysis of the degree of implementation of the defined objectives and the achieved results of the functioning of the existing treaty-based architecture of the pan-European collective security system (hereinafter referred to as the security architecture). The achieved results of the functioning reflect its level of effectiveness and viability, making it possible to assess the actual state of the contemporary pan-European security system. Methods. The research employed general scientific methods, including systemic and historical approaches for analyzing the security architecture at the regional level; the method of analysis and the comparative method for assessing the degree of implementation of the defined objectives through comparison with the actually achieved results of the functioning of the security architecture at the regional level, which were considered chronologically in order to trace the dynamics of implementation of its system of objectives. Results. It was established that the security architecture incorporated a generalized strategic objective specified through a system of interconnected partial objectives intended to ensure its implementation. At the same time, the achieved results of the functionin</w:t>
      </w:r>
    </w:p>
    <w:p>
      <w:pPr/>
      <w:r>
        <w:rPr>
          <w:b/>
        </w:rPr>
        <w:t>POSSIBLE 2026:</w:t>
      </w:r>
      <w:r>
        <w:t xml:space="preserve"> Comparison of virtual energy sharing schemes for renewable energy communities under European regulations: A mixed-use case study in Italy — https://doi.org/10.1016/j.egyr.2026.109785</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The Renewable Energy Directive (RED II) introduced Renewable Energy Communities (RECs) as a mechanism to empower local actors in the energy transition through collective renewable energy sharing. European Member States have transposed RED II into diverse regulatory frameworks and incentive schemes, leading to different approaches to electricity sharing. This study analyses the techno-economic performance of a mixed-use REC composed of a university campus and a residential district, using City Energy Analyst to simulate six scenarios combining two virtual energy sharing schemes, Virtual Self-Consumption (VSC) and Virtual Net Metering (VNM), and three ownership configurations, ranging from a centralized external producer to a distribution of prosumers. Sensitivity analyses on PV sizing and electricity market prices are also performed. Results show that VSC schemes achieve higher energy performance than static VNM schemes due to more effective matching between generation and demand, while economic outcomes remain comparable across schemes. Compared to the baseline, energy sharing increases self-consumption by up to 35% in VSC schemes and up to 25% in VNM schemes, with revenue increases of up to 20% under both schemes. Configurations involving non-residential prosumers improve self-consumption and enable higher PV penetration without a proportional loss in economic viability. At th</w:t>
      </w:r>
    </w:p>
    <w:p>
      <w:pPr/>
      <w:r>
        <w:rPr>
          <w:b/>
        </w:rPr>
        <w:t>POSSIBLE 2026:</w:t>
      </w:r>
      <w:r>
        <w:t xml:space="preserve"> Assessment of Bottom Trawl Impacts on the Status of Seabed Communities in European Seas — https://doi.org/10.1111/faf.70054</w:t>
      </w:r>
    </w:p>
    <w:p>
      <w:pPr/>
      <w:r>
        <w:rPr>
          <w:b/>
        </w:rPr>
        <w:t>Shared claim-specific concepts:</w:t>
      </w:r>
      <w:r>
        <w:t xml:space="preserve"> objectives, community, use, provides, needed, sustainable; EU scope visible. This is a provisional connection, not an outcome finding.</w:t>
      </w:r>
    </w:p>
    <w:p>
      <w:pPr>
        <w:pStyle w:val="SourceNote"/>
      </w:pPr>
      <w:r>
        <w:rPr>
          <w:b/>
        </w:rPr>
        <w:t>Available abstract (not full text):</w:t>
      </w:r>
      <w:r>
        <w:t xml:space="preserve"> ABSTRACT Bottom trawling affects seabed habitats, but its large‐scale impacts remain poorly quantified. Assessment of trawling impacts is essential to support monitoring and achieving sustainability objectives under international conventions, sustainable development goals, and seafood certification programs. We present a Europe‐wide quantitative assessment of bottom trawling impacts, accounting for regional seabed‐community sensitivity drivers, across the Baltic, Atlantic, Mediterranean and Black Sea continental shelves. Using two risk‐based indicators of seabed status—Relative Benthic Status determined as benthic community biomass relative to seabed fauna carrying capacity (RBS tot ) and RBS sen (biomass of the 10% most sensitive fauna relative to carrying capacity)—we found substantial regional and habitat differences. The Black, Baltic and Aegean‐Levantine Seas showed low trawling intensity and high seabed status across habitats. In contrast, the Western Mediterranean, Ionian and Central Mediterranean and Adriatic Seas were the most severely impacted. Trawling affected the sensitive species biomass fraction more strongly than the total community biomass. RBS tot was in good condition (here chosen as RBS &gt; 75% for epifauna) for over 79% of habitat‐ecoregion combinations. In contrast, RBS sen met this threshold in only 46% of these. A strong correlation emerged between the mea</w:t>
      </w:r>
    </w:p>
    <w:p>
      <w:pPr>
        <w:pStyle w:val="Heading2"/>
      </w:pPr>
      <w:r>
        <w:t>563. Past and Future Trends in Refugee Migration on the Regional Level in Germany – An Analysis and Projection of Labor Market Effects</w:t>
      </w:r>
    </w:p>
    <w:p>
      <w:pPr>
        <w:pStyle w:val="SourceNote"/>
      </w:pPr>
      <w:r>
        <w:rPr>
          <w:b/>
        </w:rPr>
        <w:t>Original source (2022):</w:t>
      </w:r>
      <w:r>
        <w:t xml:space="preserve"> https://doi.org/10.12765/cpos-2022-17</w:t>
      </w:r>
    </w:p>
    <w:p>
      <w:pPr/>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POSSIBLE 2026:</w:t>
      </w:r>
      <w:r>
        <w:t xml:space="preserve"> Preference-based Conditional Treatment Effects and Policy Learning — https://doi.org/10.48550/arxiv.2602.03823</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We introduce a new preference-based framework for conditional treatment effect estimation and policy learning, built on the Conditional Preference-based Treatment Effect (CPTE). CPTE requires only that outcomes be ranked under a preference rule, unlocking flexible modeling of heterogeneous effects with multivariate, ordinal, or preference-driven outcomes. This unifies applications such as conditional probability of necessity and sufficiency, conditional Win Ratio, and Generalized Pairwise Comparisons. Despite the intrinsic non-identifiability of comparison-based estimands, CPTE provides interpretable targets and delivers new identifiability conditions for previous unidentifiable estimands. We present estimation strategies via matching, quantile, and distributional regression, and further design efficient influence-function estimators to correct plug-in bias and maximize policy value. Synthetic and semi-synthetic experiments demonstrate clear performance gains and practical impact.</w:t>
      </w:r>
    </w:p>
    <w:p>
      <w:pPr/>
      <w:r>
        <w:rPr>
          <w:b/>
        </w:rPr>
        <w:t>POSSIBLE 2026:</w:t>
      </w:r>
      <w:r>
        <w:t xml:space="preserve"> IV-learner: learning conditional average treatment effects using instrumental variables — https://doi.org/10.1093/biostatistics/kxag009</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A live clinical question is: which patients benefit from intensive care unit (ICU) transfer? Motivated by this question we address the problem of estimating conditional average treatment effects (CATE) in the presence of unmeasured confounding, by leveraging instrumental variables (IVs). CATE-learners (eg R-learner) developed for settings without unmeasured confounding can readily incorporate IVs by substituting the observed exposure with first-stage predictions from a regression of treatment on IVs and covariates. Such predictions may be obtained via flexible data-adaptive methods (eg statistical or machine learning procedures) to alleviate concerns about model misspecification. However, the large regularization bias typical of data-adaptive predictions may propagate into the CATE estimates, resulting in poor accuracy. Neyman-orthogonal learners have therefore been developed, which prevent this by "insulating" the resulting CATE estimates against bias and estimation errors in these predictions. However, synthetic data simulations reveal that previously proposed Neyman-orthogonal learners for IV regression perform poorly. We remedy this problem using infinite-dimensional targeted learning, which strategically tailors first-stage predictions to perform well in their ultimate task: delivering accurate, precise CATE estimates. The resulting targeted Neyman-orthogonal learner is ea</w:t>
      </w:r>
    </w:p>
    <w:p>
      <w:pPr/>
      <w:r>
        <w:rPr>
          <w:b/>
        </w:rPr>
        <w:t>POSSIBLE 2026:</w:t>
      </w:r>
      <w:r>
        <w:t xml:space="preserve"> Unveiling the environmental impact of earthquakes in Europe — https://doi.org/10.1038/s41467-025-68120-6</w:t>
      </w:r>
    </w:p>
    <w:p>
      <w:pPr/>
      <w:r>
        <w:rPr>
          <w:b/>
        </w:rPr>
        <w:t>Shared claim-specific concepts:</w:t>
      </w:r>
      <w:r>
        <w:t xml:space="preserve"> findings,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conditional ecology of pest suppression: A general mechanistic framework for predicting landscape effects on biological control — https://doi.org/10.32942/x2894q</w:t>
      </w:r>
    </w:p>
    <w:p>
      <w:pPr/>
      <w:r>
        <w:rPr>
          <w:b/>
        </w:rPr>
        <w:t>Shared claim-specific concepts:</w:t>
      </w:r>
      <w:r>
        <w:t xml:space="preserve"> conditional, findings; EU scope not established. This is a provisional connection, not an outcome finding.</w:t>
      </w:r>
    </w:p>
    <w:p>
      <w:pPr>
        <w:pStyle w:val="SourceNote"/>
      </w:pPr>
      <w:r>
        <w:rPr>
          <w:b/>
        </w:rPr>
        <w:t>Available abstract (not full text):</w:t>
      </w:r>
      <w:r>
        <w:t xml:space="preserve"> Landscape heterogeneity often increases natural enemy abundance, yet its effects on crop pest suppression are strikingly inconsistent across empirical studies. We developed a trait-based simulation framework to identify the general mechanisms linking landscape structure to realized pest load. Across &gt;150 in silico experiments, we show that landscape attributes influence biological control by altering two early-season predator metrics: (i) the immigration rate from the surrounding landscape and (ii) the rate at which colonizing predators accumulate energy after arriving in the crop. These two conditions form universal causal pathways from landscape structure to pest suppression, but their relative importance depends on pest traits. Suppression of slow-growing, diffusely distributed pests requires high early-season energy accumulation by predators; rapidly growing and aggregated pests are controlled by increased predator immigration alone; suppression of rapid but diffuse pests requires both, and is weak even under favorable conditions. These three suppression fingerprints explain why landscape heterogeneity reliably increases natural enemy arrival yet only sometimes reduces pest load. Our results reveal a general, trait-mediated architecture—the conditional ecology of pest suppression—that reconciles inconsistent field findings, predicts when landscape heterogeneity should enhan</w:t>
      </w:r>
    </w:p>
    <w:p>
      <w:pPr/>
      <w:r>
        <w:rPr>
          <w:b/>
        </w:rPr>
        <w:t>POSSIBLE 2026:</w:t>
      </w:r>
      <w:r>
        <w:t xml:space="preserve"> Rheumatology specialist care in Europe: workforce trends and regional variations from a UEMS survey (European Union of medical specialists) — https://doi.org/10.3389/fmed.2026.1786042</w:t>
      </w:r>
    </w:p>
    <w:p>
      <w:pPr/>
      <w:r>
        <w:rPr>
          <w:b/>
        </w:rPr>
        <w:t>Shared claim-specific concepts:</w:t>
      </w:r>
      <w:r>
        <w:t xml:space="preserve"> regional; EU scope visible. This is a provisional connection, not an outcome finding.</w:t>
      </w:r>
    </w:p>
    <w:p>
      <w:pPr>
        <w:pStyle w:val="SourceNote"/>
      </w:pPr>
      <w:r>
        <w:rPr>
          <w:b/>
        </w:rPr>
        <w:t>Available abstract (not full text):</w:t>
      </w:r>
      <w:r>
        <w:t xml:space="preserve"> Background: The demand for rheumatologic specialist care is rising across Europe, driven by aging populations, earlier diagnoses, and increasingly complex treatment regimens as well as increased complexity of patients, e.g., multi-morbidity. At the same time, the speciality faces growing workforce shortages. This study aims to provide a first cross-national snapshot of rheumatology workforce supply and care structures in Europe. Methods: A structured questionnaire was distributed to the members of the Section of Rheumatology of the UEMS (Union Européenne des Médecins Spécialistes). The survey, conducted in 2021 and updated in 2023, assessed specialist numbers, work allocation, care settings, and consultation patterns across 17 European countries. Results: Data from 24 respondents representing 17 countries revealed substantial differences in rheumatology care organization. While some countries rely predominantly on hospital outpatient clinics, others favor private practice models. The number of rheumatologists ranged from 0.7 to 5.1 per 100,000 inhabitants, with marked variation in full-time equivalents (FTEs), part-time work, and gender distribution. Non-clinical duties such as administration, teaching, and research consume up to 40% of working time in some settings. Non-inflammatory musculoskeletal conditions account for approximately 23% of rheumatology consultations, though </w:t>
      </w:r>
    </w:p>
    <w:p>
      <w:pPr/>
      <w:r>
        <w:rPr>
          <w:b/>
        </w:rPr>
        <w:t>POSSIBLE 2026:</w:t>
      </w:r>
      <w:r>
        <w:t xml:space="preserve"> Conditional pathways-based climate attribution — https://doi.org/10.1007/s00382-026-08160-w</w:t>
      </w:r>
    </w:p>
    <w:p>
      <w:pPr/>
      <w:r>
        <w:rPr>
          <w:b/>
        </w:rPr>
        <w:t>Shared claim-specific concepts:</w:t>
      </w:r>
      <w:r>
        <w:t xml:space="preserve"> conditional, regional; EU scope not established. This is a provisional connection, not an outcome finding.</w:t>
      </w:r>
    </w:p>
    <w:p>
      <w:pPr>
        <w:pStyle w:val="SourceNote"/>
      </w:pPr>
      <w:r>
        <w:rPr>
          <w:b/>
        </w:rPr>
        <w:t>Available abstract (not full text):</w:t>
      </w:r>
      <w:r>
        <w:t xml:space="preserve"> Attribution of climate impacts to natural and anthropogenic source forcings is essential for understanding and addressing climate effects. While standard methods like optimal fingerprinting have been effective for attributing long-term changes, they often struggle in low signal-to-noise regimes typical of short-term forcings or with climate variables far downstream from the forcing. Single-step approaches fail to leverage additional climate information to enhance attribution certainty. To overcome these limitations, we propose a formal statistical framework that incorporates hypothesized physical pathways linking source forcings to downstream impacts. By establishing relationships based on scalar features and simple forcing response models, we create a series of conditional probabilities that describe the likelihood of the final impact. This method captures both primary and secondary processes by which the downstream impact evolves. Through hypothesis testing in a likelihood ratio framework, we demonstrate improved attribution confidence for source magnitudes in low signal-to-noise scenarios. Using the 1991 eruption of Mt. Pinatubo as a case study, we show that incorporating near-surface temperature and top-of-atmosphere radiative flux measurements enhances attribution certainty compared to analyses based solely on temperature, even at seasonal and regional scales. This framewo</w:t>
      </w:r>
    </w:p>
    <w:p>
      <w:pPr/>
      <w:r>
        <w:rPr>
          <w:b/>
        </w:rPr>
        <w:t>POSSIBLE 2026:</w:t>
      </w:r>
      <w:r>
        <w:t xml:space="preserve"> Readiness, Not Restriction: Firm Size, Digital Infrastructure, And the Conditional Effect of Regulatory Intensity on Enterprise AI Adoption in the European Union — https://doi.org/10.51584/ijrias.2026.11080170</w:t>
      </w:r>
    </w:p>
    <w:p>
      <w:pPr/>
      <w:r>
        <w:rPr>
          <w:b/>
        </w:rPr>
        <w:t>Shared claim-specific concepts:</w:t>
      </w:r>
      <w:r>
        <w:t xml:space="preserve"> conditional, findings, suggest, does, not; EU scope visible. This is a provisional connection, not an outcome finding.</w:t>
      </w:r>
    </w:p>
    <w:p>
      <w:pPr>
        <w:pStyle w:val="SourceNote"/>
      </w:pPr>
      <w:r>
        <w:rPr>
          <w:b/>
        </w:rPr>
        <w:t>Available abstract (not full text):</w:t>
      </w:r>
      <w:r>
        <w:t xml:space="preserve"> This paper examines why European Union member states with broadly similar regulatory environments show large differences in enterprise adoption of artificial intelligence (AI). Using a ten-country sample drawn from Eurostat's Community Survey on ICT Usage in Enterprises (2023–2025) and the OECD Digital Services Trade Restrictiveness Index (Digital STRI), we test whether firm size, digital infrastructure readiness, and regulatory intensity explain differences in AI adoption across countries and firm-size classes. An initial specification, built by pooling nine conceptually distinct Eurostat AI-use indicators, several measuring non-adoption rather than adoption, and two incompatible denominators into a single dependent variable, produced results that could not be interpreted as measuring AI adoption. After restricting the sample to a single, comparably defined indicator, the usable sample fell from 731 to 65 observations. Because the corrected sample contains only ten country clusters, we cross-check conventional cluster-robust inference against a t-distribution correction and a wild cluster bootstrap using the full population of sign-flip permutations. Under this stricter inference, small and medium enterprises show a robust adoption gap of 10 to 14 percentage points relative to large enterprises, while the interaction between regulatory intensity and firm size remains significa</w:t>
      </w:r>
    </w:p>
    <w:p>
      <w:pPr/>
      <w:r>
        <w:rPr>
          <w:b/>
        </w:rPr>
        <w:t>POSSIBLE 2026:</w:t>
      </w:r>
      <w:r>
        <w:t xml:space="preserve"> Federated cross-biobank conditional analysis identifies LDL-C lowering effects of DNAJC13 haploinsufficiency and LDLR regulation — https://doi.org/10.64898/2026.02.03.702791</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Abstract Whole genome sequencing in diverse population-scale biobanks offers new insights into the genetic architecture of complex traits from rare and non-coding variants. However, rare single variant and aggregate associations are often confounded by linkage disequilibrium and haplotype structure, resulting in large numbers of false-positive associations. Previous methods that rely on reference panels or linkage disequilibrium-matrices to determine conditional independence in meta-analyses do not scale to very rare variants, which may be observed in only one biobank and can exhibit long-range haplotypes. Here, we implement a federated approach to perform iterative conditional meta-analysis on individual-level genotype and phenotype data across biobanks while adhering to data sharing policies. We applied our methodology to a meta-analysis of LDL-C in 614,375 individuals from UK Biobank and All of Us, encompassing six genetic ancestry groups. After conditioning, only 4.3% of significantly associated rare single variants and 6.9% of aggregates remained statistically independent. The proportion of significant aggregates that remained independent after conditioning was higher for coding-based tests than non-coding. We further validate that our approach effectively suppresses false-positive associations using simulations centred on the LDLR locus. We identify allelic series of vari</w:t>
      </w:r>
    </w:p>
    <w:p>
      <w:pPr/>
      <w:r>
        <w:rPr>
          <w:b/>
        </w:rPr>
        <w:t>POSSIBLE 2026:</w:t>
      </w:r>
      <w:r>
        <w:t xml:space="preserve"> The drivers and the barriers of incoming remittance flows in Europe: Analysis at the regional level — https://doi.org/10.12775/bgss-2026-0011</w:t>
      </w:r>
    </w:p>
    <w:p>
      <w:pPr/>
      <w:r>
        <w:rPr>
          <w:b/>
        </w:rPr>
        <w:t>Shared claim-specific concepts:</w:t>
      </w:r>
      <w:r>
        <w:t xml:space="preserve"> corresponding, regional, demographic, findings, not, regions; EU scope visible. This is a provisional connection, not an outcome finding.</w:t>
      </w:r>
    </w:p>
    <w:p>
      <w:pPr>
        <w:pStyle w:val="SourceNote"/>
      </w:pPr>
      <w:r>
        <w:rPr>
          <w:b/>
        </w:rPr>
        <w:t>Available abstract (not full text):</w:t>
      </w:r>
      <w:r>
        <w:t xml:space="preserve"> The paper compiles a Poisson Pseudo-Maximum Likelihood econometric model aiming at detecting and assessing the drivers and the barriers of incoming remittance flows in Europe. The analysis focuses on 297 NUTS 2 level regions and covers the period 2010–2018. For the needs of the analysis, the paper compiles a dataset with interregional remittance flows “regionalising” the corresponding country-level data. The findings of the paper offer substantial insight into the roles of economic, demographic, geographical and institutional factors, not only enriching the discourse in economic integration theory but also presenting practical implications for policymakers engaged in regional economic planning and integration strategies.</w:t>
      </w:r>
    </w:p>
    <w:p>
      <w:pPr/>
      <w:r>
        <w:rPr>
          <w:b/>
        </w:rPr>
        <w:t>POSSIBLE 2026:</w:t>
      </w:r>
      <w:r>
        <w:t xml:space="preserve"> Nowcasting maps of F2-layer basic maximum usable frequency and corresponding skip distances over the European region — https://doi.org/10.1016/j.asr.2026.09.053</w:t>
      </w:r>
    </w:p>
    <w:p>
      <w:pPr/>
      <w:r>
        <w:rPr>
          <w:b/>
        </w:rPr>
        <w:t>Shared claim-specific concepts:</w:t>
      </w:r>
      <w:r>
        <w:t xml:space="preserve"> calculate, corresponding, not; EU scope visible. This is a provisional connection, not an outcome finding.</w:t>
      </w:r>
    </w:p>
    <w:p>
      <w:pPr>
        <w:pStyle w:val="SourceNote"/>
      </w:pPr>
      <w:r>
        <w:rPr>
          <w:b/>
        </w:rPr>
        <w:t>Available abstract (not full text):</w:t>
      </w:r>
      <w:r>
        <w:t xml:space="preserve"> This work presents the IRI&amp;LKW new UP procedure, which generates nowcasting maps of the F2-layer basic maximum usable frequency (MUF) and corresponding skip distances over Europe. IRI&amp;LKW new UP is a four-step procedure based on: (1) deriving two effective values of the 12-month running mean of the sunspot number ( R 12) according to autoscaled fo F2 and M (3000)F2 ionosonde measurements; (2) using these two values of R 12 as input for the International Reference Ionosphere (IRI) model to calculate the ordinary critical frequencies fo E and fo F2 of the E and F2 layers, respectively, and the obliquity factor M (3000)F2; (3) feeding the Lockwood algorithm with these values of fo E, fo F2, and M (3000)F2 to compute a discrete grid of MUF values; and (4) mapping these grids of values to generate nowcasting maps of MUF and corresponding skip distances. The maps cover the European sector from 9°W to 45°E in longitude and from 34°N to 65°N in latitude, with a 1°×1° spatial resolution, with 15-minute time resolution. They are centered on six selected transmitting points: Stockholm (18.1°E, 59.3°N), Warsaw (21.1°E, 52.2°N), Pruhonice (14.6°E, 50.0°N), Paris (2.3°E, 48.8°N), Rome (12.5°E, 41.9°N), and Athens (23.7°E, 37.9°N). The internal consistency of the IRI&amp;LKW new UP procedure and its sensitivity to storm-time departures from climatology are assessed by comparing MUF maps retrospec</w:t>
      </w:r>
    </w:p>
    <w:p>
      <w:pPr/>
      <w:r>
        <w:rPr>
          <w:b/>
        </w:rPr>
        <w:t>POSSIBLE 2026:</w:t>
      </w:r>
      <w:r>
        <w:t xml:space="preserve"> The effects of family caregiving on depression outcomes among older adults in Europe — https://doi.org/10.82308/55794</w:t>
      </w:r>
    </w:p>
    <w:p>
      <w:pPr/>
      <w:r>
        <w:rPr>
          <w:b/>
        </w:rPr>
        <w:t>Shared claim-specific concepts:</w:t>
      </w:r>
      <w:r>
        <w:t xml:space="preserve"> estimation, not; EU scope visible. This is a provisional connection, not an outcome finding.</w:t>
      </w:r>
    </w:p>
    <w:p>
      <w:pPr>
        <w:pStyle w:val="SourceNote"/>
      </w:pPr>
      <w:r>
        <w:rPr>
          <w:b/>
        </w:rPr>
        <w:t>Available abstract (not full text):</w:t>
      </w:r>
      <w:r>
        <w:t xml:space="preserve"> BackgroundWith adults aged 60 and over projected to comprise 22% of the global population by 2050, the reliance on unpaid family caregiving is increasing, as most care work for older adults is done by family members. Existing studies estimating the mental health consequences of caregiving often apply traditional regression adjustment approaches; however, this approach is likely biased when a confounder is influenced by prior caregiving status. This project evaluates the effect of caregiving on depression using g-methods to account for time-varying confounding and further examines the effects of paid family leave (PFL) policies in different European countries on the depression and quality of life measures using a difference-in-differences (DiD) approach. Objectives• Estimate the causal effect of caregiving on probable depression using an inverse probability weighted (IPW) marginal structural model (MSM).• Assess the cumulative effect of caregiving on depression and simulate the effect of an unconditional cash transfer policy using the parametric g-formula.• Evaluate the impact of national paid family leave (PFL) policies on caregivers’ depression and quality of life outcomes using a DiD approach.MethodsAll analyses used harmonized data from 8 waves (2004–2022) of the Survey of Health, Ageing and Retirement in Europe (SHARE) of adults aged 50 or above. Caregiving exposure was cat</w:t>
      </w:r>
    </w:p>
    <w:p>
      <w:pPr/>
      <w:r>
        <w:rPr>
          <w:b/>
        </w:rPr>
        <w:t>POSSIBLE 2026:</w:t>
      </w:r>
      <w:r>
        <w:t xml:space="preserve"> Exploring the Next Level of Boardroom Independence: Are Boards and Committees Driving Firm Performance or Risk in Western Europe? — https://doi.org/10.3390/jrfm19060387</w:t>
      </w:r>
    </w:p>
    <w:p>
      <w:pPr/>
      <w:r>
        <w:rPr>
          <w:b/>
        </w:rPr>
        <w:t>Shared claim-specific concepts:</w:t>
      </w:r>
      <w:r>
        <w:t xml:space="preserve"> next, findings, suggest; EU scope visible. This is a provisional connection, not an outcome finding.</w:t>
      </w:r>
    </w:p>
    <w:p>
      <w:pPr>
        <w:pStyle w:val="SourceNote"/>
      </w:pPr>
      <w:r>
        <w:rPr>
          <w:b/>
        </w:rPr>
        <w:t>Available abstract (not full text):</w:t>
      </w:r>
      <w:r>
        <w:t xml:space="preserve"> This research responds to recent calls to explore the independence conditions under which boards’ leadership becomes economically meaningful for performance and risk in continental European governance systems. Using an unbalanced panel dataset of 223 non-financial publicly listed companies from Western Europe over 10 years between 2015 and 2024, this research examines how boards and their committee independence influence return on assets and return on equity, return volatility, indebtedness and liquidity volatility. Econometric methods include OLS regressions, industry fixed effects, linear and nonlinear models, including alternative specifications. The results highlight a U-shaped relationship between board and audit committee independence and operational efficiency, consistent with the critical mass interpretation. Board, audit and nomination committee independence reduce return volatility, reflected in a linear relationship. Audit committee independence is likely to reduce indebtedness beyond a balanced level, while the relationship of nomination committee independence with debt level is linear and negative across specifications. All governance mechanisms related to independence exhibit nonlinear relationships with liquidity volatility, with an immediate negative effect, while excessive independence oversight reduces their marginal effect. The findings suggest the existence </w:t>
      </w:r>
    </w:p>
    <w:p>
      <w:pPr>
        <w:pStyle w:val="Heading2"/>
      </w:pPr>
      <w:r>
        <w:t>564. Policy Modelling for Ambitious Energy Efficiency Investment in the EU Residential Buildings</w:t>
      </w:r>
    </w:p>
    <w:p>
      <w:pPr>
        <w:pStyle w:val="SourceNote"/>
      </w:pPr>
      <w:r>
        <w:rPr>
          <w:b/>
        </w:rPr>
        <w:t>Original source (2022):</w:t>
      </w:r>
      <w:r>
        <w:t xml:space="preserve"> https://doi.org/10.3390/en15062233</w:t>
      </w:r>
    </w:p>
    <w:p>
      <w:pPr/>
      <w:r>
        <w:t>Original wording (abstract; indexed_source_text_not_full_document_verified): This paper presents the challenges of increasing the energy efficiency investments in European Union (EU) residential buildings in the context of achieving climate neutrality by 2050.</w:t>
      </w:r>
    </w:p>
    <w:p>
      <w:pPr/>
      <w:r>
        <w:rPr>
          <w:b/>
        </w:rPr>
        <w:t>POSSIBLE 2026:</w:t>
      </w:r>
      <w:r>
        <w:t xml:space="preserve"> The Geopolitical Shift and the Challenge to European Integration — https://doi.org/10.1007/978-3-032-18648-5_1</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In the introductory chapter of the book, the authors discuss the implications for the European Union (EU) of the transformation of the international system and the return of geopolitics. Since the mid-2010s, the international system has undergone a fundamental shift away from a liberal world order towards an alternative order characterised by great-power rivalry, which presents major challenges for the EU’s competitiveness, security, and green transition. The chapter highlights the transformation of the global order by examining the origins of geopolitics. It then proceeds to analyse the measures that the EU has adopted so far to address the challenges posed by a geopolitically driven international system. The chapter concludes with an overview of the subsequent chapters of the book which, from various perspectives, examine how the EU is navigating the geopolitical shift.</w:t>
      </w:r>
    </w:p>
    <w:p>
      <w:pPr/>
      <w:r>
        <w:rPr>
          <w:b/>
        </w:rPr>
        <w:t>POSSIBLE 2026:</w:t>
      </w:r>
      <w:r>
        <w:t xml:space="preserve"> The Future of European Integration : Challenges and Opportunities — https://openalex.org/W7221381007</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The European Union has reached a crossroads. Its future development — even its survival — faces fundamental challenges in a turbulent global environment. As unity and effective action are imperative, the EU’s genuine renewal cannot be postponed. This volume offers a new narrative for European integration that recognises the heterogeneity of the member states, particularly as the Union expands to include the Western Balkans, Ukraine, Georgia, and Moldova. Contributions from leading academic and policy experts discuss the reforms and policies needed to address these challenges and harness emerging opportunities. By considering economic, social, institutional, and environmental aspects of development, the book presents a vision for a fair and sustainable European Union. It focuses on economic prosperity, the green transition, global geopolitics, social protection, innovation, and institutional reforms. In an era of geoeconomic fragmentation, the EU’s unity and effective action are imperative. This open-access book will be relevant to students, researchers, and policymakers interested in comparative and international economics and European studies.</w:t>
      </w:r>
    </w:p>
    <w:p>
      <w:pPr/>
      <w:r>
        <w:rPr>
          <w:b/>
        </w:rPr>
        <w:t>POSSIBLE 2026:</w:t>
      </w:r>
      <w:r>
        <w:t xml:space="preserve"> Europe between Christian Heritage and Religious Pluralism: The Challenge of European Islam — https://doi.org/10.67282/as.2026.1.07</w:t>
      </w:r>
    </w:p>
    <w:p>
      <w:pPr/>
      <w:r>
        <w:rPr>
          <w:b/>
        </w:rPr>
        <w:t>Shared claim-specific concepts:</w:t>
      </w:r>
      <w:r>
        <w:t xml:space="preserve"> challenges, increasing, context; EU scope visible. This is a provisional connection, not an outcome finding.</w:t>
      </w:r>
    </w:p>
    <w:p>
      <w:pPr>
        <w:pStyle w:val="SourceNote"/>
      </w:pPr>
      <w:r>
        <w:rPr>
          <w:b/>
        </w:rPr>
        <w:t>Available abstract (not full text):</w:t>
      </w:r>
      <w:r>
        <w:t xml:space="preserve"> This study examines the relationship between European identity and the growing presence of Islam in contemporary Europe. Drawing on theories of social identity, particularly the work of James D. Fearon, the article investigates whether Europe can still be understood as a Christian civilization in a context marked by secularization, demographic change, and religious pluralism. The first part analyzes the concept of identity and the historical role of Christianity in shaping European civilization. The second part explores the development of European Islam and evaluates the cultural and theological challenges generated by the increasing Muslim presence within European societies. Particular attention is given to debates concerning multiculturalism, secularism, religious symbols in public space, and Christian-Muslim dialogue. The article argues that although Christianity remains a foundational element of European historical identity, contemporary Europe can no longer be adequately described through exclusively Christian categories. Instead, European identity is increasingly shaped by the interaction between its Christian heritage, secular democratic values, and religious diversity. The study concludes that constructive dialogue and mutual recognition offer the most viable framework for peaceful coexistence and social cohesion in contemporary Europe.</w:t>
      </w:r>
    </w:p>
    <w:p>
      <w:pPr/>
      <w:r>
        <w:rPr>
          <w:b/>
        </w:rPr>
        <w:t>POSSIBLE 2026:</w:t>
      </w:r>
      <w:r>
        <w:t xml:space="preserve"> The Inoperability of Investment Treaties within Europe: CJEU Jurisprudence and Its Impact on Investment Arbitration — https://openalex.org/W7113066800</w:t>
      </w:r>
    </w:p>
    <w:p>
      <w:pPr/>
      <w:r>
        <w:rPr>
          <w:b/>
        </w:rPr>
        <w:t>Shared claim-specific concepts:</w:t>
      </w:r>
      <w:r>
        <w:t xml:space="preserve"> presents, union, context; EU scope visible. This is a provisional connection, not an outcome finding.</w:t>
      </w:r>
    </w:p>
    <w:p>
      <w:pPr>
        <w:pStyle w:val="SourceNote"/>
      </w:pPr>
      <w:r>
        <w:rPr>
          <w:b/>
        </w:rPr>
        <w:t>Available abstract (not full text):</w:t>
      </w:r>
      <w:r>
        <w:t xml:space="preserve"> Starting with Van Gend en Loos, the Court of Justice of the European (hereinafter "CJEU") has played an important role in ensuring that the European legal order is consistent with international law. 3 However, some CJEU decisions potentially contradict EU Member States' obligations under investment treaties.Beginning with the landmark ruling in the Achmea case, the much-discussed Komstroy line of decisions further demonstrates the incompatibility between the European Union legal order and the obligations that Member States have undertaken in certain international treaties.4 This article argues that the jurisprudence of the CJEU had a reverse effect on the application of the competence-competence and arbitrability principles within the EU in the context of arbitral jurisdiction.Specifically, when matters involving European Union law are at stake, the principles are applied more restrictively than in the United States or other jurisdictions globally.As a result, arbitral tribunals are effectively deprived of the authority to determine their jurisdiction when interpreting or applying EU law.In such cases, the answer to whether arbitral tribunals may assert jurisdiction becomes, by default, negative.Moreover, it decreased the scope of matters that are arbitrable.As discussed in this article, all these developments arising from recent CJEU judgments further exacerbate the legitimacy</w:t>
      </w:r>
    </w:p>
    <w:p>
      <w:pPr/>
      <w:r>
        <w:rPr>
          <w:b/>
        </w:rPr>
        <w:t>POSSIBLE 2026:</w:t>
      </w:r>
      <w:r>
        <w:t xml:space="preserve"> Internal Audit Function and Investment Efficiency in Nigerian Manufacturing Companies — https://doi.org/10.67862/nahj.2026.9qpm39t7</w:t>
      </w:r>
    </w:p>
    <w:p>
      <w:pPr/>
      <w:r>
        <w:rPr>
          <w:b/>
        </w:rPr>
        <w:t>Shared claim-specific concepts:</w:t>
      </w:r>
      <w:r>
        <w:t xml:space="preserve"> presents, efficiency, context; EU scope not established. This is a provisional connection, not an outcome finding.</w:t>
      </w:r>
    </w:p>
    <w:p>
      <w:pPr>
        <w:pStyle w:val="SourceNote"/>
      </w:pPr>
      <w:r>
        <w:rPr>
          <w:b/>
        </w:rPr>
        <w:t>Available abstract (not full text):</w:t>
      </w:r>
      <w:r>
        <w:t xml:space="preserve"> This study examined the relationship between Internal Audit Function (risk management, internal control, governance) and Investment Efficiency in Nigerian manufacturing companies. Globally, investment efficiency is recognized as vital in the financial success and sustainability of businesses across various industries. Despite this recognized importance, there is scant research specifically examining its determinants. While internal audit is widely acknowledged as a critical function within organizations, its specific role in influencing investment efficiency remains largely unexplored, particularly in the context of Nigerian manufacturing companies. This knowledge gap presents a significant challenge for manufacturing companies seeking to enhance investment decision-making processes and sustainable growth within the sector, hence this research. The study employed a cross-sectional field survey research design and primary data was used. Data was collected through the administration of copies of questionnaire to staff of selected companies. Population of the study comprised 1,959 staff of the 4 manufacturing companies examined - two in the southern and the other two in the northern part of the country. Slovin’s formula was used to determine a sample size of 332. Multiple Linear Regression was applied. Result revealed that there is significant relationship between risk management,</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Tropical viruses – challenges of modern medicine andlaboratory diagnostics — https://doi.org/10.5604/01.3001.0055.5927</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pPr/>
      <w:r>
        <w:rPr>
          <w:b/>
        </w:rPr>
        <w:t>POSSIBLE 2025:</w:t>
      </w:r>
      <w:r>
        <w:t xml:space="preserve"> Editorial: Ex situ conservation of plant genetic resources in Europe – A journey through history, mission, challenges and future opportunities — https://doi.org/10.46265/genresj.blds6319</w:t>
      </w:r>
    </w:p>
    <w:p>
      <w:pPr/>
      <w:r>
        <w:rPr>
          <w:b/>
        </w:rPr>
        <w:t>Shared claim-specific concepts:</w:t>
      </w:r>
      <w:r>
        <w:t xml:space="preserve"> presents, challenges, efficiency; EU scope visible. This is a provisional connection, not an outcome finding.</w:t>
      </w:r>
    </w:p>
    <w:p>
      <w:pPr>
        <w:pStyle w:val="SourceNote"/>
      </w:pPr>
      <w:r>
        <w:rPr>
          <w:b/>
        </w:rPr>
        <w:t>Available abstract (not full text):</w:t>
      </w:r>
      <w:r>
        <w:t xml:space="preserve">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challenges, energy;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ESG Disclosure, Market Forces, and Investment Efficiency — https://doi.org/10.2308/tar-2023-0707</w:t>
      </w:r>
    </w:p>
    <w:p>
      <w:pPr/>
      <w:r>
        <w:rPr>
          <w:b/>
        </w:rPr>
        <w:t>Shared claim-specific concepts:</w:t>
      </w:r>
      <w:r>
        <w:t xml:space="preserve"> efficiency, investments, climate; EU scope not established. This is a provisional connection, not an outcome finding.</w:t>
      </w:r>
    </w:p>
    <w:p>
      <w:pPr>
        <w:pStyle w:val="SourceNote"/>
      </w:pPr>
      <w:r>
        <w:rPr>
          <w:b/>
        </w:rPr>
        <w:t>Available abstract (not full text):</w:t>
      </w:r>
      <w:r>
        <w:t xml:space="preserve"> ABSTRACT This paper examines the impact of environmental, social, and governance (ESG) disclosure on firm investment. The analysis characterizes the optimal precision of ESG disclosure that channels investors’ tastes for ESG into firm investment. Although it is tempting to think that the optimal ESG disclosure becomes more precise when investors care more about ESG, I show this intuition is incomplete because it overlooks the fact that stronger tastes for ESG change how investors use information. Applying the analysis to a large economy, I show that mandating more precise climate disclosure than would be voluntarily provided motivates self-interested firms to act on common interests in reducing emissions. That is, a regulator can leverage market forces and a disclosure mandate to achieve a similar result as a Pigovian tax in motivating firms to internalize the externalities created by their climate-related investments. JEL Classifications: D82; G14; M41.</w:t>
      </w:r>
    </w:p>
    <w:p>
      <w:pPr/>
      <w:r>
        <w:rPr>
          <w:b/>
        </w:rPr>
        <w:t>POSSIBLE 2025:</w:t>
      </w:r>
      <w:r>
        <w:t xml:space="preserve"> Coal Consumption Efficiency in the European Union—Trends and Challenges — https://doi.org/10.3390/en18164273</w:t>
      </w:r>
    </w:p>
    <w:p>
      <w:pPr/>
      <w:r>
        <w:rPr>
          <w:b/>
        </w:rPr>
        <w:t>Shared claim-specific concepts:</w:t>
      </w:r>
      <w:r>
        <w:t xml:space="preserve"> challenges, energy, efficiency, union, climate; EU scope visible. This is a provisional connection, not an outcome finding.</w:t>
      </w:r>
    </w:p>
    <w:p>
      <w:pPr>
        <w:pStyle w:val="SourceNote"/>
      </w:pPr>
      <w:r>
        <w:rPr>
          <w:b/>
        </w:rPr>
        <w:t>Available abstract (not full text):</w:t>
      </w:r>
      <w:r>
        <w:t xml:space="preserve"> Coal plays a significant role in the economies of many countries and serves as an energy source for numerous societies. However, its combustion causes various environmental problems and contributes to climate change. This article examines the efficiency of coal consumption in 26 European Union countries and its changes from 2014 to 2022. Data Envelopment Analysis (DEA) methodology was applied to measure the extent of overall technical, pure technical, and scale technical efficiency, based on data concerning three production factors (labour, fixed assets, and energy), with GDP as a desirable output and CO2 emissions as an undesirable output. The empirical findings revealed that Cyprus, Denmark, Luxembourg, and Poland were efficiency leaders throughout the entire study period. France, Germany, Italy, and the Netherlands managed energy and non-energy resources efficiently but were found inefficient in terms of operational scale. Countries that do not use their resources at optimal levels in the production of goods and services should provide greater technical and financial support to their production processes and improve the organisation and structure of labour.</w:t>
      </w:r>
    </w:p>
    <w:p>
      <w:pPr/>
      <w:r>
        <w:rPr>
          <w:b/>
        </w:rPr>
        <w:t>POSSIBLE 2025:</w:t>
      </w:r>
      <w:r>
        <w:t xml:space="preserve"> Sustainable technological innovations in agriculture: Financial challenges and investment priorities under the European Green Deal — https://doi.org/10.1016/j.jenvman.2025.126150</w:t>
      </w:r>
    </w:p>
    <w:p>
      <w:pPr/>
      <w:r>
        <w:rPr>
          <w:b/>
        </w:rPr>
        <w:t>Shared claim-specific concepts:</w:t>
      </w:r>
      <w:r>
        <w:t xml:space="preserve"> challenges, increasing, energy, efficiency; EU scope visible. This is a provisional connection, not an outcome finding.</w:t>
      </w:r>
    </w:p>
    <w:p>
      <w:pPr>
        <w:pStyle w:val="SourceNote"/>
      </w:pPr>
      <w:r>
        <w:rPr>
          <w:b/>
        </w:rPr>
        <w:t>Available abstract (not full text):</w:t>
      </w:r>
      <w:r>
        <w:t xml:space="preserve"> This study explores the important financial challenges faced by Spanish agricultural and livestock companies to meet stringent environmental regulations without compromising their competitiveness. Using a Delphi method integrated with a systematic literature review, the research identifies key sustainable technological innovations (STIs) that require significant financial investment. Priority STIs include renewable energy sources, water use efficiency, by-product management, alternative fertilizers, and digital technologies, among others, each of which plays a key role in mitigating environmental impacts and aligning with overarching European sustainability frameworks, notably the European Green Deal and the 2030 Agenda for Sustainable Development. The findings support the formulation of specific policy recommendations aimed at overcoming the financial constraints that hinder the adoption of STIs. These include designing progressive financing schemes, launching green credit lines with subsidized interest rates, and increasing agri-environmental subsidies linked to STIs adoption. Furthermore, the study advocates the expansion of public-private investment frameworks and the establishment of technical advisory services to support producers in the selection, integration and implementation of appropriate technologies. These measures are essential to reduce economic barriers and acce</w:t>
      </w:r>
    </w:p>
    <w:p>
      <w:pPr>
        <w:pStyle w:val="Heading2"/>
      </w:pPr>
      <w:r>
        <w:t>565. Soil Governance in current European Union Law and in the European Green Deal</w:t>
      </w:r>
    </w:p>
    <w:p>
      <w:pPr>
        <w:pStyle w:val="SourceNote"/>
      </w:pPr>
      <w:r>
        <w:rPr>
          <w:b/>
        </w:rPr>
        <w:t>Original source (2022):</w:t>
      </w:r>
      <w:r>
        <w:t xml:space="preserve"> https://doi.org/10.1016/j.soisec.2022.100053</w:t>
      </w:r>
    </w:p>
    <w:p>
      <w:pPr/>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POSSIBLE 2026:</w:t>
      </w:r>
      <w:r>
        <w:t xml:space="preserve"> Daylight illuminance modelling for the United Kingdom and Europe — https://doi.org/10.17869/enu.288937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This thesis highlights the benefits to occupants and owners of buildings who utilise daylight effectively. Many cases of absence are related to depression or Seasonal Adjustment Disorder(SAD) which results from inadequate exposure to daylight in the work place. The use of artificial lights has been linked to minor as well as more serious ailments such as cancer and increases in cases of miscarriage. The use of daylight in buildings from economic and environmental perspectives is the main concern of the thesis. The work and analysis of this thesis have produced two new illuminance models. In addition detailed illuminance and irradiance data for Central Scotland were recorded which has previously not been available. A comprehensive study of luminous efficacy research was undertaken in Chapter 3 which evaluated a complete range of models. Furthermore the luminous efficacy of various UK and international sites were compared to examine climatic differences. The development of a new slope illuminance model which more accurately predicts external illuminance for all sky conditions was shown to perform consistently better than previous models. This was due to the new model's treatment of the sky background diffuse component utilising an anisotropic form as opposed to the traditional assumption of an isotropic sky background diffuse component. The availability of sky luminance distribut</w:t>
      </w:r>
    </w:p>
    <w:p>
      <w:pPr/>
      <w:r>
        <w:rPr>
          <w:b/>
        </w:rPr>
        <w:t>POSSIBLE 2026:</w:t>
      </w:r>
      <w:r>
        <w:t xml:space="preserve"> Europe in the Indo-Pacific - Implications for the United States — https://openalex.org/W7163460510</w:t>
      </w:r>
    </w:p>
    <w:p>
      <w:pPr/>
      <w:r>
        <w:rPr>
          <w:b/>
        </w:rPr>
        <w:t>Shared claim-specific concepts:</w:t>
      </w:r>
      <w:r>
        <w:t xml:space="preserve"> united, implications; EU scope visible. This is a provisional connection, not an outcome finding.</w:t>
      </w:r>
    </w:p>
    <w:p>
      <w:pPr>
        <w:pStyle w:val="SourceNote"/>
      </w:pPr>
      <w:r>
        <w:rPr>
          <w:b/>
        </w:rPr>
        <w:t>Available abstract (not full text):</w:t>
      </w:r>
      <w:r>
        <w:t xml:space="preserve"> Within the last five years the Indo-Pacific has become a region of increasing interest to European NATO members. In particular, the United Kingdom, France, and Italy have assigned strategic importance for their national security to the region, signing cooperative agreements with regional allies of the United States and deploying significant forces to the region. These agreements include commitments to jointly develop new technologies and combat systems for employment in both Europe and the Indo-Pacific, such as the Global Combat Air Programme (GCAP), and the Trilateral security partnership between Australia, the United Kingdom, and the United States (AUKUS). They also include commitments to the forward-deployment of military capabilities to the region, along with a regular presence of European Carrier Strike Groups. The United Kingdom, France, and Italy are the three next largest naval powers in NATO after the United States and contribute considerably to NATO’s security in Europe. The degree of resources each invests in the Indo-Pacific region could impact their ability to perform their traditional roles in European security, while also weighing on the strategic calculus in the Indo-Pacific. Each nation has their own reasons and strategies for engaging in the region, with varying degrees of commitment and intended scale of engagement. It is important for the United States to un</w:t>
      </w:r>
    </w:p>
    <w:p>
      <w:pPr/>
      <w:r>
        <w:rPr>
          <w:b/>
        </w:rPr>
        <w:t>POSSIBLE 2026:</w:t>
      </w:r>
      <w:r>
        <w:t xml:space="preserve"> The ethics of agenda setting — https://doi.org/10.1007/s11229-026-05586-x</w:t>
      </w:r>
    </w:p>
    <w:p>
      <w:pPr/>
      <w:r>
        <w:rPr>
          <w:b/>
        </w:rPr>
        <w:t>Shared claim-specific concepts:</w:t>
      </w:r>
      <w:r>
        <w:t xml:space="preserve"> agenda, set, process, although, not; EU scope not established. This is a provisional connection, not an outcome finding.</w:t>
      </w:r>
    </w:p>
    <w:p>
      <w:pPr>
        <w:pStyle w:val="SourceNote"/>
      </w:pPr>
      <w:r>
        <w:rPr>
          <w:b/>
        </w:rPr>
        <w:t>Available abstract (not full text):</w:t>
      </w:r>
      <w:r>
        <w:t xml:space="preserve"> Agenda setting is the process through which certain issues emerge as objects of collective attention in public discourse and policymaking. How the agenda is set is extremely important. Attention to a given issue is a precondition for political action; an issue can only be addressed either by the public or by policymakers if it is on the agenda. This raises the normative question of how the agenda should be set. Political philosophers have not yet extensively engaged with this question. Although vast empirical scholarship exists on how the agenda is set, the corresponding normative question of how the agenda should be set, remains largely unaddressed. In this paper I outline a theory of good agenda setting. I argue that good agenda setting, on the one hand, is organized so as to ensure the egalitarian distribution of agenda influence in society, and, on the other hand, it produces agendas which promote certain instrumental as well as non-instrumental values.</w:t>
      </w:r>
    </w:p>
    <w:p>
      <w:pPr/>
      <w:r>
        <w:rPr>
          <w:b/>
        </w:rPr>
        <w:t>POSSIBLE 2026:</w:t>
      </w:r>
      <w:r>
        <w:t xml:space="preserve"> Synthesizing agendas: mapping the transformative potential of generative AI for agenda setting effects — https://doi.org/10.1007/s44382-026-00025-4</w:t>
      </w:r>
    </w:p>
    <w:p>
      <w:pPr/>
      <w:r>
        <w:rPr>
          <w:b/>
        </w:rPr>
        <w:t>Shared claim-specific concepts:</w:t>
      </w:r>
      <w:r>
        <w:t xml:space="preserve"> all, agenda, set, implications; EU scope not established. This is a provisional connection, not an outcome finding.</w:t>
      </w:r>
    </w:p>
    <w:p>
      <w:pPr>
        <w:pStyle w:val="SourceNote"/>
      </w:pPr>
      <w:r>
        <w:rPr>
          <w:b/>
        </w:rPr>
        <w:t>Available abstract (not full text):</w:t>
      </w:r>
      <w:r>
        <w:t xml:space="preserve"> Abstract From an agenda-setting perspective, the present study compares the structure of issue, candidate, and party emphasis in AI chatbot responses during the 2025 Norwegian election campaign with content from search engines and news websites. The study shows that when users employ conventional queries in AI chatbots, the issue and candidate saliences are very similar in chatbots, search engines, and editorial news media content; the main difference is that AI chatbots give roughly similar attention to all major parties rather than focusing the large parties like the news media. When using less conventional queries that feed personal information, e.g. about one’s occupation or ideology, the AI chatbots significantly shift their focus and emphasize a query-specific set of issues and parties. An accompanying small-scale voter survey finds that current impact of AI chatbots is low due to limited user adoption and dominance of conventional prompts that would lead to issue, party, and candidate saliences similar to those in the editorial news media. The already visible potential for users and chatbots to co-create an entry point into self-reinforcing spirals of partisan selectivity warrants attention. Further normative implications of this potential are discussed.</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all, united, agenda, process, goal, not;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2025:</w:t>
      </w:r>
      <w:r>
        <w:t xml:space="preserve"> A systematic review of regulatory strategies and transparency mandates in AI regulation in Europe, the United States, and Canada — https://doi.org/10.1017/dap.2024.54</w:t>
      </w:r>
    </w:p>
    <w:p>
      <w:pPr/>
      <w:r>
        <w:rPr>
          <w:b/>
        </w:rPr>
        <w:t>Shared claim-specific concepts:</w:t>
      </w:r>
      <w:r>
        <w:t xml:space="preserve"> all, united, although, not; EU scope visible. This is a provisional connection, not an outcome finding.</w:t>
      </w:r>
    </w:p>
    <w:p>
      <w:pPr>
        <w:pStyle w:val="SourceNote"/>
      </w:pPr>
      <w:r>
        <w:rPr>
          <w:b/>
        </w:rPr>
        <w:t>Available abstract (not full text):</w:t>
      </w:r>
      <w:r>
        <w:t xml:space="preserve">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pPr/>
      <w:r>
        <w:rPr>
          <w:b/>
        </w:rPr>
        <w:t>POSSIBLE 2025:</w:t>
      </w:r>
      <w:r>
        <w:t xml:space="preserve"> Reimagining Workforce Development: A Critical Analysis of Approaches in Europe, Singapore, and the United States — https://doi.org/10.1002/ace.20556</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pPr/>
      <w:r>
        <w:rPr>
          <w:b/>
        </w:rPr>
        <w:t>POSSIBLE 2025:</w:t>
      </w:r>
      <w:r>
        <w:t xml:space="preserve"> Critical materials and manufacturing: Comparing China, the European Union, Japan, and the United States — https://doi.org/10.1016/j.rcradv.2025.200250</w:t>
      </w:r>
    </w:p>
    <w:p>
      <w:pPr/>
      <w:r>
        <w:rPr>
          <w:b/>
        </w:rPr>
        <w:t>Shared claim-specific concepts:</w:t>
      </w:r>
      <w:r>
        <w:t xml:space="preserve"> all, true, united; EU scope visible. This is a provisional connection, not an outcome finding.</w:t>
      </w:r>
    </w:p>
    <w:p>
      <w:pPr>
        <w:pStyle w:val="SourceNote"/>
      </w:pPr>
      <w:r>
        <w:rPr>
          <w:b/>
        </w:rPr>
        <w:t>Available abstract (not full text):</w:t>
      </w:r>
      <w:r>
        <w:t xml:space="preserve">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pPr/>
      <w:r>
        <w:rPr>
          <w:b/>
        </w:rPr>
        <w:t>POSSIBLE 2025:</w:t>
      </w:r>
      <w:r>
        <w:t xml:space="preserve"> Burden of infectious disease studies in Europe and the United Kingdom: a review of methodological design choices — https://openalex.org/W7137495731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2025:</w:t>
      </w:r>
      <w:r>
        <w:t xml:space="preserve"> A European agenda to tax the super-rich: A solution to inequality in the European Union — https://doi.org/10.21201/2025.000089</w:t>
      </w:r>
    </w:p>
    <w:p>
      <w:pPr/>
      <w:r>
        <w:rPr>
          <w:b/>
        </w:rPr>
        <w:t>Shared claim-specific concepts:</w:t>
      </w:r>
      <w:r>
        <w:t xml:space="preserve"> all, agenda; EU scope visible. This is a provisional connection, not an outcome finding.</w:t>
      </w:r>
    </w:p>
    <w:p>
      <w:pPr>
        <w:pStyle w:val="SourceNote"/>
      </w:pPr>
      <w:r>
        <w:rPr>
          <w:b/>
        </w:rPr>
        <w:t>Available abstract (not full text):</w:t>
      </w:r>
      <w:r>
        <w:t xml:space="preserve"> Europe faces a deep inequality crisis: the richest 1% in the EU own nearly a quarter of all wealth while half the population shares just 3%. Decades of tax cuts for the wealthy and corporations resulted in the super-rich paying proportionally less taxes than ordinary citizens, eroding fairness, democracy, and social cohesion. The EU lacks harmonized policies to curb extreme wealth concentration and tax avoidance of the wealthiest. Oxfam calls for bold reforms, such as an EU-wide or national tax on the super-rich and transparency mechanisms like an EU assets registry, to fund social needs, climate action, and development. Taxing the super-rich is widely supported, is feasible and is urgent.</w:t>
      </w:r>
    </w:p>
    <w:p>
      <w:pPr/>
      <w:r>
        <w:rPr>
          <w:b/>
        </w:rPr>
        <w:t>POSSIBLE 2025:</w:t>
      </w:r>
      <w:r>
        <w:t xml:space="preserve"> European bioeconomy strategies could better integrate sustainability agendas — https://doi.org/10.1007/s11625-025-01752-1</w:t>
      </w:r>
    </w:p>
    <w:p>
      <w:pPr/>
      <w:r>
        <w:rPr>
          <w:b/>
        </w:rPr>
        <w:t>Shared claim-specific concepts:</w:t>
      </w:r>
      <w:r>
        <w:t xml:space="preserve"> agenda, sustainable, not; EU scope visible. This is a provisional connection, not an outcome finding.</w:t>
      </w:r>
    </w:p>
    <w:p>
      <w:pPr>
        <w:pStyle w:val="SourceNote"/>
      </w:pPr>
      <w:r>
        <w:rPr>
          <w:b/>
        </w:rPr>
        <w:t>Available abstract (not full text):</w:t>
      </w:r>
      <w:r>
        <w:t xml:space="preserve"> The bioeconomy is increasingly seen as a key national development strategy for sustainable economic growth, environmental restoration, and achieving the Sustainable Development Goals (SDGs). Numerous countries have introduced strategies to outline their bioeconomy visions, aiming to transition from fossil fuel-dependent systems to bioeconomies that address pressing environmental and socio-economic challenges. Despite this potential, the bioeconomy is not inherently sustainable nor circular, and policymakers pursue bioeconomies to different extents, facing challenges in balancing synergies and trade-offs with the SDGs. This study examined bioeconomy strategies presented in 29 policy documents from 14 European countries and the European Union. Using text analyzing techniques, we evaluate the extent to which bioeconomy strategies determine the salience of sustainability. Our analysis shows that most bioeconomy strategies emphasize opportunities aligned with SDGs 6 and 12-15, focusing on environmental objectives within the planet pillar of the 2030 Agenda. However, these strategies often neglect the principles of "equitable" and "fair &amp; inclusive" transition and fail to consider potential unintended consequences or trade-offs for sustainability. This disconnection is further reflected by a significant divide between evidence on bioeconomy-SDG interactions and the narratives present</w:t>
      </w:r>
    </w:p>
    <w:p>
      <w:pPr/>
      <w:r>
        <w:rPr>
          <w:b/>
        </w:rPr>
        <w:t>POSSIBLE 2025:</w:t>
      </w:r>
      <w:r>
        <w:t xml:space="preserve"> Esophageal and Oropharyngeal Dysphagia: Clinical Recommendations From the United European Gastroenterology and European Society for Neurogastroenterology and Motility — https://doi.org/10.1002/ueg2.70062</w:t>
      </w:r>
    </w:p>
    <w:p>
      <w:pPr/>
      <w:r>
        <w:rPr>
          <w:b/>
        </w:rPr>
        <w:t>Shared claim-specific concepts:</w:t>
      </w:r>
      <w:r>
        <w:t xml:space="preserve"> all, united, process, achieved; EU scope visible. This is a provisional connection, not an outcome finding.</w:t>
      </w:r>
    </w:p>
    <w:p>
      <w:pPr>
        <w:pStyle w:val="SourceNote"/>
      </w:pPr>
      <w:r>
        <w:rPr>
          <w:b/>
        </w:rPr>
        <w:t>Available abstract (not full text):</w:t>
      </w:r>
      <w:r>
        <w:t xml:space="preserve"> Dysphagia is a prevalent symptom of the upper gastrointestinal tract causing health related consequences, impacting quality of life and is associated with global economic burden. Swallowing difficulties are classified into oropharyngeal dysphagia (OD) and esophageal dysphagia. Despite its clinical importance, dysphagia is associated with several uncertainties regarding its optimal diagnostic work-up and management, particularly, considering the progress with diagnostic modalities and technologies. A Delphi consensus was performed with experts from various disciplines who conducted a literature summary and voting process on 41 statements. Quality of evidence was evaluated using the grading of recommendations, assessment, development, and evaluation criteria. Consensus was reached for all the statements. The panel agreed with the definition and prevalence of esophageal and OD types. The role of endoscopy, high-resolution manometry, EndoFLIP, barium swallow and other imaging tests in evaluating esophageal dysphagia has reached overall strong agreement. Videofluoroscopic swallow study, alongside fiber-endoscopic evaluation of swallowing, as the methods of choice for the instrumental assessment of oropharyngeal dysfunction is a strong recommendation. Regarding treatment, a weak recommendation was achieved for the use of PPIs, calcium-channel blockers, nitrates, phosphodiesterase typ</w:t>
      </w:r>
    </w:p>
    <w:p>
      <w:pPr>
        <w:pStyle w:val="Heading2"/>
      </w:pPr>
      <w:r>
        <w:t>566. Surveillance and Foresight Process of the Sustainable City Context: Innovation Potential Niches and Trends at the European Level</w:t>
      </w:r>
    </w:p>
    <w:p>
      <w:pPr>
        <w:pStyle w:val="SourceNote"/>
      </w:pPr>
      <w:r>
        <w:rPr>
          <w:b/>
        </w:rPr>
        <w:t>Original source (2022):</w:t>
      </w:r>
      <w:r>
        <w:t xml:space="preserve"> https://doi.org/10.3390/su14148795</w:t>
      </w:r>
    </w:p>
    <w:p>
      <w:pPr/>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POSSIBLE 2026:</w:t>
      </w:r>
      <w:r>
        <w:t xml:space="preserve"> Air pollution hotspots in the European Union: A city-level risk assessment — https://doi.org/10.18686/cest622</w:t>
      </w:r>
    </w:p>
    <w:p>
      <w:pPr/>
      <w:r>
        <w:rPr>
          <w:b/>
        </w:rPr>
        <w:t>Shared claim-specific concepts:</w:t>
      </w:r>
      <w:r>
        <w:t xml:space="preserve"> much, pollution, energy, increase; EU scope visible. This is a provisional connection, not an outcome finding.</w:t>
      </w:r>
    </w:p>
    <w:p>
      <w:pPr>
        <w:pStyle w:val="SourceNote"/>
      </w:pPr>
      <w:r>
        <w:rPr>
          <w:b/>
        </w:rPr>
        <w:t>Available abstract (not full text):</w:t>
      </w:r>
      <w:r>
        <w:t xml:space="preserve">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pPr/>
      <w:r>
        <w:rPr>
          <w:b/>
        </w:rPr>
        <w:t>POSSIBLE 2026:</w:t>
      </w:r>
      <w:r>
        <w:t xml:space="preserve"> Relationships between exposure to air pollution and demographic attributes exhibit between-city heterogeneities — https://doi.org/10.1088/2752-5309/ae8ff8</w:t>
      </w:r>
    </w:p>
    <w:p>
      <w:pPr/>
      <w:r>
        <w:rPr>
          <w:b/>
        </w:rPr>
        <w:t>Shared claim-specific concepts:</w:t>
      </w:r>
      <w:r>
        <w:t xml:space="preserve"> pollution, cities, population, different; EU scope not established. This is a provisional connection, not an outcome finding.</w:t>
      </w:r>
    </w:p>
    <w:p>
      <w:pPr>
        <w:pStyle w:val="SourceNote"/>
      </w:pPr>
      <w:r>
        <w:rPr>
          <w:b/>
        </w:rPr>
        <w:t>Available abstract (not full text):</w:t>
      </w:r>
      <w:r>
        <w:t xml:space="preserve"> Abstract Differentials in exposure to air pollution across population subgroups is a source of environmental health inequality. An important question is the generalisability of the trends between air pollution exposure and demographic attributes across different populations: comparisons are often confounded by different study methodologies. A key challenge is that individual-level demographic data are not usually available. In this study, we apply identical methods to a single cohort of 56 734 individuals to compare trends between exposures to ambient NO 2 , PM 2.5 and O 3 and sex, age, ethnicity, and socioeconomic status (SES) in the cities of Glasgow and Edinburgh, UK. We also use individual-level information on place of work or study (where that applies) to derive more realistic estimates of exposures than studies using exposures at place of residence only. We find that whilst some broad trends in exposure-demographic relationships are similar between Glasgow and Edinburgh—for example that younger adults, those of lower SES and of non-White ethnicity are, on average, exposed to higher concentrations of NO 2 and PM 2.5 (and to lower concentrations of O 3 )—our results also confirm heterogeneities in these relationships between the two cities. Importantly, we show that this geographical specificity extends to between-city geographical distributions of places of work and study </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much, pollution, cities, increase, population;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Air pollution and greenspace exposure disparities revealed by hyperlocal exposure metrics across European cities — https://doi.org/10.1038/s44458-026-00046-6</w:t>
      </w:r>
    </w:p>
    <w:p>
      <w:pPr/>
      <w:r>
        <w:rPr>
          <w:b/>
        </w:rPr>
        <w:t>Shared claim-specific concepts:</w:t>
      </w:r>
      <w:r>
        <w:t xml:space="preserve"> pollution, cities, population; EU scope visible. This is a provisional connection, not an outcome finding.</w:t>
      </w:r>
    </w:p>
    <w:p>
      <w:pPr>
        <w:pStyle w:val="SourceNote"/>
      </w:pPr>
      <w:r>
        <w:rPr>
          <w:b/>
        </w:rPr>
        <w:t>Available abstract (not full text):</w:t>
      </w:r>
      <w:r>
        <w:t xml:space="preserve"> Efforts to map disparities in environmental exposure burdens across populations in varying urban settings are extremely limited. Here, we analyzed disparities in exposure to nitrogen dioxide air pollution and urban greenspaces in Dublin, Copenhagen, and Amsterdam, using hyperlocal environmental metrics derived from large-scale digital datasets. In Dublin, racial/ethnic minority groups were exposed to higher levels of nitrogen dioxide and lower levels of greenspace. Furthermore, immigrant populations were exposed to more pollution and less greenspace than natives in Dublin and Copenhagen, whereas the opposite trend was observed in Amsterdam. However, when considering population wealth, inhabitants of low-income areas were exposed to greater levels of greenspace and lower levels of nitrogen dioxide in all cities. These findings demonstrate that population environmental exposures are inconsistent across cities. Our results emphasize the need for city-specific studies of exposure burdens utilizing hyperlocal data to inform the design of sustainable, healthy, and equitable cities of the future. Immigrants in Dublin and Copenhagen experience more air pollution and less greenery than natives, while in Amsterdam, the reverse is true, according to hyperlocal analysis of nitrogen dioxide and greenspace exposure.</w:t>
      </w:r>
    </w:p>
    <w:p>
      <w:pPr/>
      <w:r>
        <w:rPr>
          <w:b/>
        </w:rPr>
        <w:t>POSSIBLE 2026:</w:t>
      </w:r>
      <w:r>
        <w:t xml:space="preserve"> Pollution, Density and Low Emission Zones: European Evidence — https://doi.org/10.53479/44145</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Impact of Electric Public Transportation on Environmental Pollution in Urban Cities — https://doi.org/10.54536/ajupsc.v2i2.8171</w:t>
      </w:r>
    </w:p>
    <w:p>
      <w:pPr/>
      <w:r>
        <w:rPr>
          <w:b/>
        </w:rPr>
        <w:t>Shared claim-specific concepts:</w:t>
      </w:r>
      <w:r>
        <w:t xml:space="preserve"> pollution, cities, size; EU scope not established. This is a provisional connection, not an outcome finding.</w:t>
      </w:r>
    </w:p>
    <w:p>
      <w:pPr>
        <w:pStyle w:val="SourceNote"/>
      </w:pPr>
      <w:r>
        <w:rPr>
          <w:b/>
        </w:rPr>
        <w:t>Available abstract (not full text):</w:t>
      </w:r>
      <w:r>
        <w:t xml:space="preserve"> Urbanization and increasing reliance on fossil fueled public transportation has been one of the most significant causes of environmental pollution in the urban cities of Bangladesh, there is an urgent need to seek sustainable alternatives. This study aimed to study the influence of electric public transportation on environmental pollution by analyzing the effect of e-public transport service quality, adoption of electric public transport system, and government-support and traffic management efficacy on reduction in environmental pollution and sustainable urban mobility in city urban-related information in Bangladesh. This study used a quantitative cross-sectional research design and primary data were collected from 410 respondents through structured questionnaire as a five-point Likert scale. The sample size was calculated based on Cochran’s formula, and data were analyzed using the Statistical Package for the Social Sciences (SPSS) version 26. The implications of the results were that users tended to perceive electric public transportation quality, adoption level, government support and traffic management efficiency at high levels whereas environmental pollution reduction and sustainable urban mobility were perceived at very high levels. The results also indicated that better electric public mobility quality, increasing the development of public acceptance and more facilitativ</w:t>
      </w:r>
    </w:p>
    <w:p>
      <w:pPr/>
      <w:r>
        <w:rPr>
          <w:b/>
        </w:rPr>
        <w:t>POSSIBLE 2026:</w:t>
      </w:r>
      <w:r>
        <w:t xml:space="preserve"> Environmental Assessment of the Impact of Urban Transport on Air Pollution in Baku City — https://doi.org/10.54414/byaj4664</w:t>
      </w:r>
    </w:p>
    <w:p>
      <w:pPr/>
      <w:r>
        <w:rPr>
          <w:b/>
        </w:rPr>
        <w:t>Shared claim-specific concepts:</w:t>
      </w:r>
      <w:r>
        <w:t xml:space="preserve"> much, pollution, cities, increase, population; EU scope not established. This is a provisional connection, not an outcome finding.</w:t>
      </w:r>
    </w:p>
    <w:p>
      <w:pPr>
        <w:pStyle w:val="SourceNote"/>
      </w:pPr>
      <w:r>
        <w:rPr>
          <w:b/>
        </w:rPr>
        <w:t>Available abstract (not full text):</w:t>
      </w:r>
      <w:r>
        <w:t xml:space="preserve"> In modern times, the increase in population density in cities and the year-on-year rise in the number of cars are among the main factors negatively affecting air quality. In particular, the intensity of road traffic in Baku increases the volume of harmful substances released into the atmosphere, having a serious impact on the environmental situation and human health. This study analyses the emissions generated on the city's four main arterial roads with the highest traffic load, and their impacts on the environment and the socio-economic sphere are assessed based on international methodological approaches. The calculations applied the EMEP/EEA methodology, the World Health Organisation's 2021 air quality recommendations, and the principles for the valuation of external costs. Analyses show that most of the country's carbon monoxide emissions, approximately 71%, and 44% of its nitrogen oxides, originate from the transport sector. Much of that pollution is concentrated in Baku and has a particularly significant impact on the environment in the capital. The average annual concentration of PM₂.₅ particles is estimated to range from 19 to 45 μg/m³, which is several times higher than accepted international health standards. This leads to an increased risk of heart and lung diseases in people breathing in polluted air for long periods. An economic assessment found that transport-relat</w:t>
      </w:r>
    </w:p>
    <w:p>
      <w:pPr/>
      <w:r>
        <w:rPr>
          <w:b/>
        </w:rPr>
        <w:t>POSSIBLE 2026:</w:t>
      </w:r>
      <w:r>
        <w:t xml:space="preserve"> Parameterising the effect of human occupancy and kinetic energy on indoor air pollution — https://doi.org/10.1038/s41612-025-01281-9</w:t>
      </w:r>
    </w:p>
    <w:p>
      <w:pPr/>
      <w:r>
        <w:rPr>
          <w:b/>
        </w:rPr>
        <w:t>Shared claim-specific concepts:</w:t>
      </w:r>
      <w:r>
        <w:t xml:space="preserve"> pollution, energy, size, strategies; EU scope not established. This is a provisional connection, not an outcome finding.</w:t>
      </w:r>
    </w:p>
    <w:p>
      <w:pPr>
        <w:pStyle w:val="SourceNote"/>
      </w:pPr>
      <w:r>
        <w:rPr>
          <w:b/>
        </w:rPr>
        <w:t>Available abstract (not full text):</w:t>
      </w:r>
      <w:r>
        <w:t xml:space="preserve"> Abstract Indoor air quality (IAQ) is increasingly recognised as one of the most important aspects for public health, workplace safety and productivity. While indoor and outdoor factors both influence indoor pollutant levels, human presence and activity are key drivers of the emission of specific pollutants, including particulate matter (PM), total volatile organic compounds (TVOCs) and carbon dioxide (CO 2 ). This study investigates the relationship between occupancy, physical activity measured by kinetic energy (KE), and air pollution concentrations in a real-world office setting, by combining data from air quality and radar motion sensors. Two exemplar office spaces were investigated, comprising an open-office area and a meeting room. PM, in the PM 1 and PM 2.5 size fractions, were found to be highly correlated with the outdoor conditions, whereas PM 10 correlates more closely with indoor occupancy (up to r = 0.65). Even higher correlations, up to r = 0.74, were found between human activity, quantified as KE, and the PM 10 concentrations. The TVOCs and CO 2 showed even stronger correlations with KE (up to r = 0.83), suggesting that these metrics can be used as excellent proxies for estimating certain types of indoor air pollution. Notably, the impact of additional occupants varies depending on room characteristics and usage, underscoring the need for contextualised models of </w:t>
      </w:r>
    </w:p>
    <w:p>
      <w:pPr/>
      <w:r>
        <w:rPr>
          <w:b/>
        </w:rPr>
        <w:t>POSSIBLE 2026:</w:t>
      </w:r>
      <w:r>
        <w:t xml:space="preserve"> From emissions to illness: aviation and transport pollution and respiratory mortality in Europe — https://doi.org/10.3846/aviation.2026.26800</w:t>
      </w:r>
    </w:p>
    <w:p>
      <w:pPr/>
      <w:r>
        <w:rPr>
          <w:b/>
        </w:rPr>
        <w:t>Shared claim-specific concepts:</w:t>
      </w:r>
      <w:r>
        <w:t xml:space="preserve"> pollution, increase, population; EU scope visible. This is a provisional connection, not an outcome finding.</w:t>
      </w:r>
    </w:p>
    <w:p>
      <w:pPr>
        <w:pStyle w:val="SourceNote"/>
      </w:pPr>
      <w:r>
        <w:rPr>
          <w:b/>
        </w:rPr>
        <w:t>Available abstract (not full text):</w:t>
      </w:r>
      <w:r>
        <w:t xml:space="preserve"> This study explores the association between aviation-related CO₂ emissions and asthma mortality in 15 European Union countries with the highest levels of air traffic between 2008 and 2021. The analysis finds a strong and statistically significant relationship: a 1% increase in aviation emissions is linked to up to a 0.125% rise in asthma-related deaths, underscoring the hidden public health burden of air transport pollution. Emissions from road transport and industrial activity also exhibit strong long-run effects; notably, a 1% rise in road transport emissions corresponds to a 0.79% increase in asthma mortality. Economic expansion, measured by GDP, is indirectly associated with higher asthma mortality, likely through increased demand for aviation and growing urban density. Urban population growth itself is also linked to heightened asthma risks in both the short and long term. These findings highlight the health risks posed by transport emissions and support the need for stronger environmental and public health policy responses. Recommended measures include enhancing emission limits for aviation, promoting sustainable aviation fuels, and integrating air quality indicators into urban and transport planning.</w:t>
      </w:r>
    </w:p>
    <w:p>
      <w:pPr/>
      <w:r>
        <w:rPr>
          <w:b/>
        </w:rPr>
        <w:t>POSSIBLE 2026:</w:t>
      </w:r>
      <w:r>
        <w:t xml:space="preserve"> Environmental courts, industrial pollution, and grain production: the reach of judicial environmental enforcement in Chinese cities — https://doi.org/10.3389/fsufs.2026.1939331</w:t>
      </w:r>
    </w:p>
    <w:p>
      <w:pPr/>
      <w:r>
        <w:rPr>
          <w:b/>
        </w:rPr>
        <w:t>Shared claim-specific concepts:</w:t>
      </w:r>
      <w:r>
        <w:t xml:space="preserve"> pollution, cities, expected; EU scope not established. This is a provisional connection, not an outcome finding.</w:t>
      </w:r>
    </w:p>
    <w:p>
      <w:pPr>
        <w:pStyle w:val="SourceNote"/>
      </w:pPr>
      <w:r>
        <w:rPr>
          <w:b/>
        </w:rPr>
        <w:t>Available abstract (not full text):</w:t>
      </w:r>
      <w:r>
        <w:t xml:space="preserve"> Judicial environmental enforcement operates through litigation, therefore the entitlements it protects are only binding when a discharge can be traced to an identified source within the jurisdiction that adjudicates it. This delineation logic implies that specialized environmental courts reduce pollution selectively, and that their reach stops short of sectors they do not adjudicate. The second implication is important for food systems, because increasing environmental governance in agrarian economies is widely expected to cost local food production. We test both using the staggered establishment of environmental courts in Chinese prefecture-level cities during 2003–2018, utilizing a common sample of 4,168 city-year data from 285 cities, 109 of which had a court. Two-way fixed-effects and Callaway–Sant’Anna estimates are shown on identical samples, together with a balanced panel, event-time paths, adoption-hazard and trend diagnostics, and HonestDiD sensitivity. Both estimators include industrial wastewater density, which is a point-source discharge that occurs within municipal boundaries. Sulfur dioxide, which disperses across jurisdictions, is only considered in pooled estimate, and the formal contrast between the two responses is negative in every cohort-aware specification. Sensitivity analysis limits how far these conclusions travel: the wastewater sign holds under trend a</w:t>
      </w:r>
    </w:p>
    <w:p>
      <w:pPr/>
      <w:r>
        <w:rPr>
          <w:b/>
        </w:rPr>
        <w:t>POSSIBLE 2026:</w:t>
      </w:r>
      <w:r>
        <w:t xml:space="preserve"> Prioritizing light-vehicle electrification cities through real-world pollution-based GIS assessment — https://doi.org/10.1016/j.trd.2026.105242</w:t>
      </w:r>
    </w:p>
    <w:p>
      <w:pPr/>
      <w:r>
        <w:rPr>
          <w:b/>
        </w:rPr>
        <w:t>Shared claim-specific concepts:</w:t>
      </w:r>
      <w:r>
        <w:t xml:space="preserve"> pollution, cities, strategies; EU scope visible. This is a provisional connection, not an outcome finding.</w:t>
      </w:r>
    </w:p>
    <w:p>
      <w:pPr>
        <w:pStyle w:val="SourceNote"/>
      </w:pPr>
      <w:r>
        <w:rPr>
          <w:b/>
        </w:rPr>
        <w:t>Available abstract (not full text):</w:t>
      </w:r>
      <w:r>
        <w:t xml:space="preserve"> • Geo-based simulation of traffic patterns in a densely populated region. • Road-level estimation of pollutant emissions using graph-based methods. • Calculation of a traffic-weighted mobility index with municipal resolution. • Multi-criteria evaluation of localized environmental impact indicators. Achieving decarbonization targets requires major reductions in fossil-fuel use. Electrifying light-duty vehicles offers substantial environmental benefits, yet quantifying these gains is challenging due to heterogeneous traffic patterns and pollution levels. This study introduces a GIS-based method that maps pollutant emissions and traffic volumes onto the road network to produce municipal-level mobility-impact indexes. Daily travel routines derived from mobility surveys are combined with real pollution maps to compute segment-level emissions, which are then aggregated for spatial comparison and policy prioritisation. Applied to Lombardy, Italy, the method shows that although Milan and other dense cities benefit markedly, numerous peri-urban and semi-rural municipalities also show high potential due to large intermunicipal commuting flows. Overall, 13% of municipalities are classified as highest-priority areas, accounting for nearly a quarter of regional traffic-related emissions. The results reveal non-linear urbanisation-benefit relationships and underscore the need to include less</w:t>
      </w:r>
    </w:p>
    <w:p>
      <w:pPr/>
      <w:r>
        <w:rPr>
          <w:b/>
        </w:rPr>
        <w:t>POSSIBLE 2026:</w:t>
      </w:r>
      <w:r>
        <w:t xml:space="preserve"> Fostering energy transition and transport fluidity in European port cities — https://doi.org/10.4324/9781003639589-3</w:t>
      </w:r>
    </w:p>
    <w:p>
      <w:pPr/>
      <w:r>
        <w:rPr>
          <w:b/>
        </w:rPr>
        <w:t>Shared claim-specific concepts:</w:t>
      </w:r>
      <w:r>
        <w:t xml:space="preserve"> pollution, energy, cities;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pStyle w:val="Heading2"/>
      </w:pPr>
      <w:r>
        <w:t>567. The Boundaries of Scientific Innovation in the EU Green Deal Context</w:t>
      </w:r>
    </w:p>
    <w:p>
      <w:pPr>
        <w:pStyle w:val="SourceNote"/>
      </w:pPr>
      <w:r>
        <w:rPr>
          <w:b/>
        </w:rPr>
        <w:t>Original source (2022):</w:t>
      </w:r>
      <w:r>
        <w:t xml:space="preserve"> https://doi.org/10.2478/rtuect-2022-0010</w:t>
      </w:r>
    </w:p>
    <w:p>
      <w:pPr/>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POSSIBLE 2026:</w:t>
      </w:r>
      <w:r>
        <w:t xml:space="preserve"> The European Union — https://doi.org/10.60054/peu.2026.13.20-34</w:t>
      </w:r>
    </w:p>
    <w:p>
      <w:pPr/>
      <w:r>
        <w:rPr>
          <w:b/>
        </w:rPr>
        <w:t>Shared claim-specific concepts:</w:t>
      </w:r>
      <w:r>
        <w:t xml:space="preserve"> union, role, ambitious;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The New Role of the European Union and Its Global Projects — https://doi.org/10.46340/eppd.2026.13.3.2</w:t>
      </w:r>
    </w:p>
    <w:p>
      <w:pPr/>
      <w:r>
        <w:rPr>
          <w:b/>
        </w:rPr>
        <w:t>Shared claim-specific concepts:</w:t>
      </w:r>
      <w:r>
        <w:t xml:space="preserve"> union, frequently, taken, role, international, relevant; EU scope visible. This is a provisional connection, not an outcome finding.</w:t>
      </w:r>
    </w:p>
    <w:p>
      <w:pPr>
        <w:pStyle w:val="SourceNote"/>
      </w:pPr>
      <w:r>
        <w:rPr>
          <w:b/>
        </w:rPr>
        <w:t>Available abstract (not full text):</w:t>
      </w:r>
      <w:r>
        <w:t xml:space="preserve">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pPr/>
      <w:r>
        <w:rPr>
          <w:b/>
        </w:rPr>
        <w:t>POSSIBLE 2026:</w:t>
      </w:r>
      <w:r>
        <w:t xml:space="preserve"> THE ROLE OF GERMAN ECONOMY IN EUROPEAN UNION INTEGRATION — https://openalex.org/W7215644634</w:t>
      </w:r>
    </w:p>
    <w:p>
      <w:pPr/>
      <w:r>
        <w:rPr>
          <w:b/>
        </w:rPr>
        <w:t>Shared claim-specific concepts:</w:t>
      </w:r>
      <w:r>
        <w:t xml:space="preserve"> union, role, green; EU scope visible. This is a provisional connection, not an outcome finding.</w:t>
      </w:r>
    </w:p>
    <w:p>
      <w:pPr>
        <w:pStyle w:val="SourceNote"/>
      </w:pPr>
      <w:r>
        <w:rPr>
          <w:b/>
        </w:rPr>
        <w:t>Available abstract (not full text):</w:t>
      </w:r>
      <w:r>
        <w:t xml:space="preserve"> This article analyzes the role of the German economy in the process of European Union integration, focusing on its influence on trade, economic governance, industrial development, and regional stability. As the largest economy in the EU, Germany plays a central role in shaping intra-European trade flows and strengthening economic interdependence among member states. The study highlights Germany’s contribution to policy coordination within the Economic and Monetary Union, particularly through its emphasis on fiscal discipline and price stability. It also examines Germany’s role during major economic crises, where it acted as both a stabilizing force and a key decision-maker in collective responses. Furthermore, the paper discusses Germany’s impact on technological innovation, global value chains, and the green transition within the EU. The findings suggest that while Germany significantly supports deeper integration, its dominant position also creates structural asymmetries and policy tensions that must be carefully managed to ensure balanced and sustainable development across the Union.</w:t>
      </w:r>
    </w:p>
    <w:p>
      <w:pPr/>
      <w:r>
        <w:rPr>
          <w:b/>
        </w:rPr>
        <w:t>POSSIBLE 2026:</w:t>
      </w:r>
      <w:r>
        <w:t xml:space="preserve"> The Role of the European Parliament in Strengthening Democratic Representation in the European Union — https://doi.org/10.70670/sra.v4i1.2448</w:t>
      </w:r>
    </w:p>
    <w:p>
      <w:pPr/>
      <w:r>
        <w:rPr>
          <w:b/>
        </w:rPr>
        <w:t>Shared claim-specific concepts:</w:t>
      </w:r>
      <w:r>
        <w:t xml:space="preserve"> union, role, climate; EU scope visible. This is a provisional connection, not an outcome finding.</w:t>
      </w:r>
    </w:p>
    <w:p>
      <w:pPr>
        <w:pStyle w:val="SourceNote"/>
      </w:pPr>
      <w:r>
        <w:rPr>
          <w:b/>
        </w:rPr>
        <w:t>Available abstract (not full text):</w:t>
      </w:r>
      <w:r>
        <w:t xml:space="preserve"> The European Parliament (EP) has evolved from a consultative assembly of national delegates in the 1950s to a directly elected co-legislator with significant powers in the ordinary legislative procedure (OLP), budgetary authority, and executive oversight, positioning it as the primary institutional vehicle for addressing the EU’s democratic deficit. Through successive treaties from the Single European Act to the Treaty of Lisbon the EP has gained co-decision rights across most policy areas, final say on the annual budget and Multiannual Financial Framework (MFF), discharge authority over Commission spending, and influence via the Spitzenkandidaten process for Commission President selection. Its role in protecting the rule of law through budgetary conditionality (Regulation 2020/2092) and scrutiny mechanisms further strengthens democratic accountability. However, persistent challenges include the “second-order” character of EP elections (lower turnout, national focus), the absence of a genuine European public sphere, fragmented transnational political groups, and tensions with intergovernmental bodies like the European Council. The 2024 elections highlighted increasing polarization and a rightward shift, complicating traditional grand coalitions while amplifying debates on climate, migration, and rule-of-law issues. Proposed reforms full legislative initiative for the EP, transn</w:t>
      </w:r>
    </w:p>
    <w:p>
      <w:pPr/>
      <w:r>
        <w:rPr>
          <w:b/>
        </w:rPr>
        <w:t>POSSIBLE 2026:</w:t>
      </w:r>
      <w:r>
        <w:t xml:space="preserve"> The implications of unification for Germany's role in the European Union. — https://doi.org/10.82444/warw.33741772</w:t>
      </w:r>
    </w:p>
    <w:p>
      <w:pPr/>
      <w:r>
        <w:rPr>
          <w:b/>
        </w:rPr>
        <w:t>Shared claim-specific concepts:</w:t>
      </w:r>
      <w:r>
        <w:t xml:space="preserve"> union, role;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The European Union as a Political Hybrid — https://doi.org/10.1017/9781009682633.004</w:t>
      </w:r>
    </w:p>
    <w:p>
      <w:pPr/>
      <w:r>
        <w:rPr>
          <w:b/>
        </w:rPr>
        <w:t>Shared claim-specific concepts:</w:t>
      </w:r>
      <w:r>
        <w:t xml:space="preserve"> union, role, international; EU scope visible. This is a provisional connection, not an outcome finding.</w:t>
      </w:r>
    </w:p>
    <w:p>
      <w:pPr>
        <w:pStyle w:val="SourceNote"/>
      </w:pPr>
      <w:r>
        <w:rPr>
          <w:b/>
        </w:rPr>
        <w:t>Available abstract (not full text):</w:t>
      </w:r>
      <w:r>
        <w:t xml:space="preserve"> The EU is more than a traditional international organisation such as the UN, because it has its own budget, currency, and directly applicable law. Yet it is not a state, for it lacks a police force, army, and criminal justice system. Its member states conserve a right of veto for all major decisions. It is therefore illuminating to explore the EU’s unique political and institutional features in order to understand how it has played such a large role in organising European capitalism, and to determine its compatibility with the three forms of capitalist governance (liberty, solidarity and community). The European Union’s dominant role in regulating capitalism emerged quite late, after the failure of numerous alternatives in both European and international organisations. As Brexit has shown, it is perfectly possible for the Union to shrivel, potentially due to nationalistic pressures. The European institutional system, while being easier to combine with the liberty aspect of capitalism, is also conducive to solidarity and community. The role of European institutions was to facilitate the combination of various national forms of solidarity and community capitalism in Europe.</w:t>
      </w:r>
    </w:p>
    <w:p>
      <w:pPr/>
      <w:r>
        <w:rPr>
          <w:b/>
        </w:rPr>
        <w:t>POSSIBLE 2026:</w:t>
      </w:r>
      <w:r>
        <w:t xml:space="preserve"> The role of the European Union equivalence regime in global capital markets — https://doi.org/10.5525/gla.thesis.85977</w:t>
      </w:r>
    </w:p>
    <w:p>
      <w:pPr/>
      <w:r>
        <w:rPr>
          <w:b/>
        </w:rPr>
        <w:t>Shared claim-specific concepts:</w:t>
      </w:r>
      <w:r>
        <w:t xml:space="preserve"> union, role, international, promoting; EU scope visible. This is a provisional connection, not an outcome finding.</w:t>
      </w:r>
    </w:p>
    <w:p>
      <w:pPr>
        <w:pStyle w:val="SourceNote"/>
      </w:pPr>
      <w:r>
        <w:rPr>
          <w:b/>
        </w:rPr>
        <w:t>Available abstract (not full text):</w:t>
      </w:r>
      <w:r>
        <w:t xml:space="preserve"> This thesis examines the European Union equivalence regime as a legal instrument and governance technique within the wider transformation of post-crisis international financial regulation. It argues that equivalence is not merely a technical market access mechanism, but a structured form of conditional reliance through which the European Union seeks to reconcile openness to cross-border finance with prudential control and regulatory projection. The thesis argues that equivalence remains embedded in international technocratic governance, since its practical operation depends on shared standards, regulatory comparability, and repeated interaction within transnational networks. Within the EU legal order, the thesis demonstrates that equivalence is shaped by financial stability and by the logic of regulatory centralisation. Its design and operation vary across sectors according to differing assessments of risk, dependence, and prudential sensitivity,and equivalence contributes to the centralisation of supervisory authority at EU level, particularly through European Securities and Markets Authority. Externally, it argues that the Union's practice is shaped by financial stability and regulatory power projection, whose varying combinations generate integrationist, defensive, and negotiationist models. The China and Hong Kong case study further shows that equivalence may also operate t</w:t>
      </w:r>
    </w:p>
    <w:p>
      <w:pPr/>
      <w:r>
        <w:rPr>
          <w:b/>
        </w:rPr>
        <w:t>POSSIBLE 2026:</w:t>
      </w:r>
      <w:r>
        <w:t xml:space="preserve"> The Role of the Czech Republic in Redefining Central European Identity within the European Union — https://doi.org/10.36690/2674-5216-2026-1-54-66</w:t>
      </w:r>
    </w:p>
    <w:p>
      <w:pPr/>
      <w:r>
        <w:rPr>
          <w:b/>
        </w:rPr>
        <w:t>Shared claim-specific concepts:</w:t>
      </w:r>
      <w:r>
        <w:t xml:space="preserve"> union, taken, role, promoting; EU scope visible. This is a provisional connection, not an outcome finding.</w:t>
      </w:r>
    </w:p>
    <w:p>
      <w:pPr>
        <w:pStyle w:val="SourceNote"/>
      </w:pPr>
      <w:r>
        <w:rPr>
          <w:b/>
        </w:rPr>
        <w:t>Available abstract (not full text):</w:t>
      </w:r>
      <w:r>
        <w:t xml:space="preserve"> The post-Cold War transformation of Europe reactivated debates on the identity, political position, and historical belonging of Central European states within the broader European project. In this context, the Czech Republic emerged as an important actor in the reinterpretation of Central Europe, challenging its reduction to the category of Eastern Europe and promoting a more differentiated understanding of regional belonging within the European Union. The purpose of the study is to analyze how the Czech Republic has contributed to redefining Central European identity within the European Union and to determine the political, institutional, and discursive mechanisms through which this process has taken place. The study is based on a qualitative research design grounded in constructivist theory. The methodological approach combines documentary analysis and qualitative discourse analysis. The empirical basis includes official European Union documents, Czech foreign policy texts, strategic statements, and speeches by political elites. Analytical attention is focused on discursive identity construction, regional cooperation practices, the role of historical memory, and the interaction between national sovereignty and European integration. The findings demonstrate that the Czech Republic has played a multidimensional role in redefining Central European identity. First, Czech politica</w:t>
      </w:r>
    </w:p>
    <w:p>
      <w:pPr/>
      <w:r>
        <w:rPr>
          <w:b/>
        </w:rPr>
        <w:t>POSSIBLE 2026:</w:t>
      </w:r>
      <w:r>
        <w:t xml:space="preserve"> Governing green citizenship in the European Union — https://openalex.org/W7222374822</w:t>
      </w:r>
    </w:p>
    <w:p>
      <w:pPr/>
      <w:r>
        <w:rPr>
          <w:b/>
        </w:rPr>
        <w:t>Shared claim-specific concepts:</w:t>
      </w:r>
      <w:r>
        <w:t xml:space="preserve"> union, green; EU scope visible. This is a provisional connection, not an outcome finding.</w:t>
      </w:r>
    </w:p>
    <w:p>
      <w:pPr>
        <w:pStyle w:val="SourceNote"/>
      </w:pPr>
      <w:r>
        <w:rPr>
          <w:b/>
        </w:rPr>
        <w:t>Available abstract (not full text):</w:t>
      </w:r>
      <w:r>
        <w:t xml:space="preserve"> Knjiga obravnava vzpostavljanje, produkcijo in prakse zelenega državljanstva v Evropski uniji, pri čemer kritično analizira, kako EU skozi okoljske in podnebne politike državljane oblikuje kot aktivne, odgovorne in samoregulirajoče se akterje zelenega prehoda. Izhajajoč iz Foucaultovega koncepta vladnosti vzpostavi teoretično-analitični aparat ekovladnosti, prek katere z genealogijo, analizo diskurza in analizo dispozitiva rekonstruira zgodovinski razvoj evropskega/EU izvajanje oblasti na področju in v imenu okoljskih ter podnebnih vprašanj in pokaže, kako so se okolje, trajnost in podnebne spremembe vzpostavili kot problem, ki zahtevajo obsežne politične oziroma policy ukrepe in intervencije. Posebna pozornost je namenjena Evropskemu zelenemu dogovoru in Evropskemu podnebnemu paktu, zlasti mehanizmu ambasadorjev Podnebnega pakta, skozi katere se okoljska odgovornost prevaja v participacijo in vsakdanje prakse. Osrednji argument knjige je, da zeleno državljanstvo hkrati vključuje in opolnomoča državljane ter usmerja njihovo ravnanje, pri čemer so prevladujoče zelene politike tesno vpete v ekonomistično logiko rasti, konkurenčnosti in kapitalistične mantre neprestanega razvoja in inovacij.</w:t>
      </w:r>
    </w:p>
    <w:p>
      <w:pPr/>
      <w:r>
        <w:rPr>
          <w:b/>
        </w:rPr>
        <w:t>POSSIBLE 2026:</w:t>
      </w:r>
      <w:r>
        <w:t xml:space="preserve"> Business enterprise expenditure on research and development in the European Union in an international context — https://doi.org/10.9770/x5483448482</w:t>
      </w:r>
    </w:p>
    <w:p>
      <w:pPr/>
      <w:r>
        <w:rPr>
          <w:b/>
        </w:rPr>
        <w:t>Shared claim-specific concepts:</w:t>
      </w:r>
      <w:r>
        <w:t xml:space="preserve"> union, international; EU scope visible. This is a provisional connection, not an outcome finding.</w:t>
      </w:r>
    </w:p>
    <w:p>
      <w:pPr>
        <w:pStyle w:val="SourceNote"/>
      </w:pPr>
      <w:r>
        <w:rPr>
          <w:b/>
        </w:rPr>
        <w:t>Available abstract (not full text):</w:t>
      </w:r>
      <w:r>
        <w:t xml:space="preserve"> This study examines the development of business enterprise expenditure on research and development (BERD) in the European Union between 2014 and 2024 and compares it with trends in selected global economies, namely the United States, Japan, China, and South Korea.The research employs descriptive time-series analysis and ordinary least squares (OLS) regression in a log-log specification to identify long-term trends, structural differences, and factors influencing business R&amp;D investment.In addition, the study assesses environmental protection expenditure in selected European countries as a complementary indicator of sustainable competitiveness.The results show that although BERD in the European Union has increased steadily in absolute terms, the EU continues to lag behind all analysed economies when measured relative to economic performance.The regression analysis confirms a statistically significant positive relationship between economic size and BERD, while the estimated elasticity indicates that business R&amp;D expenditure grows at a slower rate than the economy itself.Environmental protection expenditure also demonstrates an upward trend across the analysed countries, although the pace of growth differs considerably between individual states.The findings point to a persistent structural weakness within the European innovation system and highlight the need for more effective pol</w:t>
      </w:r>
    </w:p>
    <w:p>
      <w:pPr/>
      <w:r>
        <w:rPr>
          <w:b/>
        </w:rPr>
        <w:t>POSSIBLE 2026:</w:t>
      </w:r>
      <w:r>
        <w:t xml:space="preserve"> Monetary standardization in the European Union — https://doi.org/10.47772/ijriss.2026.10100071</w:t>
      </w:r>
    </w:p>
    <w:p>
      <w:pPr/>
      <w:r>
        <w:rPr>
          <w:b/>
        </w:rPr>
        <w:t>Shared claim-specific concepts:</w:t>
      </w:r>
      <w:r>
        <w:t xml:space="preserve"> union, role, promoting; EU scope visible. This is a provisional connection, not an outcome finding.</w:t>
      </w:r>
    </w:p>
    <w:p>
      <w:pPr>
        <w:pStyle w:val="SourceNote"/>
      </w:pPr>
      <w:r>
        <w:rPr>
          <w:b/>
        </w:rPr>
        <w:t>Available abstract (not full text):</w:t>
      </w:r>
      <w:r>
        <w:t xml:space="preserve"> This study investigates the design and production of Euro banknotes and coins, focusing on their role in shaping European identity, enhancing security, and promoting sustainability. The aim is to explore how integrating advanced security features with culturally rich narratives can transform the Euro into a symbol of unity and environmental responsibility. The research employs a mixed-methods approach, combining a comprehensive literature review, case studies of successful currency designs from various regions, and qualitative data gathered through surveys and interviews with stakeholders, including central bankers, designers, and the public. Findings indicate that the current design elements of Euro currency significantly influence public perceptions of European identity, with a strong preference for incorporating cultural and historical motifs. Additionally, the study reveals that advanced security features can enhance the durability and trustworthiness of the Euro, while environmentally sustainable materials can be adopted to reduce the ecological footprint of currency production. Overall, the conclusions suggest that a reimagined Euro, which harmonizes design, security, and sustainability, can serve not only as a medium of exchange but also as a powerful vehicle for fostering a shared European identity. This approach has the potential to enhance public trust in the currency</w:t>
      </w:r>
    </w:p>
    <w:p>
      <w:pPr/>
      <w:r>
        <w:rPr>
          <w:b/>
        </w:rPr>
        <w:t>POSSIBLE 2026:</w:t>
      </w:r>
      <w:r>
        <w:t xml:space="preserve"> role of economic development and quality of governance in enhancing digitalization in the European Union — https://doi.org/10.61089/abej.2026.4.208</w:t>
      </w:r>
    </w:p>
    <w:p>
      <w:pPr/>
      <w:r>
        <w:rPr>
          <w:b/>
        </w:rPr>
        <w:t>Shared claim-specific concepts:</w:t>
      </w:r>
      <w:r>
        <w:t xml:space="preserve"> union, role, strategies; EU scope visible. This is a provisional connection, not an outcome finding.</w:t>
      </w:r>
    </w:p>
    <w:p>
      <w:pPr>
        <w:pStyle w:val="SourceNote"/>
      </w:pPr>
      <w:r>
        <w:rPr>
          <w:b/>
        </w:rPr>
        <w:t>Available abstract (not full text):</w:t>
      </w:r>
      <w:r>
        <w:t xml:space="preserve"> This study addresses the underrepresentation of empirical research on female entrepreneurship in informal urban settlements in the Western Cape, South Africa. The objective of this research is to explore the entrepreneurial challenges and opportunities encountered by women managing businesses in the Masiphumelele informal settlement in Cape Town and to establish a context-specific multi-pillar empowerment framework that enhances the viability of their businesses. The research adopted a qualitative, interpretivist research design that entailed carrying out semi-structured interviews with 17 female entrepreneurs recruited through purposive and convenience sampling. The data were analysed using a hybrid inductive–deductive thematic analysis supported by QSR NVivo 12 Pro. Three interconnected themes emerged: entrepreneurial challenges, including financial exclusion, inadequate business space, digital literacy deficits, family responsibility, crime, and load-shedding; opportunities for business sustainability, encompassing new equipment, mentorship, digital platforms, and tourism access; and strategies for overcoming challenges, including diversification, social media marketing, and peer networking. Financial constraints are identified as the most pervasive barrier, cited by 15 of 17 participants. The study demonstrates that these barriers operate through a compounding dynamic in wh</w:t>
      </w:r>
    </w:p>
    <w:p>
      <w:pPr>
        <w:pStyle w:val="Heading2"/>
      </w:pPr>
      <w:r>
        <w:t>568. The Conference on the Future of Europe: possible scenarios of the forthcoming European Perestroika</w:t>
      </w:r>
    </w:p>
    <w:p>
      <w:pPr>
        <w:pStyle w:val="SourceNote"/>
      </w:pPr>
      <w:r>
        <w:rPr>
          <w:b/>
        </w:rPr>
        <w:t>Original source (2022):</w:t>
      </w:r>
      <w:r>
        <w:t xml:space="preserve"> https://doi.org/10.21128/1812-7126-2022-1-14-42</w:t>
      </w:r>
    </w:p>
    <w:p>
      <w:pPr/>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POSSIBLE 2026:</w:t>
      </w:r>
      <w:r>
        <w:t xml:space="preserve"> Development policy directions on climate challenges in selected central and Eastern European countries — https://doi.org/10.29119/1641-3466.2026.247.26</w:t>
      </w:r>
    </w:p>
    <w:p>
      <w:pPr/>
      <w:r>
        <w:rPr>
          <w:b/>
        </w:rPr>
        <w:t>Shared claim-specific concepts:</w:t>
      </w:r>
      <w:r>
        <w:t xml:space="preserve"> directions, within, common; EU scope visible. This is a provisional connection, not an outcome finding.</w:t>
      </w:r>
    </w:p>
    <w:p>
      <w:pPr>
        <w:pStyle w:val="SourceNote"/>
      </w:pPr>
      <w:r>
        <w:rPr>
          <w:b/>
        </w:rPr>
        <w:t>Available abstract (not full text):</w:t>
      </w:r>
      <w:r>
        <w:t xml:space="preserve"> Purpose: The aim of this article is to identify and comparatively analyse the development policy directions of four Central and Eastern European countries -Poland, Latvia, Lithuania and Estonia -in the context of the climate requirements arising from the EU Fit for 55 package.Particular attention is paid to Poland, facing an unprecedented decarbonisation challenge in its coal-dependent energy sector, and to Latvia, which stands out as the regional leader in the energy transition owing to the dominance of renewables in its generation mix.Design/methodology/approach: The article is based on a review of national energy and climate plans (NECPs), reports of the International Energy Agency (IEA), documents and legislation of the European Commission and the European Parliament, and peer-reviewed academic literature published up to 2024.A comparative analysis approach and strategic document analysis were applied.Findings: The four countries studied, operating within the same EU legal framework, pursue their climate transitions along markedly different paths, reflecting their distinct structural starting points.Poland faces the most capital-intensive transformation; Latvia benefits from an established renewable base; the three Baltic states demonstrate high effectiveness of regional cooperation, confirmed by the synchronisation of their electricity grids with the Continental European N</w:t>
      </w:r>
    </w:p>
    <w:p>
      <w:pPr/>
      <w:r>
        <w:rPr>
          <w:b/>
        </w:rPr>
        <w:t>POSSIBLE 2026:</w:t>
      </w:r>
      <w:r>
        <w:t xml:space="preserve"> Preventing Child Sexual Abuse and Exploitation: Current Efforts and Future Directions in the European Union — https://doi.org/10.1080/15564886.2025.2603478</w:t>
      </w:r>
    </w:p>
    <w:p>
      <w:pPr/>
      <w:r>
        <w:rPr>
          <w:b/>
        </w:rPr>
        <w:t>Shared claim-specific concepts:</w:t>
      </w:r>
      <w:r>
        <w:t xml:space="preserve"> directions, establishment, create; EU scope visible. This is a provisional connection, not an outcome finding.</w:t>
      </w:r>
    </w:p>
    <w:p>
      <w:pPr>
        <w:pStyle w:val="SourceNote"/>
      </w:pPr>
      <w:r>
        <w:rPr>
          <w:b/>
        </w:rPr>
        <w:t>Available abstract (not full text):</w:t>
      </w:r>
      <w:r>
        <w:t xml:space="preserve"> The European Union (EU) has set out a series of initiatives to support EU Member States in implementing tested and effective prevention measures to decrease the prevalence of Child Sexual Abuse and Exploitation (CSAE). These efforts include the establishment of the EU Network of Experts for the Prevention of Child Sexual Abuse (CSA) and the development of the EU Knowledge Platform. Finally, there is ongoing work to create a European Center to prevent and combat CSA and put in place rigorous evaluation of prevention initiatives, including a Self-assessment Tool and External evaluation. This paper presents what has been achieved to date and plans going forward. All current efforts and future directions aim at developing a comprehensive response to prevent, reduce, and combat CSAE in the EU and globally.</w:t>
      </w:r>
    </w:p>
    <w:p>
      <w:pPr/>
      <w:r>
        <w:rPr>
          <w:b/>
        </w:rPr>
        <w:t>POSSIBLE 2026:</w:t>
      </w:r>
      <w:r>
        <w:t xml:space="preserve"> New Directions in Irrationality — https://doi.org/10.5281/zenodo.23468866</w:t>
      </w:r>
    </w:p>
    <w:p>
      <w:pPr/>
      <w:r>
        <w:rPr>
          <w:b/>
        </w:rPr>
        <w:t>Shared claim-specific concepts:</w:t>
      </w:r>
      <w:r>
        <w:t xml:space="preserve"> varying, directions, within, demonstrated, common; EU scope not established. This is a provisional connection, not an outcome finding.</w:t>
      </w:r>
    </w:p>
    <w:p>
      <w:pPr>
        <w:pStyle w:val="SourceNote"/>
      </w:pPr>
      <w:r>
        <w:rPr>
          <w:b/>
        </w:rPr>
        <w:t>Available abstract (not full text):</w:t>
      </w:r>
      <w:r>
        <w:t xml:space="preserve"> Since Apéry’s proof of the irrationality of ζ(3), decades of work have explored integrals, hypergeometric identities, and recurrences with exceptional arithmetic properties, to discover the strongest quantitative bounds on irrationality measures for zeta values and related constants. Yet, most findings have relied on specially tailored families of such constructions, making their systematic extension difficult. Here we show how these constructions can be connected and generalized into a common multidimensional structure based on conservative matrix fields (CMFs), enabling a systematic discovery of new irrationality proofs and quantitative bounds for irrationality exponents. CMFs are finite-dimensional cocycles of compatible rational matrix shifts, and are shown to capture all the classical constructions developed since Apéry as one-dimensional trajectories. The initial point encodes the mathematical constants; varying the trajectory within a suitable convergence region produces different approximation schemes for the same constants. We use this structure to improve the irrationality measures of famous constants, yielding for example μ(ζ(2)) &lt; 4.62675 and μ(ζ(3)) &lt; 5.4197, and proving that 1, ζ(3), ζ(4) are linearly independent over ℚ, yielding μ(Aζ(3) + Bζ(4)) &lt; 66.3 for every (A,B) ∈ ℚ² ∖ {(0,0)}. The same approach demonstrated over other CMFs provides irrationality proving tr</w:t>
      </w:r>
    </w:p>
    <w:p>
      <w:pPr/>
      <w:r>
        <w:rPr>
          <w:b/>
        </w:rPr>
        <w:t>POSSIBLE 2026:</w:t>
      </w:r>
      <w:r>
        <w:t xml:space="preserve"> Contested Borders in Central and Eastern Europe — https://doi.org/10.4324/9781003499411-29</w:t>
      </w:r>
    </w:p>
    <w:p>
      <w:pPr/>
      <w:r>
        <w:rPr>
          <w:b/>
        </w:rPr>
        <w:t>Shared claim-specific concepts:</w:t>
      </w:r>
      <w:r>
        <w:t xml:space="preserve"> directions, within, strategies; EU scope visible. This is a provisional connection, not an outcome finding.</w:t>
      </w:r>
    </w:p>
    <w:p>
      <w:pPr>
        <w:pStyle w:val="SourceNote"/>
      </w:pPr>
      <w:r>
        <w:rPr>
          <w:b/>
        </w:rPr>
        <w:t>Available abstract (not full text):</w:t>
      </w:r>
      <w:r>
        <w:t xml:space="preserve"> This chapter surveys research on contested borders and sovereignty disputes in Central and Eastern Europe (CEE). It argues that these phenomena are best understood by integrating two bodies of scholarship that have largely developed separately: studies of majority–minority relations and transborder kin-state politics (the triadic nexus), and analyses of unilateral secession, de facto states, and external patronage. Building on these frameworks, this chapter conceptualizes contested borders as challenges to different dimensions of sovereignty and advances a typology that classifies border contestations along internal/external and soft/hard dimensions, distinguishing soft external challenges, internal secessionist conflicts, and hard external revisionism. Driven by a combination of historical legacies, domestic political incentives, and geopolitical strategies, these forms of contestation vary in intensity, interact over time, and may escalate. This chapter further situates these disputes within a “quadratic nexus” that incorporates international organizations, highlighting how Europeanization and geopolitical rivalries may mitigate or exacerbate conflict. Ultimately, it shows how these dynamics – intensified by Russia’s 2022 invasion of Ukraine – challenge regional stability and the international norm of territorial integrity. Overall, this chapter offers an integrated analytica</w:t>
      </w:r>
    </w:p>
    <w:p>
      <w:pPr/>
      <w:r>
        <w:rPr>
          <w:b/>
        </w:rPr>
        <w:t>POSSIBLE 2026:</w:t>
      </w:r>
      <w:r>
        <w:t xml:space="preserve"> Ayurveda on The World Stage: Comprehensive Global Integration, Epistemological Foundations, Regulatory Landscapes, and Future Directions — https://doi.org/10.67440/ahj.vi.2633</w:t>
      </w:r>
    </w:p>
    <w:p>
      <w:pPr/>
      <w:r>
        <w:rPr>
          <w:b/>
        </w:rPr>
        <w:t>Shared claim-specific concepts:</w:t>
      </w:r>
      <w:r>
        <w:t xml:space="preserve"> directions, discussion, need, between, alternative; EU scope visible. This is a provisional connection, not an outcome finding.</w:t>
      </w:r>
    </w:p>
    <w:p>
      <w:pPr>
        <w:pStyle w:val="SourceNote"/>
      </w:pPr>
      <w:r>
        <w:rPr>
          <w:b/>
        </w:rPr>
        <w:t>Available abstract (not full text):</w:t>
      </w:r>
      <w:r>
        <w:t xml:space="preserve"> Background: Ayurveda is regarded as an old system of holistic medicine that acknowledges the complex interaction of the mind, body and soul. The recent increase in lifestyle-associated diseases and the resulting growth in the popularity of traditional medicine are factors contributing to its rise to prominence. At the same time, there are numerous challenges in adapting Ayurveda to diverse geographical, institutional and policy realities while retaining its integrity as a medical system. Objective: This comprehensive review provides an exhaustive, rigorous appraisal of the current status, historical trajectories, and global structural integration of Ayurveda across diverse international regulatory jurisdictions, combining classical doctrines with modern biomedical framework Methods: This article was based on a comprehensive search of scholarly databases, including PubMed, Scopus, and Google Scholar, as well as reports and policy papers published by the World Health Organisation and the Ministry of AYUSH, India. The findings of multiple peer-reviewed articles, historical medical resources, and research reports on the safety of clinical procedures and international regulatory practices were analysed. Particular attention was paid to the existing dichotomy in medical practice and policies in India and the countries of the European Economic Area, as well as the recent changes in th</w:t>
      </w:r>
    </w:p>
    <w:p>
      <w:pPr/>
      <w:r>
        <w:rPr>
          <w:b/>
        </w:rPr>
        <w:t>POSSIBLE 2026:</w:t>
      </w:r>
      <w:r>
        <w:t xml:space="preserve"> Development of Agriculture in Mountain Areas in Europe: Organisational and Economic Versus Environmental Aspects — https://doi.org/10.3390/agriculture16010127</w:t>
      </w:r>
    </w:p>
    <w:p>
      <w:pPr/>
      <w:r>
        <w:rPr>
          <w:b/>
        </w:rPr>
        <w:t>Shared claim-specific concepts:</w:t>
      </w:r>
      <w:r>
        <w:t xml:space="preserve"> varying, directions, within, need, common, between; EU scope visible. This is a provisional connection, not an outcome finding.</w:t>
      </w:r>
    </w:p>
    <w:p>
      <w:pPr>
        <w:pStyle w:val="SourceNote"/>
      </w:pPr>
      <w:r>
        <w:rPr>
          <w:b/>
        </w:rPr>
        <w:t>Available abstract (not full text):</w:t>
      </w:r>
      <w:r>
        <w:t xml:space="preserve"> The article analyses the direction and intensity of changes occurring in agriculture in mountain areas in Europe between 2000 and 2022. For the calculations, the ESA CCI Land Cover global land-use map set was used. This dataset was established by the European Space Agency (ESA) through the classification of satellite images from sources (MERIS, AVHRR, SPOT, PROBA, and Sentinel-3). In the next step, the organisational features and economic performance of farms located in mountain areas of the European Union were determined for the period 2004–2022. For this purpose, data from the European Farms Accountancy Data Network (FADN-FSDN) were used. Subsequently, using Poland as a case study, the capacity of mountain agriculture to implement key environmental interventions under the Common Agricultural Policy (CAP) 2023–2027 was assessed. The results highlight the varying directions and intensity of organisational changes occurring in mountain agriculture across Europe. They also show that farms can operate successfully in these areas, although their economic situation varies between EU countries. The findings indicate the need for further adaptation of CAP instruments to better reflect the ecological and economic conditions of mountain areas. Strengthening support mechanisms for these regions within the current and future CAP is of crucial importance for protecting biodiversity, promot</w:t>
      </w:r>
    </w:p>
    <w:p>
      <w:pPr/>
      <w:r>
        <w:rPr>
          <w:b/>
        </w:rPr>
        <w:t>POSSIBLE 2025:</w:t>
      </w:r>
      <w:r>
        <w:t xml:space="preserve"> PROBATION WORK DEVELOPMENT DIRECTIONS IN THE LIGHT OF THE EUROPEAN PROBATION RULES — https://doi.org/10.5604/01.3001.0055.0535</w:t>
      </w:r>
    </w:p>
    <w:p>
      <w:pPr/>
      <w:r>
        <w:rPr>
          <w:b/>
        </w:rPr>
        <w:t>Shared claim-specific concepts:</w:t>
      </w:r>
      <w:r>
        <w:t xml:space="preserve"> directions, within, scope; EU scope visible. This is a provisional connection, not an outcome finding.</w:t>
      </w:r>
    </w:p>
    <w:p>
      <w:pPr>
        <w:pStyle w:val="SourceNote"/>
      </w:pPr>
      <w:r>
        <w:rPr>
          <w:b/>
        </w:rPr>
        <w:t>Available abstract (not full text):</w:t>
      </w:r>
      <w:r>
        <w:t xml:space="preserve">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pPr/>
      <w:r>
        <w:rPr>
          <w:b/>
        </w:rPr>
        <w:t>POSSIBLE 2025:</w:t>
      </w:r>
      <w:r>
        <w:t xml:space="preserve"> LSP Teacher Training in Europe and the United States: Trends, Challenges, Solutions, and Future Directions — https://doi.org/10.4079/gbl.v25.5</w:t>
      </w:r>
    </w:p>
    <w:p>
      <w:pPr/>
      <w:r>
        <w:rPr>
          <w:b/>
        </w:rPr>
        <w:t>Shared claim-specific concepts:</w:t>
      </w:r>
      <w:r>
        <w:t xml:space="preserve"> directions, need, solutions, between; EU scope visible. This is a provisional connection, not an outcome finding.</w:t>
      </w:r>
    </w:p>
    <w:p>
      <w:pPr>
        <w:pStyle w:val="SourceNote"/>
      </w:pPr>
      <w:r>
        <w:rPr>
          <w:b/>
        </w:rPr>
        <w:t>Available abstract (not full text):</w:t>
      </w:r>
      <w:r>
        <w:t xml:space="preserve"> Current research in the domain of languages for specific purposes (LSP) reveals an increasing need for enhanced collaboration and knowledge sharing among LSP scholars and practitioners across diverse geographic areas. This article addresses this need in the context of LSP teacher education training by examining the similarities and differences between LSP teacher training in Europe and the United States, and by suggesting training practices that can be adapted to diverse educational and cultural contexts. Throughout the article, the authors explore specific trends, challenges, and solutions for LSP teacher training from both European and US perspectives. The conclusion identifies future research directions to ensure that LSP teachers are better equipped to meet diverse, evolving linguistic professional needs in specific contexts.</w:t>
      </w:r>
    </w:p>
    <w:p>
      <w:pPr/>
      <w:r>
        <w:rPr>
          <w:b/>
        </w:rPr>
        <w:t>POSSIBLE 2025:</w:t>
      </w:r>
      <w:r>
        <w:t xml:space="preserve"> Gaps in Affordable Housing Discussions: Future Research Directions for Sustainable Development Goal 11 — https://doi.org/10.11648/j.urp.20251002.12</w:t>
      </w:r>
    </w:p>
    <w:p>
      <w:pPr/>
      <w:r>
        <w:rPr>
          <w:b/>
        </w:rPr>
        <w:t>Shared claim-specific concepts:</w:t>
      </w:r>
      <w:r>
        <w:t xml:space="preserve"> directions, within, discussion, scope; EU scope not established. This is a provisional connection, not an outcome finding.</w:t>
      </w:r>
    </w:p>
    <w:p>
      <w:pPr>
        <w:pStyle w:val="SourceNote"/>
      </w:pPr>
      <w:r>
        <w:rPr>
          <w:b/>
        </w:rPr>
        <w:t>Available abstract (not full text):</w:t>
      </w:r>
      <w:r>
        <w:t xml:space="preserve"> Affordable housing (AH) for the urban poor has continued as a prevalent challenge across most countries of the world in the face of continuous urbanization, regardless of the popularity of AH in scholarly discussions. To provide an overview of this research area in recent times, a scoping review has been conducted in this study. The study employed a systematic search across two of the most reliable databases in this field (Scopus and Web of Science) and identified 52 studies considered relevant. Standard guidelines for scoping review were followed in this study for reliability. This review mapped the general and methodological characteristics of AH studies. Findings are that AH is indeed a well-researched study, however, studies are currently skewed towards supply-oriented challenges and remedies, to the neglect of demand-oriented issues. Most studies are limited in scope which in turn limits the methodologies in AH research. Asia continent has contributed most to the AH discussion and within Asia, India has made the most contributions. Recommendations are that future studies should capture and proactively address demand-side challenges for balance, investigate wider scopes for generalizability of findings, employ more reliable methodologies and that AH investigations should follow pragmatic approaches to achieve sustainable affordable housing.</w:t>
      </w:r>
    </w:p>
    <w:p>
      <w:pPr/>
      <w:r>
        <w:rPr>
          <w:b/>
        </w:rPr>
        <w:t>POSSIBLE 2025:</w:t>
      </w:r>
      <w:r>
        <w:t xml:space="preserve"> Cancer burden in Europe: a systematic analysis of the GLOBOCAN database (2022) — https://doi.org/10.1186/s12885-025-13862-1</w:t>
      </w:r>
    </w:p>
    <w:p>
      <w:pPr/>
      <w:r>
        <w:rPr>
          <w:b/>
        </w:rPr>
        <w:t>Shared claim-specific concepts:</w:t>
      </w:r>
      <w:r>
        <w:t xml:space="preserve"> need, common, strategies;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A matrix of educational policies to support migrant students across Europe — https://doi.org/10.1177/14749041251337233</w:t>
      </w:r>
    </w:p>
    <w:p>
      <w:pPr/>
      <w:r>
        <w:rPr>
          <w:b/>
        </w:rPr>
        <w:t>Shared claim-specific concepts:</w:t>
      </w:r>
      <w:r>
        <w:t xml:space="preserve"> directions, within, need, between, strategies; EU scope visible. This is a provisional connection, not an outcome finding.</w:t>
      </w:r>
    </w:p>
    <w:p>
      <w:pPr>
        <w:pStyle w:val="SourceNote"/>
      </w:pPr>
      <w:r>
        <w:rPr>
          <w:b/>
        </w:rPr>
        <w:t>Available abstract (not full text):</w:t>
      </w:r>
      <w:r>
        <w:t xml:space="preserve"> Increase in immigration in Europe, including many migrants of school age, has highlighted the need to understand how best to support migrant students’ integration. Integration strategies vary significantly between countries, resulting in a complex mosaic of approaches that is difficult to analyze. Educational policies are shaped by a range of policy choices made by local and national governments regarding the economy, welfare, and foreign policy. Rather than examining education policies in isolation, this study adopts an integrated approach considering a broader policy landscape. We develop a matrix that considers migrant integration in schools within the wider education welfare regimes and approaches to inclusion and diversity. To validate the matrix’s relevance, we compare migrant inclusion strategies in 29 European countries, revealing a patchwork of policy choices within those three domains. The findings highlight the complexity of interaction between education policies and the broader integration environment and demonstrate how policy choices are deeply rooted in each country’s unique cultural, social, and historical contexts. We conclude by discussing how the proposed matrix can serve as a tool for comparative research on migrant students’ education and suggest directions for its further development.</w:t>
      </w:r>
    </w:p>
    <w:p>
      <w:pPr/>
      <w:r>
        <w:rPr>
          <w:b/>
        </w:rPr>
        <w:t>POSSIBLE 2025:</w:t>
      </w:r>
      <w:r>
        <w:t xml:space="preserve"> A functionally graded Green-Naghdi (type-III) thermoelastic medium with varying properties along two directions — https://doi.org/10.1007/s00161-025-01395-8</w:t>
      </w:r>
    </w:p>
    <w:p>
      <w:pPr/>
      <w:r>
        <w:rPr>
          <w:b/>
        </w:rPr>
        <w:t>Shared claim-specific concepts:</w:t>
      </w:r>
      <w:r>
        <w:t xml:space="preserve"> varying, directions, between; EU scope not established. This is a provisional connection, not an outcome finding.</w:t>
      </w:r>
    </w:p>
    <w:p>
      <w:pPr>
        <w:pStyle w:val="SourceNote"/>
      </w:pPr>
      <w:r>
        <w:rPr>
          <w:b/>
        </w:rPr>
        <w:t>Available abstract (not full text):</w:t>
      </w:r>
      <w:r>
        <w:t xml:space="preserve"> Abstract This study examines the two-dimensional deformation of a functionally graded Green Naghdi (type-III) thermoelastic half-space under hydrostatic initial stress. The material properties of the medium are assumed to vary along two directions. Such type of problem has not been attempted earlier. Using the normal mode technique, analytical expressions for displacement components, temperature distribution, and force stress are derived. The numerical evaluation of these field variables reveals the impact of initial stress and material inhomogeneity on thermoelastic behavior. Graphical representations illustrate the variations in displacement and stress fields, emphasizing the intricate interplay between mechanical and thermal responses. These findings provide valuable insights for stress-strain analysis and the design of advanced engineering materials in thermoelastic applications.</w:t>
      </w:r>
    </w:p>
    <w:p>
      <w:pPr>
        <w:pStyle w:val="Heading2"/>
      </w:pPr>
      <w:r>
        <w:t>569. The European Union as a long-term political actor: an overview</w:t>
      </w:r>
    </w:p>
    <w:p>
      <w:pPr>
        <w:pStyle w:val="SourceNote"/>
      </w:pPr>
      <w:r>
        <w:rPr>
          <w:b/>
        </w:rPr>
        <w:t>Original source (2022):</w:t>
      </w:r>
      <w:r>
        <w:t xml:space="preserve"> https://doi.org/10.1080/2474736x.2022.2043725</w:t>
      </w:r>
    </w:p>
    <w:p>
      <w:pPr/>
      <w:r>
        <w:t>Original wording (abstract; indexed_source_text_not_full_document_verified): We ask in which ways and to what extent is the Union able to employ long-term policy targets and considers the possible interests of future generations.</w:t>
      </w:r>
    </w:p>
    <w:p>
      <w:pPr/>
      <w:r>
        <w:rPr>
          <w:b/>
        </w:rPr>
        <w:t>POSSIBLE 2026:</w:t>
      </w:r>
      <w:r>
        <w:t xml:space="preserve"> Democratic legitimacy and the European Citizens' Initiative: a recipe for disappointment and disaffection? — https://doi.org/10.82444/warw.33734965</w:t>
      </w:r>
    </w:p>
    <w:p>
      <w:pPr/>
      <w:r>
        <w:rPr>
          <w:b/>
        </w:rPr>
        <w:t>Shared claim-specific concepts:</w:t>
      </w:r>
      <w:r>
        <w:t xml:space="preserve"> ask, ways, extent, union, able; EU scope visible. This is a provisional connection, not an outcome finding.</w:t>
      </w:r>
    </w:p>
    <w:p>
      <w:pPr>
        <w:pStyle w:val="SourceNote"/>
      </w:pPr>
      <w:r>
        <w:rPr>
          <w:b/>
        </w:rPr>
        <w:t>Available abstract (not full text):</w:t>
      </w:r>
      <w:r>
        <w:t xml:space="preserve">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pPr/>
      <w:r>
        <w:rPr>
          <w:b/>
        </w:rPr>
        <w:t>POSSIBLE 2026:</w:t>
      </w:r>
      <w:r>
        <w:t xml:space="preserve"> The ‘European sovereignty’ narrative: More EU capacity, but less democracy? Citizens' perceptions in France and Belgium — https://doi.org/10.54195/plc.24877</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pPr/>
      <w:r>
        <w:rPr>
          <w:b/>
        </w:rPr>
        <w:t>POSSIBLE 2025:</w:t>
      </w:r>
      <w:r>
        <w:t xml:space="preserve"> To what extent can the European Union contribute to a feminist climate policy? — https://doi.org/10.4324/9781003461005-6</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pPr/>
      <w:r>
        <w:rPr>
          <w:b/>
        </w:rPr>
        <w:t>POSSIBLE 2025:</w:t>
      </w:r>
      <w:r>
        <w:t xml:space="preserve"> Criminal law and discrimination in Europe: Towards critical race theory approaches? — https://doi.org/10.4337/9781789906318.00036</w:t>
      </w:r>
    </w:p>
    <w:p>
      <w:pPr/>
      <w:r>
        <w:rPr>
          <w:b/>
        </w:rPr>
        <w:t>Shared claim-specific concepts:</w:t>
      </w:r>
      <w:r>
        <w:t xml:space="preserve"> ways, extent, considers, interests; EU scope visible. This is a provisional connection, not an outcome finding.</w:t>
      </w:r>
    </w:p>
    <w:p>
      <w:pPr>
        <w:pStyle w:val="SourceNote"/>
      </w:pPr>
      <w:r>
        <w:rPr>
          <w:b/>
        </w:rPr>
        <w:t>Available abstract (not full text):</w:t>
      </w:r>
      <w:r>
        <w:t xml:space="preserve">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pPr/>
      <w:r>
        <w:rPr>
          <w:b/>
        </w:rPr>
        <w:t>POSSIBLE 2025:</w:t>
      </w:r>
      <w:r>
        <w:t xml:space="preserve"> Signalling Questions in the Recovery and Resilience Dialogues: What MEPs Ask When They Are Not Asking for Accountability — https://doi.org/10.1111/jcms.70063</w:t>
      </w:r>
    </w:p>
    <w:p>
      <w:pPr/>
      <w:r>
        <w:rPr>
          <w:b/>
        </w:rPr>
        <w:t>Shared claim-specific concepts:</w:t>
      </w:r>
      <w:r>
        <w:t xml:space="preserve"> ask, extent, union; EU scope visible. This is a provisional connection, not an outcome finding.</w:t>
      </w:r>
    </w:p>
    <w:p>
      <w:pPr>
        <w:pStyle w:val="SourceNote"/>
      </w:pPr>
      <w:r>
        <w:rPr>
          <w:b/>
        </w:rPr>
        <w:t>Available abstract (not full text):</w:t>
      </w:r>
      <w:r>
        <w:t xml:space="preserve"> Abstract Parliamentary questions are often seen as instruments of executive accountability. Yet in the European Parliament's (EP's) Recovery and Resilience Dialogues, many questions appear to pursue alternative purposes. This article addresses this gap by asking: to what extent do Members of the European Parliament (MEPs) utilise parliamentary dialogues for purposes beyond accountability, and how do these alternative purposes manifest in their questions? To answer this, it introduces the concept of signalling questions – forward‐looking and expressive interventions that aim to influence policy debates, demonstrate responsiveness to different publics or assert the EP's institutional role. Based on a qualitative content analysis of 447 questions raised between 2021 and 2024, the article identifies three principal signalling purposes: policy‐seeking, vote‐seeking and power‐seeking. Policy‐seeking questions were the most prominent, particularly amongst centre‐left and pro‐integrationist MEPs. Vote‐seeking questions reflected both supranational and national concerns, especially in contexts of contested implementation. Power‐seeking questions were comparatively rare, suggesting a more cautious performance of the EP's institutional role. These questions complement, rather than replace, accountability‐seeking. The findings contribute to research on parliamentary behaviour, representati</w:t>
      </w:r>
    </w:p>
    <w:p>
      <w:pPr/>
      <w:r>
        <w:rPr>
          <w:b/>
        </w:rPr>
        <w:t>POSSIBLE 2025:</w:t>
      </w:r>
      <w:r>
        <w:t xml:space="preserve"> Strategic information and Europeans' Willingness to Compensate for US Aid Suspensions — https://doi.org/10.17605/osf.io/qj2bf</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Aims and objectives This project examines the question: To what extent are Europeans willing to compensate for aid suspensions by the United States (and others)? In particular, we ask whether being reminded about the importance of foreign aid for foreign policy affects citizens’ willingness to support foreign aid increases, testing for both “Trump effects” and “China effects”. Based on previous polling, we expect that citizens have a limited appetite for increasing foreign aid, even when other states are withdrawing. In general, citizens know relatively little about aid and it is a low-salience issue. What happens, however, when citizens are reminded about the foreign policy value of aid? In this experiment, we explore whether reminding German citizens about the foreign policy goals of aid increases their willingness to support foreign aid to compensate for the retrenchment of other donors — namely the United States and the United Kingdom. We also explore whether there is a “China effect”. That is, does reminding citizens that China may benefit from the withdrawals increase their willingness to support foreign aid through their own government? Approach and methodology We will conduct survey experiments in Germany and Austria to examine whether strategic information about the foreign policy value of foreign aid affects citizens' willingness to compensate for aid withdrawals from</w:t>
      </w:r>
    </w:p>
    <w:p>
      <w:pPr/>
      <w:r>
        <w:rPr>
          <w:b/>
        </w:rPr>
        <w:t>POSSIBLE 2025:</w:t>
      </w:r>
      <w:r>
        <w:t xml:space="preserve"> Business Ethics in Europe: What Can We Learn from Each Other? — https://doi.org/10.5465/amproc.2025.21213symposium</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The proposed panel symposium focuses on business ethics Europe and aims (1) to identify the commonalities and particularities of business ethics in European countries and (2) to investigate “what we can learn from each other?” Reporters from European countries are invited to participate in-person. The conversation is structured in line with the Global Business Ethics Study 2022-2024 framework that was developed in consultation with approximately 100 experts of business ethics around the world and makes the country-reports comparable with each other. Given the limitation of this overview, only a few features will be selected in the panel discussion by each presenter. The framework distinguishes three areas of business ethics activities: teaching and research in academia, and training in business enterprises. The “horizon of business ethics” includes 13 themes (to which reporters could add further themes relevant for their own countries): Business and Human Rights / Business and Sustainability / Business and Just Energy Transition / Business and Wealth Creation / Corporate Governance / Digital Transformation / Corruption / Whistleblowing / Conflict and Terrorism / Religion and Spirituality / Diversity / Micro, Small and Medium Enterprises (MSME) / Leadership and Ethics Management. Each reporter had to prioritize these themes on the scale of “very important” / “important” / “neutr</w:t>
      </w:r>
    </w:p>
    <w:p>
      <w:pPr/>
      <w:r>
        <w:rPr>
          <w:b/>
        </w:rPr>
        <w:t>POSSIBLE 2024:</w:t>
      </w:r>
      <w:r>
        <w:t xml:space="preserve"> Flexibility Stigma Across Europe: How National Contexts can Shift the Extent to which Flexible Workers are Stigmatised — https://doi.org/10.1007/s11205-024-03420-w</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r>
        <w:rPr>
          <w:b/>
        </w:rPr>
        <w:t>POSSIBLE 2024:</w:t>
      </w:r>
      <w:r>
        <w:t xml:space="preserve"> "It was important not to Ask" — https://doi.org/10.18172/jes.6363</w:t>
      </w:r>
    </w:p>
    <w:p>
      <w:pPr/>
      <w:r>
        <w:rPr>
          <w:b/>
        </w:rPr>
        <w:t>Shared claim-specific concepts:</w:t>
      </w:r>
      <w:r>
        <w:t xml:space="preserve"> ask, ways, considers; EU scope not established. This is a provisional connection, not an outcome finding.</w:t>
      </w:r>
    </w:p>
    <w:p>
      <w:pPr>
        <w:pStyle w:val="SourceNote"/>
      </w:pPr>
      <w:r>
        <w:rPr>
          <w:b/>
        </w:rPr>
        <w:t>Available abstract (not full text):</w:t>
      </w:r>
      <w:r>
        <w:t xml:space="preserve"> Drawing on various theories and approaches, from its application to fiction to its socio-cultural dimensions and presence within communication, this study considers Colm Tóibín’s use of silence as a key narrative element and aesthetic practice in Long Island (2024), inviting some comparisons with its prequel, Brooklyn (2009). As shall be explained, silence operates on different levels in Long Island. Thanks to Tóibín’s tightly controlled release of information, silence becomes crucial to plot development and suspense, and vividly recreates the tensions between concealment and revelation. Silence, too, works for the sake of characterisation, and serves to dramatise the protagonists’ crises and indecisions, as well as their strategies of manipulation. On some other occasions, though, silence contributes to mutual understanding, increasing closeness and intimacy between characters. All in all, this study details the ways silence informs narrative style, endows characters with psychological complexity, and enriches the subject matter of Tóibín’s Long Island.</w:t>
      </w:r>
    </w:p>
    <w:p>
      <w:pPr/>
      <w:r>
        <w:rPr>
          <w:b/>
        </w:rPr>
        <w:t>POSSIBLE 2024:</w:t>
      </w:r>
      <w:r>
        <w:t xml:space="preserve"> You Only Have to Ask! — https://doi.org/10.4324/9781003475613</w:t>
      </w:r>
    </w:p>
    <w:p>
      <w:pPr/>
      <w:r>
        <w:rPr>
          <w:b/>
        </w:rPr>
        <w:t>Shared claim-specific concepts:</w:t>
      </w:r>
      <w:r>
        <w:t xml:space="preserve"> ask, able, generations; EU scope not established. This is a provisional connection, not an outcome finding.</w:t>
      </w:r>
    </w:p>
    <w:p>
      <w:pPr>
        <w:pStyle w:val="SourceNote"/>
      </w:pPr>
      <w:r>
        <w:rPr>
          <w:b/>
        </w:rPr>
        <w:t>Available abstract (not full text):</w:t>
      </w:r>
      <w:r>
        <w:t xml:space="preserve"> The priorities and values of Gen Z are not always aligned with the priorities and values of earlier generations. Gen Z are viewed as fundamentally different from those who have gone before and by 2025, they will make up 30% of the workplace. Understanding the needs and expectations of Gen Z will highlight how today’s managers and leaders can support them performing to their full potential. You Only Have to Ask!: How to Realise the Full Potential of Gen Z at Work explores the ever-evolving dynamic of the employer– employee relationship and provides guidance on how to navigate this successfully. The book highlights the need for today’s leaders to appreciate and adapt to the opportunities for increased levels of satisfaction, greater committed participation and fresh energy that Gen Z are able and willing to bring to the workplace. This means creating a culture that engages the minds and commitment of this new generation whose expectations and needs may not always conform to traditional management practice. The book also provides a “pick and mix” framework to help elevate the communication between managers and teams that can be applied immediately. When using this framework, every performer can develop and measure the level of engagement—in both the team and themselves—thus creating the ultimate environment in which everyone is enabled to do their best work. The eight questions in</w:t>
      </w:r>
    </w:p>
    <w:p>
      <w:pPr/>
      <w:r>
        <w:rPr>
          <w:b/>
        </w:rPr>
        <w:t>POSSIBLE 2023:</w:t>
      </w:r>
      <w:r>
        <w:t xml:space="preserve"> Environmental Accounting in the European Accounting Review : A Reflection — https://doi.org/10.1080/09638180.2023.2254351</w:t>
      </w:r>
    </w:p>
    <w:p>
      <w:pPr/>
      <w:r>
        <w:rPr>
          <w:b/>
        </w:rPr>
        <w:t>Shared claim-specific concepts:</w:t>
      </w:r>
      <w:r>
        <w:t xml:space="preserve"> ways, extent, targets; EU scope visible. This is a provisional connection, not an outcome finding.</w:t>
      </w:r>
    </w:p>
    <w:p>
      <w:pPr>
        <w:pStyle w:val="SourceNote"/>
      </w:pPr>
      <w:r>
        <w:rPr>
          <w:b/>
        </w:rPr>
        <w:t>Available abstract (not full text):</w:t>
      </w:r>
      <w:r>
        <w:t xml:space="preserve"> We reflect upon how European Accounting Review has conceived of environmental accounting (and to some extent social/sustainability accounting work) over its 30-year history, with the aim of discussing ways in which environmental accounting research can further develop, both within and beyond this journal.After outlining the broader social and ecological context from which environmental accounting has emerged (and noting that this context is evolving in substantive ways), we provide an overview of the types of research published in EAR.We combine these elements to identify three themes that we argue are critical for the direction of future research: the financial materiality of ecological issues and the impact this has on risk; how environmental accounting practices are constructed; and how a new relationship between nature and society may affect accounting practices.We finally conclude by envisioning a future of environmental accounting research that dovetails with the sustainability ambitions that can be draw from an examination of the detailed targets that underpin the Sustainable Development Goals.</w:t>
      </w:r>
    </w:p>
    <w:p>
      <w:pPr/>
      <w:r>
        <w:rPr>
          <w:b/>
        </w:rPr>
        <w:t>POSSIBLE 2023:</w:t>
      </w:r>
      <w:r>
        <w:t xml:space="preserve"> A person‐centred approach to enhance the long‐term health and wellbeing of people living with HIV in Europe — https://doi.org/10.1002/jia2.26117</w:t>
      </w:r>
    </w:p>
    <w:p>
      <w:pPr/>
      <w:r>
        <w:rPr>
          <w:b/>
        </w:rPr>
        <w:t>Shared claim-specific concepts:</w:t>
      </w:r>
      <w:r>
        <w:t xml:space="preserve"> ways, union, able, long-term, targets; EU scope visible. This is a provisional connection, not an outcome finding.</w:t>
      </w:r>
    </w:p>
    <w:p>
      <w:pPr>
        <w:pStyle w:val="SourceNote"/>
      </w:pPr>
      <w:r>
        <w:rPr>
          <w:b/>
        </w:rPr>
        <w:t>Available abstract (not full text):</w:t>
      </w:r>
      <w:r>
        <w:t xml:space="preserve"> Person-centred care is a critical attribute of high-quality healthcare, promoting quality of life, improving an individual's interaction with the health system and valuing people's social networks [1]. Lifesaving antiretroviral therapy is now increasingly widely available around the world, although not all countries have reached their coverage targets related to prevention, diagnosis and linkage to care. As a consequence of the enormous progress made, most people living with HIV are able to grow older rather than dying prematurely [2]. Therefore, it is essential that health systems respond to the changing needs of an ageing population living with HIV, who have comparatively higher multimorbidity (both physical and mental) and experience persistent stigma [3, 4]. To achieve this, person-centred care services for people living with HIV must focus on long-term wellbeing by monitoring and managing multimorbidity, health-related quality of life (HRQoL), stigma and discrimination [5]. In line with WHO's global strategy on HIV for 2022–2030 [2] and UNAIDS' targets set in 2021 [6], a people-centred approach is essential to allow for this transformation of health systems. Health services must offer an integrated response to the evolving health needs and choices of people living with HIV—and this is still not the case in most settings, including high-income countries in Europe [7]. The c</w:t>
      </w:r>
    </w:p>
    <w:p>
      <w:pPr>
        <w:pStyle w:val="Heading2"/>
      </w:pPr>
      <w:r>
        <w:t>570. The Futures of Europe: Society 5.0 and Industry 5.0 as Driving Forces of Future Universities</w:t>
      </w:r>
    </w:p>
    <w:p>
      <w:pPr>
        <w:pStyle w:val="SourceNote"/>
      </w:pPr>
      <w:r>
        <w:rPr>
          <w:b/>
        </w:rPr>
        <w:t>Original source (2022):</w:t>
      </w:r>
      <w:r>
        <w:t xml:space="preserve"> https://doi.org/10.1007/s13132-021-00854-2</w:t>
      </w:r>
    </w:p>
    <w:p>
      <w:pPr/>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POSSIBLE 2026:</w:t>
      </w:r>
      <w:r>
        <w:t xml:space="preserve"> Representations of the Concept of Civil Society in Brazil — https://openalex.org/W7221581217</w:t>
      </w:r>
    </w:p>
    <w:p>
      <w:pPr/>
      <w:r>
        <w:rPr>
          <w:b/>
        </w:rPr>
        <w:t>Shared claim-specific concepts:</w:t>
      </w:r>
      <w:r>
        <w:t xml:space="preserve"> assumptions, society, both; EU scope visible. This is a provisional connection, not an outcome finding.</w:t>
      </w:r>
    </w:p>
    <w:p>
      <w:pPr>
        <w:pStyle w:val="SourceNote"/>
      </w:pPr>
      <w:r>
        <w:rPr>
          <w:b/>
        </w:rPr>
        <w:t>Available abstract (not full text):</w:t>
      </w:r>
      <w:r>
        <w:t xml:space="preserve">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pPr/>
      <w:r>
        <w:rPr>
          <w:b/>
        </w:rPr>
        <w:t>POSSIBLE 2026:</w:t>
      </w:r>
      <w:r>
        <w:t xml:space="preserve"> Updated PM2.5 Mortality Estimates for Europe in Coming Decades via the CATALYSE Project — https://doi.org/10.5194/egusphere-egu26-18901</w:t>
      </w:r>
    </w:p>
    <w:p>
      <w:pPr/>
      <w:r>
        <w:rPr>
          <w:b/>
        </w:rPr>
        <w:t>Shared claim-specific concepts:</w:t>
      </w:r>
      <w:r>
        <w:t xml:space="preserve"> assumptions, practices, policies, societies, use; EU scope visible. This is a provisional connection, not an outcome finding.</w:t>
      </w:r>
    </w:p>
    <w:p>
      <w:pPr>
        <w:pStyle w:val="SourceNote"/>
      </w:pPr>
      <w:r>
        <w:rPr>
          <w:b/>
        </w:rPr>
        <w:t>Available abstract (not full text):</w:t>
      </w:r>
      <w:r>
        <w:t xml:space="preserve">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pPr/>
      <w:r>
        <w:rPr>
          <w:b/>
        </w:rPr>
        <w:t>POSSIBLE 2026:</w:t>
      </w:r>
      <w:r>
        <w:t xml:space="preserve"> Inclusion and Gender Empowerment in European Civil Society Organisations — https://openalex.org/W7137625942</w:t>
      </w:r>
    </w:p>
    <w:p>
      <w:pPr/>
      <w:r>
        <w:rPr>
          <w:b/>
        </w:rPr>
        <w:t>Shared claim-specific concepts:</w:t>
      </w:r>
      <w:r>
        <w:t xml:space="preserve"> society, practices, both, foster, process;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2026:</w:t>
      </w:r>
      <w:r>
        <w:t xml:space="preserve"> Organisational Identity and Practice: A Study of Mission Statements of Universities in Ghana — https://doi.org/10.26437/8mj57m89</w:t>
      </w:r>
    </w:p>
    <w:p>
      <w:pPr/>
      <w:r>
        <w:rPr>
          <w:b/>
        </w:rPr>
        <w:t>Shared claim-specific concepts:</w:t>
      </w:r>
      <w:r>
        <w:t xml:space="preserve"> industry, universities, both; EU scope not established. This is a provisional connection, not an outcome finding.</w:t>
      </w:r>
    </w:p>
    <w:p>
      <w:pPr>
        <w:pStyle w:val="SourceNote"/>
      </w:pPr>
      <w:r>
        <w:rPr>
          <w:b/>
        </w:rPr>
        <w:t>Available abstract (not full text):</w:t>
      </w:r>
      <w:r>
        <w:t xml:space="preserve"> Purpose: This study examines how universities in Ghana construct and communicate their organisational identity through mission statements. Design/Methodology/Approach: A qualitative documentary research design was adopted. A purposive and stratified approach was used to select a sample of 63 mission statements from accredited Ghanaian universities. Nineteen stakeholder groups, including students, researchers, and industry partners, were used. The analysis examined linguistic patterns, thematic categories, and references. Research Limitation: The focus on Ghanaian universities may limit the generalisability of its findings. Future research should explore how mission-statement rhetoric affects institutional performance and compare results across educational systems. Finding: The findings indicate that mission statements serve dual purposes: internally, they motivate and unify members of the university community; externally, they articulate institutional values and strategic objectives. Both public and private universities emphasise distinct identity markers, such as career readiness, research orientation, community engagement, and professional development. Practical Implication: This study guides university leaders and policymakers in crafting mission statements that enhance institutional branding and stakeholder alignment. Social Implication: Mission statements in Ghanaian unive</w:t>
      </w:r>
    </w:p>
    <w:p>
      <w:pPr/>
      <w:r>
        <w:rPr>
          <w:b/>
        </w:rPr>
        <w:t>POSSIBLE 2026:</w:t>
      </w:r>
      <w:r>
        <w:t xml:space="preserve"> Craftwork in Small-Scale Societies of the Central European Bronze Age — https://doi.org/10.1017/9781009611251</w:t>
      </w:r>
    </w:p>
    <w:p>
      <w:pPr/>
      <w:r>
        <w:rPr>
          <w:b/>
        </w:rPr>
        <w:t>Shared claim-specific concepts:</w:t>
      </w:r>
      <w:r>
        <w:t xml:space="preserve"> practices, both, societies; EU scope visible. This is a provisional connection, not an outcome finding.</w:t>
      </w:r>
    </w:p>
    <w:p>
      <w:pPr>
        <w:pStyle w:val="SourceNote"/>
      </w:pPr>
      <w:r>
        <w:rPr>
          <w:b/>
        </w:rPr>
        <w:t>Available abstract (not full text):</w:t>
      </w:r>
      <w:r>
        <w:t xml:space="preserve"> The Element examines various facets of craftwork in small-scale societies that thrived in much of Central Europe during the Bronze Age (2300–800 BCE). These societies exhibited distinct structures and types of social bonds that formed the social and spatial backdrop for craft practices. Since most Bronze Age villages were inhabited by small groups, all forms of crafting were at least partially communal, fostering the exchange of experiences, skills, and knowledge both within and across different production areas. The public nature of crafting practices also encouraged discussions about applied tools, methods, skills, and the quality of the final products. The author explores overarching questions about communication and knowledge transfer within and beyond small groups, drawing on archaeological and ethnographic data. This includes considerations of standardization, personalization, imitation, seasonality, and cross-crafting. This title is also available as Open Access on Cambridge Core.</w:t>
      </w:r>
    </w:p>
    <w:p>
      <w:pPr/>
      <w:r>
        <w:rPr>
          <w:b/>
        </w:rPr>
        <w:t>POSSIBLE 2026:</w:t>
      </w:r>
      <w:r>
        <w:t xml:space="preserve"> European Society of Cardiology (ESC) Core Curriculum for the Cardiologist: 2026 update — https://doi.org/10.1093/eurheartj/ehag521</w:t>
      </w:r>
    </w:p>
    <w:p>
      <w:pPr/>
      <w:r>
        <w:rPr>
          <w:b/>
        </w:rPr>
        <w:t>Shared claim-specific concepts:</w:t>
      </w:r>
      <w:r>
        <w:t xml:space="preserve"> society, digital, process; EU scope visible. This is a provisional connection, not an outcome finding.</w:t>
      </w:r>
    </w:p>
    <w:p>
      <w:pPr>
        <w:pStyle w:val="SourceNote"/>
      </w:pPr>
      <w:r>
        <w:rPr>
          <w:b/>
        </w:rPr>
        <w:t>Available abstract (not full text):</w:t>
      </w:r>
      <w:r>
        <w:t xml:space="preserve"> This 2026 update of the European Society of Cardiology (ESC) Core Curriculum for the Cardiologist reflects contemporary and emerging requirements for the practice of cardiology and the resulting training needs. The document has three main parts:Section 1 outlining the main training requirements and their presentation in entrustable professional activities (EPAs).Section 2 explaining the requirements for training centres.Section 3 outlining the general skills, knowledge, and attitudes required in cardiology (chapter 1) - and eight chapters outlining EPAs in the different areas of cardiology (chapter 2 to 9). This update has been written over 9 months in a iterative process, involving over 90 representatives as per the initial curriculum, similar to that used for the previous iteration of the core curriculum in 2020. Though much of the 2020 core curriculum remains relevant and unchanged, there was a clear need to amend this previous curriculum to reflect the expanding roles of some areas of cardiology such as data science, digital health, and artificial intelligence. These items have now been specifically included along with general updates to various clinical EPAs due to changes in practice or evidence base.</w:t>
      </w:r>
    </w:p>
    <w:p>
      <w:pPr/>
      <w:r>
        <w:rPr>
          <w:b/>
        </w:rPr>
        <w:t>POSSIBLE 2026:</w:t>
      </w:r>
      <w:r>
        <w:t xml:space="preserve"> The role of climate and migration concerns in shaping personal economic insecurity in European societies — https://doi.org/10.1016/j.erss.2026.104533</w:t>
      </w:r>
    </w:p>
    <w:p>
      <w:pPr/>
      <w:r>
        <w:rPr>
          <w:b/>
        </w:rPr>
        <w:t>Shared claim-specific concepts:</w:t>
      </w:r>
      <w:r>
        <w:t xml:space="preserve"> both, societies; EU scope visible. This is a provisional connection, not an outcome finding.</w:t>
      </w:r>
    </w:p>
    <w:p>
      <w:pPr>
        <w:pStyle w:val="SourceNote"/>
      </w:pPr>
      <w:r>
        <w:rPr>
          <w:b/>
        </w:rPr>
        <w:t>Available abstract (not full text):</w:t>
      </w:r>
      <w:r>
        <w:t xml:space="preserve"> This study investigates how perceptions of societal threats, specifically climate change and migration, influence subjective economic insecurity across eleven European countries (Austria, Belgium, Czechia, Finland, France, Hungary, Iceland, Poland, Portugal, Slovenia, and the United Kingdom). The selection of countries was based on data availability within the European Social Survey (ESS) ERIC CRONOS-3 Wave 2 survey design. Nonetheless, the sample reflects significant institutional diversity across welfare regimes, labour market structures, and political discourse environments: Nordic social-democratic regimes; continental corporatist systems; post-socialist transitions; and liberal-leaning contexts. We formulate a composite measure of economic insecurity that encompasses concerns about maintaining living standards, managing financial shocks, and future economic prospects. Perceived climate and migration threats are operationalised as separate multi-item indices. Results reveal that both threat domains independently increase economic insecurity, controlling for income, age, education, and gender. Interaction models demonstrate systematic variation across socioeconomic strata, with lower-income and less-educated groups exhibiting heightened sensitivity to threat perceptions. Cross-national analysis shows substantial variation, suggesting that institutional contexts—particularly </w:t>
      </w:r>
    </w:p>
    <w:p>
      <w:pPr/>
      <w:r>
        <w:rPr>
          <w:b/>
        </w:rPr>
        <w:t>POSSIBLE 2026:</w:t>
      </w:r>
      <w:r>
        <w:t xml:space="preserve"> Mapping Blastocystis epidemiology and diagnostics across Europe: A One Health survey of professional practice, perceptions and unmet needs — https://doi.org/10.1016/j.onehlt.2026.101603</w:t>
      </w:r>
    </w:p>
    <w:p>
      <w:pPr/>
      <w:r>
        <w:rPr>
          <w:b/>
        </w:rPr>
        <w:t>Shared claim-specific concepts:</w:t>
      </w:r>
      <w:r>
        <w:t xml:space="preserve"> universities, practices, fully; EU scope visible. This is a provisional connection, not an outcome finding.</w:t>
      </w:r>
    </w:p>
    <w:p>
      <w:pPr>
        <w:pStyle w:val="SourceNote"/>
      </w:pPr>
      <w:r>
        <w:rPr>
          <w:b/>
        </w:rPr>
        <w:t>Available abstract (not full text):</w:t>
      </w:r>
      <w:r>
        <w:t xml:space="preserve"> Blastocystis is one of the most prevalent intestinal protists in humans and animals, yet its clinical significance remains unresolved, and its diagnosis is poorly standardised. We aimed to map professional practice, perceptions, and unmet needs in Blastocystis epidemiology and diagnostics across Europe. Within the European Cooperation in Science and Technology (COST) Action CA21105, Working Group 1 conducted a multinational cross-sectional survey using a dedicated structured online questionnaire distributed through national representatives and European professional networks across COST member countries, and responses on institutional profiles, diagnostic and subtyping workflows, perceived clinical relevance, and treatment were analysed using Pearson chi-square tests. A total of 439 fully completed, valid questionnaires from 38 countries were evaluated. Human-derived stool samples predominated (75.3%). Microscopy remained the principal screening method (61.6%), whereas only 16.9% used molecular methods alone, and 75.0% performed no subtyping. Subtyping was associated with institution type and research purpose ( p &lt; 0.001): universities and epidemiological laboratories drove barcoding/Sanger sequencing, whereas health institutions most often did not subtype. Reporting to clinicians was inconsistent (20.5% never reported). Most clinicians (96.2%) linked Blastocystis to gastrointes</w:t>
      </w:r>
    </w:p>
    <w:p>
      <w:pPr/>
      <w:r>
        <w:rPr>
          <w:b/>
        </w:rPr>
        <w:t>POSSIBLE 2026:</w:t>
      </w:r>
      <w:r>
        <w:t xml:space="preserve"> CIVIL SOCIETY PARTICIPATION AS A FACTOR OF LOCAL ECONOMIC DEVELOPMENT IN THE CONTEXT OF EUROPEAN INTEGRATION — https://doi.org/10.30525/2256-0742/2026-12-4-438-449</w:t>
      </w:r>
    </w:p>
    <w:p>
      <w:pPr/>
      <w:r>
        <w:rPr>
          <w:b/>
        </w:rPr>
        <w:t>Shared claim-specific concepts:</w:t>
      </w:r>
      <w:r>
        <w:t xml:space="preserve"> society, digital, integrates; EU scope visible. This is a provisional connection, not an outcome finding.</w:t>
      </w:r>
    </w:p>
    <w:p>
      <w:pPr>
        <w:pStyle w:val="SourceNote"/>
      </w:pPr>
      <w:r>
        <w:rPr>
          <w:b/>
        </w:rPr>
        <w:t>Available abstract (not full text):</w:t>
      </w:r>
      <w:r>
        <w:t xml:space="preserve"> The subject of the present study is the legal, institutional and economic framework of civil society participation in local economic development in Ukraine in the context of European integration. The paper focuses on the role of civil society in strategic planning, local budget processes, public investment, entrepreneurship support, employment initiatives, social entrepreneurship, reconstruction projects, public oversight, and digital monitoring of economic decisions at the community level. This text focuses on the interaction between local self-government bodies, civil society organisations, business actors, and residents within participatory and multi-level governance mechanisms. Methodology. The research is based on a combination of comparative legal, systemic, institutional and public governance methods. It integrates an analysis of Ukrainian legislation concerning local self-government, regional policy, public consultations and civic participation, alongside European approaches to multi-level governance, collaborative governance, partnerships and citizen involvement in decision-making processes. The study also draws on academic research concerning participatory governance, institutional co-operation, decentralisation, community resilience, and local responses to wartime challenges in Ukraine. This methodological approach enabled the identification of the relationship betwe</w:t>
      </w:r>
    </w:p>
    <w:p>
      <w:pPr/>
      <w:r>
        <w:rPr>
          <w:b/>
        </w:rPr>
        <w:t>POSSIBLE 2026:</w:t>
      </w:r>
      <w:r>
        <w:t xml:space="preserve"> Fostering regional competitiveness through European joint study programmes: Insights from European university alliances — https://doi.org/10.15240/tul/001/2026-3-008</w:t>
      </w:r>
    </w:p>
    <w:p>
      <w:pPr/>
      <w:r>
        <w:rPr>
          <w:b/>
        </w:rPr>
        <w:t>Shared claim-specific concepts:</w:t>
      </w:r>
      <w:r>
        <w:t xml:space="preserve"> universities, practices, both; EU scope visible. This is a provisional connection, not an outcome finding.</w:t>
      </w:r>
    </w:p>
    <w:p>
      <w:pPr>
        <w:pStyle w:val="SourceNote"/>
      </w:pPr>
      <w:r>
        <w:rPr>
          <w:b/>
        </w:rPr>
        <w:t>Available abstract (not full text):</w:t>
      </w:r>
      <w:r>
        <w:t xml:space="preserve"> European university alliances are evolving into instruments of internationalisation, as well as vehicles for reducing regional disparities and strengthening innovation capacity across Europe. The present study examines the manner in which joint study programmes developed within European university alliances contribute to both the academic integration of higher education institutions (HEIs) and the innovation performance of the regions in which they operate. Utilising a comprehensive set of data sourced from the EQAR (External Quality Assurance Results), ETER (European Tertiary Education Register) and the European Innovation Scoreboard databases, together with an illustrative contextual example from the Ulysseus European University alliance (with the Technical University of Košice as a member), this study employs analytical techniques encompassing spatial visualisation, clustering methods and statistical analysis. The primary objective of this integrated approach is to discern and identify patterns of collaboration and innovation across diverse geographical regions and countries. The findings of this study demonstrate that universities participating in alliances have a significantly higher number of joint study programmes, and that the innovation performance of a country is positively associated with the prevalence of such programmes. Concurrently, the findings suggest that alli</w:t>
      </w:r>
    </w:p>
    <w:p>
      <w:pPr/>
      <w:r>
        <w:rPr>
          <w:b/>
        </w:rPr>
        <w:t>POSSIBLE 2026:</w:t>
      </w:r>
      <w:r>
        <w:t xml:space="preserve"> University-Industry Linkage in Ethiopia: Practices, challenges, and prospects from a university perspective — https://doi.org/10.63990/ejobs.13447</w:t>
      </w:r>
    </w:p>
    <w:p>
      <w:pPr/>
      <w:r>
        <w:rPr>
          <w:b/>
        </w:rPr>
        <w:t>Shared claim-specific concepts:</w:t>
      </w:r>
      <w:r>
        <w:t xml:space="preserve"> industry, universities, practices, both, helix; EU scope not established. This is a provisional connection, not an outcome finding.</w:t>
      </w:r>
    </w:p>
    <w:p>
      <w:pPr>
        <w:pStyle w:val="SourceNote"/>
      </w:pPr>
      <w:r>
        <w:rPr>
          <w:b/>
        </w:rPr>
        <w:t>Available abstract (not full text):</w:t>
      </w:r>
      <w:r>
        <w:t xml:space="preserve"> This analysis examines how Ethiopian universities view and engage with University-Industry Linkage (UIL). Informed by the triple helix model of university, industry, and government cooperation, this research uses a phenomenological qualitative design, drawing on evidence from policy documents and in-depth interviews with UIL directors from seven public universities. The findings highlight a growing recognition among government officials and academic leaders regarding the critical roles UIL plays in national economic development. The results also indicate that in Ethiopia, the dynamic among the three main UILs resembles a “statist” approach, with the federal government taking aleading role in UIL. However, actual governmental influence over university-industry linkages is found to be weak. University-industry linkage in Ethiopia lacks clear accountability at both institutional and partnership levels. Key challenges include institutional culture, limited commitment to partnerships, lack of ownership in guiding linkages, inadequate organizational structure and leadership support, and a shortage of faculty with industry expertise. The study underscores universities' need to demonstrate their value as reliable partners in addressing industry challengesand promoting development. It also highlights the importance of close collaboration between industries and universities, emphasizing </w:t>
      </w:r>
    </w:p>
    <w:p>
      <w:pPr/>
      <w:r>
        <w:rPr>
          <w:b/>
        </w:rPr>
        <w:t>POSSIBLE 2026:</w:t>
      </w:r>
      <w:r>
        <w:t xml:space="preserve"> Who Belongs the Border? Narratives and Counter-Narratives of Migration in Southern European Border Societies — https://doi.org/10.35662/unine-thesis-3258</w:t>
      </w:r>
    </w:p>
    <w:p>
      <w:pPr/>
      <w:r>
        <w:rPr>
          <w:b/>
        </w:rPr>
        <w:t>Shared claim-specific concepts:</w:t>
      </w:r>
      <w:r>
        <w:t xml:space="preserve"> societies, fully, use; EU scope visible. This is a provisional connection, not an outcome finding.</w:t>
      </w:r>
    </w:p>
    <w:p>
      <w:pPr>
        <w:pStyle w:val="SourceNote"/>
      </w:pPr>
      <w:r>
        <w:rPr>
          <w:b/>
        </w:rPr>
        <w:t>Available abstract (not full text):</w:t>
      </w:r>
      <w:r>
        <w:t xml:space="preserve"> I will write my acknowledgements in the language of each person I want to mention.In some cases, this is the language I have used throughout my experience with them, and which I therefore prefer to use.In other cases, it is the language these people understand best, since I want them to fully understand what I've written about them.Un ringraziamento speciale va al mio supervisore di tesi, Matteo Gianni, per la sua costante fiducia e il suo supporto in questo percorso faticoso.Si tratta di una fiducia riposta in me da Matteo, nel selezionarmi come parte di questo progetto nccr, presente dall'inizio alla fine e fondamentale per la continuazione di questa esperienza, soprattutto nei suoi momenti più duri.Matteo ha dato la possibilità a una studentessa interdisciplinare (sappiamo che è una parola che piace usare in accademia, molto più nel discorso che nella pratica), studentessa che non definirei eccellente secondo rigidi standard accademici e non propriamente esperta di teoria politica.Matteo ha preso questo rischio e lo ringrazio per la sua apertura e curiosità.Ricorderò per sempre ciò che ha fatto per me in questi anni, dalla mia selezione a giugno 2022 fino ad oggi.E spero di poter avere l'onore di lavorare ancora con lui in futuro.En segundo lugar, y no en términos de importancia ni de influencia en mi trabajo, quiero agradecer a mi compañera y mentora, que se ha convertido e</w:t>
      </w:r>
    </w:p>
    <w:p>
      <w:pPr>
        <w:pStyle w:val="Heading2"/>
      </w:pPr>
      <w:r>
        <w:t>571. The July 2019 European Heat Wave in a Warmer Climate: Storyline Scenarios with a Coupled Model Using Spectral Nudging</w:t>
      </w:r>
    </w:p>
    <w:p>
      <w:pPr>
        <w:pStyle w:val="SourceNote"/>
      </w:pPr>
      <w:r>
        <w:rPr>
          <w:b/>
        </w:rPr>
        <w:t>Original source (2022):</w:t>
      </w:r>
      <w:r>
        <w:t xml:space="preserve"> https://doi.org/10.1175/jcli-d-21-0573.1</w:t>
      </w:r>
    </w:p>
    <w:p>
      <w:pPr/>
      <w:r>
        <w:t>Original wording (abstract; indexed_source_text_not_full_document_verified): By varying the background climate, including CO 2 concentrations, it is demonstrated how the July 2019 European heat wave could have evolved in preindustrial times and in warmer climates.</w:t>
      </w:r>
    </w:p>
    <w:p>
      <w:pPr/>
      <w:r>
        <w:rPr>
          <w:b/>
        </w:rPr>
        <w:t>POSSIBLE 2026:</w:t>
      </w:r>
      <w:r>
        <w:t xml:space="preserve"> Research on climate effects of large herbivores in Europe: a systematic map — https://doi.org/10.1186/s13750-026-00392-x</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pPr/>
      <w:r>
        <w:rPr>
          <w:b/>
        </w:rPr>
        <w:t>POSSIBLE 2026:</w:t>
      </w:r>
      <w:r>
        <w:t xml:space="preserve"> A Changing North Atlantic Background Amplifies Western European Heatwaves — https://doi.org/10.31223/x55z2c</w:t>
      </w:r>
    </w:p>
    <w:p>
      <w:pPr/>
      <w:r>
        <w:rPr>
          <w:b/>
        </w:rPr>
        <w:t>Shared claim-specific concepts:</w:t>
      </w:r>
      <w:r>
        <w:t xml:space="preserve"> background, july, heat, warmer; EU scope visible. This is a provisional connection, not an outcome finding.</w:t>
      </w:r>
    </w:p>
    <w:p>
      <w:pPr>
        <w:pStyle w:val="SourceNote"/>
      </w:pPr>
      <w:r>
        <w:rPr>
          <w:b/>
        </w:rPr>
        <w:t>Available abstract (not full text):</w:t>
      </w:r>
      <w:r>
        <w:t xml:space="preserve"> Western European summer heatwaves have increased markedly since the 1990s, culminating in the record warmth of May–July 2026 since 1950. We show that this rise is closely associated with the slowly evolving North Atlantic background. We combine two leading April sea surface temperature modes, representing basin-wide warming and a tripole-like pattern, into an Atlantic Two-Mode Index (ATMI). The index closely tracks the low-frequency increase in heatwave days and peaked in 2026. Under closely matched heatwave-favoring atmospheric circulation, the post-1990 events were 1.3 °C warmer than historical counterparts despite little change in atmospheric ridge amplitude; removing the ATMI-linked low-frequency temperature component reduced this difference to 0.1 °C. Persistent heatwaves occurred in 90% of cases under high-ATMI conditions but were absent under low-ATMI conditions. These results indicate that western European heatwaves have become more frequent mainly because a warmer Atlantic–European background allows similar circulation patterns to produce substantially greater heat extremes.</w:t>
      </w:r>
    </w:p>
    <w:p>
      <w:pPr/>
      <w:r>
        <w:rPr>
          <w:b/>
        </w:rPr>
        <w:t>POSSIBLE 2026:</w:t>
      </w:r>
      <w:r>
        <w:t xml:space="preserve"> Biodiversity Integration in the European Banking: Theoretical Background &amp; Empirical Evidence — https://openalex.org/W7197300685</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This thesis investigates the integration of biodiversity considerations into the European banking sector by combining a comprehensive theoretical framework with empirical analysis. It is grounded in the recognition that biodiversity loss represents one of the most critical and systemic environmental challenges of the 21st century, with far-reaching implications for economic stability and financial systems. Unlike climate change, biodiversity loss is largely irreversible and characterized by complex, non-linear dynamics, making its assessment and integration into financial decision-making particularly challenging. The study begins by establishing the ecological and economic foundations of biodiversity. It conceptualizes biodiversity not merely as a stock of natural assets, but as a functional system property that underpins ecosystem services such as pollination, water regulation, and climate stability. By introducing the concept of natural capital, the thesis highlights the structural dependence of economic activity on ecological systems and critically examines the limitations of conventional economic metrics, particularly the inability of GDP to capture the depletion of natural assets. It further identifies key barriers to implementation, including valuation challenges, data gaps, and misaligned incentives. Building on this foundation, the thesis analyses how biodiversity loss </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climate, including, heat;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Evaluating Alpha-1 Antitrypsin Deficiency testing across Europe to ensure diagnostic accuracy: an EARCO multicentre project — https://doi.org/10.1186/s12931-026-03796-y</w:t>
      </w:r>
    </w:p>
    <w:p>
      <w:pPr/>
      <w:r>
        <w:rPr>
          <w:b/>
        </w:rPr>
        <w:t>Shared claim-specific concepts:</w:t>
      </w:r>
      <w:r>
        <w:t xml:space="preserve"> background, concentrations, demonstrated; EU scope visible. This is a provisional connection, not an outcome finding.</w:t>
      </w:r>
    </w:p>
    <w:p>
      <w:pPr>
        <w:pStyle w:val="SourceNote"/>
      </w:pPr>
      <w:r>
        <w:rPr>
          <w:b/>
        </w:rPr>
        <w:t>Available abstract (not full text):</w:t>
      </w:r>
      <w:r>
        <w:t xml:space="preserve"> BACKGROUND: Alpha-1 Antitrypsin Deficiency (AATD) is a rare, underdiagnosed genetic disorder caused by pathogenic variants of the SERPINA1 gene, which can lead to reduced levels and/or dysfunctional forms of the Alpha-1 Antitrypsin (AAT) protein. Accurate AATD diagnosis is critical due to its implications for pulmonary and hepatic health. However, diagnostic practices vary across laboratories, particularly in the detection and reporting of rare variants. This study aimed to evaluate the consistency and reliability of AATD diagnostic testing across European laboratories through a non-commercial external quality assessment (EQA)-like initiative. METHODS: Seven European laboratories participated in six assessment rounds between 2019 and 2021. Each round involved blinded analysis of serum and dried blood spot (DBS) samples using local standard operating procedures. Tests included AAT and C-reactive protein quantification, isoelectric focusing for AAT phenotyping, and genotyping/sequencing for common and rare SERPINA1 variants. Interrater agreement was assessed using Fleiss' kappa statistic. Allele error rates were calculated for each variant and Kruskal-Wallis tests were used to compare AAT concentrations across laboratories. RESULTS: [p.P393S]) was inconsistent, with error rates ranging from 0.14 to 0.29. Sequencing was more effective than phenotyping or simple genotyping for rare</w:t>
      </w:r>
    </w:p>
    <w:p>
      <w:pPr/>
      <w:r>
        <w:rPr>
          <w:b/>
        </w:rPr>
        <w:t>POSSIBLE 2026:</w:t>
      </w:r>
      <w:r>
        <w:t xml:space="preserve"> Background-state dependence of aerosol responses in CESM2 boreal-summer climate — https://doi.org/10.5194/egusphere-2026-5006</w:t>
      </w:r>
    </w:p>
    <w:p>
      <w:pPr/>
      <w:r>
        <w:rPr>
          <w:b/>
        </w:rPr>
        <w:t>Shared claim-specific concepts:</w:t>
      </w:r>
      <w:r>
        <w:t xml:space="preserve"> background, climate, including, demonstrated; EU scope not established. This is a provisional connection, not an outcome finding.</w:t>
      </w:r>
    </w:p>
    <w:p>
      <w:pPr>
        <w:pStyle w:val="SourceNote"/>
      </w:pPr>
      <w:r>
        <w:rPr>
          <w:b/>
        </w:rPr>
        <w:t>Available abstract (not full text):</w:t>
      </w:r>
      <w:r>
        <w:t xml:space="preserve"> Abstract. Anthropogenic aerosol forcing is commonly estimated using aerosol-only single-forcing experiments, but can also be inferred as a residual from all-forcing and fixed-aerosol simulations. Although previous studies have demonstrated nonlinear interactions among climate forcings, it remains unclear whether these approaches provide dynamically equivalent aerosol responses, particularly at regional scale. Here, we compare the directly simulated aerosol response (AAER) with the residual estimate (ALL−xAER) in Community Earth System Model version 2 (CESM2) across two contrasting periods: 1965–1985 relative to 1920–1940, representing the historical increase in anthropogenic aerosol loading, and 2030–2050 relative to 1965–1985, representing the subsequent decline and geographical redistribution of aerosol emissions. We focus on boreal summer, when aerosol forcing strongly interacts with monsoon circulation and large-scale atmospheric dynamics. During the historical transition, AAER and ALL−xAER produce broadly similar Northern Hemisphere responses, particularly in near-surface temperature, although regional differences occur in precipitation and circulation. During the future transition, the two estimates diverge substantially, especially in precipitation over the Indo-Pacific and Asian monsoon regions. These differences are associated with reorganised low-level moisture transp</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background, climate, warmer;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Climate change worry and the association with future depression and anxiety: cross-national analysis of 11 European countries — https://doi.org/10.1136/bmjment-2024-301318</w:t>
      </w:r>
    </w:p>
    <w:p>
      <w:pPr/>
      <w:r>
        <w:rPr>
          <w:b/>
        </w:rPr>
        <w:t>Shared claim-specific concepts:</w:t>
      </w:r>
      <w:r>
        <w:t xml:space="preserve"> background, climate, wave; EU scope visible. This is a provisional connection, not an outcome finding.</w:t>
      </w:r>
    </w:p>
    <w:p>
      <w:pPr>
        <w:pStyle w:val="SourceNote"/>
      </w:pPr>
      <w:r>
        <w:rPr>
          <w:b/>
        </w:rPr>
        <w:t>Available abstract (not full text):</w:t>
      </w:r>
      <w:r>
        <w:t xml:space="preserve">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pPr/>
      <w:r>
        <w:rPr>
          <w:b/>
        </w:rPr>
        <w:t>POSSIBLE 2025:</w:t>
      </w:r>
      <w:r>
        <w:t xml:space="preserve"> Indoor Air Background Concentrations of Volatile Organic Compounds ( VOCs ) in California Residences — https://doi.org/10.1111/gwmr.12719</w:t>
      </w:r>
    </w:p>
    <w:p>
      <w:pPr/>
      <w:r>
        <w:rPr>
          <w:b/>
        </w:rPr>
        <w:t>Shared claim-specific concepts:</w:t>
      </w:r>
      <w:r>
        <w:t xml:space="preserve"> background, including, concentrations; EU scope not established. This is a provisional connection, not an outcome finding.</w:t>
      </w:r>
    </w:p>
    <w:p>
      <w:pPr>
        <w:pStyle w:val="SourceNote"/>
      </w:pPr>
      <w:r>
        <w:rPr>
          <w:b/>
        </w:rPr>
        <w:t>Available abstract (not full text):</w:t>
      </w:r>
      <w:r>
        <w:t xml:space="preserve"> Abstract A study was performed to measure typical “indoor air background” concentrations of volatile organic compounds (VOCs) in residential buildings in the state of California that were not known to be impacted by subsurface sources. A total of 57 buildings were sampled between February 2023 and February 2024, with one sample collected per building. The data set represents 38 different cities within the state of California. The samples were analyzed using the United States Environmental Protection Agency (EPA) Method TO‐15 (EPA 1999) in both full‐scan and Selected Ion Monitoring (SIM) modes. A total of 105 individual VOCs were reported for each sample. The overall data set is 5985 individual data points, with concentrations of target compound VOCs reported from less than the laboratory method reporting limit of 0.044 μg/m 3 (micrograms per cubic meter) to concentrations up to 14,000 μg/m 3 . Various VOCs were detected at concentrations above screening levels used in California and elsewhere in the United States, including Benzene, Naphthalene, Tetrachloroethene (PCE), and Trichloroethene (TCE). These compounds are often considered “risk drivers” in vapor intrusion (VI) studies, so their presence in background air at concentrations above screening levels may complicate such studies. Compared with previous, similar studies, this study is more comprehensive with a larger number </w:t>
      </w:r>
    </w:p>
    <w:p>
      <w:pPr/>
      <w:r>
        <w:rPr>
          <w:b/>
        </w:rPr>
        <w:t>POSSIBLE 2025:</w:t>
      </w:r>
      <w:r>
        <w:t xml:space="preserve"> Application of Machine Learning Approaches to Predict Soil Element Background Concentration at Large Region Scale — https://doi.org/10.3390/su17177853</w:t>
      </w:r>
    </w:p>
    <w:p>
      <w:pPr/>
      <w:r>
        <w:rPr>
          <w:b/>
        </w:rPr>
        <w:t>Shared claim-specific concepts:</w:t>
      </w:r>
      <w:r>
        <w:t xml:space="preserve"> background, including, concentrations, demonstrated; EU scope not established. This is a provisional connection, not an outcome finding.</w:t>
      </w:r>
    </w:p>
    <w:p>
      <w:pPr>
        <w:pStyle w:val="SourceNote"/>
      </w:pPr>
      <w:r>
        <w:rPr>
          <w:b/>
        </w:rPr>
        <w:t>Available abstract (not full text):</w:t>
      </w:r>
      <w:r>
        <w:t xml:space="preserve"> Soil element background concentration is foundational data for environmental quality assessment, contamination diagnosis, and sustainable land management. However, existing investigation-based methods are time-consuming and inefficient. The machine learning (ML) method has demonstrated excellent performance in predicting soil heavy metal concentration. In this study, based on the nine environmental variables of soil formation from 210 soil monitoring points, including elevation, pH, organic matter, soil type, parent material, plant cover, land use type, topography, and soil texture, decision tree (DT), random forest (RF), extreme gradient boosting (XGB), and support vector machine (SVM) models were used to predict the eleven soil element background concentrations. Among them, SVM and RF models could be used for an effective prediction of the background concentration of all soil heavy metals. Compared with the XGBoost and DT, the SVM for all heavy metals except for cadmium (Cd) and manganese (Mn) performs best. Although the key factors affecting background concentrations vary among different soil elements, organic matter, soil type, and altitude, they play a crucial role in the accurate prediction of soil element background concentration. This study provides simple and efficient ML models for predicting soil element background concentration at the large regional scale. The resul</w:t>
      </w:r>
    </w:p>
    <w:p>
      <w:pPr/>
      <w:r>
        <w:rPr>
          <w:b/>
        </w:rPr>
        <w:t>POSSIBLE 2025:</w:t>
      </w:r>
      <w:r>
        <w:t xml:space="preserve"> WEATHERING THE STORM IN EUROPE: USE OF AI IN CLIMATE ADAPTATION AND CHALLENGES FOR CLIMATE JUSTICE — https://doi.org/10.21492/inuhfd.1732027</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The climate crisis is growing increasingly dire by the day, and its impacts are now significantly affecting vulnerable populations. In this context, climate adaptation and resilience measures are inclined to deploy more and more Artificial Intelligence (AI) driven tools as this technology enables analysis of immense amounts of data in a very short time span, which constitutes an auspicious instrument to understand the consequences of climate change including but not limited to extreme weather conditions, sea level rise, drought and their impact on communities. However, such tools are not free of bias and social risks. This study aims to understand the human rights risk posed by deploying AI tools in climate adaptation in Europe, particularly for vulnerable groups that are disadvantaged in becoming resilient towards climate change impacts. Accordingly, it examines whether international and European regulatory frameworks effectively address these risks. Given this background, the paper proposes certain normative and policy-based solutions to the identified gaps.</w:t>
      </w:r>
    </w:p>
    <w:p>
      <w:pPr/>
      <w:r>
        <w:rPr>
          <w:b/>
        </w:rPr>
        <w:t>POSSIBLE 2025:</w:t>
      </w:r>
      <w:r>
        <w:t xml:space="preserve"> Toxic Trace Element Concentration in Commercially Available Cigarettes in Poland, Europe — https://doi.org/10.3390/toxics13121088</w:t>
      </w:r>
    </w:p>
    <w:p>
      <w:pPr/>
      <w:r>
        <w:rPr>
          <w:b/>
        </w:rPr>
        <w:t>Shared claim-specific concepts:</w:t>
      </w:r>
      <w:r>
        <w:t xml:space="preserve"> background, including, concentrations; EU scope visible. This is a provisional connection, not an outcome finding.</w:t>
      </w:r>
    </w:p>
    <w:p>
      <w:pPr>
        <w:pStyle w:val="SourceNote"/>
      </w:pPr>
      <w:r>
        <w:rPr>
          <w:b/>
        </w:rPr>
        <w:t>Available abstract (not full text):</w:t>
      </w:r>
      <w:r>
        <w:t xml:space="preserve"> (1) Background: Tobacco use constitutes a significant preventable cause of morbidity and mortality on a global scale. It contributes to cumulative exposure to carcinogenic and toxic heavy metals, including cadmium, lead, nickel, and copper. Collectively, these metals promote oxidative stress, multi-organ damage, and an increased risk of cancer, cardiovascular, respiratory, and renal diseases; (2) Methods: The research material comprised 119 tobacco samples. The concentrations of cadmium, lead, copper, and nickel in the samples were subsequently determined. A series of calculations were conducted in order to estimate the non-carcinogenic and carcinogenic health risks associated with the consumption of tobacco products under a variety of exposure scenarios; (3) Results: The concentrations of heavy metals in the tobacco samples ranged as follows, with mean values: Cd: 0.3-8.6 mg/kg (mean 1.0), Cu: 3.4-92.6 mg/kg (mean 12.3), Ni: 1.1-15.4 mg/kg (mean 3.4), and Pb: 0.2-1633.3 mg/kg (mean 46.5). A health risk assessment indicated that exposure through inhalation to cadmium Cd, Ni, and Pb, even in the minimal smoking scenario of one cigarette per day, consistently exceeded internationally established thresholds for carcinogenic risk; (4) Conclusions: The presence of high inter-brand variability and high-risk outliers underscores the necessity for enhanced regulation and monitoring of </w:t>
      </w:r>
    </w:p>
    <w:p>
      <w:pPr>
        <w:pStyle w:val="Heading2"/>
      </w:pPr>
      <w:r>
        <w:t>572. The future of the Mediterranean agri-food systems: Trends and perspectives from a Delphi survey</w:t>
      </w:r>
    </w:p>
    <w:p>
      <w:pPr>
        <w:pStyle w:val="SourceNote"/>
      </w:pPr>
      <w:r>
        <w:rPr>
          <w:b/>
        </w:rPr>
        <w:t>Original source (2022):</w:t>
      </w:r>
      <w:r>
        <w:t xml:space="preserve"> https://doi.org/10.1016/j.landusepol.2022.106263</w:t>
      </w:r>
    </w:p>
    <w:p>
      <w:pPr/>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POSSIBLE 2026:</w:t>
      </w:r>
      <w:r>
        <w:t xml:space="preserve"> IDENTIFYING THE MAIN FACTORS AFFECTING CAPITAL GROWTH — https://openalex.org/W7216652737</w:t>
      </w:r>
    </w:p>
    <w:p>
      <w:pPr/>
      <w:r>
        <w:rPr>
          <w:b/>
        </w:rPr>
        <w:t>Shared claim-specific concepts:</w:t>
      </w:r>
      <w:r>
        <w:t xml:space="preserve"> main, influence, management; EU scope not established. This is a provisional connection, not an outcome finding.</w:t>
      </w:r>
    </w:p>
    <w:p>
      <w:pPr>
        <w:pStyle w:val="SourceNote"/>
      </w:pPr>
      <w:r>
        <w:rPr>
          <w:b/>
        </w:rPr>
        <w:t>Available abstract (not full text):</w:t>
      </w:r>
      <w:r>
        <w:t xml:space="preserve">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pPr/>
      <w:r>
        <w:rPr>
          <w:b/>
        </w:rPr>
        <w:t>POSSIBLE 2026:</w:t>
      </w:r>
      <w:r>
        <w:t xml:space="preserve"> A Greedy First-Fit Heuristic for Reallocating Outpatient Surgeries from Main OR to Ambulatory Surgery Center — https://doi.org/10.46254/na11.20260153</w:t>
      </w:r>
    </w:p>
    <w:p>
      <w:pPr/>
      <w:r>
        <w:rPr>
          <w:b/>
        </w:rPr>
        <w:t>Shared claim-specific concepts:</w:t>
      </w:r>
      <w:r>
        <w:t xml:space="preserve"> identify, main, systems; EU scope not established. This is a provisional connection, not an outcome finding.</w:t>
      </w:r>
    </w:p>
    <w:p>
      <w:pPr>
        <w:pStyle w:val="SourceNote"/>
      </w:pPr>
      <w:r>
        <w:rPr>
          <w:b/>
        </w:rPr>
        <w:t>Available abstract (not full text):</w:t>
      </w:r>
      <w:r>
        <w:t xml:space="preserve">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pPr/>
      <w:r>
        <w:rPr>
          <w:b/>
        </w:rPr>
        <w:t>POSSIBLE 2026:</w:t>
      </w:r>
      <w:r>
        <w:t xml:space="preserve"> Identifying and Ranking the Eight Risks of AI for Each of the Six Main AI-Focused Fintech Business Models — https://doi.org/10.1007/978-3-032-18109-1_7</w:t>
      </w:r>
    </w:p>
    <w:p>
      <w:pPr/>
      <w:r>
        <w:rPr>
          <w:b/>
        </w:rPr>
        <w:t>Shared claim-specific concepts:</w:t>
      </w:r>
      <w:r>
        <w:t xml:space="preserve"> first, identify, main, influence, second; EU scope not established. This is a provisional connection, not an outcome finding.</w:t>
      </w:r>
    </w:p>
    <w:p>
      <w:pPr>
        <w:pStyle w:val="SourceNote"/>
      </w:pPr>
      <w:r>
        <w:rPr>
          <w:b/>
        </w:rPr>
        <w:t>Available abstract (not full text):</w:t>
      </w:r>
      <w:r>
        <w:t xml:space="preserve">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pPr/>
      <w:r>
        <w:rPr>
          <w:b/>
        </w:rPr>
        <w:t>POSSIBLE 2026:</w:t>
      </w:r>
      <w:r>
        <w:t xml:space="preserve"> How defensive driving enhances driving safety: A driving simulator study on drivers' defensive driving behaviors — https://doi.org/10.48550/arxiv.2607.18663</w:t>
      </w:r>
    </w:p>
    <w:p>
      <w:pPr/>
      <w:r>
        <w:rPr>
          <w:b/>
        </w:rPr>
        <w:t>Shared claim-specific concepts:</w:t>
      </w:r>
      <w:r>
        <w:t xml:space="preserve"> first, identify, trends, driving; EU scope not established. This is a provisional connection, not an outcome finding.</w:t>
      </w:r>
    </w:p>
    <w:p>
      <w:pPr>
        <w:pStyle w:val="SourceNote"/>
      </w:pPr>
      <w:r>
        <w:rPr>
          <w:b/>
        </w:rPr>
        <w:t>Available abstract (not full text):</w:t>
      </w:r>
      <w:r>
        <w:t xml:space="preserve"> Defensive driving is widely recognized as an advanced driving skill. However, whether and how defensive driving affects driving safety remains insufficiently investigated. This study examines the behavioral characteristics of defensive driving, its impact on driving safety, and the underlying mechanisms. First, defensive driving is defined regarding operational timing and application scenario. Then, 82 participants are recruited for driving simulator experiments, with their behavioral and eye movement data being collected. Following the experiments, participants are categorized into groups based on the frequency of defensive driving behaviors exhibited. Finally, both inter-group and inter trial comparisons are performed on the experimental data. Experimental results demonstrate that in the inter-group comparison, the high defensive driving capability group exhibits higher acceleration and deceleration magnitudes, lower average speeds, and larger average absolute yaw angles compared to the low capability group, alongside shorter fixation durations and reduced fixation frequencies. Moreover, we observe that these participants tend to initiate defensive or evasive actions earlier, resulting in lower scenario risk. Regarding the inter-trial comparison, we observe similar trends exclusively in the low capability group, whereas most metrics show no significant differences between Tri</w:t>
      </w:r>
    </w:p>
    <w:p>
      <w:pPr/>
      <w:r>
        <w:rPr>
          <w:b/>
        </w:rPr>
        <w:t>POSSIBLE 2026:</w:t>
      </w:r>
      <w:r>
        <w:t xml:space="preserve"> Using a counterfactual thinking intervention to improve safe driving intentions and identifying strategies to avoid distracted driving in college students: A pilot study — https://doi.org/10.1016/j.trf.2026.103666</w:t>
      </w:r>
    </w:p>
    <w:p>
      <w:pPr/>
      <w:r>
        <w:rPr>
          <w:b/>
        </w:rPr>
        <w:t>Shared claim-specific concepts:</w:t>
      </w:r>
      <w:r>
        <w:t xml:space="preserve"> first, trends, driving; EU scope not established. This is a provisional connection, not an outcome finding.</w:t>
      </w:r>
    </w:p>
    <w:p>
      <w:pPr>
        <w:pStyle w:val="SourceNote"/>
      </w:pPr>
      <w:r>
        <w:rPr>
          <w:b/>
        </w:rPr>
        <w:t>Available abstract (not full text):</w:t>
      </w:r>
      <w:r>
        <w:t xml:space="preserve"> Distracted driving is a major public safety concern. After experiencing a negative outcome from phone-related distracted driving, individuals may imagine how the outcome could have been better (i.e., counterfactual thinking, CFT), thus highlighting ways to avoid similar outcomes in the future. The current study examined the preliminary efficacy of a CFT intervention to reduce distracted driving intentions while also contextualizing the types of distracted driving experiences and specific strategies, obstacles, and behaviors participants identified could help them address their distracted driving. Through an online survey, participants ( N = 113) self-reported how often they engage in distracted driving and were then asked to write about a time in the last three months they engaged in distracted driving and experienced a negative outcome. Participants were then randomly assigned to a CFT or control condition, completed condition-specific writing tasks, and then completed two measures of intentions (continue to use a phone while driving, reduce phone use while driving) and demographics. Compared to the control condition, the CFT condition reported marginally higher intentions to avoid phone use while driving ( p = .07). Common reasons for phone distraction while driving included using it for navigation and music purposes. Strategies generated to avoid phone distraction included p</w:t>
      </w:r>
    </w:p>
    <w:p>
      <w:pPr/>
      <w:r>
        <w:rPr>
          <w:b/>
        </w:rPr>
        <w:t>POSSIBLE 2026:</w:t>
      </w:r>
      <w:r>
        <w:t xml:space="preserve"> Datasets and data spaces in the autonomous driving domain: insights and trends — https://doi.org/10.1186/s12544-026-00844-y</w:t>
      </w:r>
    </w:p>
    <w:p>
      <w:pPr/>
      <w:r>
        <w:rPr>
          <w:b/>
        </w:rPr>
        <w:t>Shared claim-specific concepts:</w:t>
      </w:r>
      <w:r>
        <w:t xml:space="preserve"> challenges, trends, driving, management; EU scope visible. This is a provisional connection, not an outcome finding.</w:t>
      </w:r>
    </w:p>
    <w:p>
      <w:pPr>
        <w:pStyle w:val="SourceNote"/>
      </w:pPr>
      <w:r>
        <w:rPr>
          <w:b/>
        </w:rPr>
        <w:t>Available abstract (not full text):</w:t>
      </w:r>
      <w:r>
        <w:t xml:space="preserve"> The rapid evolution of autonomous driving technologies is deeply reliant on high-quality datasets and robust data management solutions that cannot be achieved by a single actor working in isolation. This paper examines the growing role of datasets and data spaces in the mobility domain, providing a conceptual analysis of current approaches and identifying key challenges and emerging trends that inform the design of an autonomous vehicle data space framework. While peer-to-peer solutions for data sharing already exist, the concept of data spaces can significantly scale these approaches, creating a self-improving feedback loop that enhances the performance of AI-based driving models by matching the demand for data with the data offered by providers. Specifically, the paper addresses the challenge of acquiring intra-vehicular data to enhance assisted driving functionalities and proposes a methodology for building a data space specialized for automated driving applications. Finally, the paper explores representative use cases, including a Level 4 automated shuttle, TalTech iseAuto, Estonia, and an all-terrain vehicle provided by CERTH, Greece, by conceptualizing data sharing across different domains, where data providers and consumers exchange information within a data space framework, driving continuous improvement in model performance.</w:t>
      </w:r>
    </w:p>
    <w:p>
      <w:pPr/>
      <w:r>
        <w:rPr>
          <w:b/>
        </w:rPr>
        <w:t>POSSIBLE 2026:</w:t>
      </w:r>
      <w:r>
        <w:t xml:space="preserve"> NENUPHAR D5.3. Lessons learnt and recommendations to the main regional clusters (first version) — https://doi.org/10.5281/zenodo.19000171</w:t>
      </w:r>
    </w:p>
    <w:p>
      <w:pPr/>
      <w:r>
        <w:rPr>
          <w:b/>
        </w:rPr>
        <w:t>Shared claim-specific concepts:</w:t>
      </w:r>
      <w:r>
        <w:t xml:space="preserve"> first, identify, main, region, resource, management; EU scope visible. This is a provisional connection, not an outcome finding.</w:t>
      </w:r>
    </w:p>
    <w:p>
      <w:pPr>
        <w:pStyle w:val="SourceNote"/>
      </w:pPr>
      <w:r>
        <w:rPr>
          <w:b/>
        </w:rPr>
        <w:t>Available abstract (not full text):</w:t>
      </w:r>
      <w:r>
        <w:t xml:space="preserve"> This deliverable, D5.3 "Lessons Learnt and Recommendations to the Main Regional Clusters (First Version)," builds on the NENUPHAR project's previous work, mostly D2.4 "Best Practices for the Implementation of Governance Models" (Boy &amp; Febrer, 2025), in developing sustainable solutions for nutrient management. Based on the practical experience of NENUPHAR partners gained during tasks 5.1 ("Roll-out of solutions in pilot sites") and 5.2 ("Monitoring and validation of solutions at field level"), this report analyses recommendations for optimizing nutrient management governance across three European river basins: Ebro, Lielupe, and Danube. Task 5.2 involves implementing and monitoring NENUPHAR solutions, gathering data using Key Performance Indicators (KPIs), and engaging with stakeholders. This practical experience directly informed the evaluation and analysis of recommendations from D2.4 Qualitative data from demonstration sites in Spain, Latvia, Lithuania, Slovakia, and Hungary was analysed using a methodology that included feasibility assessment elements to determine the priority and feasibility of each recommendation, identify potential obstacles and solutions, and propose prioritized implementation sequences. The Ebro river basin analysis highlights the need for integrated governance, data platforms, and stakeholder engagement to address nitrate pollution. The Lielupe river b</w:t>
      </w:r>
    </w:p>
    <w:p>
      <w:pPr/>
      <w:r>
        <w:rPr>
          <w:b/>
        </w:rPr>
        <w:t>POSSIBLE 2026:</w:t>
      </w:r>
      <w:r>
        <w:t xml:space="preserve"> First-order homogenization — https://doi.org/10.1017/prm.2026.10125</w:t>
      </w:r>
    </w:p>
    <w:p>
      <w:pPr/>
      <w:r>
        <w:rPr>
          <w:b/>
        </w:rPr>
        <w:t>Shared claim-specific concepts:</w:t>
      </w:r>
      <w:r>
        <w:t xml:space="preserve"> identify, main, terms; EU scope not established. This is a provisional connection, not an outcome finding.</w:t>
      </w:r>
    </w:p>
    <w:p>
      <w:pPr>
        <w:pStyle w:val="SourceNote"/>
      </w:pPr>
      <w:r>
        <w:rPr>
          <w:b/>
        </w:rPr>
        <w:t>Available abstract (not full text):</w:t>
      </w:r>
      <w:r>
        <w:t xml:space="preserve"> We provide a first-order homogenization result for quadratic functionals. In particular, we identify the scaling of the energy and the explicit form of the limiting functional in terms of the first-order correctors. The main novelty of the paper is the use of the dual correspondence between quadratic functionals and PDEs, combined with a refinement of the classical Riemann–Lebesgue lemma.</w:t>
      </w:r>
    </w:p>
    <w:p>
      <w:pPr/>
      <w:r>
        <w:rPr>
          <w:b/>
        </w:rPr>
        <w:t>POSSIBLE 2026:</w:t>
      </w:r>
      <w:r>
        <w:t xml:space="preserve"> Sensors in Self-Driving Vehicles: A Detailed Literature Review and New Trends — https://doi.org/10.3390/s26072153</w:t>
      </w:r>
    </w:p>
    <w:p>
      <w:pPr/>
      <w:r>
        <w:rPr>
          <w:b/>
        </w:rPr>
        <w:t>Shared claim-specific concepts:</w:t>
      </w:r>
      <w:r>
        <w:t xml:space="preserve"> main, challenges, trends, driving, systems; EU scope not established. This is a provisional connection, not an outcome finding.</w:t>
      </w:r>
    </w:p>
    <w:p>
      <w:pPr>
        <w:pStyle w:val="SourceNote"/>
      </w:pPr>
      <w:r>
        <w:rPr>
          <w:b/>
        </w:rPr>
        <w:t>Available abstract (not full text):</w:t>
      </w:r>
      <w:r>
        <w:t xml:space="preserve"> Autonomous vehicles rely on complex sensing systems to perceive their environment and ensure safe operation. This review analyses the main sensor technologies used in self-driving vehicles, including cameras, LiDAR, radar, ultrasonic sensors and GNSS/IMU-based localisation systems. A core set of 40 primary research articles was systematically analysed to compare the capabilities, limitations and integration challenges of sensing technologies used in autonomous vehicles. In addition to these primary studies, further references were included to provide background information and describe emerging developments in autonomous sensing systems. The review shows that no single sensor technology can provide reliable perception under all environmental conditions. Camera systems offer rich visual information but are sensitive to lighting and weather conditions, while LiDAR provides highly accurate three-dimensional geometry but suffers from signal attenuation in rain and fog. Radar sensors demonstrate superior robustness in adverse weather and enable direct velocity measurement, although their spatial resolution remains limited compared to optical sensors. As a result, modern autonomous vehicles rely on multi-sensor fusion architectures that combine complementary sensing modalities to improve reliability and safety. The analysis also identifies several key research gaps in the current lit</w:t>
      </w:r>
    </w:p>
    <w:p>
      <w:pPr/>
      <w:r>
        <w:rPr>
          <w:b/>
        </w:rPr>
        <w:t>POSSIBLE 2026:</w:t>
      </w:r>
      <w:r>
        <w:t xml:space="preserve"> A Comprehensive Review of End-to-End Autonomous Driving: Architectures and Emerging Trends — https://doi.org/10.3390/act15080427</w:t>
      </w:r>
    </w:p>
    <w:p>
      <w:pPr/>
      <w:r>
        <w:rPr>
          <w:b/>
        </w:rPr>
        <w:t>Shared claim-specific concepts:</w:t>
      </w:r>
      <w:r>
        <w:t xml:space="preserve"> challenges, trends, driving, systems; EU scope not established. This is a provisional connection, not an outcome finding.</w:t>
      </w:r>
    </w:p>
    <w:p>
      <w:pPr>
        <w:pStyle w:val="SourceNote"/>
      </w:pPr>
      <w:r>
        <w:rPr>
          <w:b/>
        </w:rPr>
        <w:t>Available abstract (not full text):</w:t>
      </w:r>
      <w:r>
        <w:t xml:space="preserve"> End-to-end autonomous driving is an emerging technology and a prominent research focus in both industry and academia. By integrating perception, localization, decision-making, and control into a single model, end-to-end systems aim to streamline the traditional modular pipeline while introducing new challenges in safety validation and interpretability. Unlike existing surveys that predominantly catalog algorithms, this review proposes a novel function-oriented taxonomy by categorizing architectures into perception-integrated and planning-integrated paradigms. Beyond the architectural dimension, the analysis delves into critical safety and interpretability, emphasizing the fundamental gap between theoretical design and the reliability required for real-world deployment. Industrial applicability is examined through real-world examples of data closed-loop workflows and simulation testing, addressing practical constraints in latency and computing resources. Finally, the review addresses critical challenges, particularly long-tail data scarcity and the deficiency in human-like decision-making and outlines future directions toward achieving robust autonomy.</w:t>
      </w:r>
    </w:p>
    <w:p>
      <w:pPr/>
      <w:r>
        <w:rPr>
          <w:b/>
        </w:rPr>
        <w:t>POSSIBLE 2026:</w:t>
      </w:r>
      <w:r>
        <w:t xml:space="preserve"> Unidentified Halon-2402 emissions in East Asia are driving the global trend — https://doi.org/10.1038/s41612-026-01399-4</w:t>
      </w:r>
    </w:p>
    <w:p>
      <w:pPr/>
      <w:r>
        <w:rPr>
          <w:b/>
        </w:rPr>
        <w:t>Shared claim-specific concepts:</w:t>
      </w:r>
      <w:r>
        <w:t xml:space="preserve"> first, driving, region, management; EU scope not established. This is a provisional connection, not an outcome finding.</w:t>
      </w:r>
    </w:p>
    <w:p>
      <w:pPr>
        <w:pStyle w:val="SourceNote"/>
      </w:pPr>
      <w:r>
        <w:rPr>
          <w:b/>
        </w:rPr>
        <w:t>Available abstract (not full text):</w:t>
      </w:r>
      <w:r>
        <w:t xml:space="preserve"> Halon-2402 (1,2‑dibromotetrafluoroethane, H-2402) is a potent ozone‑depleting substance and greenhouse gas whose global production has been banned under the Montreal Protocol since 2010, while the use of recovered or recycled stocks remains permitted for essential uses. Although these controls led to nearly two decades of declining atmospheric abundances, recent observations indicate renewed emissions. Here, we present the first observation-based regional emission estimates of H-2402 in East Asia for 2008–2023, derived using high-frequency measurements at Gosan, South Korea, and a Bayesian inversion framework. While most AGAGE stations measure background mole fractions or intermittent low-level increases, Gosan exhibits increasingly frequent and intense pollution events, revealing growing regional emissions. We find that East Asia accounted for most global H-2402 emissions in recent years, with particularly sharp increases in Japan and the Vladivostok region of Russia. Since 2015, regional emissions from East Asia have effectively driven the global emission trend, reversing the long-term decline. These emissions are spatially linked to petrochemical infrastructure, ship-repair activity, and military decommissioning sites, suggesting releases from legacy halon banks rather than new production. Cumulative emissions from East Asia between 2008 and 2023 reached ~52 Gg CFC-11-equiva</w:t>
      </w:r>
    </w:p>
    <w:p>
      <w:pPr/>
      <w:r>
        <w:rPr>
          <w:b/>
        </w:rPr>
        <w:t>POSSIBLE 2026:</w:t>
      </w:r>
      <w:r>
        <w:t xml:space="preserve"> Bridging domain shifts for visual perception in automated driving — https://doi.org/10.14279/depositonce-25052</w:t>
      </w:r>
    </w:p>
    <w:p>
      <w:pPr/>
      <w:r>
        <w:rPr>
          <w:b/>
        </w:rPr>
        <w:t>Shared claim-specific concepts:</w:t>
      </w:r>
      <w:r>
        <w:t xml:space="preserve"> first, trends, driving, over, second; EU scope not established. This is a provisional connection, not an outcome finding.</w:t>
      </w:r>
    </w:p>
    <w:p>
      <w:pPr>
        <w:pStyle w:val="SourceNote"/>
      </w:pPr>
      <w:r>
        <w:rPr>
          <w:b/>
        </w:rPr>
        <w:t>Available abstract (not full text):</w:t>
      </w:r>
      <w:r>
        <w:t xml:space="preserve"> Over the past decade, deep learning has been the foundation for remarkable progress and several breakthroughs in a wide range of areas like computer vision or language processing. Despite these developments, the generalization of deep neural networks to unseen domains remains a major challenge, in particular for challenging applications such as automated driving. Domain shifts, such as adverse weather conditions, can cause a significant performance degradation for the visual perception of automated vehicles, thereby limiting their ability to operate in real-world scenarios. Motivated by this, this thesis contributes to the topic of camera-based domain shift mitigation for automated driving. The focus is on unsupervised domain adaptation (UDA) and domain generalization (DG), which are the two most relevant research areas for bridging domain shifts in visual perception. Overall, this thesis makes three major contributions to these two areas. The first contribution is an extensive literature analysis for both unsupervised domain adaptation and domain generalization. It comprehensively shows the large diversity of methods, clusters them, and identifies important trends, e.g. the trend towards hybrid methods for UDA or foundation models for DG. The literature analysis serves as an important contribution to the research fields and as the foundation for the proposed methods of this th</w:t>
      </w:r>
    </w:p>
    <w:p>
      <w:pPr>
        <w:pStyle w:val="Heading2"/>
      </w:pPr>
      <w:r>
        <w:t>573. The geography of megatrends affecting European agriculture</w:t>
      </w:r>
    </w:p>
    <w:p>
      <w:pPr>
        <w:pStyle w:val="SourceNote"/>
      </w:pPr>
      <w:r>
        <w:rPr>
          <w:b/>
        </w:rPr>
        <w:t>Original source (2022):</w:t>
      </w:r>
      <w:r>
        <w:t xml:space="preserve"> https://doi.org/10.1016/j.gloenvcha.2022.102551</w:t>
      </w:r>
    </w:p>
    <w:p>
      <w:pPr/>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pPr/>
      <w:r>
        <w:rPr>
          <w:b/>
        </w:rPr>
        <w:t>POSSIBLE 2026:</w:t>
      </w:r>
      <w:r>
        <w:t xml:space="preserve"> Blockchain and Megatrends in Agri-Food Systems: A Multi-Source Evidence Approach — https://doi.org/10.3390/foods15030447</w:t>
      </w:r>
    </w:p>
    <w:p>
      <w:pPr/>
      <w:r>
        <w:rPr>
          <w:b/>
        </w:rPr>
        <w:t>Shared claim-specific concepts:</w:t>
      </w:r>
      <w:r>
        <w:t xml:space="preserve"> megatrends, long-term, system, increasingly; EU scope visible. This is a provisional connection, not an outcome finding.</w:t>
      </w:r>
    </w:p>
    <w:p>
      <w:pPr>
        <w:pStyle w:val="SourceNote"/>
      </w:pPr>
      <w:r>
        <w:rPr>
          <w:b/>
        </w:rPr>
        <w:t>Available abstract (not full text):</w:t>
      </w:r>
      <w:r>
        <w:t xml:space="preserve">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pPr/>
      <w:r>
        <w:rPr>
          <w:b/>
        </w:rPr>
        <w:t>POSSIBLE 2026:</w:t>
      </w:r>
      <w:r>
        <w:t xml:space="preserve"> MEGATRENDS IN LOGISTICS AND SUPPLY CHAINS: APPROACHES OF RESEARCH LABORATORIES AT THE FACULTY OF LOGISTICS, UNIVERSITY OF MARIBOR — https://doi.org/10.58952/zriut202601115l</w:t>
      </w:r>
    </w:p>
    <w:p>
      <w:pPr/>
      <w:r>
        <w:rPr>
          <w:b/>
        </w:rPr>
        <w:t>Shared claim-specific concepts:</w:t>
      </w:r>
      <w:r>
        <w:t xml:space="preserve"> megatrends, long-term, forces; EU scope not established. This is a provisional connection, not an outcome finding.</w:t>
      </w:r>
    </w:p>
    <w:p>
      <w:pPr>
        <w:pStyle w:val="SourceNote"/>
      </w:pPr>
      <w:r>
        <w:rPr>
          <w:b/>
        </w:rPr>
        <w:t>Available abstract (not full text):</w:t>
      </w:r>
      <w:r>
        <w:t xml:space="preserve">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pPr/>
      <w:r>
        <w:rPr>
          <w:b/>
        </w:rPr>
        <w:t>POSSIBLE 2026:</w:t>
      </w:r>
      <w:r>
        <w:t xml:space="preserve"> Current Development Megatrends and Perspective Directions of Green Tourism in Azerbaijan — https://doi.org/10.32983/2222-0712-2025-4-33-39</w:t>
      </w:r>
    </w:p>
    <w:p>
      <w:pPr/>
      <w:r>
        <w:rPr>
          <w:b/>
        </w:rPr>
        <w:t>Shared claim-specific concepts:</w:t>
      </w:r>
      <w:r>
        <w:t xml:space="preserve"> megatrends, long-term, potential, regions, current; EU scope not established. This is a provisional connection, not an outcome finding.</w:t>
      </w:r>
    </w:p>
    <w:p>
      <w:pPr>
        <w:pStyle w:val="SourceNote"/>
      </w:pPr>
      <w:r>
        <w:rPr>
          <w:b/>
        </w:rPr>
        <w:t>Available abstract (not full text):</w:t>
      </w:r>
      <w:r>
        <w:t xml:space="preserve"> Green tourism has emerged as a key pillar of sustainable development and an important instrument for economic diversification in many countries. This study examines the contemporary development of green tourism in Azerbaijan, identifies the global megatrends influencing its evolution, and assesses the country’s future strategic directions within the framework of sustainable regional development. The research employs a comparative and qualitative methodological approach. Global trends in green tourism development are compared with Azerbaijan’s national experience, with particular attention given to differences in growth rates between mass tourism and ecotourism, socio-economic outcomes across regions and countries, and institutional approaches to sustainable tourism development. Qualitative thematic analysis is applied to evaluate the socio-economic, cultural, and environmental impacts of green tourism, focusing on employment generation, income diversification, community-based tourism, cultural heritage preservation, and environmental awareness. The findings indicate that green tourism in Azerbaijan demonstrates positive development dynamics and strong alignment with global sustainability trends. The country’s rich natural landscapes, cultural heritage, and supportive policy initiatives create significant opportunities for expanding eco-friendly and nature-based tourism. Green t</w:t>
      </w:r>
    </w:p>
    <w:p>
      <w:pPr/>
      <w:r>
        <w:rPr>
          <w:b/>
        </w:rPr>
        <w:t>POSSIBLE 2026:</w:t>
      </w:r>
      <w:r>
        <w:t xml:space="preserve"> Driving sustainability, resilience, and digitalisation in automotive supply chains: A stochastic maturity model for future-oriented transformation — https://doi.org/10.1016/j.sftr.2026.102185</w:t>
      </w:r>
    </w:p>
    <w:p>
      <w:pPr/>
      <w:r>
        <w:rPr>
          <w:b/>
        </w:rPr>
        <w:t>Shared claim-specific concepts:</w:t>
      </w:r>
      <w:r>
        <w:t xml:space="preserve"> megatrends, driving, potential; EU scope not established. This is a provisional connection, not an outcome finding.</w:t>
      </w:r>
    </w:p>
    <w:p>
      <w:pPr>
        <w:pStyle w:val="SourceNote"/>
      </w:pPr>
      <w:r>
        <w:rPr>
          <w:b/>
        </w:rPr>
        <w:t>Available abstract (not full text):</w:t>
      </w:r>
      <w:r>
        <w:t xml:space="preserve"> Digitalisation, resilience, and sustainability are key drivers of contemporary supply chain transformation, requiring organisations to make strategic decisions under conditions of uncertainty. To support such decisions, this paper presents a stochastic maturity model that supports the assessment, prioritisation, and continuous improvement of SCM and logistics megatrends and trends under uncertainty. The proposed model combines a configurable maturity structure with Stochastic Multicriteria Acceptability Analysis (SMAA) and empirical probability distributions to enable uncertainty-aware prioritisation of transformation initiatives while remaining adaptable to organisation-specific contexts and continuously evolving business environments. To evaluate the proposed assessment methodology in practice, nine of its ten phases were implemented at a passenger car manufacturer using a panel of six experts. The automotive industry was selected because of the complexity of its global supply chains and advanced logistics practices, providing a demanding environment for evaluating the proposed model. The results demonstrate the feasibility of the proposed assessment procedure in a real industrial environment and illustrate its potential to support strategic decision-making, prioritise transformation initiatives, and facilitate sustainability-oriented supply chain transformation under conditi</w:t>
      </w:r>
    </w:p>
    <w:p>
      <w:pPr/>
      <w:r>
        <w:rPr>
          <w:b/>
        </w:rPr>
        <w:t>POSSIBLE 2026:</w:t>
      </w:r>
      <w:r>
        <w:t xml:space="preserve"> Sustainability and Security Threats Calling for Collective Agency — https://doi.org/10.1007/978-3-032-02518-0_1</w:t>
      </w:r>
    </w:p>
    <w:p>
      <w:pPr/>
      <w:r>
        <w:rPr>
          <w:b/>
        </w:rPr>
        <w:t>Shared claim-specific concepts:</w:t>
      </w:r>
      <w:r>
        <w:t xml:space="preserve"> megatrends, long-term, current; EU scope not established. This is a provisional connection, not an outcome finding.</w:t>
      </w:r>
    </w:p>
    <w:p>
      <w:pPr>
        <w:pStyle w:val="SourceNote"/>
      </w:pPr>
      <w:r>
        <w:rPr>
          <w:b/>
        </w:rPr>
        <w:t>Available abstract (not full text):</w:t>
      </w:r>
      <w:r>
        <w:t xml:space="preserve"> Abstract The opening chapter presents the current background for resilience advancement, both in the short-term regarding immediate economic and security threats, and in the long term with threats stemming from climate change, for instance. Thus, we discuss both sudden disruptions as well as long-term megatrends that currently require action from policymakers and businesses. Such developments generate grand challenges that require collective action from multiple stakeholders instead of scattered reactions. Here, we also introduce the concept of collective agency, the preconditions, elements and dynamics of which will be explored in the following chapters.</w:t>
      </w:r>
    </w:p>
    <w:p>
      <w:pPr/>
      <w:r>
        <w:rPr>
          <w:b/>
        </w:rPr>
        <w:t>POSSIBLE 2026:</w:t>
      </w:r>
      <w:r>
        <w:t xml:space="preserve"> How regional characteristics drive various human mobility types across Europe — https://doi.org/10.1038/s41467-026-73288-6</w:t>
      </w:r>
    </w:p>
    <w:p>
      <w:pPr/>
      <w:r>
        <w:rPr>
          <w:b/>
        </w:rPr>
        <w:t>Shared claim-specific concepts:</w:t>
      </w:r>
      <w:r>
        <w:t xml:space="preserve"> long-term, driving, regions, drive; EU scope visible. This is a provisional connection, not an outcome finding.</w:t>
      </w:r>
    </w:p>
    <w:p>
      <w:pPr>
        <w:pStyle w:val="SourceNote"/>
      </w:pPr>
      <w:r>
        <w:rPr>
          <w:b/>
        </w:rPr>
        <w:t>Available abstract (not full text):</w:t>
      </w:r>
      <w:r>
        <w:t xml:space="preserve"> Spatial mobility of people between regions is critically shaped by socioeconomic landscapes, influencing and being influenced by regional characteristics, especially amid the on-going green and digital transitions. However, this is often studied through the lens of a single mobility type, overlooking the diverse factors driving different forms of movement. This study examines the distinct impacts of regional characteristics on seven types of mobility-permanent migration, long-term and short-term student mobility, seasonal work, long-distance and cross-border commuting, and multilocal living arrangements-across European regions. By integrating data from the Labor Force Survey, Erasmus + , and Twitter, we show how regional characteristics have different effects regarding each mobility type influenced by unique combinations of economic, environmental, and social factors. These differences underscore the limitations of a one-size-fits-all approach in addressing interregional spatial mobility, highlight the need for policies tailored both to specific types of mobility and regional characteristics. Considering these insights, we present avenues for targeted policy recommendations towards enhancing regional attractiveness and supporting balanced territorial development.</w:t>
      </w:r>
    </w:p>
    <w:p>
      <w:pPr/>
      <w:r>
        <w:rPr>
          <w:b/>
        </w:rPr>
        <w:t>POSSIBLE 2026:</w:t>
      </w:r>
      <w:r>
        <w:t xml:space="preserve"> Driving the circular economy: How artificial intelligence could empower transportation and logistics companies to lead the transition — https://doi.org/10.1016/j.clscn.2026.100300</w:t>
      </w:r>
    </w:p>
    <w:p>
      <w:pPr/>
      <w:r>
        <w:rPr>
          <w:b/>
        </w:rPr>
        <w:t>Shared claim-specific concepts:</w:t>
      </w:r>
      <w:r>
        <w:t xml:space="preserve"> driving, potential, current; EU scope not established. This is a provisional connection, not an outcome finding.</w:t>
      </w:r>
    </w:p>
    <w:p>
      <w:pPr>
        <w:pStyle w:val="SourceNote"/>
      </w:pPr>
      <w:r>
        <w:rPr>
          <w:b/>
        </w:rPr>
        <w:t>Available abstract (not full text):</w:t>
      </w:r>
      <w:r>
        <w:t xml:space="preserve"> Artificial Intelligence (AI) has great potential to contribute to the operational, environmental, and social performance of supply chains. The purpose of this study is to examine the implications of AI adoption and implementation for the supply chains of logistics-intensive companies, with the aim of stimulating discussion on the future of transportation and logistics. A systematic review of the literature, following the PRISMA protocol, was conducted to identify AI applications in supply chains. A distinction was made between logistics-intensive companies for which transportation and logistics are a supporting function, and transportation and logistics companies for which this is their main business model. We extrapolated from the existing literature to identify opportunities for digital transformation for transportation and logistics companies. Of the 244 studies retained for analysis, the majority were review studies or focused on developing Machine Learning algorithms and models. The few articles documenting AI applications in supply chains focused on digitalization, neglecting opportunities for digital transformation. The study argues that the adoption of AI has the potential to negatively impact the current business model of transportation and logistics companies by (1) reducing the need for transportation and warehousing activities, and (2) increasing competition from ot</w:t>
      </w:r>
    </w:p>
    <w:p>
      <w:pPr/>
      <w:r>
        <w:rPr>
          <w:b/>
        </w:rPr>
        <w:t>POSSIBLE 2026:</w:t>
      </w:r>
      <w:r>
        <w:t xml:space="preserve"> Vision Slovakia 2040: Towards a Better Quality of Life — https://doi.org/10.31577/2026.9788022421812</w:t>
      </w:r>
    </w:p>
    <w:p>
      <w:pPr/>
      <w:r>
        <w:rPr>
          <w:b/>
        </w:rPr>
        <w:t>Shared claim-specific concepts:</w:t>
      </w:r>
      <w:r>
        <w:t xml:space="preserve"> megatrends, long-term, current; EU scope visible. This is a provisional connection, not an outcome finding.</w:t>
      </w:r>
    </w:p>
    <w:p>
      <w:pPr>
        <w:pStyle w:val="SourceNote"/>
      </w:pPr>
      <w:r>
        <w:rPr>
          <w:b/>
        </w:rPr>
        <w:t>Available abstract (not full text):</w:t>
      </w:r>
      <w:r>
        <w:t xml:space="preserve"> Vision Slovakia 2040 provides a long-term framework for Slovakia’s development towards 2040. Its overarching objective is to improve people’s quality of life while strengthening economic performance, social cohesion, environmental sustainability and the capacity of the state to respond to changing conditions. The document builds on an assessment of Slovakia’s current position, global megatrends and alternative scenarios of future development. It defines the desired state of the country through four interconnected pillars – Dignified Life, Successful Economy, Sustainable Country and Modern State. The pathway towards these objectives is organised around six areas of transformation: reforming the state, transforming the economy, investing in people, preventing disease, connecting and cultivating society, and protecting Slovakia against threats. The Vision provides the conceptual foundation for the subsequent Strategy Slovakia 2040, which will translate its priorities into concrete reforms and measures and establish their sequencing, financing, implementation and monitoring arrangements.</w:t>
      </w:r>
    </w:p>
    <w:p>
      <w:pPr/>
      <w:r>
        <w:rPr>
          <w:b/>
        </w:rPr>
        <w:t>POSSIBLE 2025:</w:t>
      </w:r>
      <w:r>
        <w:t xml:space="preserve"> Megatrends and weak signals shaping future real estate — https://doi.org/10.5334/bc.507</w:t>
      </w:r>
    </w:p>
    <w:p>
      <w:pPr/>
      <w:r>
        <w:rPr>
          <w:b/>
        </w:rPr>
        <w:t>Shared claim-specific concepts:</w:t>
      </w:r>
      <w:r>
        <w:t xml:space="preserve"> megatrends, long-term, driving, forces, current; EU scope visible. This is a provisional connection, not an outcome finding.</w:t>
      </w:r>
    </w:p>
    <w:p>
      <w:pPr>
        <w:pStyle w:val="SourceNote"/>
      </w:pPr>
      <w:r>
        <w:rPr>
          <w:b/>
        </w:rPr>
        <w:t>Available abstract (not full text):</w:t>
      </w:r>
      <w:r>
        <w:t xml:space="preserve">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pPr/>
      <w:r>
        <w:rPr>
          <w:b/>
        </w:rPr>
        <w:t>POSSIBLE 2025:</w:t>
      </w:r>
      <w:r>
        <w:t xml:space="preserve"> Global forces and local impacts: megatrends in regional development — https://doi.org/10.1093/cjres/rsae047</w:t>
      </w:r>
    </w:p>
    <w:p>
      <w:pPr/>
      <w:r>
        <w:rPr>
          <w:b/>
        </w:rPr>
        <w:t>Shared claim-specific concepts:</w:t>
      </w:r>
      <w:r>
        <w:t xml:space="preserve"> megatrends, long-term, forces, today, regions, current; EU scope not established. This is a provisional connection, not an outcome finding.</w:t>
      </w:r>
    </w:p>
    <w:p>
      <w:pPr>
        <w:pStyle w:val="SourceNote"/>
      </w:pPr>
      <w:r>
        <w:rPr>
          <w:b/>
        </w:rPr>
        <w:t>Available abstract (not full text):</w:t>
      </w:r>
      <w:r>
        <w:t xml:space="preserve">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pPr/>
      <w:r>
        <w:rPr>
          <w:b/>
        </w:rPr>
        <w:t>POSSIBLE 2025:</w:t>
      </w:r>
      <w:r>
        <w:t xml:space="preserve"> Megatrends and emerging issues: Impacts on food safety — https://doi.org/10.1111/1541-4337.70170</w:t>
      </w:r>
    </w:p>
    <w:p>
      <w:pPr/>
      <w:r>
        <w:rPr>
          <w:b/>
        </w:rPr>
        <w:t>Shared claim-specific concepts:</w:t>
      </w:r>
      <w:r>
        <w:t xml:space="preserve"> megatrends, driving, likely, potential, drive, increasingly; EU scope not established. This is a provisional connection, not an outcome finding.</w:t>
      </w:r>
    </w:p>
    <w:p>
      <w:pPr>
        <w:pStyle w:val="SourceNote"/>
      </w:pPr>
      <w:r>
        <w:rPr>
          <w:b/>
        </w:rPr>
        <w:t>Available abstract (not full text):</w:t>
      </w:r>
      <w:r>
        <w:t xml:space="preserve">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pPr/>
      <w:r>
        <w:rPr>
          <w:b/>
        </w:rPr>
        <w:t>POSSIBLE 2025:</w:t>
      </w:r>
      <w:r>
        <w:t xml:space="preserve"> Integrating Social–Ecological Systems and Megatrends: A Participatory Foresight Framework for Sustainability Governance in European Cold Lands — https://doi.org/10.3390/su17219644</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pPr>
        <w:pStyle w:val="Heading2"/>
      </w:pPr>
      <w:r>
        <w:t>574. The health potential of urban water: Future scenarios on local risks and opportunities</w:t>
      </w:r>
    </w:p>
    <w:p>
      <w:pPr>
        <w:pStyle w:val="SourceNote"/>
      </w:pPr>
      <w:r>
        <w:rPr>
          <w:b/>
        </w:rPr>
        <w:t>Original source (2022):</w:t>
      </w:r>
      <w:r>
        <w:t xml:space="preserve"> https://doi.org/10.1016/j.cities.2022.103639</w:t>
      </w:r>
    </w:p>
    <w:p>
      <w:pPr/>
      <w:r>
        <w:t>Original wording (abstract; indexed_source_text_not_full_document_verified): Future scenarios have been developed based on the question: How can blue spaces contribute to a healthier city population, given the long term trends? The future scenarios deliver information that could serve as useful input for local planning processes.</w:t>
      </w:r>
    </w:p>
    <w:p>
      <w:pPr/>
      <w:r>
        <w:rPr>
          <w:b/>
        </w:rPr>
        <w:t>POSSIBLE 2025:</w:t>
      </w:r>
      <w:r>
        <w:t xml:space="preserve"> Developing A Question-Answering System In The Uzbek Language Based On The Xlm-Roberta Model — https://doi.org/10.37547/ajast/volume05issue12-14</w:t>
      </w:r>
    </w:p>
    <w:p>
      <w:pPr/>
      <w:r>
        <w:rPr>
          <w:b/>
        </w:rPr>
        <w:t>Shared claim-specific concepts:</w:t>
      </w:r>
      <w:r>
        <w:t xml:space="preserve"> developed, based, question; EU scope not established. This is a provisional connection, not an outcome finding.</w:t>
      </w:r>
    </w:p>
    <w:p>
      <w:pPr>
        <w:pStyle w:val="SourceNote"/>
      </w:pPr>
      <w:r>
        <w:rPr>
          <w:b/>
        </w:rPr>
        <w:t>Available abstract (not full text):</w:t>
      </w:r>
      <w:r>
        <w:t xml:space="preserve"> This article presents the issue of testing the XML-RoBERTa model for generating questions and answers in the Uzbek language. In the study, the XML-RoBERTa model was adapted to the Uzbek language from a dataset consisting of context, question and answer pairs in the Uzbek language and, as a result, a model was developed to generate a fragment of the answer to the user's question from the context. ROUGE, EM (Exact Match) and F1 control metrics were used to determine the performance of the model.</w:t>
      </w:r>
    </w:p>
    <w:p>
      <w:pPr/>
      <w:r>
        <w:rPr>
          <w:b/>
        </w:rPr>
        <w:t>POSSIBLE 2024:</w:t>
      </w:r>
      <w:r>
        <w:t xml:space="preserve"> Developing an Entity Linking Model for Geographic Knowledge Base Question Answering — https://doi.org/10.1109/bigcomp60711.2024.00081</w:t>
      </w:r>
    </w:p>
    <w:p>
      <w:pPr/>
      <w:r>
        <w:rPr>
          <w:b/>
        </w:rPr>
        <w:t>Shared claim-specific concepts:</w:t>
      </w:r>
      <w:r>
        <w:t xml:space="preserve"> question, spaces, information; EU scope not established. This is a provisional connection, not an outcome finding.</w:t>
      </w:r>
    </w:p>
    <w:p>
      <w:pPr>
        <w:pStyle w:val="SourceNote"/>
      </w:pPr>
      <w:r>
        <w:rPr>
          <w:b/>
        </w:rPr>
        <w:t>Available abstract (not full text):</w:t>
      </w:r>
      <w:r>
        <w:t xml:space="preserve"> Knowledge Base Question Answering (KBQA) integrates multiple disciplines, enabling users to retrieve answers from a knowledge base (KB) without specialized query language skills. However, KBQA systems depend on the information within their respective KBs, limiting their ability to answer questions involving facts or data not present in the KB. To address this, Geographic KBQA (GeoKBQA) systems have been designed to learn from and respond to geographic questions using a specialized Geographic Knowledge Base (GeoKB). This includes specific facts and information about geographic spaces, enabling them to handle complex geographic queries. Nevertheless, current GeoKBQA systems face significant challenges due to their reliance on rule-based Entity Linking models. These challenges are threefold: First, the rule-based Entity Linking approach limits adaptability to datasets beyond the original studies. Second, the rule-based structure of Mention Detection impedes accurate word semantics interpretation, requiring extra steps for understanding. Third, the absence of Entity Disambiguation hinders resolving typos and interpreting abbreviations in queries. Our study addresses these issues by developing a model that employs the BERT model for training geographic questionmention label datasets. This approach enhances Mention Detection and includes an Entity Disambiguation process, achieving hi</w:t>
      </w:r>
    </w:p>
    <w:p>
      <w:pPr/>
      <w:r>
        <w:rPr>
          <w:b/>
        </w:rPr>
        <w:t>POSSIBLE 2023:</w:t>
      </w:r>
      <w:r>
        <w:t xml:space="preserve"> Developing and Evaluating a Model-Based Metric for Legal Question Answering Systems — https://doi.org/10.1109/bigdata59044.2023.10386689</w:t>
      </w:r>
    </w:p>
    <w:p>
      <w:pPr/>
      <w:r>
        <w:rPr>
          <w:b/>
        </w:rPr>
        <w:t>Shared claim-specific concepts:</w:t>
      </w:r>
      <w:r>
        <w:t xml:space="preserve"> based, question, useful; EU scope not established. This is a provisional connection, not an outcome finding.</w:t>
      </w:r>
    </w:p>
    <w:p>
      <w:pPr>
        <w:pStyle w:val="SourceNote"/>
      </w:pPr>
      <w:r>
        <w:rPr>
          <w:b/>
        </w:rPr>
        <w:t>Available abstract (not full text):</w:t>
      </w:r>
      <w:r>
        <w:t xml:space="preserve"> In the complicated world of legal law, Question Answering (QA) systems only work if they can give correct, situation-aware, and logically sound answers. Traditional evaluation methods, which rely on superficial similarity measures, can’t catch the complex accuracy and reasoning needed in legal answers. This means that evaluation methods need to change completely. To fix the problems with current methods, this study presents a new model-based evaluation metric that is designed to work well with legal QA systems. We are looking into the basic ideas that are needed for this kind of metric, as well as the problems of putting it into practice in the real world, finding the right technological frameworks, creating good evaluation methods. We talk about a theory framework that is based on legal standards and computational linguistics. We also talk about how the metric was created and how it can be used in real life. Our results, which come from thorough tests, show that our suggested measure is better than existing ones. It is more reliable, accurate, and useful for judging legal quality assurance systems.</w:t>
      </w:r>
    </w:p>
    <w:p>
      <w:pPr/>
      <w:r>
        <w:rPr>
          <w:b/>
        </w:rPr>
        <w:t>POSSIBLE 2023:</w:t>
      </w:r>
      <w:r>
        <w:t xml:space="preserve"> Computer Based Assessment in Medical Education: Evolving Trends and Developing Digitalized Question Items — https://doi.org/10.53708/hpej.v6i1.2634</w:t>
      </w:r>
    </w:p>
    <w:p>
      <w:pPr/>
      <w:r>
        <w:rPr>
          <w:b/>
        </w:rPr>
        <w:t>Shared claim-specific concepts:</w:t>
      </w:r>
      <w:r>
        <w:t xml:space="preserve"> based, question, trends; EU scope not established. This is a provisional connection, not an outcome finding.</w:t>
      </w:r>
    </w:p>
    <w:p>
      <w:pPr>
        <w:pStyle w:val="SourceNote"/>
      </w:pPr>
      <w:r>
        <w:rPr>
          <w:b/>
        </w:rPr>
        <w:t>Available abstract (not full text):</w:t>
      </w:r>
      <w:r>
        <w:t xml:space="preserve"> The use of computers is being adopted in all fields of Medical Education including assessment. This paper sheds light on the difference between Computer Based (CBA) and Computer Assisted Assessment (CAA). It proposes how different multimedia tools may be used to develop digitalized question items and presents a system of classification for these question items based on the level of interaction and the educational role played by the media tools in these question items.</w:t>
      </w:r>
    </w:p>
    <w:p>
      <w:pPr>
        <w:pStyle w:val="Heading2"/>
      </w:pPr>
      <w:r>
        <w:t>575. Towards a decarbonised building stock by 2050: The meaning and the role of zero emission buildings (ZEBs) in Europe</w:t>
      </w:r>
    </w:p>
    <w:p>
      <w:pPr>
        <w:pStyle w:val="SourceNote"/>
      </w:pPr>
      <w:r>
        <w:rPr>
          <w:b/>
        </w:rPr>
        <w:t>Original source (2022):</w:t>
      </w:r>
      <w:r>
        <w:t xml:space="preserve"> https://doi.org/10.1016/j.esr.2022.101009</w:t>
      </w:r>
    </w:p>
    <w:p>
      <w:pPr/>
      <w:r>
        <w:t>Original wording (abstract; indexed_source_text_not_full_document_verified): The revision of the Energy Performance of Building Directive (EPBD) sets out how Europe can achieve a decarbonised building stock by 2050.</w:t>
      </w:r>
    </w:p>
    <w:p>
      <w:pPr/>
      <w:r>
        <w:rPr>
          <w:b/>
        </w:rPr>
        <w:t>POSSIBLE 2026:</w:t>
      </w:r>
      <w:r>
        <w:t xml:space="preserve"> European Energy Performance of Buildings Directive and Cultural Heritage — https://openalex.org/W7126308985</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performance, building;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Characteristics of proactive criteria for residential building assessment in the context of the 2024 EPBD Directive — https://doi.org/10.24425/ace.2026.1390</w:t>
      </w:r>
    </w:p>
    <w:p>
      <w:pPr/>
      <w:r>
        <w:rPr>
          <w:b/>
        </w:rPr>
        <w:t>Shared claim-specific concepts:</w:t>
      </w:r>
      <w:r>
        <w:t xml:space="preserve"> building, directive, epbd, achieve; EU scope visible. This is a provisional connection, not an outcome finding.</w:t>
      </w:r>
    </w:p>
    <w:p>
      <w:pPr>
        <w:pStyle w:val="SourceNote"/>
      </w:pPr>
      <w:r>
        <w:rPr>
          <w:b/>
        </w:rPr>
        <w:t>Available abstract (not full text):</w:t>
      </w:r>
      <w:r>
        <w:t xml:space="preserve"> In this article, the authors present a proposal for a set of criteria for assessing residential buildings in terms of their level of proactivity. The criteria outlined by the authors were developed based on the technological guidelines contained in the latest building directive (EPBD) published in April 2024, as well as guidelines derived from the concept of sustainable construction, particularly focusing on three aspects: environmental, social, and economic. Given the large-scale actions currently underway as part of the so-called "Renovation Wave" program for buildings across the European Union, there is a need to define appropriate directions and processes to achieve the intended goals. In the article, the authors define the new concept of proactive construction and present a set of categories and criteria that should be considered when assessing residential buildings to ensure they meet the newly established requirements for their one- or multi-stage renovation.</w:t>
      </w:r>
    </w:p>
    <w:p>
      <w:pPr/>
      <w:r>
        <w:rPr>
          <w:b/>
        </w:rPr>
        <w:t>POSSIBLE 2026:</w:t>
      </w:r>
      <w:r>
        <w:t xml:space="preserve"> A BIM–LCA Framework for Whole-Life Carbon Assessment Under EPBD: Scope Alignment, Functional Unit Robustness, and Cross-Tool Validation — https://doi.org/10.3390/app16062637</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recent revision of the European Energy Performance of Buildings Directive (EPBD) introduces mandatory whole-life global warming potential (GWP) reporting, creating practical challenges for building life-cycle assessment due to incomplete life-cycle phase coverage in conventional Environmental Product Declarations (EPDs). This study develops and validates an integrated BIM–LCA framework for structured whole-building GWP evaluation through harmonized life-cycle module alignment and cross-tool comparison, with emphasis on the early design stages. The workflow combines rapid BIM-based screening with detailed external LCA validation, establishing a tiered assessment strategy that enables iterative material optimization within the BIM environment prior to expert review. The methodology is applied to two residential construction systems (masonry and timber), and three functional units are evaluated: total whole-building GWP, area-normalized GWP, and material-level contributions. Five comparative scenarios are analyzed, including reference, nationally representative, optimized low-carbon, and European benchmark configurations. The results show progressive GWP reductions ranging from 5% to 30% across scenarios. Although substantial absolute deviations are observed between BIM-integrated and professional LCA tools, scenario-level rankings remain fully consistent across all functional</w:t>
      </w:r>
    </w:p>
    <w:p>
      <w:pPr/>
      <w:r>
        <w:rPr>
          <w:b/>
        </w:rPr>
        <w:t>POSSIBLE 2026:</w:t>
      </w:r>
      <w:r>
        <w:t xml:space="preserve"> Residential Building Renovation under the EPBD – A Swedish Perspective — https://openalex.org/W7165282719</w:t>
      </w:r>
    </w:p>
    <w:p>
      <w:pPr/>
      <w:r>
        <w:rPr>
          <w:b/>
        </w:rPr>
        <w:t>Shared claim-specific concepts:</w:t>
      </w:r>
      <w:r>
        <w:t xml:space="preserve"> energy, performance, building, directive, epbd, out; EU scope visible. This is a provisional connection, not an outcome finding.</w:t>
      </w:r>
    </w:p>
    <w:p>
      <w:pPr>
        <w:pStyle w:val="SourceNote"/>
      </w:pPr>
      <w:r>
        <w:rPr>
          <w:b/>
        </w:rPr>
        <w:t>Available abstract (not full text):</w:t>
      </w:r>
      <w:r>
        <w:t xml:space="preserve"> The Energy Performance of Buildings Directive (EPBD) amendment of 2024 is a major tool in the EU’s environmental aim of net-zero carbon emissions for the building stock by 2050. The overall goal is to improve energy performance, boost renovation rates, reduce energy bills and support decarbonisation of the building stock. This thesis investigates through a literature review, what the 2024 recast of the EPBD implies for national building regulations - with a focus on Sweden’s approaches. With the gained knowledge, the effects on renovation strategies of Swedish large residential building stock owners were assessed by benchmarking a case study of the worst performing buildings (WPBs) of one such actor against identified trajectories of EPpet reduction. Aiming to determine renovation pathways needed to comply with the implied requirements for energy efficiency. This thesis combines a literature review of the EPBD and an overview of its implementation in EU member states, supported by a qualitative interview targeted at one Austrian and four Swedish large residential building stock companies. Moreover, a technical assessment of energy efficiency measures (EEMs) for a real, corporate Swedish residential building stock was conducted, based on its energy performance certificate (EPC) data and building performance simulations (BPS). The stock totals 1994 multi-family houses, of which 1</w:t>
      </w:r>
    </w:p>
    <w:p>
      <w:pPr/>
      <w:r>
        <w:rPr>
          <w:b/>
        </w:rPr>
        <w:t>POSSIBLE 2026:</w:t>
      </w:r>
      <w:r>
        <w:t xml:space="preserve"> Investment Decisions under the revised Energy Performance of Buildings Directive — https://openalex.org/W7163792612</w:t>
      </w:r>
    </w:p>
    <w:p>
      <w:pPr/>
      <w:r>
        <w:rPr>
          <w:b/>
        </w:rPr>
        <w:t>Shared claim-specific concepts:</w:t>
      </w:r>
      <w:r>
        <w:t xml:space="preserve"> energy, performance, building, directive, epbd, stock; EU scope visible. This is a provisional connection, not an outcome finding.</w:t>
      </w:r>
    </w:p>
    <w:p>
      <w:pPr>
        <w:pStyle w:val="SourceNote"/>
      </w:pPr>
      <w:r>
        <w:rPr>
          <w:b/>
        </w:rPr>
        <w:t>Available abstract (not full text):</w:t>
      </w:r>
      <w:r>
        <w:t xml:space="preserve"> The revised Energy Performance of Buildings Directive (EPBD) strengthens the regulatory framework for improving the energy performance of the existing building stock in the European Union. In Sweden, the implementation of the directive is particularly relevant for residential buildings with low energy performance, especially buildings in energy classes F and G. This thesis examines how the revised EPBD influences investment decisions among Swedish real estate companies when renovating low-performing residential buildings. It also analyses which energy efficiency measures appear most relevant in a Swedish context and whether there are identifiable thresholds where further measures are perceived as less cost-effective. The study applies a qualitative research design based on document and policy analysis combined with semi-structured interviews. The document analysis examines the regulatory framework, implementation mechanisms and policy context of the revised EPBD, while the interview study captures strategic perspectives from Swedish real estate companies and actors involved in national implementation. The analysis is supported by theoretical perspectives on the energy-efficiency gap, principal-agent problems, investment under regulatory uncertainty and institutional pressures. The findings show that the revised EPBD increases the strategic importance of low-performing residenti</w:t>
      </w:r>
    </w:p>
    <w:p>
      <w:pPr/>
      <w:r>
        <w:rPr>
          <w:b/>
        </w:rPr>
        <w:t>POSSIBLE 2026:</w:t>
      </w:r>
      <w:r>
        <w:t xml:space="preserve"> Life Cycle Assessment of 3D Concrete Printed Buildings: A Review of Methodologies, Standards and EPBD Compliance — https://doi.org/10.3390/jcs10070367</w:t>
      </w:r>
    </w:p>
    <w:p>
      <w:pPr/>
      <w:r>
        <w:rPr>
          <w:b/>
        </w:rPr>
        <w:t>Shared claim-specific concepts:</w:t>
      </w:r>
      <w:r>
        <w:t xml:space="preserve"> energy, performance, directive, epbd; EU scope visible. This is a provisional connection, not an outcome finding.</w:t>
      </w:r>
    </w:p>
    <w:p>
      <w:pPr>
        <w:pStyle w:val="SourceNote"/>
      </w:pPr>
      <w:r>
        <w:rPr>
          <w:b/>
        </w:rPr>
        <w:t>Available abstract (not full text):</w:t>
      </w:r>
      <w:r>
        <w:t xml:space="preserve"> 3D concrete printing (3DCP) is an emerging modern method of construction with potential to improve construction efficiency, reduce labour requirements, and support the delivery of sustainable housing. In Ireland, its recent adoption coincides with increasing policy emphasis on modern methods of construction and the introduction of stricter European requirements for assessing the climate impact of buildings. The recast Energy Performance of Buildings Directive (EPBD) introduces progressive requirements for the calculation and reporting of whole-life Global Warming Potential (GWP) for new buildings, creating a need for Life Cycle Assessment (LCA) methodologies aligned with current regulatory requirements and capable of capturing the specific characteristics of emerging construction technologies. This paper reviews the applicability of the EPBD, EN 15978, EN 15804, Level(s), and relevant Irish methodologies to 3DCP buildings. It also examines existing LCA studies on 3DCP and evaluates their methodological scope, system boundaries, functional units, data sources, and alignment with current regulatory requirements. The review shows that most existing 3DCP LCA studies remain focused on materials, components, or limited life-cycle stages, with cradle-to-gate assessments being particularly common. Consequently, many published studies do not fully align with the whole-building, cradle-t</w:t>
      </w:r>
    </w:p>
    <w:p>
      <w:pPr/>
      <w:r>
        <w:rPr>
          <w:b/>
        </w:rPr>
        <w:t>POSSIBLE 2026:</w:t>
      </w:r>
      <w:r>
        <w:t xml:space="preserve"> Sustainability and ESG Performance in Renewable Energy Companies: A Comparative Multiple Case Study of Türkiye and Europe — https://doi.org/10.37241/jatss.2026.159</w:t>
      </w:r>
    </w:p>
    <w:p>
      <w:pPr/>
      <w:r>
        <w:rPr>
          <w:b/>
        </w:rPr>
        <w:t>Shared claim-specific concepts:</w:t>
      </w:r>
      <w:r>
        <w:t xml:space="preserve"> energy, performance; EU scope visible. This is a provisional connection, not an outcome finding.</w:t>
      </w:r>
    </w:p>
    <w:p>
      <w:pPr>
        <w:pStyle w:val="SourceNote"/>
      </w:pPr>
      <w:r>
        <w:rPr>
          <w:b/>
        </w:rPr>
        <w:t>Available abstract (not full text):</w:t>
      </w:r>
      <w:r>
        <w:t xml:space="preserve"> Introduction: This study provides a comparative analysis of sustainability performance between Turkish renewable energy companies Aydem, Smart Solar, Galata Wind and European counterparts for the 2020–2022 period. The research addresses the critical gap in understanding how sustainability practices differ between emerging and developed energy markets, and whether convergence trends exist despite structural disparities. Method: The analysis focuses on three key dimensions of corporate sustainability (financial, environmental, and social indicators). Data was compiled from companies' sustainability and activity reports and analyzed using descriptive statistics, comparative indicator analysis, min-max normalization, and the creation of an equally weighted composite ESG index. Results or Findings: The findings reveal significant differences between Turkish and European companies. While European companies demonstrate substantially higher financial capacity and installed power, Turkish companies exhibit rapid growth despite scale limitations. In environmental indicators, although European companies have higher absolute values, normalized data show more efficient carbon and water intensities compared to most Turkish companies. Social indicators reveal persistent gender imbalance across the entire sample, yet European companies demonstrate more systematic training practices and lower a</w:t>
      </w:r>
    </w:p>
    <w:p>
      <w:pPr/>
      <w:r>
        <w:rPr>
          <w:b/>
        </w:rPr>
        <w:t>POSSIBLE 2026:</w:t>
      </w:r>
      <w:r>
        <w:t xml:space="preserve"> Hydrogen integration into the European energy system — https://doi.org/10.36253/979-12-215-1013-3.04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2026:</w:t>
      </w:r>
      <w:r>
        <w:t xml:space="preserve"> LCA of smart building energy systems and installations from a Nordic perspective — https://openalex.org/W7204674710</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upcoming revision of the Energy Performance of Buildings Directive (EPBD) will require reporting of the whole life-cycle global warming potential (GWP) for new buildings from 2028 at the European level. In the Nordic countries, several frontrunners have already introduced national climate declaration requirements for new buildings. The focus was primarily on embodied emissions from building materials. However, buildings also comprise a wide range of building energy systems (BES) and technical installations, which contribute to the overall impact. Despite their importance, there is currently a lack of research regarding these building components. Therefore, this paper presents greenhouse gas (GHG) emissions of BES and technical installations by using GWP-total climate data. The embodied GHG emissions from the production of air handling units (AHU), lighting systems, cables, cable joints/connectors, LED kits, panel radiators, and transformers are presented as minimum, median, mean, and maximum values. The analysis is based on a dataset of 1,622 environmental product declarations (EPDs) collected across the Nordic countries. The dataset is largely composed of products manufactured in Sweden (44%), followed by Norway (22%) and Estonia (19%), with smaller shares from Finland (7%), Denmark (6%), and Lithuania (2%). The mean values can be used by building designers and environment</w:t>
      </w:r>
    </w:p>
    <w:p>
      <w:pPr/>
      <w:r>
        <w:rPr>
          <w:b/>
        </w:rPr>
        <w:t>POSSIBLE 2026:</w:t>
      </w:r>
      <w:r>
        <w:t xml:space="preserve"> A data-driven framework for operational energy performance certification aligned with directive (EU) 2024/1275 — https://doi.org/10.1051/e3sconf/202670101014/pdf</w:t>
      </w:r>
    </w:p>
    <w:p>
      <w:pPr/>
      <w:r>
        <w:rPr>
          <w:b/>
        </w:rPr>
        <w:t>Shared claim-specific concepts:</w:t>
      </w:r>
      <w:r>
        <w:t xml:space="preserve"> energy, performance, building, directive; EU scope visible. This is a provisional connection, not an outcome finding.</w:t>
      </w:r>
    </w:p>
    <w:p>
      <w:pPr>
        <w:pStyle w:val="SourceNote"/>
      </w:pPr>
      <w:r>
        <w:rPr>
          <w:b/>
        </w:rPr>
        <w:t>Available abstract (not full text):</w:t>
      </w:r>
      <w:r>
        <w:t xml:space="preserve"> In response to the evolving regulatory landscape defined by the recast of the Energy Performance of Buildings Directive (Directive (EU) 2010/31, as amended by Directive (EU) 2018/844 and subsequently recast by Directive (EU) 2024/1275), this work proposes a structured methodology for developing next-generation operational Energy Performance Certificates (NextGen EPCs). These dynamic certificates aim to complement traditional asset ratings by integrating real-time operational data streams into a comprehensive and performance-based evaluation framework. The methodology combines measured energy use, indoor environmental quality (IEQ), infection-risk potential (based on probabilistic airborne transmission models), and life-cycle cost (LCC) assessment into a unified operational profile. It establishes standardized procedures for data acquisition, temporal and climatic normalization, and quality assurance to enable cross-regional comparability. A weighted aggregation mechanism supports the synthesis of heterogeneous indicators into a singular operational rating, designed to be interoperable with Building Information Modelling (BIM) workflows and to feed directly into the Digital Building Logbook (DBL). The framework supports both single building and district level assessments through modular extensions, aligning with the objectives of the Renovation Wave and the EU Green Deal. By add</w:t>
      </w:r>
    </w:p>
    <w:p>
      <w:pPr>
        <w:pStyle w:val="Heading2"/>
      </w:pPr>
      <w:r>
        <w:t>576. Towards the 2030 Agenda: Measuring the Progress of the European Union Countries through the SDGs Achievement Index</w:t>
      </w:r>
    </w:p>
    <w:p>
      <w:pPr>
        <w:pStyle w:val="SourceNote"/>
      </w:pPr>
      <w:r>
        <w:rPr>
          <w:b/>
        </w:rPr>
        <w:t>Original source (2022):</w:t>
      </w:r>
      <w:r>
        <w:t xml:space="preserve"> https://doi.org/10.3390/su14063563</w:t>
      </w:r>
    </w:p>
    <w:p>
      <w:pPr/>
      <w:r>
        <w:t>Original wording (abstract; indexed_source_text_not_full_document_verified): The use of such an index will also be useful to understand the effect of the pandemic on the development.</w:t>
      </w:r>
    </w:p>
    <w:p>
      <w:pPr/>
      <w:r>
        <w:rPr>
          <w:b/>
        </w:rPr>
        <w:t>POSSIBLE 2026:</w:t>
      </w:r>
      <w:r>
        <w:t xml:space="preserve"> A citizen-based assessment of European smart cites using a DP2 index — https://doi.org/10.1038/s41598-026-55659-7</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index, understand;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The Level of Innovation of European Capitals and Cities – The Innovation Cities Index in EU and Non-EU Countries — https://doi.org/10.2478/fman-2026-0001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The study aims to assess innovation levels of European cities and capitals using both hard data and soft indicators that shape an innovation-friendly climate. Innovation Cities Index 2023 data (2ThinkNow) covering 139 European cities, including 34 capitals, were analyzed. Capitals were compared with other national cities, and countries were grouped by innovation gaps between capitals and second-ranked cities. EU capitals outperform other European capitals, while non-EU capitals with close EU cooperation also achieve higher scores. Capitals generally exceed other cities in innovation, with exceptions. Two structural patterns emerge: countries with large capital-city innovation gaps versus those with balanced urban development. Results provide guidance for policymakers and urban planners seeking to foster balanced and sustainable innovation across national urban systems. The study uniquely integrates hard and soft innovation data to reveal how EU integration influences comparative urban innovation patterns across Europe.</w:t>
      </w:r>
    </w:p>
    <w:p>
      <w:pPr/>
      <w:r>
        <w:rPr>
          <w:b/>
        </w:rPr>
        <w:t>POSSIBLE 2026:</w:t>
      </w:r>
      <w:r>
        <w:t xml:space="preserve"> THE EFFECT OF THE CORRUPTION PERCEPTION INDEX AND PUBLIC SUPERVISION ON THE ACHIEVEMENT OF ECONOMIC GROWTH — https://doi.org/10.15575/aksy.v8i1.51492</w:t>
      </w:r>
    </w:p>
    <w:p>
      <w:pPr/>
      <w:r>
        <w:rPr>
          <w:b/>
        </w:rPr>
        <w:t>Shared claim-specific concepts:</w:t>
      </w:r>
      <w:r>
        <w:t xml:space="preserve"> index, also, understand, effect; EU scope not established. This is a provisional connection, not an outcome finding.</w:t>
      </w:r>
    </w:p>
    <w:p>
      <w:pPr>
        <w:pStyle w:val="SourceNote"/>
      </w:pPr>
      <w:r>
        <w:rPr>
          <w:b/>
        </w:rPr>
        <w:t>Available abstract (not full text):</w:t>
      </w:r>
      <w:r>
        <w:t xml:space="preserve"> The achievement of the Sustainable Development Goals (SDGs), particularly SDG 8 on inclusive and sustainable economic growth, faces significant challenges across many countries. One of the main obstacles is corruption, which undermines economic efficiency, reduces investment, and weakens public trust. In addition, weak public oversight leads to a lack of accountability in the management of national budgets. These issues create a need to understand the extent to which the Corruption Perceptions Index (CPI) and public oversight influence the attainment of economic growth. This study aims to empirically analyze the impact of the Corruption Perceptions Index (CPI) and public oversight on the achievement of SDG 8. The study employs secondary data sourced from Transparency International, the Worldwide Governance Indicators, and the UNDP, covering 148 countries in 2021, and uses multiple linear regression with the Human Development Index (HDI) as a control variable. The results indicate that both CPI and public oversight have a positive and significant effect on the attainment of SDG 8, while HDI shows no significant influence. These findings underscore the importance of governance integrity and effective public oversight in supporting inclusive and sustainable economic growth. They also provide implications for governments and stakeholders in formulating more responsive development p</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index, also, effect;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Assessing Farm-Level Digital Maturity in European Agriculture: The Digital Farm Index and Investment Barriers to Agriculture 4.0 — https://doi.org/10.3390/agriculture16141565</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The transition toward Agriculture 4.0 aims to improve farm performance and sustainability; however, existing macroeconomic indicators do not fully capture the depth of farm-level digital adoption. This study proposes the Digital Farm Index (DFI) as a tool for assessing digital maturity and regional disparities in European agriculture. The research combines bibliometric mapping of the scientific literature with an empirical DFI assessment for 18 European Union Member States using Eurostat data. The empirical assessment utilizes multiple linear regression, log-linear scale modeling, and hierarchical clustering to analyze adoption patterns and structural determinants. The index integrates four dimensions: connectivity, precision agriculture, robotics, and farm management information systems (FMIS). Results indicate that adoption is concentrated in larger farms, as area-weighted digital maturity (DFI-Hectares) consistently exceeds farm-level adoption (DFI-Farms). CAPEX-based cost modeling suggests the existence of a technological indivisibility threshold, whereby digitalization may become an entry barrier for fragmented farms with limited economies of scale. Multiple linear regression suggests an East–West structural trend: while farm size influences the territorial diffusion of technology, a more consolidated regional innovation ecosystem appears more relevant for farm-level adopt</w:t>
      </w:r>
    </w:p>
    <w:p>
      <w:pPr/>
      <w:r>
        <w:rPr>
          <w:b/>
        </w:rPr>
        <w:t>POSSIBLE 2025:</w:t>
      </w:r>
      <w:r>
        <w:t xml:space="preserve"> ASSESSING THE FEASIBILITY OF ELECTRIC ROAD TRANSPORT IN EUROPE USING THE INTEGRAL EMISSIONS INDEX — https://doi.org/10.20858/tp.2025.20.3.02</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2025:</w:t>
      </w:r>
      <w:r>
        <w:t xml:space="preserve"> Novel integrated risk index reveals uneven impact of climate change on fascioliasis risk across Africa and Europe — https://doi.org/10.64898/2025.12.04.692276</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pPr/>
      <w:r>
        <w:rPr>
          <w:b/>
        </w:rPr>
        <w:t>POSSIBLE 2025:</w:t>
      </w:r>
      <w:r>
        <w:t xml:space="preserve"> European Deprivation Index and children with Cerebral Palsy: Data from the Portuguese Cerebral Palsy Surveillance Program — https://openalex.org/W7134220166</w:t>
      </w:r>
    </w:p>
    <w:p>
      <w:pPr/>
      <w:r>
        <w:rPr>
          <w:b/>
        </w:rPr>
        <w:t>Shared claim-specific concepts:</w:t>
      </w:r>
      <w:r>
        <w:t xml:space="preserve"> index, understand, effect; EU scope visible. This is a provisional connection, not an outcome finding.</w:t>
      </w:r>
    </w:p>
    <w:p>
      <w:pPr>
        <w:pStyle w:val="SourceNote"/>
      </w:pPr>
      <w:r>
        <w:rPr>
          <w:b/>
        </w:rPr>
        <w:t>Available abstract (not full text):</w:t>
      </w:r>
      <w:r>
        <w:t xml:space="preserve"> Introduction: Socioeconomic inequalities have been associated with the severity of cerebral palsy (CP). The European Deprivation Index (EDI) accounts for aggregated ecological effects not yet identified. We describe the association between complexity and etiology of CP and a proxy for socioeconomic inequalities in Portugal. Participants and Methods: The Portuguese National Surveillance of Cerebral Palsy (PNSCP) collects data of 5-to-8-year-old children with CP, born since 2001, following the Surveillance of Cerebral Palsy in Europe (SCPE) datacollection protocol. Official live-birth (LB) statistics and data from children with CP born between 2001-2015, notified until September 2024, were analysed according to the area-level socioeconomic deprivation at birth, using the Portuguese version of the EDI (EDI-PT), categorized in tertiles and measured at municipal level. The CP severity/complexity was classified using the Cerebral Palsy Complexity-Scale (CPC-Scale). Associations were estimated by the odds ratio (OR) with a 95% confidence interval (95%CI). Results: 2,410 registered children with CP were classified according to tertiles of EDI-PT: 481 children in the 1st tertile (20%-CP vs 23%-LB); 591 in the 2nd (25%-CP vs 33%-LB) and 1,338 in the 3d (55%-CP vs 44% LB). Significant associations were observed between the 3rd tertile of EDI-PT and both post-neonatal causes of CP (OR 2.36</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The Effect of Crop Diversification and Season on Microbial Carbon Use Efficiency Across a European Pedoclimatic Gradient — https://doi.org/10.1111/ejss.70078</w:t>
      </w:r>
    </w:p>
    <w:p>
      <w:pPr/>
      <w:r>
        <w:rPr>
          <w:b/>
        </w:rPr>
        <w:t>Shared claim-specific concepts:</w:t>
      </w:r>
      <w:r>
        <w:t xml:space="preserve"> use, understand, effect; EU scope visible. This is a provisional connection, not an outcome finding.</w:t>
      </w:r>
    </w:p>
    <w:p>
      <w:pPr>
        <w:pStyle w:val="SourceNote"/>
      </w:pPr>
      <w:r>
        <w:rPr>
          <w:b/>
        </w:rPr>
        <w:t>Available abstract (not full text):</w:t>
      </w:r>
      <w:r>
        <w:t xml:space="preserve"> ABSTRACT Microbial transformation of soil organic matter plays a critical role in carbon (C) cycling making it essential to understand how land use and management practices influence microbial physiology and its connection to C dynamics. One factor that is likely to impact soil microbial physiology is crop diversification via its influence on belowground diversity (e.g., chemical heterogeneity of C inputs, microbial community composition). However, the effect of crop diversification measures on microbial physiology and potential effects on C cycling in agricultural soils is still unclear. To address this knowledge gap, we sampled topsoil from eight experimental sites covering different crop diversification measures across Europe (i.e., cover crops, ley farming, vegetation stripes). We used the 18 O‐labelling method to analyse microbial C use efficiency (CUE), growth, respiration and biomass C. Additionally, a second sampling at five selected sites examined whether the growing season influenced the impact of crop diversification. Meta‐analysis revealed no overall effect of crop diversification on CUE, microbial activity, biomass or soil organic C (SOC). However, the effects varied with the type of diversification measure: cover crops did not affect carbon processing, vegetation stripes increased microbial activity, and ley farming enhanced CUE. The largest variation in CUE was o</w:t>
      </w:r>
    </w:p>
    <w:p>
      <w:pPr>
        <w:pStyle w:val="Heading2"/>
      </w:pPr>
      <w:r>
        <w:t>577. Use and perception of weather forecast information across Europe</w:t>
      </w:r>
    </w:p>
    <w:p>
      <w:pPr>
        <w:pStyle w:val="SourceNote"/>
      </w:pPr>
      <w:r>
        <w:rPr>
          <w:b/>
        </w:rPr>
        <w:t>Original source (2022):</w:t>
      </w:r>
      <w:r>
        <w:t xml:space="preserve"> https://doi.org/10.1002/met.2053</w:t>
      </w:r>
    </w:p>
    <w:p>
      <w:pPr/>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there, benefits, increased, data, between, offer;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Defining Ethnic and Migrant Minorities in Survey Research across Europe: Insights from the Ethnic and Migrant Minorities Survey Registry — https://doi.org/10.1186/s40878-026-00564-1</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Abstract Surveys of ethnic and migrant minorities are key sources of data and information on these populations. How such surveys define, identify, and operationalize these target populations is consequential for the findings and inferences resulting from their analysis. This article systematically identifies and assesses the diverse approaches used in these surveys to define and operationalize the studied ethnic and migrant minorities. Through a comprehensive analysis of survey-level metadata from the Ethnic and Migrant Minorities Survey Registry, covering 1,840 national and subnational surveys conducted between 2000 and 2021 across 34 European countries, we examine the survey questions used to classify the target groups, as well as the broader categorizations that they reveal. The paper highlights common practices and emerging trends in defining and operationalizing ethnic and migrant minority populations. The findings also inform future decision-making by survey researchers on how to define and measure ethnic/origin-related concepts.</w:t>
      </w:r>
    </w:p>
    <w:p>
      <w:pPr/>
      <w:r>
        <w:rPr>
          <w:b/>
        </w:rPr>
        <w:t>POSSIBLE 2026:</w:t>
      </w:r>
      <w:r>
        <w:t xml:space="preserve"> The role of osteopathy in public healthcare in Europe — https://openalex.org/W7154884819</w:t>
      </w:r>
    </w:p>
    <w:p>
      <w:pPr/>
      <w:r>
        <w:rPr>
          <w:b/>
        </w:rPr>
        <w:t>Shared claim-specific concepts:</w:t>
      </w:r>
      <w:r>
        <w:t xml:space="preserve"> two, there, data, able;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Revisiting the digital divide in Europe — The profile of those on the wrong side of the divide — https://doi.org/10.1016/j.telpol.2026.103206</w:t>
      </w:r>
    </w:p>
    <w:p>
      <w:pPr/>
      <w:r>
        <w:rPr>
          <w:b/>
        </w:rPr>
        <w:t>Shared claim-specific concepts:</w:t>
      </w:r>
      <w:r>
        <w:t xml:space="preserve"> two, benefits, data, between; EU scope visible. This is a provisional connection, not an outcome finding.</w:t>
      </w:r>
    </w:p>
    <w:p>
      <w:pPr>
        <w:pStyle w:val="SourceNote"/>
      </w:pPr>
      <w:r>
        <w:rPr>
          <w:b/>
        </w:rPr>
        <w:t>Available abstract (not full text):</w:t>
      </w:r>
      <w:r>
        <w:t xml:space="preserve"> How deep is the digital divide in Europe today? What is the profile of those on the wrong side of the divide? This article provides answers to these two questions using data from the European Social Survey (round 10, data collected between 2020 and 2022) and conducting analyses using a probit regression model. It concludes that the digital divide, including the access divide, remains a problem in Europe. The prototype of the offline European would be someone who is not young, has little or no education, lives alone in a rural area, perceives their situation as financially difficult, is somewhat socially isolated, and has doubts about the benefits of communication. The profile of the person affected by the skills divide is not very different from that described above, although with some nuances: while women are less affected by the access divide, they are more affected by the skills divide; the larger the household size, the greater the likelihood of having lower digital proficiency; those “in education” are more skilled; capabilities increase with the number of hours spent in front of the screen.</w:t>
      </w:r>
    </w:p>
    <w:p>
      <w:pPr/>
      <w:r>
        <w:rPr>
          <w:b/>
        </w:rPr>
        <w:t>POSSIBLE 2026:</w:t>
      </w:r>
      <w:r>
        <w:t xml:space="preserve"> Factors Influencing Successful Breastfeeding: A Regional Survey and Comparative Review in European and Global Contexts — https://doi.org/10.3390/children13081078</w:t>
      </w:r>
    </w:p>
    <w:p>
      <w:pPr/>
      <w:r>
        <w:rPr>
          <w:b/>
        </w:rPr>
        <w:t>Shared claim-specific concepts:</w:t>
      </w:r>
      <w:r>
        <w:t xml:space="preserve"> two, indicate, benefits, data, between; EU scope visible. This is a provisional connection, not an outcome finding.</w:t>
      </w:r>
    </w:p>
    <w:p>
      <w:pPr>
        <w:pStyle w:val="SourceNote"/>
      </w:pPr>
      <w:r>
        <w:rPr>
          <w:b/>
        </w:rPr>
        <w:t>Available abstract (not full text):</w:t>
      </w:r>
      <w:r>
        <w:t xml:space="preserve"> Background/Objectives: Breastfeeding is universally recognized as essential for neonatal health, offering benefits that extend into later life stages. The World Health Organization (WHO) advocates for increasing access to effective, low-cost interventions that promote successful breastfeeding, such as skin-to-skin contact (SSC), kangaroo mother care (KMC), and rooming-in. This study aimed to assess the local context regarding the use and dissemination of practices such as prenatal classes, immediate and post-delivery SSC, rooming-in, and the management of discharge and post-discharge care. Methods: This study is a cross-sectional survey across all 29 birth centers in two regions of Southern Italy. An online questionnaire was distributed to all neonatal units, and local data were compared with national, European, and global datasets. Results: Childbirth preparation classes were offered by 38% of centers. Fifteen centers routinely implemented SSC in the first two hours postpartum, while 12 centers used SSC for a shorter duration. Rooming-in was practiced in all centers, with 8 of 29 centers (27.6%) offering it on a full 24 h basis. A brief postpartum follow-up dedicated to breastfeeding support was provided in 12 of 29 centers (41.4%), and 6 centers offered a dedicated telephone breastfeeding consultation service. Conclusions: This survey confirmed the value of monitoring adheren</w:t>
      </w:r>
    </w:p>
    <w:p>
      <w:pPr/>
      <w:r>
        <w:rPr>
          <w:b/>
        </w:rPr>
        <w:t>POSSIBLE 2026:</w:t>
      </w:r>
      <w:r>
        <w:t xml:space="preserve"> Soil Organic Carbon Changes in Agricultural Areas of Europe—Synthesis of Repeated Regional Soil Surveys — https://doi.org/10.1111/ejss.70263</w:t>
      </w:r>
    </w:p>
    <w:p>
      <w:pPr/>
      <w:r>
        <w:rPr>
          <w:b/>
        </w:rPr>
        <w:t>Shared claim-specific concepts:</w:t>
      </w:r>
      <w:r>
        <w:t xml:space="preserve"> surveys, data, between, areas; EU scope visible. This is a provisional connection, not an outcome finding.</w:t>
      </w:r>
    </w:p>
    <w:p>
      <w:pPr>
        <w:pStyle w:val="SourceNote"/>
      </w:pPr>
      <w:r>
        <w:rPr>
          <w:b/>
        </w:rPr>
        <w:t>Available abstract (not full text):</w:t>
      </w:r>
      <w:r>
        <w:t xml:space="preserve"> ABSTRACT Across Europe, increasingly more soil‐related data is being collected. Soil organic carbon (SOC) is one of the most frequently collected parameters from soil monitoring networks due to the connections between SOC and many soil health indicators and ecosystem functions. Furthermore, SOC changes are also related to CO 2 emissions and sinks, thus influencing climate change. SOC‐related data is therefore also fundamental for greenhouse gas emission reporting in the sector land use, land use change and forestry. Much of the SOC data at continent‐, country‐, and regional‐level scale in Europe come from soil monitoring networks (SMNs) that are highly diverse and scattered. In this review, we gather results from European SMNs covering agricultural land with more than one completed sampling campaign in order to compare changes in SOC content and stock from SMNs across Europe. Sixteen countries and regions are represented in the review, representing 24% of the agricultural land (cropland and grassland) of the European Union, United Kingdom and Switzerland. The results and data included in this review were collected between 1955 and 2024. While both gains and losses in SOC are found from European croplands and grasslands, a loss of SOC was found for 56% of the agricultural area covered by the included studies. In cropland areas and general agricultural land, SOC loss and gain wer</w:t>
      </w:r>
    </w:p>
    <w:p>
      <w:pPr/>
      <w:r>
        <w:rPr>
          <w:b/>
        </w:rPr>
        <w:t>POSSIBLE 2026:</w:t>
      </w:r>
      <w:r>
        <w:t xml:space="preserve"> Priorities for change for autistic people across Europe — https://doi.org/10.1186/s13229-026-00706-3</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r>
        <w:rPr>
          <w:b/>
        </w:rPr>
        <w:t>POSSIBLE 2026:</w:t>
      </w:r>
      <w:r>
        <w:t xml:space="preserve"> Interviewer gender and loneliness disclosure in survey research: evidence from the European Social Survey and the Survey of Health, Ageing and Retirement in Europe — https://doi.org/10.1186/s12963-026-00503-3</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BACKGROUND: Loneliness is an important public health concern, but interviewer effects in face-to-face surveys may affect population-based monitoring efforts. Prior work suggests that people may be more open about sensitive topics to female interviewers than to male interviewers. This study examines whether interviewer gender influences the reporting of loneliness. METHODS: Data are from 276,073 face-to-face interviews from four rounds of the European Social Survey (ESS) and four waves of the Survey of Health, Ageing and Retirement in Europe (SHARE). Country-specific logistic regression models were estimated to assess the association between interviewer gender and reported loneliness, adjusting for respondent characteristics. Interaction effects with respondent gender were also examined. Country-specific average marginal effects were combined using random-effects meta-analyses. Sensitivity analyses used a continuous measure of loneliness (short UCLA scale). RESULTS: Across datasets, the effect of interviewer gender on reported loneliness was close to zero and not statistically significant (ESS: θ = -0.001, 95% CI: -0.006 to 0.005; SHARE: θ = -0.017, 95% CI: -0.034 to 0.001; Overall: θ = -0.004, 95% CI: -0.011 to 0.002). No evidence was found for stronger effects among male respondents (ESS: θ = 0.006; 95% CI: -0.006 to 0.019; SHARE: θ = -0.005; 95% CI: -0.027 to 0.018; Overall: </w:t>
      </w:r>
    </w:p>
    <w:p>
      <w:pPr/>
      <w:r>
        <w:rPr>
          <w:b/>
        </w:rPr>
        <w:t>POSSIBLE 2026:</w:t>
      </w:r>
      <w:r>
        <w:t xml:space="preserve"> Skill gaps between natives and immigrants in Europe: evidence from two cycles of PIAAC survey — https://openalex.org/W7127775532</w:t>
      </w:r>
    </w:p>
    <w:p>
      <w:pPr/>
      <w:r>
        <w:rPr>
          <w:b/>
        </w:rPr>
        <w:t>Shared claim-specific concepts:</w:t>
      </w:r>
      <w:r>
        <w:t xml:space="preserve"> two, data, between; EU scope visible. This is a provisional connection, not an outcome finding.</w:t>
      </w:r>
    </w:p>
    <w:p>
      <w:pPr>
        <w:pStyle w:val="SourceNote"/>
      </w:pPr>
      <w:r>
        <w:rPr>
          <w:b/>
        </w:rPr>
        <w:t>Available abstract (not full text):</w:t>
      </w:r>
      <w:r>
        <w:t xml:space="preserve"> The integration of immigrants into host societies is a widely debated issue with significant implications for host societies and economies. Unlocking immigrant human capital potential depends on the successful integration of immigrants and their children into the labor market and the society. The skills gap between immigrants and natives, including differences in qualifications and foundational skills, often hinders integration, limiting immigrants’ opportunities. Using data from the first and second PIAAC cycles, this work examines the skills gap in European countries, focusing on its persistence, reduction or expansion over time and between first- and second-generation immigrants. More specifically, it addresses literacy and numeracy skills as a measure of immigrants’ participation in the host social and economic context. This work explores the impact of factors such as one’s own or parents’ education and language barrier on literacy and numeracy performance, along with their impact on the migrant-native gap itself. It reveals the existence of a gap between immigrants’ and natives’ skills, with an immigrant disadvantage, more pronounced for the first generation and converging towards natives for the second generation. However, these trends vary over time, depending on the domain and country. This work provides useful insights to inform policies aimed at reducing disparities a</w:t>
      </w:r>
    </w:p>
    <w:p>
      <w:pPr/>
      <w:r>
        <w:rPr>
          <w:b/>
        </w:rPr>
        <w:t>POSSIBLE 2026:</w:t>
      </w:r>
      <w:r>
        <w:t xml:space="preserve"> Exploring a Non-Parametric “Benefit of the Doubt” Approach for Identifying Low-Quality Responses in Probability and Non-Probability Online Panel Surveys — https://doi.org/10.13140/rg.2.2.20318.19525</w:t>
      </w:r>
    </w:p>
    <w:p>
      <w:pPr/>
      <w:r>
        <w:rPr>
          <w:b/>
        </w:rPr>
        <w:t>Shared claim-specific concepts:</w:t>
      </w:r>
      <w:r>
        <w:t xml:space="preserve"> two, surveys, there, benefits, data, between; EU scope visible. This is a provisional connection, not an outcome finding.</w:t>
      </w:r>
    </w:p>
    <w:p>
      <w:pPr>
        <w:pStyle w:val="SourceNote"/>
      </w:pPr>
      <w:r>
        <w:rPr>
          <w:b/>
        </w:rPr>
        <w:t>Available abstract (not full text):</w:t>
      </w:r>
      <w:r>
        <w:t xml:space="preserve"> In recent years, there has been a significant upsurge in the use of online panels for research purposes. This trend has been driven by the advantages of conducting survey research via online panels, such as lower cost and faster data collection. The increasing reliance on online panels also brought new potential data-quality issues (e.g., respondents multitasking while completing surveys or completing surveys in distracting environments). Various methods are being used to measure the attentiveness of respondents and the quality of the data collected, such as speeding, excessive use of non-response (or mid-point) options, straightlining and response inconsistency. There are, however, no universally specified thresholds for assessing the quality of the data collected and alternative approaches should be explored. In this paper, we introduce a non-parametric Benefit-of-the-Doubt (BoD) approach for identifying low-quality responses. Applying a BoD approach, we can construct a composite indicator of low response quality that assigns weights to separate quality indicators based on their relative importance in the data. This should allow for a more comprehensive assessment of response quality by identifying low-quality data patterns that may not be captured by single (threshold-based) indicators. In this paper, we develop a BoD model to assess the data and response quality of a cross-</w:t>
      </w:r>
    </w:p>
    <w:p>
      <w:pPr/>
      <w:r>
        <w:rPr>
          <w:b/>
        </w:rPr>
        <w:t>POSSIBLE 2026:</w:t>
      </w:r>
      <w:r>
        <w:t xml:space="preserve"> The Shadow of Crime: The Effect of Victimization on Perceived Safety and Subjective Well-Being in Europe (2002–2023) — https://doi.org/10.1515/peps-2026-0027</w:t>
      </w:r>
    </w:p>
    <w:p>
      <w:pPr/>
      <w:r>
        <w:rPr>
          <w:b/>
        </w:rPr>
        <w:t>Shared claim-specific concepts:</w:t>
      </w:r>
      <w:r>
        <w:t xml:space="preserve"> two, indicate, data, between; EU scope visible. This is a provisional connection, not an outcome finding.</w:t>
      </w:r>
    </w:p>
    <w:p>
      <w:pPr>
        <w:pStyle w:val="SourceNote"/>
      </w:pPr>
      <w:r>
        <w:rPr>
          <w:b/>
        </w:rPr>
        <w:t>Available abstract (not full text):</w:t>
      </w:r>
      <w:r>
        <w:t xml:space="preserve"> Abstract This research provides evidence of the multidimensional costs of crime victimization in Europe. Using data from 11 rounds of the European Social Survey (ESS) collected between 2002 and 2023, the study aims to estimate the effect of experienced victimization on two distinct domains of human perception: perceived safety and subjective well-being. The results indicate that crime victimization leads to a significant and enduring reduction in all explored metrics. Furthermore, gender-disaggregated analysis through interaction models reveals a gender-specific impact on perceived safety, which is 47 % larger for women than for men. Finally, the analysis identifies a significant temporal evolution of the consequences of victimization: the subjective well-being penalty associated with being a victim nearly doubled between 2002 and 2023. These findings challenge current policy paradigms that prioritize raw crime reduction over victim recovery and subjective security management.</w:t>
      </w:r>
    </w:p>
    <w:p>
      <w:pPr>
        <w:pStyle w:val="Heading2"/>
      </w:pPr>
      <w:r>
        <w:t>578. What energy infrastructure will be needed by 2050 in the EU to support 1.5°C scenarios?</w:t>
      </w:r>
    </w:p>
    <w:p>
      <w:pPr>
        <w:pStyle w:val="SourceNote"/>
      </w:pPr>
      <w:r>
        <w:rPr>
          <w:b/>
        </w:rPr>
        <w:t>Original source (2022):</w:t>
      </w:r>
      <w:r>
        <w:t xml:space="preserve"> https://doi.org/10.12688/f1000research.109399.1</w:t>
      </w:r>
    </w:p>
    <w:p>
      <w:pPr/>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infrastructure, horizon,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objective, energy, climate, objectives, neutrality;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objective, energy, infrastructure, time;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Assessing Electricity System Flexibility Needs in the European Union — https://doi.org/10.2760/4894228</w:t>
      </w:r>
    </w:p>
    <w:p>
      <w:pPr/>
      <w:r>
        <w:rPr>
          <w:b/>
        </w:rPr>
        <w:t>Shared claim-specific concepts:</w:t>
      </w:r>
      <w:r>
        <w:t xml:space="preserve"> energy, needs, objectives; EU scope visible. This is a provisional connection, not an outcome finding.</w:t>
      </w:r>
    </w:p>
    <w:p>
      <w:pPr>
        <w:pStyle w:val="SourceNote"/>
      </w:pPr>
      <w:r>
        <w:rPr>
          <w:b/>
        </w:rPr>
        <w:t>Available abstract (not full text):</w:t>
      </w:r>
      <w:r>
        <w:t xml:space="preserve"> This report provides a compact guide, implementation-oriented introduction to the Flexibility Needs Assessment (FNA) methodology approved by the European Union (EU) Agency for the Cooperation of Energy Regulators (ACER) as Annex I to Decision No. 05/2025, in application of Article 19e of Regulation (EU) 2019/943. The FNA is the analytical basis on which Member States set indicative national objectives for non-fossil flexibility. The guide focuses on system-level flexibility needs, covering the common Article 7 data route and the interaction among Article 8 integration needs for renewable energy sources (RES), Article 9 ramping needs and Article 10 short-term flexibility needs. Network-level needs (Articles 11–14) are referenced but not covered. The methodology explanation is complemented by a synthetic one-week case study for a fictional bidding zone, used to illustrate how residual-load ramps, forecast-error uncertainty and renewable curtailment are linked, and how the anti-double-counting rule between Articles 9, 10 and 8 is applied. The example is deliberately smaller than a regulatory FNA and its scope and simplifications are made explicit as needed.</w:t>
      </w:r>
    </w:p>
    <w:p>
      <w:pPr/>
      <w:r>
        <w:rPr>
          <w:b/>
        </w:rPr>
        <w:t>POSSIBLE 2026:</w:t>
      </w:r>
      <w:r>
        <w:t xml:space="preserve"> A combinatorial multi-objective optimisation model to support the design of urban renewable energy communities — https://doi.org/10.1016/j.apenergy.2026.127635</w:t>
      </w:r>
    </w:p>
    <w:p>
      <w:pPr/>
      <w:r>
        <w:rPr>
          <w:b/>
        </w:rPr>
        <w:t>Shared claim-specific concepts:</w:t>
      </w:r>
      <w:r>
        <w:t xml:space="preserve"> energy, objectives, order; EU scope visible. This is a provisional connection, not an outcome finding.</w:t>
      </w:r>
    </w:p>
    <w:p>
      <w:pPr>
        <w:pStyle w:val="SourceNote"/>
      </w:pPr>
      <w:r>
        <w:rPr>
          <w:b/>
        </w:rPr>
        <w:t>Available abstract (not full text):</w:t>
      </w:r>
      <w:r>
        <w:t xml:space="preserve"> This study proposes a novel optimisation framework for the design of urban renewable energy communities, addressing the challenge of aggregating end users in planning processes hindered by conflicting objectives and the absence of a scenario-based methodology. We developed a computational tool that integrates multi-objective optimisation with multi-criteria decision-making techniques to identify optimal district configurations for urban renewable energy community projects. Specifically, the tool allows the grouping of potential members based on environmental, economic, and technical criteria, across different district scales and multiple scenarios. First, we elaborated a combinatorial optimisation problem based on the set partitioning problem, adapting the framework to numerous non-linear objectives. The algorithm was implemented in Python, combining a customised version of the Non-dominated Sorting Genetic Algorithm II with the k-means clustering algorithm. We incorporated the Technique for Order Preference by Similarity to Ideal Solution to rank the district configurations based on stakeholder preferences. We applied the algorithm to a real-world case study and carried out a comprehensive sensitivity analysis of the model. The proposed methodology enables the identification of optimal end user groupings and the quantification of key performance indicators. This research contr</w:t>
      </w:r>
    </w:p>
    <w:p>
      <w:pPr/>
      <w:r>
        <w:rPr>
          <w:b/>
        </w:rPr>
        <w:t>POSSIBLE 2026:</w:t>
      </w:r>
      <w:r>
        <w:t xml:space="preserve"> From concept to practice: a replication framework for equitable energy transitions in European islands — https://doi.org/10.1007/s40974-026-00426-7</w:t>
      </w:r>
    </w:p>
    <w:p>
      <w:pPr/>
      <w:r>
        <w:rPr>
          <w:b/>
        </w:rPr>
        <w:t>Shared claim-specific concepts:</w:t>
      </w:r>
      <w:r>
        <w:t xml:space="preserve"> energy, infrastructure, climate, objectives; EU scope visible. This is a provisional connection, not an outcome finding.</w:t>
      </w:r>
    </w:p>
    <w:p>
      <w:pPr>
        <w:pStyle w:val="SourceNote"/>
      </w:pPr>
      <w:r>
        <w:rPr>
          <w:b/>
        </w:rPr>
        <w:t>Available abstract (not full text):</w:t>
      </w:r>
      <w:r>
        <w:t xml:space="preserve"> Abstract The replication of sustainable energy systems is key to accelerating equitable energy transitions in European island communities. This study develops a structured replication methodology for Multi-Energy Systems (MES), introducing the Replication Readiness Index (RRI), a TOPSIS-based tool quantifying both decarbonization potential and distributional justice outcomes. The methodology integrates technical optimization with social equity assessment through six operational steps, ensuring vulnerable populations benefit from rather than bear the costs of energy transitions. The framework is anchored in the structural distinctness of island energy systems, namely grid isolation, sectoral supply-chain fragility, and the demographic over-representation of vulnerable groups, rather than presenting a generic just-transition instrument transferable to any community without translation. In the examined case study, there were identified 87% GHG emissions reduction, 30% overall energy cost decrease, and 81% savings for a local bakery industry through integrated PV-wind-biomass systems. Critically, the approach creates new income streams while concurrently addressing energy poverty among small businesses. The RRI analysis (0.75) provides policymakers with evidence-based metrics for prioritizing investments that achieve both climate and social justice objectives. Practical application</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quantify, energy, climate, neutral, neutrality;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Research and technology infrastructures in the European hydrogen economy: Status, needs and innovation concepts — https://doi.org/10.1016/j.ijhydene.2026.157061</w:t>
      </w:r>
    </w:p>
    <w:p>
      <w:pPr/>
      <w:r>
        <w:rPr>
          <w:b/>
        </w:rPr>
        <w:t>Shared claim-specific concepts:</w:t>
      </w:r>
      <w:r>
        <w:t xml:space="preserve"> infrastructure, needs, objectives; EU scope visible. This is a provisional connection, not an outcome finding.</w:t>
      </w:r>
    </w:p>
    <w:p>
      <w:pPr>
        <w:pStyle w:val="SourceNote"/>
      </w:pPr>
      <w:r>
        <w:rPr>
          <w:b/>
        </w:rPr>
        <w:t>Available abstract (not full text):</w:t>
      </w:r>
      <w:r>
        <w:t xml:space="preserve"> Research and Technology Infrastructures (RTIs) are central enablers of hydrogen technology development, yet their strategic potential remains underutilised in Europe. This review systematically assesses the European RTI landscape for clean hydrogen in comparison with global developments, using a Readiness Level framework and a comprehensive typology to analyse RTIs across the hydrogen value chain. The findings indicate that RTI ecosystems outside Europe exhibit examples of greater structural coherence, robust funding mechanisms, and stronger alignment with policy objectives. Conversely, the European context is characterized by fragmentation, limited access, and a reliance on short-term funding models. To address these challenges, this review proposes the adoption of coordinated governance structures, sustained lifecycle funding, improved industrial access pathways, and the integration of digital tools such as AI-driven experimentation. The main outcomes include: (i) a technology-neutral classification of RTIs, (ii) a systematic gap analysis, and (iii) targeted recommendations for policymakers, funding bodies, and infrastructure operators.</w:t>
      </w:r>
    </w:p>
    <w:p>
      <w:pPr/>
      <w:r>
        <w:rPr>
          <w:b/>
        </w:rPr>
        <w:t>POSSIBLE 2026:</w:t>
      </w:r>
      <w:r>
        <w:t xml:space="preserve"> Introducing Hydrogen to the European Energy Market — https://doi.org/10.4324/9781003669654-6</w:t>
      </w:r>
    </w:p>
    <w:p>
      <w:pPr/>
      <w:r>
        <w:rPr>
          <w:b/>
        </w:rPr>
        <w:t>Shared claim-specific concepts:</w:t>
      </w:r>
      <w:r>
        <w:t xml:space="preserve"> energy, various, ambitious; EU scope visible. This is a provisional connection, not an outcome finding.</w:t>
      </w:r>
    </w:p>
    <w:p>
      <w:pPr>
        <w:pStyle w:val="SourceNote"/>
      </w:pPr>
      <w:r>
        <w:rPr>
          <w:b/>
        </w:rPr>
        <w:t>Available abstract (not full text):</w:t>
      </w:r>
      <w:r>
        <w:t xml:space="preserve"> To facilitate the achievement of the ambitious green hydrogen targets as adopted by the EU, support for the hydrogen uptake is granted through various mechanisms. Producing renewable hydrogen – as the EU hydrogen policy envisages – is currently more expensive than producing hydrogen from fossil fuels or producing energy from fossil fuels. Therefore, hydrogen projects currently require governmental support to bridge the cost gap until the hydrogen economy takes off to the extent that economies of scale and technological advancements reduce costs. At the EU level, the legislative framework seeks to initiate the hydrogen economy take-off by setting targets for renewable hydrogen that are designed to create necessary demand for the markets to spur investments, whereas the EU Hydrogen Bank serves as the main financing mechanism. In addition to these EU level measures, the State aid framework provides the rules for Member State market intervention. This chapter examines the various mechanisms employed in the EU to support green hydrogen. It provides an overview of the current mechanisms and analyses the existing regulatory framework within which such support can be granted in the EU.</w:t>
      </w:r>
    </w:p>
    <w:p>
      <w:pPr/>
      <w:r>
        <w:rPr>
          <w:b/>
        </w:rPr>
        <w:t>POSSIBLE 2026:</w:t>
      </w:r>
      <w:r>
        <w:t xml:space="preserve"> Modeling and assessment of the sustainability of bioeconomy scenarios in contrasting large-scale territories in France and Europe — https://openalex.org/W7205820045</w:t>
      </w:r>
    </w:p>
    <w:p>
      <w:pPr/>
      <w:r>
        <w:rPr>
          <w:b/>
        </w:rPr>
        <w:t>Shared claim-specific concepts:</w:t>
      </w:r>
      <w:r>
        <w:t xml:space="preserve"> objective, quantify, energy, various, climate; EU scope visible. This is a provisional connection, not an outcome finding.</w:t>
      </w:r>
    </w:p>
    <w:p>
      <w:pPr>
        <w:pStyle w:val="SourceNote"/>
      </w:pPr>
      <w:r>
        <w:rPr>
          <w:b/>
        </w:rPr>
        <w:t>Available abstract (not full text):</w:t>
      </w:r>
      <w:r>
        <w:t xml:space="preserve"> The objective of this work will be to apply STICS to evaluate different bioeconomy scenarios in contrasting regions of France and Europe by 2050. To this aim, we are (i) developing a generic high resolution modeling framework at the European scale based on data on climate, soils, crop rotations and agricultural practices, and (ii) planning to simulate and evaluate the sustainability of different prospective bioeconomy scenarios. For the multi-criteria assessment of baseline and prospective scenarios, the considered criteria will relate to (i) food and energy biomass production, (ii) agro-environmental performances: soil C storage and soil fertility, nitrogen losses and GHG balance, and (iii) nitrogen self-sufficiency of the investigated territories. We expect to quantify, using a detailed modeling approach applied at the European level, different production potentials and their short- and long-term impacts, and to evaluate and identify scenarios and associated trade-offs that would enable the agricultural sector to cope with various food, energy, and environmental production issues. We also hope to provide a generic information system and a modeling framework that could be reused or adapted for further research or decision support projects.</w:t>
      </w:r>
    </w:p>
    <w:p>
      <w:pPr/>
      <w:r>
        <w:rPr>
          <w:b/>
        </w:rPr>
        <w:t>POSSIBLE 2026:</w:t>
      </w:r>
      <w:r>
        <w:t xml:space="preserve"> Public mental health: The case and required actions across the European region — https://doi.org/10.1192/j.eurpsy.2026.12239</w:t>
      </w:r>
    </w:p>
    <w:p>
      <w:pPr/>
      <w:r>
        <w:rPr>
          <w:b/>
        </w:rPr>
        <w:t>Shared claim-specific concepts:</w:t>
      </w:r>
      <w:r>
        <w:t xml:space="preserve"> needs, required, various, objectives; EU scope visible. This is a provisional connection, not an outcome finding.</w:t>
      </w:r>
    </w:p>
    <w:p>
      <w:pPr>
        <w:pStyle w:val="SourceNote"/>
      </w:pPr>
      <w:r>
        <w:rPr>
          <w:b/>
        </w:rPr>
        <w:t>Available abstract (not full text):</w:t>
      </w:r>
      <w:r>
        <w:t xml:space="preserve"> Despite the existence of effective public mental health (PMH) interventions, only a minority across the European region receive treatment for mental health conditions (MHCs). Even fewer receive interventions to prevent MHC-associated impacts, with negligible coverage of interventions to prevent MHCs, or promote mental well-being and resilience. Various reasons account for implementation failure which breaches the right to health and results in population scale preventable suffering, broad impacts and associated economic costs. Public mental health involves a population approach to improve coverage, outcomes and coordination of PMH interventions. Required actions to scale up PMH implementation include effectively making the case through assessment of PMH need, highlighting economic impacts of PMH implementation failure and improved coverage, and coordinated advocacy and leadership. Public mental health practice involves the use of PMH needs assessment to inform choice of interventions, policy development, and required coverage and resources for effective PMH intervention delivery by different sectors. This is supported by the collection of PMH-relevant data. Further actions to scale up PMH implementation include adopting human rights-based approaches and legislation, PMH training to different sectors and improved population PMH literacy, maximizing existing resources, settings-b</w:t>
      </w:r>
    </w:p>
    <w:p>
      <w:pPr/>
      <w:r>
        <w:rPr>
          <w:b/>
        </w:rPr>
        <w:t>POSSIBLE 2026:</w:t>
      </w:r>
      <w:r>
        <w:t xml:space="preserve"> European coastal wetlands datasets and their use in decision-support tools for policy restoration objectives — https://doi.org/10.1016/j.envsci.2026.104386</w:t>
      </w:r>
    </w:p>
    <w:p>
      <w:pPr/>
      <w:r>
        <w:rPr>
          <w:b/>
        </w:rPr>
        <w:t>Shared claim-specific concepts:</w:t>
      </w:r>
      <w:r>
        <w:t xml:space="preserve"> climate, ambitious, objectives; EU scope visible. This is a provisional connection, not an outcome finding.</w:t>
      </w:r>
    </w:p>
    <w:p>
      <w:pPr>
        <w:pStyle w:val="SourceNote"/>
      </w:pPr>
      <w:r>
        <w:rPr>
          <w:b/>
        </w:rPr>
        <w:t>Available abstract (not full text):</w:t>
      </w:r>
      <w:r>
        <w:t xml:space="preserve"> Ecosystem restoration is a paramount policy priority for this decade, with ambitious global and European targets requiring unprecedented levels of data-driven implementation. Achieving effective and equitable restoration, particularly for coastal wetlands, hinges on spatially explicit socio-ecological information - maps that integrate habitats, ecosystem services, human activities, and pressures to guide prioritization, stakeholder negotiation, and adaptive management. This study, grounded in the RESTORE4Cs initiative, introduces an innovative multi-layered dataset that bridges science and policy for six emblematic European coastal wetlands: Ria de Aveiro (Portugal), Valencian Wetlands (Spain), Camargue (France), Southwest Dutch Delta (Netherlands), Curonian Lagoon (Lithuania), and the Danube Delta (Romania). The dataset consolidates ecological mapping (EUNIS 2021, 2022), human activity and pressure documentation (aligned with EU Habitats Directive, Water Framework Directive, Marine Strategy Framework Directive), comprehensive ecosystem services mapping (CICES v5.1), alongside robust participatory community and stakeholder data. Altogether, the database encapsulates 97 habitat records, 23,160 activity-pressure associations, and 1,668 ecosystem service records—enabling robust cross-regional analyses and direct integration into evidence-based decision support tools. By illustrati</w:t>
      </w:r>
    </w:p>
    <w:p>
      <w:pPr>
        <w:pStyle w:val="Heading2"/>
      </w:pPr>
      <w:r>
        <w:t>579. Which way to net zero? a comparative analysis of seven UK 2050 decarbonisation pathways</w:t>
      </w:r>
    </w:p>
    <w:p>
      <w:pPr>
        <w:pStyle w:val="SourceNote"/>
      </w:pPr>
      <w:r>
        <w:rPr>
          <w:b/>
        </w:rPr>
        <w:t>Original source (2022):</w:t>
      </w:r>
      <w:r>
        <w:t xml:space="preserve"> https://doi.org/10.1016/j.rset.2021.100016</w:t>
      </w:r>
    </w:p>
    <w:p>
      <w:pPr/>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POSSIBLE 2026:</w:t>
      </w:r>
      <w:r>
        <w:t xml:space="preserve"> Corporate Reporting in Ukraine: Key Findings and Next Steps — https://doi.org/10.5281/zenodo.21262010</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pPr/>
      <w:r>
        <w:rPr>
          <w:b/>
        </w:rPr>
        <w:t>POSSIBLE 2026:</w:t>
      </w:r>
      <w:r>
        <w:t xml:space="preserve"> Persistent Identifiers in Germany: Key Findings of a Nationwide Survey — https://doi.org/10.5334/dsj-2026-028</w:t>
      </w:r>
    </w:p>
    <w:p>
      <w:pPr/>
      <w:r>
        <w:rPr>
          <w:b/>
        </w:rPr>
        <w:t>Shared claim-specific concepts:</w:t>
      </w:r>
      <w:r>
        <w:t xml:space="preserve"> key, findings, less; EU scope visible. This is a provisional connection, not an outcome finding.</w:t>
      </w:r>
    </w:p>
    <w:p>
      <w:pPr>
        <w:pStyle w:val="SourceNote"/>
      </w:pPr>
      <w:r>
        <w:rPr>
          <w:b/>
        </w:rPr>
        <w:t>Available abstract (not full text):</w:t>
      </w:r>
      <w:r>
        <w:t xml:space="preserve"> Persistent identifiers (PIDs) are global, unique, resolvable, and persistent references that have become core components of open science and FAIR research as well as their infrastructures. This article reports key findings from the first nationwide Survey on the Need for and Use of Persistent Identifiers at Research and Infrastructure Organizations in Germany. This survey is based on a cross-sectional, cross-disciplinary online survey covering more than 20 PID types and established entity categories, targeting all relevant public-sector academic and non-academic research organizations in Germany as well as European and international research infrastructure nodes headquartered in Germany. Responses from a diverse set of academic and non-academic research and infrastructure organizations provide an empirical basis for analyzing PID familiarity and use, training needs, infrastructural embedding, and strategic framework conditions. The findings indicate that PID adoption is currently concentrated on a limited set of widely established identifiers (DOI, ISBN, ORCID iD, GND, URN), whereas newer or specialized identifiers remain less recognized and are infrequently implemented. PID usage predominantly occurs within publication and research data workflows, with anticipated expansion to additional entity types such as research software and instruments. Across organizations, respondents </w:t>
      </w:r>
    </w:p>
    <w:p>
      <w:pPr/>
      <w:r>
        <w:rPr>
          <w:b/>
        </w:rPr>
        <w:t>POSSIBLE 2026:</w:t>
      </w:r>
      <w:r>
        <w:t xml:space="preserve"> Finding dimensions — https://doi.org/10.5463/thesis.1634</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A wide variety of nanoparticles (NPs) is used in everyday applications, ranging from cosmetics and coatings to advanced drug-delivery systems. With the continuous development of new nanoparticle types, such as polymer-based nanoparticles (PNPs) and lipid nanoparticles (LNPs), there is a growing need for analytical methods capable of reliably assessing their properties, including size distribution and composition. Conventional techniques typically provide information on a single property, requiring multiple methods for comprehensive characterization. Multi-dimensional analytical approaches offer the potential to assess multiple properties simultaneously and to establish correlations between them. This thesis focuses on the development and application of two-dimensional liquid chromatography (2D-LC) methods for the analysis of PNPs and LNPs containing functional cargo. As introduced in Chapter 1, the aim was to separate intact nanoparticles based on size in the first dimension, followed by online transformation and analysis of their constituents in a second dimension. Key challenges included selecting suitable size-based separation techniques, enabling online disassembly of nanoparticles, and ensuring compatibility between both dimensions. This work was conducted within the PARADISE (Propelling Analysts by Removing Analytical-, Data-, Instrument-, and Sample-related Encumbrances)</w:t>
      </w:r>
    </w:p>
    <w:p>
      <w:pPr/>
      <w:r>
        <w:rPr>
          <w:b/>
        </w:rPr>
        <w:t>POSSIBLE 2026:</w:t>
      </w:r>
      <w:r>
        <w:t xml:space="preserve"> LIMIT: Less Is More for Instruction Tuning in Text-to-SQL — https://doi.org/10.48550/arxiv.2609.24186</w:t>
      </w:r>
    </w:p>
    <w:p>
      <w:pPr/>
      <w:r>
        <w:rPr>
          <w:b/>
        </w:rPr>
        <w:t>Shared claim-specific concepts:</w:t>
      </w:r>
      <w:r>
        <w:t xml:space="preserve"> key, findings, rely, less; EU scope not established. This is a provisional connection, not an outcome finding.</w:t>
      </w:r>
    </w:p>
    <w:p>
      <w:pPr>
        <w:pStyle w:val="SourceNote"/>
      </w:pPr>
      <w:r>
        <w:rPr>
          <w:b/>
        </w:rPr>
        <w:t>Available abstract (not full text):</w:t>
      </w:r>
      <w:r>
        <w:t xml:space="preserve"> Large language models have achieved remarkable progress on Text-to-SQL through reasoning-enhanced fine-tuning, yet existing approaches predominantly rely on massive instruction corpora under the assumption that scale drives performance. We challenge this paradigm by investigating a fundamental question: what is the minimal data requirement for effective Text-to-SQL instruction tuning? We propose LIMIT(Less Is More for Instruction Tuning in Text-to-SQL), a data-centric framework that demonstrates strong database reasoning can emerge from an extremely compact training set when examples are strategically selected. LIMIT operates through four stages: difficulty-aware filtering that identifies samples within the model's learning frontier, chain-of-thought synthesis with consistency-based selection, multi-dimensional quality scoring via LLM-as-judge, and genetic algorithm optimization that jointly maximizes schema coverage and sample quality. On the BIRD and Spider benchmark, LIMIT selects only 796 and 863 samples while achieving 100% table coverage, enabling Qwen3-8B to reach 69.1% and 88.9% execution accuracy.This result surpasses methods trained on 20 times more data and establishes a new state-of-the-art among open-source approaches. Our findings suggest that careful data curation, rather than scale, is the key to efficient Text-to-SQL learning.</w:t>
      </w:r>
    </w:p>
    <w:p>
      <w:pPr/>
      <w:r>
        <w:rPr>
          <w:b/>
        </w:rPr>
        <w:t>POSSIBLE 2026:</w:t>
      </w:r>
      <w:r>
        <w:t xml:space="preserve"> Less is More: Controlled Visual Evidence Routing and Redundancy Compression for Key Information Extraction — https://doi.org/10.18653/v1/2026.magmar-main.10</w:t>
      </w:r>
    </w:p>
    <w:p>
      <w:pPr/>
      <w:r>
        <w:rPr>
          <w:b/>
        </w:rPr>
        <w:t>Shared claim-specific concepts:</w:t>
      </w:r>
      <w:r>
        <w:t xml:space="preserve"> key, less, transport; EU scope not established. This is a provisional connection, not an outcome finding.</w:t>
      </w:r>
    </w:p>
    <w:p>
      <w:pPr>
        <w:pStyle w:val="SourceNote"/>
      </w:pPr>
      <w:r>
        <w:rPr>
          <w:b/>
        </w:rPr>
        <w:t>Available abstract (not full text):</w:t>
      </w:r>
      <w:r>
        <w:t xml:space="preserve"> Key Information Extraction (KIE) in visuallyrich documents is inherently token-centric, yet prevailing multimodal encoders often fuse dense visual patches with text tokens indiscriminately, which can introduce low-density visual noise, intensify modality competition, and cause robustness collapse under distribution shifts.We propose OTCR, a lightweight and architecture-agnostic framework that turns vision from a competitor into a selective supporter for extraction.OTCR learns sparse, interpretable cross-modal coupling via optimal transport to route local visual evidence to the most relevant text tokens, applies token-level gating to control injection strength, and further suppresses spurious correlations through a variational information bottleneck.Experiments on FUNSD, CORD, and SROIE show consistent gains when OTCR is plugged into LayoutLMv3 and GeoLayoutLM, and ablations verify the complementary contributions of coupling, gating, and bottlenecking.Under distribution shifts from Do-GOOD(He et al., 2023a) and EC-FUNSD (Zhang et al., 2024), OTCR markedly mitigates performance degradation, indicating that controlled visual evidence can effectively compensate when text/layout shortcuts become unreliable.</w:t>
      </w:r>
    </w:p>
    <w:p>
      <w:pPr/>
      <w:r>
        <w:rPr>
          <w:b/>
        </w:rPr>
        <w:t>POSSIBLE 2026:</w:t>
      </w:r>
      <w:r>
        <w:t xml:space="preserve"> A Decade of Research on the Inventory of Problems-29 (IOP-29): Key Findings and Implications for Clinical and Forensic Assessment — https://doi.org/10.1007/s40501-026-00396-x</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Abstract Purpose of Review This review examines the evidence accumulated over the past decade on the Inventory of Problems-29 (IOP-29) in order to provide an updated appraisal of its scientific status and clinical and forensic role. Particular attention is given to classification accuracy, comparative validity, cut scores, cross-cultural applicability, and related extensions. Recent Findings The IOP-29 literature now includes both simulation and criterion-group studies, independent replications, quantitative reviews, cross-cultural investigations, and comparative validity studies. Overall, findings across different symptom domains, research designs, countries, and language versions indicate that the IOP-29 discriminates credible from noncredible symptom presentations with very large mean effect sizes. In addition, updated pooled estimates showed that the standard cutoff of ≥ 0.50 yielded sensitivity and specificity estimates of 0.84 and 0.90, respectively. Summary The IOP-29 should no longer be viewed primarily as a new or emerging symptom validity test. Rather, the evidence reviewed here supports its use as a brief, psychometrically sound measure in clinical, forensic, psychological, and psychiatric assessment. Future research should now focus less on whether the IOP-29 works and more on how, when, and under what conditions it is most effectively used within a multimethod asse</w:t>
      </w:r>
    </w:p>
    <w:p>
      <w:pPr/>
      <w:r>
        <w:rPr>
          <w:b/>
        </w:rPr>
        <w:t>POSSIBLE 2026:</w:t>
      </w:r>
      <w:r>
        <w:t xml:space="preserve"> Does auditor−client geographic proximity influence key audit matters disclosures? — https://doi.org/10.1108/arj-08-2025-0284</w:t>
      </w:r>
    </w:p>
    <w:p>
      <w:pPr/>
      <w:r>
        <w:rPr>
          <w:b/>
        </w:rPr>
        <w:t>Shared claim-specific concepts:</w:t>
      </w:r>
      <w:r>
        <w:t xml:space="preserve"> key, findings, reported, rely, less; EU scope not established. This is a provisional connection, not an outcome finding.</w:t>
      </w:r>
    </w:p>
    <w:p>
      <w:pPr>
        <w:pStyle w:val="SourceNote"/>
      </w:pPr>
      <w:r>
        <w:rPr>
          <w:b/>
        </w:rPr>
        <w:t>Available abstract (not full text):</w:t>
      </w:r>
      <w:r>
        <w:t xml:space="preserve"> Purpose This study investigates whether auditor−client geographic proximity (ACGP) affects the key audit matters (KAMs) disclosures in the context of an emerging economy. Design/methodology/approach ACGP is measured using physical distance (kilometers) and travel time (minutes) between head offices, following prior studies, while KAMs are measured based on the quantity and words to explain KAMs disclosures. Data from 465 firm-year observations for the period 2018–2021 are collected and analyzed using panel regression and the results are explained in line with the communication theory. Findings The authors document a significant and negative association between ACGP, and both the number and the extent of KAMs reported. These results are robust to alternative measures of KAMs and ACGP. Geographic proximity between auditors and clients facilitates enhanced communication and provides auditors with an informational advantage, which can reduce perceived client risk and, in turn, lead to fewer and less extensive KAM disclosures. This negative association is particularly pronounced for smaller and lower-risk firms, likely because auditors of these firms face fewer complexities and challenges in assessing risk, allowing them to rely more on proximity-driven information advantages. Practical implications The findings have important implications for boards and audit committees, regulators</w:t>
      </w:r>
    </w:p>
    <w:p>
      <w:pPr/>
      <w:r>
        <w:rPr>
          <w:b/>
        </w:rPr>
        <w:t>POSSIBLE 2026:</w:t>
      </w:r>
      <w:r>
        <w:t xml:space="preserve"> Aortic Injury and Hemopericardium: Key Findings and Evaluation — https://doi.org/10.3348/jksr.2026.0065</w:t>
      </w:r>
    </w:p>
    <w:p>
      <w:pPr/>
      <w:r>
        <w:rPr>
          <w:b/>
        </w:rPr>
        <w:t>Shared claim-specific concepts:</w:t>
      </w:r>
      <w:r>
        <w:t xml:space="preserve"> key, findings, facilitate; EU scope not established. This is a provisional connection, not an outcome finding.</w:t>
      </w:r>
    </w:p>
    <w:p>
      <w:pPr>
        <w:pStyle w:val="SourceNote"/>
      </w:pPr>
      <w:r>
        <w:rPr>
          <w:b/>
        </w:rPr>
        <w:t>Available abstract (not full text):</w:t>
      </w:r>
      <w:r>
        <w:t xml:space="preserve"> Traumatic thoracic aortic injury and hemopericardium are among the most life-threatening conditions encountered in acute thoracic trauma care. CT angiography (CTA) is the cornerstone of evaluation in such cases, providing essential information for diagnosis, triage, and treatment planning. In traumatic aortic injury, key CTA findings, including the presence of an intimal flap, intramural hematoma, pseudoaneurysm, and contrast extravasation, form the basis of the Society for Vascular Surgery grading system and guide management. In patients with traumatic hemopericardium, CT attenuation characteristics, imaging features of cardiac tamponade, and associated cardiac injuries help determine the urgency and approach to intervention. Familiarity with common pitfalls and mimickers, including ductus diverticulum, mediastinal hematoma without aortic injury, and motion-related artifacts, is essential to avoid diagnostic errors. Structured reporting can facilitate communication of management-relevant findings and support timely decision-making. This review summarizes the imaging findings, grading systems, management implications, pitfalls, and structured reporting considerations for traumatic aortic injury and hemopericardium.</w:t>
      </w:r>
    </w:p>
    <w:p>
      <w:pPr/>
      <w:r>
        <w:rPr>
          <w:b/>
        </w:rPr>
        <w:t>POSSIBLE 2025:</w:t>
      </w:r>
      <w:r>
        <w:t xml:space="preserve"> InYA – Invisible Young Athletes: Key Findings Report (Project Deliverable) — https://doi.org/10.5281/zenodo.17963501</w:t>
      </w:r>
    </w:p>
    <w:p>
      <w:pPr/>
      <w:r>
        <w:rPr>
          <w:b/>
        </w:rPr>
        <w:t>Shared claim-specific concepts:</w:t>
      </w:r>
      <w:r>
        <w:t xml:space="preserve"> key, findings, pathways; EU scope visible. This is a provisional connection, not an outcome finding.</w:t>
      </w:r>
    </w:p>
    <w:p>
      <w:pPr>
        <w:pStyle w:val="SourceNote"/>
      </w:pPr>
      <w:r>
        <w:rPr>
          <w:b/>
        </w:rPr>
        <w:t>Available abstract (not full text):</w:t>
      </w:r>
      <w:r>
        <w:t xml:space="preserve">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pPr/>
      <w:r>
        <w:rPr>
          <w:b/>
        </w:rPr>
        <w:t>POSSIBLE 2025:</w:t>
      </w:r>
      <w:r>
        <w:t xml:space="preserve"> Results and Key Findings — https://doi.org/10.1007/978-3-031-85991-5_6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Abstract This chapter presents the key findings of the study, detailing the data collection time frame, methods, and results from the prison art therapy program. The chapter reports inmate demographics, quantitative and qualitative questionnaire results, visual responses, and insights from a public art exhibition, highlighting the transformative potential of art in rehabilitation. Researcher reflections on journaling provide additional depth, capturing interactions and emergent themes. Overall, the findings underscore the capacity of art to enhance self-awareness, reduce violence, and promote emotional well-being in prison contexts while identifying areas for future research and therapeutic art program development.</w:t>
      </w:r>
    </w:p>
    <w:p>
      <w:pPr/>
      <w:r>
        <w:rPr>
          <w:b/>
        </w:rPr>
        <w:t>POSSIBLE 2025:</w:t>
      </w:r>
      <w:r>
        <w:t xml:space="preserve"> Should Firms Avoid Relying on Key Employees? Evidence From Inventors — https://doi.org/10.1111/eufm.70014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ABSTRACT Analysing inventor careers in U.S. public firms, we find that higher inventor‐base concentration enhances corporate innovation productivity in subsequent years, a relationship that remains consistent across various model specifications. Concentration improves the retention of individual inventors and teams, supporting the employee retention hypothesis. However, firms with concentrated inventor bases tend to emphasize exploitation over exploration in their innovation efforts. Moreover, the impact of inventor‐base concentration is moderated by factors such as technology or product lifecycle length and conglomerate status. These findings underscore the critical role of human capital management in driving firm innovation.</w:t>
      </w:r>
    </w:p>
    <w:p>
      <w:pPr/>
      <w:r>
        <w:rPr>
          <w:b/>
        </w:rPr>
        <w:t>POSSIBLE 2025:</w:t>
      </w:r>
      <w:r>
        <w:t xml:space="preserve"> Determinants of SME Growth and Competitiveness in the UK: Key Findings and Implications — https://doi.org/10.69565/jeba.v3i2.460</w:t>
      </w:r>
    </w:p>
    <w:p>
      <w:pPr/>
      <w:r>
        <w:rPr>
          <w:b/>
        </w:rPr>
        <w:t>Shared claim-specific concepts:</w:t>
      </w:r>
      <w:r>
        <w:t xml:space="preserve"> key, findings, require; EU scope not established. This is a provisional connection, not an outcome finding.</w:t>
      </w:r>
    </w:p>
    <w:p>
      <w:pPr>
        <w:pStyle w:val="SourceNote"/>
      </w:pPr>
      <w:r>
        <w:rPr>
          <w:b/>
        </w:rPr>
        <w:t>Available abstract (not full text):</w:t>
      </w:r>
      <w:r>
        <w:t xml:space="preserve"> This study investigates the determinants of small and medium-sized enterprise (SME) growth and competitiveness in the United Kingdom by examining how firm-level characteristics and capability-related factors influence sales performance and export participation. Using firm-level cross-sectional data from the World Bank Enterprise Survey, the study applies Ordinary Least Squares regression to analyse SME sales performance, measured through the natural logarithm of annual sales, and logistic regression to examine SME competitiveness, measured through direct export participation. The explanatory variables include formal finance, firm age, firm size, managerial experience, innovation, and quality certification. The findings show that SME sales performance and competitiveness are related but empirically distinct outcomes. Firm age has a positive and significant association with both sales performance and export competitiveness, suggesting that organisational maturity supports business stability and market development. Firm size is the strongest predictor of sales performance; however, it is negatively associated with export participation once sales performance is controlled. Quality certification emerges as a consistently significant factor, positively influencing both sales and competitiveness, highlighting the importance of standards, credibility, and market readiness. Formal finan</w:t>
      </w:r>
    </w:p>
    <w:p>
      <w:pPr>
        <w:pStyle w:val="Heading2"/>
      </w:pPr>
      <w:r>
        <w:t>580. A 2050 perspective on the role for carbon capture and storage in the European power system and industry sector</w:t>
      </w:r>
    </w:p>
    <w:p>
      <w:pPr>
        <w:pStyle w:val="SourceNote"/>
      </w:pPr>
      <w:r>
        <w:rPr>
          <w:b/>
        </w:rPr>
        <w:t>Original source (2021):</w:t>
      </w:r>
      <w:r>
        <w:t xml:space="preserve"> https://doi.org/10.1016/j.eneco.2021.105631</w:t>
      </w:r>
    </w:p>
    <w:p>
      <w:pPr/>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climate, emissions, mitigation, option;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Envirotyping framework for wheat in Europe — https://doi.org/10.1016/j.fcr.2026.110616</w:t>
      </w:r>
    </w:p>
    <w:p>
      <w:pPr/>
      <w:r>
        <w:rPr>
          <w:b/>
        </w:rPr>
        <w:t>Shared claim-specific concepts:</w:t>
      </w:r>
      <w:r>
        <w:t xml:space="preserve"> framework, three, target; EU scope visible. This is a provisional connection, not an outcome finding.</w:t>
      </w:r>
    </w:p>
    <w:p>
      <w:pPr>
        <w:pStyle w:val="SourceNote"/>
      </w:pPr>
      <w:r>
        <w:rPr>
          <w:b/>
        </w:rPr>
        <w:t>Available abstract (not full text):</w:t>
      </w:r>
      <w:r>
        <w:t xml:space="preserve"> Context Wheat production in Europe is increasingly constrained by climatic stressors, particularly heat and drought, which threaten yield stability and genetic gain. To improve environmental characterization in multi-environment trials and support the development of climate-resilient cultivars, we propose a robust envirotyping framework based on a crop model and multivariate analysis. Methods We combined 16 years of data from official Value for Cultivation and Use (VCU) trials across six European countries with simulations from the SiriusQuality process-based crop model. Environmental indices were computed to quantify temperature, water, and radiation stress during critical phenological stages. We evaluated two approaches for environmental characterization. Results and conclusions A principal component analysis of selected indices captured key climatic gradients but generated composite dimensions with limited interpretability for envirotyping applications. In contrast, a simplified method based on three physiologically grounded indices—heat stress, water deficit, and radiation balance—offered greater clarity and biological relevance. K-means clustering applied to these indices delineated discrete and interpretable envirotypes. The analysis revealed consistent low-stress conditions in Alpine regions, frequent combined heat and drought stress in eastern Austria and Hungary, and w</w:t>
      </w:r>
    </w:p>
    <w:p>
      <w:pPr/>
      <w:r>
        <w:rPr>
          <w:b/>
        </w:rPr>
        <w:t>POSSIBLE 2026:</w:t>
      </w:r>
      <w:r>
        <w:t xml:space="preserve"> Evaluating the Operations Feasibility and Business Model Development of a Sri Lankan Beauty Salon — https://openalex.org/W7163484922</w:t>
      </w:r>
    </w:p>
    <w:p>
      <w:pPr/>
      <w:r>
        <w:rPr>
          <w:b/>
        </w:rPr>
        <w:t>Shared claim-specific concepts:</w:t>
      </w:r>
      <w:r>
        <w:t xml:space="preserve"> unique, analyses, feasibility; EU scope visible. This is a provisional connection, not an outcome finding.</w:t>
      </w:r>
    </w:p>
    <w:p>
      <w:pPr>
        <w:pStyle w:val="SourceNote"/>
      </w:pPr>
      <w:r>
        <w:rPr>
          <w:b/>
        </w:rPr>
        <w:t>Available abstract (not full text):</w:t>
      </w:r>
      <w:r>
        <w:t xml:space="preserve"> This study evaluates the operational feasibility and business model development of a Sri Lankan beauty salon in Turku. The main purpose of the research was to identify customer interest, market demand and the business potential for culturally unique beauty services within a multicultural environment. The study focused on understanding customer expectations, service preferences, and the opportunities and challenges related to establishing a Sri Lankan-themed beauty salon in Turku, Finland. The research was conducted using a qualitative research approach. Primary data was collected through interviews with potential customers living in Finland. In addition, competitor and environmental analyses were carried out to understand the existing beauty salon market, service offering, pricing strategies and other key factors affecting the industry. The collected data was analysed using thematic analysis to identify the key themes and customer opinions related to the proposed business concept. The findings revealed that there is an increasing interest in authentic and natural beauty treatments among both South Asian and International customers. Those who participated in the study highlighted the importance of high-quality service, personalized customer care, natural products, and culturally distinctive treatments. The study also found that existing salons do not provide authentic Sri Lankan</w:t>
      </w:r>
    </w:p>
    <w:p>
      <w:pPr/>
      <w:r>
        <w:rPr>
          <w:b/>
        </w:rPr>
        <w:t>POSSIBLE 2026:</w:t>
      </w:r>
      <w:r>
        <w:t xml:space="preserve"> THE EL-RAKHAWI DOCTRINE DIGITAL SOVEREIGNTY OF THE EUROPEAN UNION A Comprehensive Academic Reference on Strategic Autonomy, Regulatory Frameworks, and Technological Governance in the European Union — https://doi.org/10.5281/zenodo.22936062</w:t>
      </w:r>
    </w:p>
    <w:p>
      <w:pPr/>
      <w:r>
        <w:rPr>
          <w:b/>
        </w:rPr>
        <w:t>Shared claim-specific concepts:</w:t>
      </w:r>
      <w:r>
        <w:t xml:space="preserve"> framework, union, infrastructure; EU scope visible. This is a provisional connection, not an outcome finding.</w:t>
      </w:r>
    </w:p>
    <w:p>
      <w:pPr>
        <w:pStyle w:val="SourceNote"/>
      </w:pPr>
      <w:r>
        <w:rPr>
          <w:b/>
        </w:rPr>
        <w:t>Available abstract (not full text):</w:t>
      </w:r>
      <w:r>
        <w:t xml:space="preserve"> The EL-Rakhawy Doctrine: Digital Sovereignty of the European Union is a definitive six-volume academic reference establishing a rigorous framework for European strategic autonomy. Authored by Dr. Mohamed Kamal Arafa Elrakhawy, it integrates legal analysis, infrastructure assessment, and governance theory to address technological sovereignty. The work examines the EU regulatory landscape, including the AI Act, GDPR, and NIS2 Directive, while proposing an Academic Model Treaty to consolidate digital governance. Uniquely, it provides a critical, neutral analysis of structural political and economic challenges hindering independence, rejecting idealized narratives in favor of verifiable reality. Designed for scholars and policymakers, it offers measurable KPIs, comparative global models, and strategic roadmaps for 2026–2040. Archived openly via Zenodo (DOI: 10.5281/zenodo.22936063), this encyclopedia serves as an essential, citation-ready resource for advancing a sovereign, democratic, and resilient digital Europe grounded in fundamental rights and the rule of law.</w:t>
      </w:r>
    </w:p>
    <w:p>
      <w:pPr/>
      <w:r>
        <w:rPr>
          <w:b/>
        </w:rPr>
        <w:t>POSSIBLE 2026:</w:t>
      </w:r>
      <w:r>
        <w:t xml:space="preserve"> Bottom-up modeling of CO2 capture availability and feasibility across EU industrial sectors — https://doi.org/10.2760/9904760</w:t>
      </w:r>
    </w:p>
    <w:p>
      <w:pPr/>
      <w:r>
        <w:rPr>
          <w:b/>
        </w:rPr>
        <w:t>Shared claim-specific concepts:</w:t>
      </w:r>
      <w:r>
        <w:t xml:space="preserve"> framework, feasibility, deployment, union, climate, co2; EU scope visible. This is a provisional connection, not an outcome finding.</w:t>
      </w:r>
    </w:p>
    <w:p>
      <w:pPr>
        <w:pStyle w:val="SourceNote"/>
      </w:pPr>
      <w:r>
        <w:rPr>
          <w:b/>
        </w:rPr>
        <w:t>Available abstract (not full text):</w:t>
      </w:r>
      <w:r>
        <w:t xml:space="preserve"> The European Union (EU) has recently reinforced its policy framework for industrial decarbonisation, with carbon capture, utilisation and storage (CCUS) playing an increasingly important role in strategies for climate neutrality and industrial competitiveness. For the successful deployment of CCUS, it is necessary to develop infrastructure to transport the captured CO2 from its sources to suitable storage sites. This study presents a bottom-up techno-economic assessment of the potential for CO2 capture across EU industry, focusing on five sectors: cement, iron and steel, refining, chemicals (standalone hydrogen and ammonia), and waste-to-energy. The analysis uses openly available data from 555 industrial installations and estimates theoretical capturable CO2 volumes and capture costs at facility level, accounting for plant emissions, sector-specific capture technologies, sector-wide assumptions on excess heat availability, national electricity prices, and proximity to storage sites and industrial hubs. The results show that the technical potential for capture is highly sensitive to the technology pathway considered. Under the reference capture configuration (MEA absorption), total capturable volumes range between 247 and 326 MtCO2 per year but fall by 23% and 62% under more deployment-constrained scenarios. Estimated capture costs range from 40 to 235 EUR/tCO2, with an EU avera</w:t>
      </w:r>
    </w:p>
    <w:p>
      <w:pPr/>
      <w:r>
        <w:rPr>
          <w:b/>
        </w:rPr>
        <w:t>POSSIBLE 2026:</w:t>
      </w:r>
      <w:r>
        <w:t xml:space="preserve"> scClim: An interdisciplinary project for assessing hail risk and impacts across Europe in a changing climate — https://doi.org/10.5194/egusphere-egu26-20960</w:t>
      </w:r>
    </w:p>
    <w:p>
      <w:pPr/>
      <w:r>
        <w:rPr>
          <w:b/>
        </w:rPr>
        <w:t>Shared claim-specific concepts:</w:t>
      </w:r>
      <w:r>
        <w:t xml:space="preserve"> unique, modelling, framework, analyses, climate; EU scope visible. This is a provisional connection, not an outcome finding.</w:t>
      </w:r>
    </w:p>
    <w:p>
      <w:pPr>
        <w:pStyle w:val="SourceNote"/>
      </w:pPr>
      <w:r>
        <w:rPr>
          <w:b/>
        </w:rPr>
        <w:t>Available abstract (not full text):</w:t>
      </w:r>
      <w:r>
        <w:t xml:space="preserve"> Hail is the costliest weather-related hazard in Switzerland and a major driver of convective storm losses across Europe, yet large uncertainties remain about how hail and its impacts will evolve in a warming climate. Stakeholders, decision-makers, and public authorities require actionable information on hail risk to strengthen risk management and climate adaptation. This need motivated the Swiss research initiative scClim, which integrates expertise from multiple disciplines to advance the understanding of hail risk and its impacts in a changing climate across Europe. Over four years, scClim brought together research institutions, insurers, and public agencies to develop an integrated framework combining a unique hail observation network, open-source impact modelling, convection-permitting climate simulations, and a real-time interactive demonstrator platform developed with stakeholders. The platform provides hindcasts, forecasts, and impact estimates for vehicles, buildings, and crops using the CLIMADA risk-modelling framework. The climate simulations, generating 11-year hail climatologies for both present-day conditions and a +3 °C warming scenario, indicate increasing hail frequencies in northeastern Europe and decreasing frequencies in southwestern Europe. Hailstorm track analyses further reveal larger maximum hail sizes, more extensive hail swaths, and intensified precipit</w:t>
      </w:r>
    </w:p>
    <w:p>
      <w:pPr/>
      <w:r>
        <w:rPr>
          <w:b/>
        </w:rPr>
        <w:t>POSSIBLE 2026:</w:t>
      </w:r>
      <w:r>
        <w:t xml:space="preserve"> The FinTech effect: a comparative analysis of bank profitability in Europe and Asia — https://doi.org/10.1108/fdar-10-2025-0036</w:t>
      </w:r>
    </w:p>
    <w:p>
      <w:pPr/>
      <w:r>
        <w:rPr>
          <w:b/>
        </w:rPr>
        <w:t>Shared claim-specific concepts:</w:t>
      </w:r>
      <w:r>
        <w:t xml:space="preserve"> unique, same, infrastructure; EU scope visible. This is a provisional connection, not an outcome finding.</w:t>
      </w:r>
    </w:p>
    <w:p>
      <w:pPr>
        <w:pStyle w:val="SourceNote"/>
      </w:pPr>
      <w:r>
        <w:rPr>
          <w:b/>
        </w:rPr>
        <w:t>Available abstract (not full text):</w:t>
      </w:r>
      <w:r>
        <w:t xml:space="preserve"> Purpose This study investigates the divergent impact of financial technology (FinTech) on the profitability of incumbent commercial banks in Europe and Asia. It resolves contradictory findings in existing literature by demonstrating that FinTech's effect is context-contingent—moderated by regulatory stringency, customer entrenchment, and capital depth—rather than universally disruptive or complementary. Design/methodology/approach We analyze a unique panel dataset of 16 Global Systemically Important Banks (G-SIBs) and national champions across Europe and Asia from 2013 to 2023. To address endogeneity and the constraints of a small sample size (N = 16), we employ a parsimonious Dynamic Panel IV (Anderson-Hsiao) estimator alongside a static First-Difference model. Robustness is tested using Return on Assets (ROA). Findings The results reveal a stark regional divergence. In mature European markets, FinTech development shows no statistically significant impact on bank profitability (p = 0.7765), supporting the “Incumbent Resilience” hypothesis. Stringent frameworks like General Data Protection Regulation (GDPR) and PSD2 function as a “regulatory moat,” enabling European banks to co-opt innovation through superior capital resources and strategic acquisitions. Conversely, in dynamic Asian markets, FinTech exerts a highly significant negative impact on profitability (β = −0.1005, p = </w:t>
      </w:r>
    </w:p>
    <w:p>
      <w:pPr/>
      <w:r>
        <w:rPr>
          <w:b/>
        </w:rPr>
        <w:t>POSSIBLE 2026:</w:t>
      </w:r>
      <w:r>
        <w:t xml:space="preserve"> Towards a new model of asthma care in pharmacy: Assessing feasibility and enabling conditions — https://doi.org/10.82348/our-archive.00238</w:t>
      </w:r>
    </w:p>
    <w:p>
      <w:pPr/>
      <w:r>
        <w:rPr>
          <w:b/>
        </w:rPr>
        <w:t>Shared claim-specific concepts:</w:t>
      </w:r>
      <w:r>
        <w:t xml:space="preserve"> unique, framework, feasibility, three, available; EU scope not established. This is a provisional connection, not an outcome finding.</w:t>
      </w:r>
    </w:p>
    <w:p>
      <w:pPr>
        <w:pStyle w:val="SourceNote"/>
      </w:pPr>
      <w:r>
        <w:rPr>
          <w:b/>
        </w:rPr>
        <w:t>Available abstract (not full text):</w:t>
      </w:r>
      <w:r>
        <w:t xml:space="preserve"> BackgroundAsthma remains a major global public health challenge, affecting over 300 million individuals and contributing to significant morbidity, healthcare utilization, and avoidable mortality. Despite the availability of effective treatments, asthma control remains suboptimal for many patients due to a range of factors including poor adherence, environmental exposures, disparities in care access, and the heterogeneous nature of the disease. New Zealand has a high prevalence of asthma and one of the highest hospital admission rates for asthma among OECD countries. However, the impact on New Zealand Europeans is less so than on other ethnic groups, especially Māori and Pasifika, reflecting broad inequities in healthcare. AimThe aim of this research was to assess the feasibility of a new model of care in pharmacy for patients with asthma through a multifaceted approach that incorporates stakeholder engagement and patient-centred interventions. The overall research was guided by the findings from each study described in the individual chapters. Key objectives included the codesign of the model of care to implementation and assessment of its feasibility. The impact of the pharmacist-led intervention on medication adherence and symptom monitoring was secondary. By addressing biomedical and social determinants of health together with the engagement of the patient and their primary </w:t>
      </w:r>
    </w:p>
    <w:p>
      <w:pPr/>
      <w:r>
        <w:rPr>
          <w:b/>
        </w:rPr>
        <w:t>POSSIBLE 2026:</w:t>
      </w:r>
      <w:r>
        <w:t xml:space="preserve"> A gridded dataset of European Forest Types to support forest monitoring, modelling and reporting — https://doi.org/10.5194/essd-18-6435-2026</w:t>
      </w:r>
    </w:p>
    <w:p>
      <w:pPr/>
      <w:r>
        <w:rPr>
          <w:b/>
        </w:rPr>
        <w:t>Shared claim-specific concepts:</w:t>
      </w:r>
      <w:r>
        <w:t xml:space="preserve"> modelling, climate, available; EU scope visible. This is a provisional connection, not an outcome finding.</w:t>
      </w:r>
    </w:p>
    <w:p>
      <w:pPr>
        <w:pStyle w:val="SourceNote"/>
      </w:pPr>
      <w:r>
        <w:rPr>
          <w:b/>
        </w:rPr>
        <w:t>Available abstract (not full text):</w:t>
      </w:r>
      <w:r>
        <w:t xml:space="preserve"> A standardized system of nomenclature for forest types is essential for effectively monitoring and understanding the impacts of climate change on diverse ecosystems in Europe and beyond. A comprehensive classification system, such as the European Forest Types (EFTs) scheme, is essential for assessing baseline conditions, tracking changes, and guiding conservation decisions. A unified forest type nomenclature supports international collaboration, enables researchers and policymakers to accurately compare data across regions and time periods, and enhances the development of targeted conservation strategies and adaptive management practices aimed at preserving biodiversity and ecosystem services. This classification breaks down forested areas in Europe into a handful of ecologically homogeneous units, thus facilitating the analysis of data related to forest conditions and management practices across a wide range of climatic and edaphic conditions. The current lack of an EFTs map for Europe prompted its processing, using a shared rule-based expert system algorithm. Utilizing a dataset featuring 39 “relative probability of presence (RPP) maps” of tree species and various forest masks, the algorithm identified 14 EFT categories. This initiative filled a critical gap in spatial monitoring, providing the first consistent pan-European EFT maps gridded dataset. The availability of standa</w:t>
      </w:r>
    </w:p>
    <w:p>
      <w:pPr/>
      <w:r>
        <w:rPr>
          <w:b/>
        </w:rPr>
        <w:t>POSSIBLE 2026:</w:t>
      </w:r>
      <w:r>
        <w:t xml:space="preserve"> An Integrated Inventory Model for Imperfect Production with Environmental Costs and Carbon Taxation — https://doi.org/10.33889/ijmems.2026.11.1.015</w:t>
      </w:r>
    </w:p>
    <w:p>
      <w:pPr/>
      <w:r>
        <w:rPr>
          <w:b/>
        </w:rPr>
        <w:t>Shared claim-specific concepts:</w:t>
      </w:r>
      <w:r>
        <w:t xml:space="preserve"> framework, emissions; EU scope not established. This is a provisional connection, not an outcome finding.</w:t>
      </w:r>
    </w:p>
    <w:p>
      <w:pPr>
        <w:pStyle w:val="SourceNote"/>
      </w:pPr>
      <w:r>
        <w:rPr>
          <w:b/>
        </w:rPr>
        <w:t>Available abstract (not full text):</w:t>
      </w:r>
      <w:r>
        <w:t xml:space="preserve"> This study introduces a joint inventory framework that links the vendor and the buyer, while addressing the production of both good-quality and defective units. During inspection, the defective items are separated to ensure that only flawless products are delivered to the buyer in several shipments. Instead of being discarded, the rejected units are directed to a secondary market where they are accepted at a lower price, which helps in minimizing waste. The model also integrates environmental aspects by considering carbon emissions generated in manufacturing, transportation, and storage activities. To promote greener practices, a carbon tax is incorporated, aligned with real-world pricing mechanisms and environmental regulations. This tax motivates firms to control emissions and adopt sustainable operations. The paper further develops a mathematical model to identify the optimal delivery schedule and cycle length under the effect of carbon taxation. A numerical example is presented to demonstrate the applicability of the model. The sensitivity analysis shows that while rising demand boosts profits, higher production speeds may decrease them, and increased carbon costs lower vendor earnings. These findings highlight the importance of strategic demand management, balanced production planning, and the adoption of eco-efficient technologies.</w:t>
      </w:r>
    </w:p>
    <w:p>
      <w:pPr/>
      <w:r>
        <w:rPr>
          <w:b/>
        </w:rPr>
        <w:t>POSSIBLE 2026:</w:t>
      </w:r>
      <w:r>
        <w:t xml:space="preserve"> Decarbonizing Basic Chemicals Production in North America, Europe, Middle East, and China: a Scenario Modeling Study — https://doi.org/10.1021/acs.est.5c12769</w:t>
      </w:r>
    </w:p>
    <w:p>
      <w:pPr/>
      <w:r>
        <w:rPr>
          <w:b/>
        </w:rPr>
        <w:t>Shared claim-specific concepts:</w:t>
      </w:r>
      <w:r>
        <w:t xml:space="preserve"> three, emissions; EU scope visible. This is a provisional connection, not an outcome finding.</w:t>
      </w:r>
    </w:p>
    <w:p>
      <w:pPr>
        <w:pStyle w:val="SourceNote"/>
      </w:pPr>
      <w:r>
        <w:rPr>
          <w:b/>
        </w:rPr>
        <w:t>Available abstract (not full text):</w:t>
      </w:r>
      <w:r>
        <w:t xml:space="preserve"> The chemicals industry accounts for about 5% of global greenhouse gas emissions today and is among the most difficult industries to abate. We model decarbonization pathways for the most energy-intensive segment of the industry, the production of basic chemicals: olefins, aromatics, methanol, ammonia, and chlor-alkali. Unlike most prior pathways studies, we apply a scenario-analysis approach that recognizes the central role of corporate investment decision making for capital-intensive industries, under highly uncertain long-term future investment environments. We vary the average pace of decarbonization capital allocation under plausible alternative future world contexts and construct least-cost decarbonization timelines by modeling abatement projects individually across more than 2,600 production facilities located in four major producing regions. The timeline for deeply decarbonizing production varies by chemical and region and depends importantly on the investment environment context. In a best-of-all environment scenario, to deeply decarbonize production, annual average capital spending for abatement for the next two to three decades will need to be greater than (and in addition to) historical "business-as-usual" capital spending, and cumulative investment in abatement projects would exceed $1 trillion. In futures where key drivers constrain investment appetites, timelines f</w:t>
      </w:r>
    </w:p>
    <w:p>
      <w:pPr/>
      <w:r>
        <w:rPr>
          <w:b/>
        </w:rPr>
        <w:t>POSSIBLE 2025:</w:t>
      </w:r>
      <w:r>
        <w:t xml:space="preserve"> Modelling of Soil Multifunctionality Across Europe — https://doi.org/10.1111/sum.70147</w:t>
      </w:r>
    </w:p>
    <w:p>
      <w:pPr/>
      <w:r>
        <w:rPr>
          <w:b/>
        </w:rPr>
        <w:t>Shared claim-specific concepts:</w:t>
      </w:r>
      <w:r>
        <w:t xml:space="preserve"> unique, modelling, climate;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pStyle w:val="Heading2"/>
      </w:pPr>
      <w:r>
        <w:t>581. A Mismatch in Future Narratives? A Comparative Analysis Between Energy Futures in Policy and of Citizens</w:t>
      </w:r>
    </w:p>
    <w:p>
      <w:pPr>
        <w:pStyle w:val="SourceNote"/>
      </w:pPr>
      <w:r>
        <w:rPr>
          <w:b/>
        </w:rPr>
        <w:t>Original source (2021):</w:t>
      </w:r>
      <w:r>
        <w:t xml:space="preserve"> https://doi.org/10.3389/frsc.2021.654162</w:t>
      </w:r>
    </w:p>
    <w:p>
      <w:pPr/>
      <w:r>
        <w:t>Original wording (abstract; indexed_source_text_not_full_document_verified):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POSSIBLE 2026:</w:t>
      </w:r>
      <w:r>
        <w:t xml:space="preserve"> Narrative as Strategy: A Study on Central-Local Interaction in China's Tobacco Control Policy — https://doi.org/10.62787/jmhm.v4i3.377</w:t>
      </w:r>
    </w:p>
    <w:p>
      <w:pPr/>
      <w:r>
        <w:rPr>
          <w:b/>
        </w:rPr>
        <w:t>Shared claim-specific concepts:</w:t>
      </w:r>
      <w:r>
        <w:t xml:space="preserve"> narratives, implementation, narrative, two, types; EU scope not established. This is a provisional connection, not an outcome finding.</w:t>
      </w:r>
    </w:p>
    <w:p>
      <w:pPr>
        <w:pStyle w:val="SourceNote"/>
      </w:pPr>
      <w:r>
        <w:rPr>
          <w:b/>
        </w:rPr>
        <w:t>Available abstract (not full text):</w:t>
      </w:r>
      <w:r>
        <w:t xml:space="preserve"> China's tobacco control policy presents a central-local asymmetric pattern characterized by "long-term absence of central legislation and continuous progress in local legislation." Against this institutional backdrop, how the central and local governments coordinate actions and form policy consensus on tobacco control has become a theoretical question in need of an answer. This study, based on the Narrative Policy Framework (NPF) and integrated with the Social Construction of Target Populations (SCTP) theory, adopts a bilingual corpus comparative text analysis method to systematically code and analyze 110 central and local media reports and seven local tobacco control regulations from 2016 to 2026. The study finds that central and local narratives exhibit a coordinated model of "central government sets the direction, local governments ensure implementation." Central narratives construct the problem framework through the "villain-victim" pair and strong causal attribution; local narratives demonstrate action outcomes through the "hero-beneficiary" pair and emotional mobilization. Narrative characters correspond to target group types in the regulations: victims correspond to dependents, villains correspond to contenders and deviants, heroes correspond to the advantaged, and beneficiaries correspond to the service recipients of incentive-based tools. Under the constraint of absent</w:t>
      </w:r>
    </w:p>
    <w:p>
      <w:pPr/>
      <w:r>
        <w:rPr>
          <w:b/>
        </w:rPr>
        <w:t>POSSIBLE 2026:</w:t>
      </w:r>
      <w:r>
        <w:t xml:space="preserve"> Bridging Stakeholder Narratives for Sustainable Peatland Conservation — https://doi.org/10.1007/s41748-026-01141-3</w:t>
      </w:r>
    </w:p>
    <w:p>
      <w:pPr/>
      <w:r>
        <w:rPr>
          <w:b/>
        </w:rPr>
        <w:t>Shared claim-specific concepts:</w:t>
      </w:r>
      <w:r>
        <w:t xml:space="preserve"> narratives, stakeholders, perceptions, implementation, identified, narrative; EU scope visible. This is a provisional connection, not an outcome finding.</w:t>
      </w:r>
    </w:p>
    <w:p>
      <w:pPr>
        <w:pStyle w:val="SourceNote"/>
      </w:pPr>
      <w:r>
        <w:rPr>
          <w:b/>
        </w:rPr>
        <w:t>Available abstract (not full text):</w:t>
      </w:r>
      <w:r>
        <w:t xml:space="preserve"> Peatlands are among the most important terrestrial ecosystems for carbon storage, biodiversity conservation, and hydrological regulation, yet they are highly vulnerable to climate change and human-induced degradation. Despite growing international commitments to peatland restoration, conservation outcomes remain strongly dependent on stakeholder perceptions and governance contexts. This study investigates how relevant stakeholders perceive peatland ecosystem benefits and conservation in Romania, a region where peatlands are limited in extent but of high ecological significance. Using a mixed-methods approach, we triangulated data from 150 questionnaire responses, 18 semi-structured interviews with key stakeholders (local community members, scientists, and local authorities), spatial analysis of degraded peatlands, and a review of 13 international, European, and national policy documents. The results reveal three dominant stakeholder narratives shaping peatland conservation: a scientific perspective emphasizing biodiversity conservation, carbon sequestration, and hydrological regulation; a utilitarian perspective focused on economic use and land productivity; and a community-based perspective highlighting cultural ecosystem services such as education, recreation, and local identity. Quantitative findings indicate strong public support for conservation, with 79.9% of respondents </w:t>
      </w:r>
    </w:p>
    <w:p>
      <w:pPr/>
      <w:r>
        <w:rPr>
          <w:b/>
        </w:rPr>
        <w:t>POSSIBLE 2026:</w:t>
      </w:r>
      <w:r>
        <w:t xml:space="preserve"> Interpreting emotions in policy narratives: a pluralist framework — https://doi.org/10.1080/25741292.2026.2735542</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The influence of emotions on real-world policy processes, particularly in the Global South, remains underemphasized. This article aims to address this gap by arguing that emotional expression can function as a component of policy narratives that contributes to policy processes in such contexts. Using clean air policy in northern Thailand as a case study, the explicit role of emotions in policy narratives is examined. Participatory observation, in-depth interviews, and documentary reviews were conducted as research methods. The epistemologically pluralist narrative policy framework is offered by expanding the boundaries of narratives to encompass factual, contextual, normative, ideological and emotional stories. Through this lens, emotions help confirm feasible policy options, complementing technical feasibility studies. Aside from technical and administrative data, the impacts of the policy depended heavily on public satisfaction with the perceived changes. Accordingly, this study suggests that, instead of ignoring emotions, narrative policy analysis should incorporate them to better understand their actual roles in policy processes.</w:t>
      </w:r>
    </w:p>
    <w:p>
      <w:pPr/>
      <w:r>
        <w:rPr>
          <w:b/>
        </w:rPr>
        <w:t>POSSIBLE 2026:</w:t>
      </w:r>
      <w:r>
        <w:t xml:space="preserve"> Game of Mirrors for Complex Policies: The Narratives on Differentiated Autonomy in Italy — https://doi.org/10.1111/polp.70172</w:t>
      </w:r>
    </w:p>
    <w:p>
      <w:pPr/>
      <w:r>
        <w:rPr>
          <w:b/>
        </w:rPr>
        <w:t>Shared claim-specific concepts:</w:t>
      </w:r>
      <w:r>
        <w:t xml:space="preserve"> narratives, narrative, two, opposing; EU scope visible. This is a provisional connection, not an outcome finding.</w:t>
      </w:r>
    </w:p>
    <w:p>
      <w:pPr>
        <w:pStyle w:val="SourceNote"/>
      </w:pPr>
      <w:r>
        <w:rPr>
          <w:b/>
        </w:rPr>
        <w:t>Available abstract (not full text):</w:t>
      </w:r>
      <w:r>
        <w:t xml:space="preserve"> ABSTRACT This study applies the Narrative Policy Framework (NPF) to a policy of regional devolution of powers. The analysis focuses on differentiated autonomy in Italy, examining the narratives that emerged in the legislative process of the law regulating the procedures for its activation. The context is of particular interest due to the combination of a polarized political system, such as the Italian one, and a policy providing for a new distribution of powers involving actors from different levels of government. The analysis compares the narratives of the two coalitions supporting and opposing the policy, through the statements of the political national and regional leaders. The findings shed light on the relationship between policy and politics, suggesting that the coalitions tended to: oversimplify the complexity of the policy; make policy narratives as political as possible in the presence of uncertain results; and mirror each other's narratives to ensure the support of their respective audiences. Related Articles Chang, Katherine T., and Elizabeth A. Koebele. 2020. “What Drives Coalitions' Narrative Strategy? Exploring Policy Narratives around School Choice.” Politics &amp; Policy 48(4): 618–57. https://doi.org/10.1111/polp.12367 . Boscarino, Jessica E. 2022. “Is Seeing Believing? Comparing the Influence of Textual and Visual Policy Narratives on Public Opinion.” Politics &amp; P</w:t>
      </w:r>
    </w:p>
    <w:p>
      <w:pPr/>
      <w:r>
        <w:rPr>
          <w:b/>
        </w:rPr>
        <w:t>POSSIBLE 2026:</w:t>
      </w:r>
      <w:r>
        <w:t xml:space="preserve"> EU Foreign Policy through Images: A Visual Narrative Analysis of the War in Ukraine — https://doi.org/10.1093/fpa/orag017</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Abstract Narratives organize how foreign policy becomes intelligible and actionable by defining events, assigning responsibility, and justifying particular courses of action. This article advances the narrative turn by extending it to the visual domain of political storytelling. Despite the ubiquity of images in diplomacy, Foreign Policy Analysis lacks a systematic way to examine how visuals contribute to the narratives through which foreign policy is performed. To address this gap, the article proposes a framework for visual narrative analysis. Integrating narrative theory with visual analysis, the framework shows how recurring visual elements articulate storylines. An analysis of the European Union’s social media on the war in Ukraine demonstrates how visual choices construct the EU’s role as a moral and political actor navigating tensions between diplomacy, solidarity, and security. The article illustrates how Visual Narrative Analysis reveals the ways in which visual representations reinforce, nuance, or unsettle the narrative frameworks underpinning EU foreign policy.</w:t>
      </w:r>
    </w:p>
    <w:p>
      <w:pPr/>
      <w:r>
        <w:rPr>
          <w:b/>
        </w:rPr>
        <w:t>POSSIBLE 2026:</w:t>
      </w:r>
      <w:r>
        <w:t xml:space="preserve"> Project-purpose narratives – a novel stakeholder engagement tool — https://doi.org/10.1080/09537287.2026.2733702</w:t>
      </w:r>
    </w:p>
    <w:p>
      <w:pPr/>
      <w:r>
        <w:rPr>
          <w:b/>
        </w:rPr>
        <w:t>Shared claim-specific concepts:</w:t>
      </w:r>
      <w:r>
        <w:t xml:space="preserve"> narratives, stakeholders, narrative; EU scope not established. This is a provisional connection, not an outcome finding.</w:t>
      </w:r>
    </w:p>
    <w:p>
      <w:pPr>
        <w:pStyle w:val="SourceNote"/>
      </w:pPr>
      <w:r>
        <w:rPr>
          <w:b/>
        </w:rPr>
        <w:t>Available abstract (not full text):</w:t>
      </w:r>
      <w:r>
        <w:t xml:space="preserve"> Project narratives are essential for project stakeholders to make sense of a project’s purpose. A well-crafted project narrative clearly articulates the purpose of a project, explaining how it is delivered presenting an engaging, attractive, convincing vision of the project outcome and how it benefits project-external stakeholders. It is intended to prompt action. Research results from a project stakeholder perspective explaining how the project-purpose narrative for the transformational AUD$19.8 billion 15-year transport infrastructure was crafted. Current project organising/management literature neglects vital project front-end initiation and delivery purpose setting processes that help project stakeholders appreciate a project’s potential benefit and value . This paper offers a learning opportunity for policymakers seeking to deliver transformative infrastructure assets. It offers guidance on how a project-purpose narrative may be crafted and developed and how the dynamic of project-owner dominant and external-stakeholder counternarrative needs also to be considered through dialogue in shaping the accepted narrative.</w:t>
      </w:r>
    </w:p>
    <w:p>
      <w:pPr/>
      <w:r>
        <w:rPr>
          <w:b/>
        </w:rPr>
        <w:t>POSSIBLE 2026:</w:t>
      </w:r>
      <w:r>
        <w:t xml:space="preserve"> The use of research by societal stakeholders in a formal policy-making process: governing gambling in Norway — https://doi.org/10.1093/scipol/scag034</w:t>
      </w:r>
    </w:p>
    <w:p>
      <w:pPr/>
      <w:r>
        <w:rPr>
          <w:b/>
        </w:rPr>
        <w:t>Shared claim-specific concepts:</w:t>
      </w:r>
      <w:r>
        <w:t xml:space="preserve"> narratives, stakeholders, implementation, narrative, types; EU scope visible. This is a provisional connection, not an outcome finding.</w:t>
      </w:r>
    </w:p>
    <w:p>
      <w:pPr>
        <w:pStyle w:val="SourceNote"/>
      </w:pPr>
      <w:r>
        <w:rPr>
          <w:b/>
        </w:rPr>
        <w:t>Available abstract (not full text):</w:t>
      </w:r>
      <w:r>
        <w:t xml:space="preserve"> Abstract Governing commercial gambling is a contested and at times controversial public policy arena. Norway has recently re-regulated gambling in an effort to reinvigorate its unique gambling policy model. This article provides an empirical exploration of the use of scientific research by stakeholders participating in the public phase of gambling policy development and implementation as law and regulations. The paper analyses the types of research used in submissions to public hearings made by stakeholders and participants in gambling. The paper utilizes the approach and concepts of the narrative policy framework theory of the policy process. The results explore how research is used to construct policy narratives and advance different preferred policy solutions. Insights from the results include how stakeholders also use research to position themselves relative to the public policy problematic and how the value of research results are configured by the narrative in which they are embedded.</w:t>
      </w:r>
    </w:p>
    <w:p>
      <w:pPr/>
      <w:r>
        <w:rPr>
          <w:b/>
        </w:rPr>
        <w:t>POSSIBLE 2026:</w:t>
      </w:r>
      <w:r>
        <w:t xml:space="preserve"> The influence of policy narratives on evidence-informed decision-making in health policy – an analysis of Swedish healthcare policies from 1992 to 2024 — https://doi.org/10.1186/s12913-026-14829-z</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BACKGROUND: There is a strong emphasis globally that health policy and practice can be improved by leveraging best available evidence in decision-making processes. The dynamic political context of policy means, however, that decision-making processes are highly complex. A growing field of inquiry examines how the evidence-informed approach impacts on and interacts with real-world policy development. Despite the growing recognition of the complexity of health policy development little is known about policy narratives underpinning evidence-informed decision-making. Analysis of policy narratives over time can reveal how recognition of policy problems and their corresponding solutions emerge and shift through a contestation of different ideas and interests and how they legitimise different political courses of action. The aim of this study is to explore policy narratives underpinning evidence-informed decision-making within Swedish healthcare, tracing their formulation and development from 1992 to 2024. METHODS: The study is based on a textual analysis of Swedish government documents published 1992-2024. Drawing on theories of policy narratives, a thematic content analysis of 132 Swedish government-issued documents during this period was conducted. RESULTS: Four episodes with a dominant narrative in each emerged from the analysis. They differ in ideas connected to policy problems a</w:t>
      </w:r>
    </w:p>
    <w:p>
      <w:pPr/>
      <w:r>
        <w:rPr>
          <w:b/>
        </w:rPr>
        <w:t>POSSIBLE 2026:</w:t>
      </w:r>
      <w:r>
        <w:t xml:space="preserve"> Discourse Game of Educational Policy: Framing Competition Among Stakeholders in Policy Communication — https://doi.org/10.52152/rcr.v14.2</w:t>
      </w:r>
    </w:p>
    <w:p>
      <w:pPr/>
      <w:r>
        <w:rPr>
          <w:b/>
        </w:rPr>
        <w:t>Shared claim-specific concepts:</w:t>
      </w:r>
      <w:r>
        <w:t xml:space="preserve"> stakeholders, narrative; EU scope not established. This is a provisional connection, not an outcome finding.</w:t>
      </w:r>
    </w:p>
    <w:p>
      <w:pPr>
        <w:pStyle w:val="SourceNote"/>
      </w:pPr>
      <w:r>
        <w:rPr>
          <w:b/>
        </w:rPr>
        <w:t>Available abstract (not full text):</w:t>
      </w:r>
      <w:r>
        <w:t xml:space="preserve"> This paper explores the central role of communication in informing the education policy with a particular interest in how different stakeholders of the education sector, that is, governments, educators, students, and the society in general use competitive framing to alter the population opinion and how they shape the processes of making of policies. The study examines how these actors are using the process of narrative construction in order to integrate educational issues with their interests which is done through a systematic literature review (SLR). The findings emphasize the fact that communication is not just a medium through which policy is passed, but it is dynamic in nature where policy is constructed through discourse. Specific focus is given to such values as equity and efficiency which tend to emerge in such framings, particularly, in those of social media-based public discourse. Social media sites enhance the power of the stakeholders to influence the mainstream discourses, hence, controlling the policy debates trend. The study sheds light on ways in which discourse framing can be used in policy communication to provide guidance to policy makers on how they can become aware of competing interests. In the end, this piece of work enhances our comprehension of the impact of strategic communication on the policy debate in education and it also emphasized the importance o</w:t>
      </w:r>
    </w:p>
    <w:p>
      <w:pPr/>
      <w:r>
        <w:rPr>
          <w:b/>
        </w:rPr>
        <w:t>POSSIBLE 2026:</w:t>
      </w:r>
      <w:r>
        <w:t xml:space="preserve"> A Narrative Walks Into a Forum: Bridging the Narrative Policy and Ecology of Games Frameworks — https://doi.org/10.1111/psj.70154</w:t>
      </w:r>
    </w:p>
    <w:p>
      <w:pPr/>
      <w:r>
        <w:rPr>
          <w:b/>
        </w:rPr>
        <w:t>Shared claim-specific concepts:</w:t>
      </w:r>
      <w:r>
        <w:t xml:space="preserve"> narrative, two; EU scope not established. This is a provisional connection, not an outcome finding.</w:t>
      </w:r>
    </w:p>
    <w:p>
      <w:pPr>
        <w:pStyle w:val="SourceNote"/>
      </w:pPr>
      <w:r>
        <w:rPr>
          <w:b/>
        </w:rPr>
        <w:t>Available abstract (not full text):</w:t>
      </w:r>
      <w:r>
        <w:t xml:space="preserve"> ABSTRACT Policy process research has expanded rapidly, yet many frameworks still develop in silos, limiting dialogue and leaving complementary mechanisms underused. In an effort to bridge these silos, we bring together two influential frameworks that have largely developed in parallel: the Narrative Policy Framework (NPF) and the Ecology of Games Framework (EGF). We integrate them across three levels of analysis: actors at the micro level, forums at the meso level, and interconnected systems of forums at the macro level. At the actor level, we connect the EGF and NPF through learning, showing how narrative learning clarifies the mechanisms behind EGF learning processes, while the EGF helps the NPF specify the conditions under which learning is more or less likely. At the forum level, we develop concepts of narrative convergence and divergence to explain cooperation and conflict within collective‐choice venues. At the system level, we show how both frameworks help explain policy spillovers and ultimately, system performance. In doing so, we aim to begin a conversation between two seemingly disparate frameworks, offering preliminary but intentionally non‐exhaustive set of propositions and ideas about where the frameworks align, diverge, and where their integration is most theoretically and empirically productive.</w:t>
      </w:r>
    </w:p>
    <w:p>
      <w:pPr/>
      <w:r>
        <w:rPr>
          <w:b/>
        </w:rPr>
        <w:t>POSSIBLE 2026:</w:t>
      </w:r>
      <w:r>
        <w:t xml:space="preserve"> Narrating Resilient Urban Futures : Crisis and Transformation in the Narratives of Germany’s National Urban Development Policy — https://doi.org/10.18154/rwth-2026-03165</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Crises and adaptation have long been topics of thinking about the future, and urban futures are no exception.By applying a narrative lens, we investigate how future visions of resilient cities have changed in the context of the Nationale Stadtentwicklungspolitik (national urban development policy) in Germany after the COVID pandemic.By combining qualitative and quantitative computational analysis of key documents and case studies of pilot projects, we show that the rise of the resilience topos has reinforced prevalent narratives of co-production and collaborative urban transformation.These narratives reflect principles of reflexive governance which have been proposed as an approach to govern fundamental uncertainty in the context of transformation research and practice.They preserve the utopian vision developed in the 2020 New Leipzig Charter and at the same time blur distinctions between present and future into a process of constant urban transformation.Boris Bachmann, is a political scientist and research fellow at the Center of Transformation Research and Sustainability (transzent), University of Wuppertal.His research interests include the role of power, narratives and civil-society "city makers" in the governance of urban transformation.Karoline Augenstein, is a junior professor for policy analysis and sustainability transformations at the Center of Transformation Research</w:t>
      </w:r>
    </w:p>
    <w:p>
      <w:pPr/>
      <w:r>
        <w:rPr>
          <w:b/>
        </w:rPr>
        <w:t>POSSIBLE 2026:</w:t>
      </w:r>
      <w:r>
        <w:t xml:space="preserve"> Barriers and Enablers to Youth Participation in Health Policy and Governance in Africa: A Narrative Review — https://doi.org/10.22541/au.177080410.04005308/v1</w:t>
      </w:r>
    </w:p>
    <w:p>
      <w:pPr/>
      <w:r>
        <w:rPr>
          <w:b/>
        </w:rPr>
        <w:t>Shared claim-specific concepts:</w:t>
      </w:r>
      <w:r>
        <w:t xml:space="preserve"> implementation, identified, narrative; EU scope not established. This is a provisional connection, not an outcome finding.</w:t>
      </w:r>
    </w:p>
    <w:p>
      <w:pPr>
        <w:pStyle w:val="SourceNote"/>
      </w:pPr>
      <w:r>
        <w:rPr>
          <w:b/>
        </w:rPr>
        <w:t>Available abstract (not full text):</w:t>
      </w:r>
      <w:r>
        <w:t xml:space="preserve"> Background: Although youth constitute a large and growing part of the African population, their participation in health policy and governance remains limited. Despite their size and social relevance, young people are largely excluded from the formulation of health policies, implementation, and governance, reinforcing cycles of inequities and poor system responsiveness. Objectives: This narrative review consolidates evidence on barriers and enablers of youth participation in health policy and governance across Africa. Methods: We performed a structured literature search across PubMed, AJOL, Google Scholar, and key organisational repositories (WHO, UNICEF, AU, and youth network databases) for studies and reports published between 2010 and 2025. Peer-reviewed and grey literature focusing on youth participation in health policy and governance, policy processes, and program evaluations within the African context were included. Non-health-related reports or studies focusing only on service usage and not conducted in Africa were excluded. A thematic narrative synthesis was used to identify common recurring barriers, enabling factors, and potential pathways linking youth voice to governance outcomes. Results: Major barriers include ineffective and/or tokenistic institutional mechanisms, deeply rooted age and gender hierarchies, insufficient funding and infrastructure, low levels of pol</w:t>
      </w:r>
    </w:p>
    <w:p>
      <w:pPr>
        <w:pStyle w:val="Heading2"/>
      </w:pPr>
      <w:r>
        <w:t>582. A look into the future of the COVID-19 pandemic in Europe: an expert consultation</w:t>
      </w:r>
    </w:p>
    <w:p>
      <w:pPr>
        <w:pStyle w:val="SourceNote"/>
      </w:pPr>
      <w:r>
        <w:rPr>
          <w:b/>
        </w:rPr>
        <w:t>Original source (2021):</w:t>
      </w:r>
      <w:r>
        <w:t xml:space="preserve"> https://doi.org/10.1016/j.lanepe.2021.100185</w:t>
      </w:r>
    </w:p>
    <w:p>
      <w:pPr/>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POSSIBLE 2026:</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УКРАЇНСЬКИЙ КОНТЕКСТ ТА</w:t>
      </w:r>
    </w:p>
    <w:p>
      <w:pPr/>
      <w:r>
        <w:rPr>
          <w:b/>
        </w:rPr>
        <w:t>POSSIBLE 2026:</w:t>
      </w:r>
      <w:r>
        <w:t xml:space="preserve"> TiAl alloys： progress， properties， and challenges — https://doi.org/10.11868/j.issn.1001-4381.2026.000126</w:t>
      </w:r>
    </w:p>
    <w:p>
      <w:pPr/>
      <w:r>
        <w:rPr>
          <w:b/>
        </w:rPr>
        <w:t>Shared claim-specific concepts:</w:t>
      </w:r>
      <w:r>
        <w:t xml:space="preserve"> challenges, progress, national, programs; EU scope visible. This is a provisional connection, not an outcome finding.</w:t>
      </w:r>
    </w:p>
    <w:p>
      <w:pPr>
        <w:pStyle w:val="SourceNote"/>
      </w:pPr>
      <w:r>
        <w:rPr>
          <w:b/>
        </w:rPr>
        <w:t>Available abstract (not full text):</w:t>
      </w:r>
      <w:r>
        <w:t xml:space="preserve"> TiAl alloys have become key materials for weight reduction and performance enhancement in aero-engines due to their low density， excellent high-temperature strength， and oxidation resistance. However， their room-temperature brittleness and low damage tolerance have long constrained their engineering applications. This paper systematically reviews the development history of TiAl alloys since the 1970s， covering the evolution of material characteristics， major scientific research programs， and progress in engineering applications. Through successive fundamental research projects， the United States and Europe have systematically addressed critical scientific issues such as casting processes， microstructural control， and property evaluation， laying the foundation for the application of GEnx engine blades. Since the 12th Five-Year Plan period， through systematic development under national science and technology programs such as the National Basic Research Program and the National Key Research and Development Program， China has overcome key technological bottlenecks， including the independent development of high-Nb alloy systems and the near-net shaping of full-scale blades， thereby establishing a complete full-chain technological system. Although TiAl alloy design has now evolved to the third generation， achieving fine-grained microstructures and compatibility with conventional forg</w:t>
      </w:r>
    </w:p>
    <w:p>
      <w:pPr/>
      <w:r>
        <w:rPr>
          <w:b/>
        </w:rPr>
        <w:t>POSSIBLE 2026:</w:t>
      </w:r>
      <w:r>
        <w:t xml:space="preserve"> Aligning regional development processes in the Republic of Moldova with European Union standards and practices: perspectives and challenges — https://doi.org/10.59295/dnwe2025.13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Purpose of the article: The article aims to analyze the prospects for aligning regional development processes in the Republic of Moldova with the standards and practices of the European Union, emphasizing their economic, institutional, and social implications. The main objective is to highlight both the opportunities arising from the approximation to the European model and the challenges inherent in this process of convergence. Methodology: The research is based on a comparative analysis of European and national strategic documents, recent statistical studies provided by the National Bureau of Statistics and Eurostat, as well as qualitative methods for interpreting public policies. The study applies SWOT analysis and benchmarking techniques to assess the degree of compatibility between Moldovan regional policies and the European cohesion framework. Conclusions: The findings indicate that the Republic of Moldova has a significant potential for convergence with European Union practices, although progress remains uneven across regions. The main challenges include institutional fragmentation, underdeveloped infrastructure, and pronounced territorial disparities. At the same time, alignment with EU standards creates opportunities for attracting investment, developing SMEs, and strengthening social cohesion. Originality: The paper contributes to the specialized literature through an </w:t>
      </w:r>
    </w:p>
    <w:p>
      <w:pPr/>
      <w:r>
        <w:rPr>
          <w:b/>
        </w:rPr>
        <w:t>POSSIBLE 2026:</w:t>
      </w:r>
      <w:r>
        <w:t xml:space="preserve"> Modern challenges, risks and threats to the European Union — https://doi.org/10.5937/bezbednost2601147i</w:t>
      </w:r>
    </w:p>
    <w:p>
      <w:pPr/>
      <w:r>
        <w:rPr>
          <w:b/>
        </w:rPr>
        <w:t>Shared claim-specific concepts:</w:t>
      </w:r>
      <w:r>
        <w:t xml:space="preserve"> challenges, strongly, depend; EU scope visible. This is a provisional connection, not an outcome finding.</w:t>
      </w:r>
    </w:p>
    <w:p>
      <w:pPr>
        <w:pStyle w:val="SourceNote"/>
      </w:pPr>
      <w:r>
        <w:rPr>
          <w:b/>
        </w:rPr>
        <w:t>Available abstract (not full text):</w:t>
      </w:r>
      <w:r>
        <w:t xml:space="preserve"> The European Union is a unique economic, political and values-based community that has developed into a global actor with increasingly pronounced security ambitions over the past decades. However, in the modern era, the EU faces complex and multifaceted challenges that go beyond the framework of traditional security policy. New forms of threats – such as hybrid and cyber attacks, terrorism, organized crime, energy dependence, climate change and migration crises – have led to the need for a systemic redefinition of the Union’s security strategy. These phenomena are no longer isolated, but interconnected and often intertwined with economic, political and social factors, making security a key foundation for the functioning of the community itself. A special place in the paper is given to the analysis of the consequences of the war in Ukraine, which fundamentally shook the European security architecture and marked a turning point in the EU’s foreign and defense policy. The Russian aggression in 2022 led to a serious rethinking of the concept of European security, revealing the limitations of existing common defense mechanisms and the Union’s dependence on the United States. As a result of this conflict, the fragmentation among member states, different perceptions of threats and disagreements about the degree of necessary integration in the field of defense are increasingly visible.</w:t>
      </w:r>
    </w:p>
    <w:p>
      <w:pPr/>
      <w:r>
        <w:rPr>
          <w:b/>
        </w:rPr>
        <w:t>POSSIBLE 2026:</w:t>
      </w:r>
      <w:r>
        <w:t xml:space="preserve"> Current geopolitical risks as challenges and opportunities for European unity — https://doi.org/10.60054/peu.2026.13.13-19</w:t>
      </w:r>
    </w:p>
    <w:p>
      <w:pPr/>
      <w:r>
        <w:rPr>
          <w:b/>
        </w:rPr>
        <w:t>Shared claim-specific concepts:</w:t>
      </w:r>
      <w:r>
        <w:t xml:space="preserve"> challenges, depend; EU scope visible. This is a provisional connection, not an outcome finding.</w:t>
      </w:r>
    </w:p>
    <w:p>
      <w:pPr>
        <w:pStyle w:val="SourceNote"/>
      </w:pPr>
      <w:r>
        <w:rPr>
          <w:b/>
        </w:rPr>
        <w:t>Available abstract (not full text):</w:t>
      </w:r>
      <w:r>
        <w:t xml:space="preserve"> This paper examines the impact of contemporary geopolitical crises on European integration through a historical and analytical perspective inspired by Jean Monnet’s statement that Europe is built through crises. It argues that crises have produced three distinct types of outcomes: incremental integration, fragmentation, and profound transformation. By comparing historical experiences with current geopolitical challenges, the paper demonstrates that Russia’s war against Ukraine, growing global instability, and the changing transatlantic relationship are accelerating the European Union’s evolution into a geopolitical actor. The study contends that European sovereignty, particularly in the fields of security and defence, is emerging as the next stage of integration. However, the success of thistransformation will depend not only on institutional reforms and financial resources but also on political leadership, sustained unity among Member States, and the development of a stronger European identity capable of securing citizens’ support for the Union’s geopolitical ambitions.</w:t>
      </w:r>
    </w:p>
    <w:p>
      <w:pPr/>
      <w:r>
        <w:rPr>
          <w:b/>
        </w:rPr>
        <w:t>POSSIBLE 2026:</w:t>
      </w:r>
      <w:r>
        <w:t xml:space="preserve"> STRATEGIC CHALLENGES AND PROSPECTS FOR THE DEVELOPMENT OF THE UKRAINIAN AVIATION MARKET UNDER CONDITIONS OF CLOSED AIRSPACE AND EUROPEAN INTEGRATION — https://doi.org/10.15802/rtem2026/359783</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Purpose. The purpose of the article is to identify the strategic challenges and prospects for the development of the Ukrainian aviation market under conditions of closed airspace and European integration, as well as to substantiate directions for its recovery and adaptation to a competitive environment. Methodology. The methodology of the article is based on a systemic and comparative analysis of the Ukrainian and European aviation markets, a review of academic publications and industry reports, and the application of SWOT analysis to identify risks, opportunities, and threats to the development of Ukrainian airlines and airports. In addition, the study employs structural-logical, statistical, and forecasting approaches to assess the impact of closed airspace, integration into the European Common Aviation Area, and to formulate recommendations for supporting the industry. Results. The results of the study show that the closure of Ukrainian airspace has caused a significant transformation of the national aviation market, forcing airlines to shift to alternative business models, including ACMI leasing and operations from foreign bases. It has been established that integration into the European Common Aviation Area creates both new opportunities for market liberalization and threats due to stronger competition from major European carriers. The study demonstrates that the further d</w:t>
      </w:r>
    </w:p>
    <w:p>
      <w:pPr/>
      <w:r>
        <w:rPr>
          <w:b/>
        </w:rPr>
        <w:t>POSSIBLE 2026:</w:t>
      </w:r>
      <w:r>
        <w:t xml:space="preserve"> Harmonization of fiscal control mechanisms of the Republic of Moldova with european standards - development directions and challenges — https://doi.org/10.53486/mfsne2025.22</w:t>
      </w:r>
    </w:p>
    <w:p>
      <w:pPr/>
      <w:r>
        <w:rPr>
          <w:b/>
        </w:rPr>
        <w:t>Shared claim-specific concepts:</w:t>
      </w:r>
      <w:r>
        <w:t xml:space="preserve"> challenges, progress, national, activity; EU scope visible. This is a provisional connection, not an outcome finding.</w:t>
      </w:r>
    </w:p>
    <w:p>
      <w:pPr>
        <w:pStyle w:val="SourceNote"/>
      </w:pPr>
      <w:r>
        <w:rPr>
          <w:b/>
        </w:rPr>
        <w:t>Available abstract (not full text):</w:t>
      </w:r>
      <w:r>
        <w:t xml:space="preserve"> This study examines the process of harmonizing the fiscal control mechanisms in the Republic of Moldova with European standards, focusing on the main development directions and the challenges that continue to influence this path. The research starts from the premise that effective approximation to the European principles of fiscal administration cannot be reduced to simple regulatory compatibility, but implies measurable progress in the organization, efficiency and quality of fiscal control practices. The purpose of the study is to assess the degree of convergence between the national fiscal control framework and the relevant European requirements, as well as to identify institutional and procedural areas that require further adjustments. The research is empirical and analytical in nature and is based on the examination of official sources of a normative, institutional and statistical nature. In this regard, data from public reports and administrative sources on tax control activity are used, including the dynamics of tax controls, the evolution of additionally calculated tax obligations, the role of risk-based selection, as well as the general trends in the modernization and digitalization of tax administration. These data are interpreted through comparative, logical and synthesis methods, in correlation with the fundamental European principles of proportionality, transparency</w:t>
      </w:r>
    </w:p>
    <w:p>
      <w:pPr/>
      <w:r>
        <w:rPr>
          <w:b/>
        </w:rPr>
        <w:t>POSSIBLE 2026:</w:t>
      </w:r>
      <w:r>
        <w:t xml:space="preserve"> Development of biobanking infrastructure in Armenia: opportunities and challenges — https://doi.org/10.3389/fpubh.2025.1749588</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Biobanking has become a cornerstone of biomedical research and precision medicine, enabling population studies, biomarker discovery, and translational research. However, while high-income countries operate mature biobanking systems, middle-income and transitional economies encounter distinct barriers to establishing sustainable and internationally compatible infrastructures. This mini review examines the development of biobanking in Armenia as a representative middle-income case. It highlights key opportunities, such as strong diaspora scientific networks, a growing biotechnology sector, increasing national interest in precision medicine, and Armenia's strategic geographic position between Europe and Asia. At the same time, significant challenges persist, including limited funding, regulatory and ethical gaps, infrastructure constraints, shortages in specialized technical personnel, and socio-cultural barriers related to sample donation and data sharing. The review outlines strategic approaches adopted in Armenia, including international collaboration, capacity-building initiatives, and alignment with global best practices. Lessons from Armenia's experience may guide other middle-income and post-Soviet countries in developing effective and resilient biobanking systems.</w:t>
      </w:r>
    </w:p>
    <w:p>
      <w:pPr/>
      <w:r>
        <w:rPr>
          <w:b/>
        </w:rPr>
        <w:t>POSSIBLE 2026:</w:t>
      </w:r>
      <w:r>
        <w:t xml:space="preserve"> Empirical Insights into Multidimensional Development in European Regions — https://openalex.org/W7202434102</w:t>
      </w:r>
    </w:p>
    <w:p>
      <w:pPr/>
      <w:r>
        <w:rPr>
          <w:b/>
        </w:rPr>
        <w:t>Shared claim-specific concepts:</w:t>
      </w:r>
      <w:r>
        <w:t xml:space="preserve"> challenges, depend, progress; EU scope visible. This is a provisional connection, not an outcome finding.</w:t>
      </w:r>
    </w:p>
    <w:p>
      <w:pPr>
        <w:pStyle w:val="SourceNote"/>
      </w:pPr>
      <w:r>
        <w:rPr>
          <w:b/>
        </w:rPr>
        <w:t>Available abstract (not full text):</w:t>
      </w:r>
      <w:r>
        <w:t xml:space="preserve"> This doctoral thesis, Empirical Insights into Multidimensional Development in European Regions, examines how development can be more effectively conceptualized, measured, and analyzed in the context of contemporary economic, social, and environmental challenges. Moving beyond solely GDP as the dominant measure of progress, the thesis adopts a multidimensional perspective drawing on the human development paradigm, sustainable development, ecological economics, and regional science. It argues that economic growth alone does not adequately capture well-being, sustainability, equity, or environmental quality, and that development should instead be understood as an interconnected process involving economic, social, environmental, and institutional dimensions. A central contribution is the construction of a regional database covering all EU-27 NUTS2 regions over the period 2010–2019. The database integrates indicators of economic performance, social conditions, environmental impacts, and institutional quality, enabling analysis at a spatial scale that captures substantial within-country differences often overlooked by national-level measures. This regional perspective is particularly relevant to the European Union’s emphasis on place-based development and initiatives such as the European Green Deal and European Pillar of Social Rights. The empirical research comprises four interconne</w:t>
      </w:r>
    </w:p>
    <w:p>
      <w:pPr/>
      <w:r>
        <w:rPr>
          <w:b/>
        </w:rPr>
        <w:t>POSSIBLE 2026:</w:t>
      </w:r>
      <w:r>
        <w:t xml:space="preserve"> Blood microfluidics: progress and challenges — https://doi.org/10.1039/d5lc00059a</w:t>
      </w:r>
    </w:p>
    <w:p>
      <w:pPr/>
      <w:r>
        <w:rPr>
          <w:b/>
        </w:rPr>
        <w:t>Shared claim-specific concepts:</w:t>
      </w:r>
      <w:r>
        <w:t xml:space="preserve"> challenges, developments, progress; EU scope not established. This is a provisional connection, not an outcome finding.</w:t>
      </w:r>
    </w:p>
    <w:p>
      <w:pPr>
        <w:pStyle w:val="SourceNote"/>
      </w:pPr>
      <w:r>
        <w:rPr>
          <w:b/>
        </w:rPr>
        <w:t>Available abstract (not full text):</w:t>
      </w:r>
      <w:r>
        <w:t xml:space="preserve"> Microfluidic technologies have significantly advanced whole blood analysis by enabling precise, rapid, and cost-effective diagnostic solutions. These platforms have made significant progress in overcoming longstanding challenges such as clogging caused by red blood cells (RBCs), white blood cells (WBCs), and platelets, as well as managing the non-Newtonian viscosity of blood, which affects flow stability and device performance. The direct processing of undiluted whole blood has enabled the isolation of rare cells such as circulating tumor cells (CTCs) with recovery rates of approaching 90%, and leukocyte depletion efficiencies of 80%. Material selection and sterilization compatibility are equally critical to ensure consistent device performance, biocompatibility, and reproducibility. This review examines recent developments in microfluidic processing of blood, and categorizes them into four preparation types: whole blood, lysed whole blood, diluted blood, and lysed diluted blood. This framework highlights the distinct biochemical and physical challenges of each type and provides a structured basis for evaluating how microfluidic strategies are optimized for specific diagnostic context. Recent advances are driving the development of AI-based flow control, rapid 3D-printed microfluidic fabrication, and integrated platforms that merge cell separation with imaging to improve diagno</w:t>
      </w:r>
    </w:p>
    <w:p>
      <w:pPr/>
      <w:r>
        <w:rPr>
          <w:b/>
        </w:rPr>
        <w:t>POSSIBLE 2025:</w:t>
      </w:r>
      <w:r>
        <w:t xml:space="preserve"> PROGRESS IN THE DEVELOPMENT OF THE EUROPEAN EDUCATION AREA: RESULTS OF THE INTERIM EVALUATION — https://doi.org/10.32987/2617-8532-2025-3-94-106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The paper substantiates the relevance of studying the integration of the Ukrainian education system into the European Education Area in the context of Ukraine’s obtaining EU candidate status in 2022 and the beginning of harmonisation of the national legal system with the "acquis communautaire". The purpose of the article is to analyse the progress in the development of the European Education Area, which is proclaimed as the goal of European cooperation in the document "Strategic Framework for European Cooperation in Education and Training towards a European Education Area and Beyond (2021-2030)". The main attention is paid to understanding the concept of the Strategic Framework as a governance tool used by the EU to manage this cooperation by defining its goals and strategies for achieving them. To achieve the stated aim, the method of analysing key EU documents regulating the legal framework and determining the directions of educational cooperation was applied. The analysis of monographic studies has enabled an understanding of the nature of the academic discourse on the outlined issue. The paper reveals the positive trends demonstrated by national education systems on the path towards building the European Education Area, even in the face of unpredictable challenges. It is stated that the effectiveness of the current Strategic Framework is ensured by its format as an integral</w:t>
      </w:r>
    </w:p>
    <w:p>
      <w:pPr/>
      <w:r>
        <w:rPr>
          <w:b/>
        </w:rPr>
        <w:t>POSSIBLE 2025:</w:t>
      </w:r>
      <w:r>
        <w:t xml:space="preserve"> Control of HIV across the WHO European region: progress and remaining challenges — https://doi.org/10.1016/j.lanepe.2025.101243</w:t>
      </w:r>
    </w:p>
    <w:p>
      <w:pPr/>
      <w:r>
        <w:rPr>
          <w:b/>
        </w:rPr>
        <w:t>Shared claim-specific concepts:</w:t>
      </w:r>
      <w:r>
        <w:t xml:space="preserve"> challenges, progress; EU scope visible. This is a provisional connection, not an outcome finding.</w:t>
      </w:r>
    </w:p>
    <w:p>
      <w:pPr>
        <w:pStyle w:val="SourceNote"/>
      </w:pPr>
      <w:r>
        <w:rPr>
          <w:b/>
        </w:rPr>
        <w:t>Available abstract (not full text):</w:t>
      </w:r>
      <w:r>
        <w:t xml:space="preserve"> Despite the ambitious global goal to control HIV transmissions by 2030, more than 30% of people with HIV from the WHO European Region show persistent transmissible levels of the virus. Successful introduction of oral pre-exposure prophylaxis (PrEP) has led to significant decreases in new HIV transmissions in some areas of Europe, particularly among men who have sex with men. However, the limited PrEP access or lack of state funding in many European countries underlines the need to increase efforts to make PrEP consistently and equitably available for all individuals in need. The success of modern antiretroviral therapy (ART) is evident throughout the WHO European region, with more than 90% of treated individuals with viral suppression. Remaining barriers to control HIV include disparities in access to testing facilities such as community-based centers, persistently high levels of late diagnosis, delayed linkage to care especially for undocumented migrant populations, and inequalities in access to treatment. Retention in care and maintenance of viral suppression are additional challenges. The ongoing war in Ukraine is causing service disruption for people with HIV. Combating HIV associated stigma and discrimination, particularly in Eastern Europe and Central Asia, seems paramount in removing barriers to testing; new testing strategies, such as emergency room opt-out testing, cou</w:t>
      </w:r>
    </w:p>
    <w:p>
      <w:pPr>
        <w:pStyle w:val="Heading2"/>
      </w:pPr>
      <w:r>
        <w:t>583. Above the Fog and the Fury: EU Strategic Policy Planning and the EU’s Future in Times of Global Uncertainty</w:t>
      </w:r>
    </w:p>
    <w:p>
      <w:pPr>
        <w:pStyle w:val="SourceNote"/>
      </w:pPr>
      <w:r>
        <w:rPr>
          <w:b/>
        </w:rPr>
        <w:t>Original source (2021):</w:t>
      </w:r>
      <w:r>
        <w:t xml:space="preserve"> https://doi.org/10.54648/eerr2021005</w:t>
      </w:r>
    </w:p>
    <w:p>
      <w:pPr/>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pPr/>
      <w:r>
        <w:rPr>
          <w:b/>
        </w:rPr>
        <w:t>POSSIBLE 2026:</w:t>
      </w:r>
      <w:r>
        <w:t xml:space="preserve"> Comparing Intelligence and Foresight: Fraternal Twins? — https://doi.org/10.1007/978-3-032-11892-9_4</w:t>
      </w:r>
    </w:p>
    <w:p>
      <w:pPr/>
      <w:r>
        <w:rPr>
          <w:b/>
        </w:rPr>
        <w:t>Shared claim-specific concepts:</w:t>
      </w:r>
      <w:r>
        <w:t xml:space="preserve"> foresight, aim, support;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A glimpse on the futures of telecommunication networks: From market, technology and regulation trends to strategic foresight — https://doi.org/10.1016/j.joitmc.2026.100735</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This paper explores the current state, trends, and possible futures of the telecommunication ecosystem in Italy, outlining strategies for development. We adopt a combined methodology, integrating participatory scenario building through the Nominal Group Technique with a structured literature review. The analysis starts from the current situation (Scenario 1) and major transformation trends (Scenario 2) to project two contrasting futures (Scenario 3), providing a rationale for strategic choices. Various dimensions are considered: market and economic models, technological advancements, and regulatory frameworks, with both European and Italian perspectives. In the market domain, we assess opportunities linked to enabling technologies and digital services built on connectivity. On the technological side, we evaluate the role of network programmability, low-orbit satellites, aerial networks, edge computing, novel materials, and services, while also addressing sustainability and AI integration. The regulatory analysis highlights how evolving policies can impact network evolution and identifies reforms to foster innovation, inclusivity, and industry participation. From this integrated view, we infer two boundary scenarios for 2040: a utopic one, marked by innovation and inclusivity, and a dystopic one, characterized by digital inequality and stagnation. Finally, we outline strategies </w:t>
      </w:r>
    </w:p>
    <w:p>
      <w:pPr/>
      <w:r>
        <w:rPr>
          <w:b/>
        </w:rPr>
        <w:t>POSSIBLE 2026:</w:t>
      </w:r>
      <w:r>
        <w:t xml:space="preserve"> Crowds, Machines and Foresight: Combining Volunteer Crowds and Large Language Models to Sharpen Strategic Forecasts — https://doi.org/10.1007/978-3-032-11892-9_3</w:t>
      </w:r>
    </w:p>
    <w:p>
      <w:pPr/>
      <w:r>
        <w:rPr>
          <w:b/>
        </w:rPr>
        <w:t>Shared claim-specific concepts:</w:t>
      </w:r>
      <w:r>
        <w:t xml:space="preserve"> strategic, foresight, support; EU scope not established. This is a provisional connection, not an outcome finding.</w:t>
      </w:r>
    </w:p>
    <w:p>
      <w:pPr>
        <w:pStyle w:val="SourceNote"/>
      </w:pPr>
      <w:r>
        <w:rPr>
          <w:b/>
        </w:rPr>
        <w:t>Available abstract (not full text):</w:t>
      </w:r>
      <w:r>
        <w:t xml:space="preserve"> This article investigates how volunteer forecasters, large language models (LLMs) and their combinations can support anticipatory foreign policy analysis in resource-constrained national security contexts. A 9-month quasi-experimental study was conducted with 34 Finnish volunteer forecasters and six LLM-based forecasters, generated by crossing model type (cloud-hosted GPT-4o versus on-premises Gemma 2) with input richness (question only, news summaries, hybrid including human forecasts). In total, 46 geopolitical outcomes were predicted. Forecasts were evaluated both for accuracy, using Brier scores, and for analytical value, through assessments by professional foreign policy analysts. The results show that volunteer forecasters and hybrid configurations achieved essentially the same high level of predictive accuracy, indicating that human input was necessary for producing the most accurate forecasts. At the same time, LLMs consistently generated rationales rated more useful by analysts, with hybrid models again performing best. These findings highlight the complementary strengths of human contextual insight and AI-generated analysis, and demonstrate practical pathways for integrating volunteer forecasters and advanced models into foreign policy workflows, particularly in small states facing rapidly expanding information demands.</w:t>
      </w:r>
    </w:p>
    <w:p>
      <w:pPr/>
      <w:r>
        <w:rPr>
          <w:b/>
        </w:rPr>
        <w:t>POSSIBLE 2026:</w:t>
      </w:r>
      <w:r>
        <w:t xml:space="preserve"> The impact of U.S. tariffs on European exporters : strategic responses and market reorientation — https://openalex.org/W7163603428</w:t>
      </w:r>
    </w:p>
    <w:p>
      <w:pPr/>
      <w:r>
        <w:rPr>
          <w:b/>
        </w:rPr>
        <w:t>Shared claim-specific concepts:</w:t>
      </w:r>
      <w:r>
        <w:t xml:space="preserve"> strategic, planning, responses, support; EU scope visible. This is a provisional connection, not an outcome finding.</w:t>
      </w:r>
    </w:p>
    <w:p>
      <w:pPr>
        <w:pStyle w:val="SourceNote"/>
      </w:pPr>
      <w:r>
        <w:rPr>
          <w:b/>
        </w:rPr>
        <w:t>Available abstract (not full text):</w:t>
      </w:r>
      <w:r>
        <w:t xml:space="preserve"> The main purpose of this thesis is to examine tariff-related shocks and trade policy uncertainty affecting European exporting companies, in terms of market performance and strategic responses. The thesis focuses on Italian companies as an illustrative case within the broader EU27 context. Tariffs are not treated only as cost shocks, but also as part of a wider uncertainty environment that may influence firms’ commitment to the U.S. market and shape responses across sectors and firms. The research uses a mixed-method approach. The quantitative analysis relies on monthly Eurostat export data, measured in values and quantities, for Italy and the EU27 toward the United States and to the world. Two periods are analyzed: 2016 vs. 2017–2020 and 2024 vs. 2025. The study combines descriptive analysis with a comparative DiD model, using pharmaceuticals as the control sector. The qualitative part is based on semi-structured interviews with Italian food and wine companies, analyzed through the Gioia framework. The quantitative results show that tariff-exposed sectors were relatively less oriented toward the U.S. market than pharmaceuticals, especially in terms of export quantities. However, the data do not indicate a general collapse of exports, and the recent pattern is broadly similar for Italy and the EU27. The qualitative findings show heterogeneous firm responses. Tariffs affected mar</w:t>
      </w:r>
    </w:p>
    <w:p>
      <w:pPr/>
      <w:r>
        <w:rPr>
          <w:b/>
        </w:rPr>
        <w:t>POSSIBLE 2026:</w:t>
      </w:r>
      <w:r>
        <w:t xml:space="preserve"> Building anticipatory capacity for transformative resilience: Lessons from UK and EU applying strategic foresight in grand societal challenge-oriented regional policy — https://doi.org/10.1016/j.techsoc.2026.103453</w:t>
      </w:r>
    </w:p>
    <w:p>
      <w:pPr/>
      <w:r>
        <w:rPr>
          <w:b/>
        </w:rPr>
        <w:t>Shared claim-specific concepts:</w:t>
      </w:r>
      <w:r>
        <w:t xml:space="preserve"> strategic, foresight, goals; EU scope visible. This is a provisional connection, not an outcome finding.</w:t>
      </w:r>
    </w:p>
    <w:p>
      <w:pPr>
        <w:pStyle w:val="SourceNote"/>
      </w:pPr>
      <w:r>
        <w:rPr>
          <w:b/>
        </w:rPr>
        <w:t>Available abstract (not full text):</w:t>
      </w:r>
      <w:r>
        <w:t xml:space="preserve"> ABSTRACT Grand Societal Challenges (GSCs) require regional policymakers to develop new forms of anticipatory capacity. This is defined as the ability to navigate uncertainty, align diverse stakeholders and direct development towards long-term societal goals. This study argues that, when implemented throughout the entire policy cycle, strategic foresight is a vital tool for building such capacity and positioning regions for transformative resilience. Using an abductive, qualitative comparative case study design, the research examines three regional foresight processes in the Helsinki-Uusimaa region (Finland), Scotland (UK) and the Basque Country (Spain). The analysis is structured around three integrated dimensions: shared place-based understanding, anticipatory capacity, and reflexivity and monitoring. Rather than introducing new foresight components, the primary contribution lies in the integrated operationalisation of these established dimensions across the full policy cycle within GSC-oriented regional policy contexts. The findings suggest that all three regions use foresight to identify crisis-induced opportunities and align their assets with development priorities driven by challenges. However, their positions differ along the reorientation–transformation continuum. Helsinki-Uusimaa and Scotland primarily demonstrate reorientation, redirecting existing innovation system as</w:t>
      </w:r>
    </w:p>
    <w:p>
      <w:pPr/>
      <w:r>
        <w:rPr>
          <w:b/>
        </w:rPr>
        <w:t>POSSIBLE 2026:</w:t>
      </w:r>
      <w:r>
        <w:t xml:space="preserve"> Finnish pharmaceutical sector in the shifting geopolitics : European Union’s role in managing strategic dependencies — https://openalex.org/W7220772580</w:t>
      </w:r>
    </w:p>
    <w:p>
      <w:pPr/>
      <w:r>
        <w:rPr>
          <w:b/>
        </w:rPr>
        <w:t>Shared claim-specific concepts:</w:t>
      </w:r>
      <w:r>
        <w:t xml:space="preserve"> strategic, possible, responses; EU scope visible. This is a provisional connection, not an outcome finding.</w:t>
      </w:r>
    </w:p>
    <w:p>
      <w:pPr>
        <w:pStyle w:val="SourceNote"/>
      </w:pPr>
      <w:r>
        <w:rPr>
          <w:b/>
        </w:rPr>
        <w:t>Available abstract (not full text):</w:t>
      </w:r>
      <w:r>
        <w:t xml:space="preserve"> The main object of this research is to provide an understanding of the EU’s intermediate role of managing Finland’s strategic dependencies in pharmaceuticals, and how it reflects on the national economic security and security of supply. EU’s risk mitigating role is assessed in the light of stressed transatlantic relations followed by the tariff wars of early 2025 and China’s involvement in the active pharmaceutical ingredients’ (API) production as well as the trade war with the U.S. First, Finland’s position in the pharmaceutical supply chains is examined through Global Production Network (GPN) and network embeddedness theories. This provides a background on the structures behind the dependencies and power dynamics. After that, the nature of dependencies and possible interdependencies, as well as possibilities for weaponization are examined. Then these findings are framed into the political economy framework, and the vulnerabilities are observed through the process of securitization, linking the vulnerabilities to economic security and security of supply. Lastly, the EU level mechanisms are applied to the phenomenon. The literature review shows that political economy framework’s explanation of both the socio-economic and political factors stemming inside and outside the observed economy affect the industry performance and market outcome of the GPN. The internal socio-economic a</w:t>
      </w:r>
    </w:p>
    <w:p>
      <w:pPr/>
      <w:r>
        <w:rPr>
          <w:b/>
        </w:rPr>
        <w:t>POSSIBLE 2026:</w:t>
      </w:r>
      <w:r>
        <w:t xml:space="preserve"> The strategic fallout — https://doi.org/10.46793/7067.375.5jl</w:t>
      </w:r>
    </w:p>
    <w:p>
      <w:pPr/>
      <w:r>
        <w:rPr>
          <w:b/>
        </w:rPr>
        <w:t>Shared claim-specific concepts:</w:t>
      </w:r>
      <w:r>
        <w:t xml:space="preserve"> strategic, aim, options; EU scope visible. This is a provisional connection, not an outcome finding.</w:t>
      </w:r>
    </w:p>
    <w:p>
      <w:pPr>
        <w:pStyle w:val="SourceNote"/>
      </w:pPr>
      <w:r>
        <w:rPr>
          <w:b/>
        </w:rPr>
        <w:t>Available abstract (not full text):</w:t>
      </w:r>
      <w:r>
        <w:t xml:space="preserve"> The empirical analysis covers six cases: Ukraine, Moldova, Georgia, Armenia, Belarus, and Azerbaijan.They do not stand for the entire post-Soviet region, nor is that the aim.They were chosen because the war exposed Russia's position in each of them differently.Ukraine is itself a rupture.Moldova shows how dependence can become a reason for moving away.Georgia remains harder to read: society looks westward, while the government avoids an open break with Moscow.Armenia matters because it was an ally, not an adversary, and yet the war showed how little Russian protection could mean when it was most needed.Belarus moves in the opposite direction, toward deeper dependence.Azerbaijan shows another route: not a Western turn, but a wider space to act while Russia is absorbed elsewhere.These cases do not tell a neat story.That is the point.Some move fast, some slowly, some hedge, and one becomes more dependent.But together they show that Moscow's influence has become harder to sustain across very different settings.The analysis follows these cases comparatively.It asks how Russian influence operated before 2022, what changed after the invasion, and why these changes unfolded differently across states.Political alignment, economic dependence, security relations, public discourse, and perceptions of legitimacy all matter here.Read together, the cases show not only the erosion of Russian i</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strategic, planning, foresight, disciplines;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New Anticipatory Governance Culture for Innovation: Regulatory Foresight, Regulatory Experimentation and Regulatory Learning — https://doi.org/10.1007/s40804-025-00348-7</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Abstract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to use in inventive ways and argues that these need to be more cohesively and systemically integrated into jurisdictions’ regulatory toolbox. Approaches covered include strategic foresight, the critical embrace of iterative policy development and regulatory learning in the face of uncertainty, and the embrace of bottom-up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On the role of intelligence and business wargaming in developing foresight — https://doi.org/10.1080/09537325.2025.2506122</w:t>
      </w:r>
    </w:p>
    <w:p>
      <w:pPr/>
      <w:r>
        <w:rPr>
          <w:b/>
        </w:rPr>
        <w:t>Shared claim-specific concepts:</w:t>
      </w:r>
      <w:r>
        <w:t xml:space="preserve"> strategic, foresight, identifying, support; EU scope not established. This is a provisional connection, not an outcome finding.</w:t>
      </w:r>
    </w:p>
    <w:p>
      <w:pPr>
        <w:pStyle w:val="SourceNote"/>
      </w:pPr>
      <w:r>
        <w:rPr>
          <w:b/>
        </w:rPr>
        <w:t>Available abstract (not full text):</w:t>
      </w:r>
      <w:r>
        <w:t xml:space="preserve"> Business wargaming is a central tool for developing sustaining strategies. It transfers the benefits of traditional wargaming to the business environment. However, building wargames that support the process of decision-making for strategy require respective intelligence. This paper investigates the role of intelligence in the process of developing strategic foresight. The focus is on how intelligence is developed and how it relates to business wargaming. The so-called intelligence cycle is the basis and reference of our investigation. The conceptual part of the paper combines the theoretical background from military, business as well as serious gaming. To elaborate on some of the lessons learned, we examine specific business wargames both drawn from literature and conducted by us at the Center for Intelligence and Security Studies (CISS). It is shown that business wargaming can significantly contribute to competitive intelligence (CI) by identifying missing information and by transforming data into actionable intelligence. Furthermore, it bridges the gap from CI to a strategy by either testing or developing a new strategy.</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informed;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pStyle w:val="Heading2"/>
      </w:pPr>
      <w:r>
        <w:t>584. Alternative futures for shared mobility systems: impacts on transport planning tools and techniques</w:t>
      </w:r>
    </w:p>
    <w:p>
      <w:pPr>
        <w:pStyle w:val="SourceNote"/>
      </w:pPr>
      <w:r>
        <w:rPr>
          <w:b/>
        </w:rPr>
        <w:t>Original source (2021):</w:t>
      </w:r>
      <w:r>
        <w:t xml:space="preserve"> https://doi.org/10.1016/j.trpro.2021.11.032</w:t>
      </w:r>
    </w:p>
    <w:p>
      <w:pPr/>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POSSIBLE 2026:</w:t>
      </w:r>
      <w:r>
        <w:t xml:space="preserve"> The Heritagemonitor: Exploring projects, works and institutions in cultural heritage across Europe — https://doi.org/10.5281/zenodo.20642926</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The Heritagemonitor: Exploring projects, works and institutions in cultural heritage across Europe — https://doi.org/10.5281/zenodo.20643287</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Non-stationary time series attribution for heatwaves over Europe — https://doi.org/10.5194/ascmo-12-243-2026</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Madhava's Pi-Series in the Modern Context — https://doi.org/10.48550/arxiv.2602.14484</w:t>
      </w:r>
    </w:p>
    <w:p>
      <w:pPr/>
      <w:r>
        <w:rPr>
          <w:b/>
        </w:rPr>
        <w:t>Shared claim-specific concepts:</w:t>
      </w:r>
      <w:r>
        <w:t xml:space="preserve"> series, different, developed, used; EU scope not established. This is a provisional connection, not an outcome finding.</w:t>
      </w:r>
    </w:p>
    <w:p>
      <w:pPr>
        <w:pStyle w:val="SourceNote"/>
      </w:pPr>
      <w:r>
        <w:rPr>
          <w:b/>
        </w:rPr>
        <w:t>Available abstract (not full text):</w:t>
      </w:r>
      <w:r>
        <w:t xml:space="preserve"> The $π$-series is attributed to Madhava, Gregory and Leibniz based on the chronology of its discovery. While this acknowledges the fact that Madhava of Sangamagrama an Indian mathematician who lived in Kerala in the 14th century along the banks of river Nila, was the first to discover the series, the modern day proof for the $π$-series is based on the outline of the proof given by the famous German mathematician Gottfried Wilhelm Leibniz in the 17th century, using concepts and rigorous definitions of Calculus many of which were developed after his lifetime. We extend the same benefit to Madhava's ideas and present Madhava's upapatti i.e proof for the $π$-series as given in Jyesthadeva's Yuktibhasha using modern notation and definitions. We elaborate Madhava's proof at three places (a) to prove that the arc-bit sum is same as the sum of arc-bit approximations (b) to prove convergence and (c) to concisely prove by iteration the power sum approximation. Madhava's method with appropriate changes can be applied to derive the sine and cosine series as well. Madhava also provides the correction terms to accelerate the convergence of the $π$-series. We compare the two proofs i.e Madhava's and the popular proof for $π$ which is based on Leibniz's ideas and observe that they are different since Madhava's is based on the length of the arc where as Leibniz's relies on the area under the ar</w:t>
      </w:r>
    </w:p>
    <w:p>
      <w:pPr/>
      <w:r>
        <w:rPr>
          <w:b/>
        </w:rPr>
        <w:t>POSSIBLE 2026:</w:t>
      </w:r>
      <w:r>
        <w:t xml:space="preserve"> Mobility Models for a Future in Flux: Exploring Alternatives in European Teacher Education — https://doi.org/10.31244/9783818851583.10</w:t>
      </w:r>
    </w:p>
    <w:p>
      <w:pPr/>
      <w:r>
        <w:rPr>
          <w:b/>
        </w:rPr>
        <w:t>Shared claim-specific concepts:</w:t>
      </w:r>
      <w:r>
        <w:t xml:space="preserve"> presents, contexts, mobility; EU scope visible. This is a provisional connection, not an outcome finding.</w:t>
      </w:r>
    </w:p>
    <w:p>
      <w:pPr>
        <w:pStyle w:val="SourceNote"/>
      </w:pPr>
      <w:r>
        <w:rPr>
          <w:b/>
        </w:rPr>
        <w:t>Available abstract (not full text):</w:t>
      </w:r>
      <w:r>
        <w:t xml:space="preserve"> Abstract Mobility has become a key element in European teacher education, aiming to equip future educators with intercultural skills, transnational perspectives, and the ability to teach in diverse and dynamic contexts. Traditionally, long-term mobilities – often sup- ported through Erasmus+ – have shaped the landscape of international experiences in initial teacher education. However, these longer formats are not suitable for all students due to time, financial, and/or curricular constraints. The Erasmus+ Teacher Academy (teff) focuses on short-term mobility models as a complementary alternative. This contri- bution presents experiences and findings from teff, which piloted various forms of short mobility, including virtual, hybrid and blended learning formats. The experiences sug- gest that while short mobilities cannot replace the depth of long-term mobility, they offer accessible and scalable opportunities to internationalize teacher education and prepare future teachers for a profession in flux.</w:t>
      </w:r>
    </w:p>
    <w:p>
      <w:pPr/>
      <w:r>
        <w:rPr>
          <w:b/>
        </w:rPr>
        <w:t>POSSIBLE 2026:</w:t>
      </w:r>
      <w:r>
        <w:t xml:space="preserve"> The Italian landscape of digital therapeutics in a European context — https://doi.org/10.3389/fdgth.2026.1749302</w:t>
      </w:r>
    </w:p>
    <w:p>
      <w:pPr/>
      <w:r>
        <w:rPr>
          <w:b/>
        </w:rPr>
        <w:t>Shared claim-specific concepts:</w:t>
      </w:r>
      <w:r>
        <w:t xml:space="preserve"> provide, different, follow; EU scope visible. This is a provisional connection, not an outcome finding.</w:t>
      </w:r>
    </w:p>
    <w:p>
      <w:pPr>
        <w:pStyle w:val="SourceNote"/>
      </w:pPr>
      <w:r>
        <w:rPr>
          <w:b/>
        </w:rPr>
        <w:t>Available abstract (not full text):</w:t>
      </w:r>
      <w:r>
        <w:t xml:space="preserve"> Introduction and aim: Digital Therapeutics (DTx) are emerging as a key component of the modern healthcare landscape, offering evidence-based therapeutic interventions powered by software. Unlike wellness apps, DTx require robust clinical validation to demonstrate their efficacy in managing and treating diseases such as diabetes, anxiety, depression, and hypertension. Clinical trials evaluating DTx follow rigorous methodologies similar to traditional drug trials, including randomized controlled trials (RCTs), but also present unique challenges, such as the need for software updates and decentralized patient management. The aim of this narrative review is to examine the European landscape of clinical trials and the associated regulatory framework for DTx, followed by a focus on the current situation in Italy. Methods and results: To contextualize the development of digital therapeutics, existing literature was first reviewed to identify key therapeutic areas. A targeted analysis of clinical trials performed in Italy was conducted using ClinicalTrials.gov as the data source. Predefined keywords were applied, and retrieved records were screened based on relevance to DTx and applicability to the Italian context. Studies were included if they investigated digital interventions with therapeutic intent and were conducted in Italy. Following screening, 13 DTx-related clinical trials wer</w:t>
      </w:r>
    </w:p>
    <w:p>
      <w:pPr/>
      <w:r>
        <w:rPr>
          <w:b/>
        </w:rPr>
        <w:t>POSSIBLE 2026:</w:t>
      </w:r>
      <w:r>
        <w:t xml:space="preserve"> LGBTQIA+ Youth in European Series. Queer Texts and Fandom in a Transnational Perspective — https://openalex.org/W7167384716</w:t>
      </w:r>
    </w:p>
    <w:p>
      <w:pPr/>
      <w:r>
        <w:rPr>
          <w:b/>
        </w:rPr>
        <w:t>Shared claim-specific concepts:</w:t>
      </w:r>
      <w:r>
        <w:t xml:space="preserve"> series, different, contexts, shared, community; EU scope visible. This is a provisional connection, not an outcome finding.</w:t>
      </w:r>
    </w:p>
    <w:p>
      <w:pPr>
        <w:pStyle w:val="SourceNote"/>
      </w:pPr>
      <w:r>
        <w:rPr>
          <w:b/>
        </w:rPr>
        <w:t>Available abstract (not full text):</w:t>
      </w:r>
      <w:r>
        <w:t xml:space="preserve"> This article examines the circulation of queer coming-of-age narratives in contemporary European television through a transnational and transcultural perspective. Drawing on queer television studies, transnational media theory, and fandom studies, it analyzes how LGBTQIA+ youth representation is shaped by different cultural, industrial, and socio-political contexts, while simultaneously enabling shared modes of audience identification across borders. The article focuses on two case studies: the multinational format SKAM and its Italian and German adaptations, and Un professore, the Italian adaptation of the Catalan series Merlì. Through close textual analysis and attention to audience reception and fan practices, the article explores how narratives of coming out, queer desire, and community formation are articulated differently within streaming-oriented and mainstream broadcast contexts. While national specificities strongly influence representational choices, the analysis shows that queer experience functions as a key unifying framework for audiences. Transcending linguistic and national boundaries, queer viewers form intimate publics grounded in shared affective structures, emotional recognition, and collective meaning-making. The article argues that contemporary European queer television is defined by a productive tension between contextual specificity and transcultural ide</w:t>
      </w:r>
    </w:p>
    <w:p>
      <w:pPr/>
      <w:r>
        <w:rPr>
          <w:b/>
        </w:rPr>
        <w:t>POSSIBLE 2026:</w:t>
      </w:r>
      <w:r>
        <w:t xml:space="preserve"> Autochthonous transmission of dengue in Europe, with special attention to the Spanish context — https://doi.org/10.1017/s095026882610123x</w:t>
      </w:r>
    </w:p>
    <w:p>
      <w:pPr/>
      <w:r>
        <w:rPr>
          <w:b/>
        </w:rPr>
        <w:t>Shared claim-specific concepts:</w:t>
      </w:r>
      <w:r>
        <w:t xml:space="preserve"> presents, different, mobility, climate; EU scope visible. This is a provisional connection, not an outcome finding.</w:t>
      </w:r>
    </w:p>
    <w:p>
      <w:pPr>
        <w:pStyle w:val="SourceNote"/>
      </w:pPr>
      <w:r>
        <w:rPr>
          <w:b/>
        </w:rPr>
        <w:t>Available abstract (not full text):</w:t>
      </w:r>
      <w:r>
        <w:t xml:space="preserve"> Abstract Autochthonous transmission of dengue in southern Europe has emerged as a growing public health concern, especially in regions such as Spain, due to the expansion of mosquito vector species, such as Aedes albopictus and Aedes aegypti , introduced into these regions. This article presents an overview of the situation based on the analysis of the different reports published by international and national health agencies, together with key scientific studies on autochthonous transmission of dengue in Europe and Spain. Through this work, the factors considered to be contributing or hypothesized drivers of the spread of the virus on the European continent, such as climate change, human mobility, and the proliferation of mosquito vectors, are described. It explores the cases of autochthonous transmission documented in several European countries and Spain. In addition, the surveillance protocols implemented by Spanish health authorities and the health responses to outbreaks in Spain are also examined. Finally, the risk of future transmission in Spain is assessed, and strategies are proposed to strengthen epidemiological surveillance, improve preparedness for possible outbreaks, and optimize vector-control policies in the context of global change.</w:t>
      </w:r>
    </w:p>
    <w:p>
      <w:pPr/>
      <w:r>
        <w:rPr>
          <w:b/>
        </w:rPr>
        <w:t>POSSIBLE 2026:</w:t>
      </w:r>
      <w:r>
        <w:t xml:space="preserve"> Practices and Policies in the Sustainable Climate Transition of VOD. Avenues for European Union - Latin America cooperation — https://doi.org/10.5281/zenodo.20408754</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This publication presents key insights from the StreamSCAPES project, exploring the sustainable climate transition (SCT) within the European Video-on-Demand (VOD) ecosystem. Presented at the Cannes Film Market on May 13, 2026, the brief combines policy mapping across nine European nations with empirical data from five industry workshops and a series of expert interviews. By analysing sustainability challenges across production, distribution, and consumption, the text identifies critical regulatory gaps, outlines three urgent policy needs for European stakeholders (knowledge exchange, harmonisation, and addressing sectoral asymmetries), and proposes three strategic avenues to strengthen EU-Latin America cooperation in greening the digital infrastructure.</w:t>
      </w:r>
    </w:p>
    <w:p>
      <w:pPr/>
      <w:r>
        <w:rPr>
          <w:b/>
        </w:rPr>
        <w:t>POSSIBLE 2026:</w:t>
      </w:r>
      <w:r>
        <w:t xml:space="preserve"> A regulatory roadmap for electricity distribution remuneration under decarbonization: A European perspective — https://openalex.org/W7170992093</w:t>
      </w:r>
    </w:p>
    <w:p>
      <w:pPr/>
      <w:r>
        <w:rPr>
          <w:b/>
        </w:rPr>
        <w:t>Shared claim-specific concepts:</w:t>
      </w:r>
      <w:r>
        <w:t xml:space="preserve"> presents, series, different; EU scope visible. This is a provisional connection, not an outcome finding.</w:t>
      </w:r>
    </w:p>
    <w:p>
      <w:pPr>
        <w:pStyle w:val="SourceNote"/>
      </w:pPr>
      <w:r>
        <w:rPr>
          <w:b/>
        </w:rPr>
        <w:t>Available abstract (not full text):</w:t>
      </w:r>
      <w:r>
        <w:t xml:space="preserve"> The decarbonization objectives require substantial investment in electricity networks. In this context, combining traditional investment in grid infrastructure with smart-grid solutions is required to minimize consumers’ costs. Because electricity distribution is a regulated monopoly, the efficient combination of both solutions critically depends on the incentives embedded in remuneration schemes. This paper presents a regulatory roadmap to guide the reform of electricity distribution remuneration schemes in the European context. The roadmap establishes a series of priorities, ordered by their potential impact. The first step of the roadmap highlights the need to move from cost-of-service or hybrid approaches to revenue-cap or price-cap regulation to promote productive efficiency. The second step is to decouple ex-ante revenue or price calculation from the regulated company´s investment plans to mitigate allocative inefficiency. The third step is to promote efficient plans by enabling adaptable planning. The fourth step is to implement neutral OPEX/CAPEX neutral incentives by establishing different incentives for OPEX and CAPEX. The first two steps are urgent in the current decarbonization context. The third step has the potential to deliver significant savings if the previous steps are well addressed. Finally, the fourth step proposes a novel mechanism to establish neutral OPE</w:t>
      </w:r>
    </w:p>
    <w:p>
      <w:pPr/>
      <w:r>
        <w:rPr>
          <w:b/>
        </w:rPr>
        <w:t>POSSIBLE 2025:</w:t>
      </w:r>
      <w:r>
        <w:t xml:space="preserve"> Citizenship in the Context of European Values: Recommendations for teaching in higher education — https://doi.org/10.14712/9788076034143</w:t>
      </w:r>
    </w:p>
    <w:p>
      <w:pPr/>
      <w:r>
        <w:rPr>
          <w:b/>
        </w:rPr>
        <w:t>Shared claim-specific concepts:</w:t>
      </w:r>
      <w:r>
        <w:t xml:space="preserve"> presents, series, provide, different, evolution, services; EU scope visible. This is a provisional connection, not an outcome finding.</w:t>
      </w:r>
    </w:p>
    <w:p>
      <w:pPr>
        <w:pStyle w:val="SourceNote"/>
      </w:pPr>
      <w:r>
        <w:rPr>
          <w:b/>
        </w:rPr>
        <w:t>Available abstract (not full text):</w:t>
      </w:r>
      <w:r>
        <w:t xml:space="preserve"> The main focus for CitEdEV is on sharing of good practice in relation to the above, and within this it highlights democratic values, fundamental rights, and active citizenship.Although the objectives above stem from an EU declaration, we stress that the European Values we refer to are those of the European Convention for the Protection of Human Rights and Fundamental Freedoms (ECPHR) , originally agreed by The Council of Europe, to which nearly all European states, include member states of the EU, are signatories. European Union educational policy builds on the Paris Declaration, with emphasis placed on:'Fostering the development of citizenship competences with the aim of strengthening the awareness of common values, as referred to in Article 2 of the Treaty on European Union and the Charter of Fundamental Rights of the European Union' (European Commission, 2018) 'Citizenship competence' is described as '… the ability to act as responsible citizens and to fully participate in civic and social life, based on understanding of social, economic, legal and political concepts and structures, as well as global developments and sustainability', and elaborated, as shown in the table below, in relation to knowledge and understanding, skills, and attitudes.In the context of our work it is worthwhile to note that the first competency listed is that of 'understanding European values'.Table </w:t>
      </w:r>
    </w:p>
    <w:p>
      <w:pPr/>
      <w:r>
        <w:rPr>
          <w:b/>
        </w:rPr>
        <w:t>POSSIBLE 2025:</w:t>
      </w:r>
      <w:r>
        <w:t xml:space="preserve"> Leadership Effectiveness in Multinational Corporations Across Different Regional Contexts — https://doi.org/10.66027/gpim/v3i3/gpm25309</w:t>
      </w:r>
    </w:p>
    <w:p>
      <w:pPr/>
      <w:r>
        <w:rPr>
          <w:b/>
        </w:rPr>
        <w:t>Shared claim-specific concepts:</w:t>
      </w:r>
      <w:r>
        <w:t xml:space="preserve"> presents, series, different, contexts; EU scope visible. This is a provisional connection, not an outcome finding.</w:t>
      </w:r>
    </w:p>
    <w:p>
      <w:pPr>
        <w:pStyle w:val="SourceNote"/>
      </w:pPr>
      <w:r>
        <w:rPr>
          <w:b/>
        </w:rPr>
        <w:t>Available abstract (not full text):</w:t>
      </w:r>
      <w:r>
        <w:t xml:space="preserve"> Leadership effectiveness in multinational corporations (MNCs) is highly contingent upon regional cultural context, institutional settings, and the strategic requirements of global integration. This paper presents an extensive comparative study of different leadership styles and their effectiveness in five main regions around the world – North America, Europe, Asia-Pacific, Latin America, and the Middle East &amp; Africa – based on the GLOBE model, Hofstede's cultural dimensions, and cultural intelligence theory. This study uses a mixed methods approach that includes a cross-industry survey of 320 senior corporate executives from 28 countries; a series of semi-structured interviews; and six case studies of multinationals, and finds that there are systematic differences between regions in terms of leadership style prevalence, leader competencies, and performance. In particular, the findings show that transformational leadership always positively impacts organizational performance, but this relation is substantially influenced by power distance and collectivism. A new theoretical framework called the Cross-Regional Leadership Effectiveness Framework (CRLEF) is proposed that incorporates the influence of macro-level contextual factors and culture-specific moderators on organizational processes. The research also shows that leadership adaptability and cultural intelligence are both esse</w:t>
      </w:r>
    </w:p>
    <w:p>
      <w:pPr>
        <w:pStyle w:val="Heading2"/>
      </w:pPr>
      <w:r>
        <w:t>585. Anticipatory governance for newcomers: lessons learned from the UK, the Netherlands, Finland, and Korea</w:t>
      </w:r>
    </w:p>
    <w:p>
      <w:pPr>
        <w:pStyle w:val="SourceNote"/>
      </w:pPr>
      <w:r>
        <w:rPr>
          <w:b/>
        </w:rPr>
        <w:t>Original source (2021):</w:t>
      </w:r>
      <w:r>
        <w:t xml:space="preserve"> https://doi.org/10.1186/s40309-021-00179-y</w:t>
      </w:r>
    </w:p>
    <w:p>
      <w:pPr/>
      <w:r>
        <w:t>Original wording (abstract; indexed_source_text_not_full_document_verified): First, the government should educate and train the public and government officials to promote future literacy and future proficiency .</w:t>
      </w:r>
    </w:p>
    <w:p>
      <w:pPr/>
      <w:r>
        <w:rPr>
          <w:b/>
        </w:rPr>
        <w:t>POSSIBLE 2026:</w:t>
      </w:r>
      <w:r>
        <w:t xml:space="preserve"> Right to be Forgotten vs. Public Information Disclosure to Public Officials in Indonesia — https://doi.org/10.30996/mk.v19i1.132922</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advancement of information technology, which renders digital footprints permanent, has generated new problems in the protection of personal data, including for public officials who possess narrower privacy boundaries than private citizens. Research aims to explore the potential conflicts between the right to be forgotten and long-standing principle of transparency in Article 28F of the 1945 Republic of Indonesia's Constitution. Additionally, this paper looks at which public servants should be protected by the Right to Forget Law under Indonesian national laws or administrative regulations. This research deals with the difference between Indonesian National Laws for public servants and the right to be forgotten. It also discusses laws from “Republic of Indonesia No. 19/2016 Electronic Information Transactions Law of Republic of Indonesia No. 14/2008 Disclosure of Public Information Laws”. EU policy as well as the direction taken in member states such as France. The findings of the research show that the applicability of the Right to be Forgotten for public servants cannot be in an absolute form since information about their tasks of offices, track records, alleged ethical or legal violations, and actions that have an impact on the public is information that must remain accessible as part of public accountability. Additionally, this research reveals discrepancies in the court</w:t>
      </w:r>
    </w:p>
    <w:p>
      <w:pPr/>
      <w:r>
        <w:rPr>
          <w:b/>
        </w:rPr>
        <w:t>POSSIBLE 2026:</w:t>
      </w:r>
      <w:r>
        <w:t xml:space="preserve"> Constitutional Law Accountability for the Forgery of Public Officials' Documents — https://openalex.org/W7216626058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The authenticity of documents submitted by public officials constitutes a fundamental element of constitutional governance, administrative legitimacy, and the rule of law. In a democratic legal system, official documents serve not merely as administrative requirements but also as instruments that establish public trust and validate the constitutional authority exercised by state officials. The emergence of allegations involving forged educational or identity documents has raised significant constitutional and administrative concerns, as such misconduct extends beyond criminal liability and directly affects the legitimacy of public office and democratic governance. This study aims to examine the forms of constitutional law accountability applicable to public officials involved in document forgery and to analyze the existing mechanisms for administrative verification and legal responsibility within the Indonesian constitutional framework. The research employs a normative legal method using statutory, conceptual, and case approaches. Primary legal materials consist of the 1945 Constitution of the Republic of Indonesia, Law Number 30 of 2014 concerning Government Administration, Law Number 7 of 2017 concerning General Elections, the Indonesian Criminal Code, and relevant electoral regulations, which are examined through qualitative legal analysis using grammatical, systematic, and </w:t>
      </w:r>
    </w:p>
    <w:p>
      <w:pPr/>
      <w:r>
        <w:rPr>
          <w:b/>
        </w:rPr>
        <w:t>POSSIBLE 2026:</w:t>
      </w:r>
      <w:r>
        <w:t xml:space="preserve"> Germany's “Black-Red” Government Alliance Is at A Dead End — https://doi.org/10.20542/0131-2227-2026-70-8-70-81</w:t>
      </w:r>
    </w:p>
    <w:p>
      <w:pPr/>
      <w:r>
        <w:rPr>
          <w:b/>
        </w:rPr>
        <w:t>Shared claim-specific concepts:</w:t>
      </w:r>
      <w:r>
        <w:t xml:space="preserve"> first, government; EU scope visible. This is a provisional connection, not an outcome finding.</w:t>
      </w:r>
    </w:p>
    <w:p>
      <w:pPr>
        <w:pStyle w:val="SourceNote"/>
      </w:pPr>
      <w:r>
        <w:rPr>
          <w:b/>
        </w:rPr>
        <w:t>Available abstract (not full text):</w:t>
      </w:r>
      <w:r>
        <w:t xml:space="preserve"> The article analyzes the attempts of the government alliance led by Chancellor F. Merz to carry out reforms in the country’s domestic and foreign policy. The factors that have a significant impact on the domestic political situation and the international agenda of Berlin, as well as German content in preparation for a possible direct clash between Euro-Atlantic globalists and Russia, are summarized. The academic community in Germany is losing its former research creativity. Competition between different expert centers is encouraged by decision-making bodies with set guidelines; alternative views are censored. As a result, the projects suffer from a monotony; doubts about the reliability of contradictory and often one-sided conclusions, recommendations and prognoses grow. The refusal of German analysts to take a comprehensive approach to the study of global transformations is one of the conceptual reasons for the impasse that has arisen in the modern theory and practice of political thought in Germany, including the Moscow direction. In line with such scientific research, Berlin is strengthening its policy of militarizing Germany and supporting the neo-Banderovites regime. In this context, one should understand the decision of the FRG leadership in April 2026 on a comprehensive defense strategy regarding the responsibility of Germany and its Armed Forces for Europe. The document</w:t>
      </w:r>
    </w:p>
    <w:p>
      <w:pPr/>
      <w:r>
        <w:rPr>
          <w:b/>
        </w:rPr>
        <w:t>POSSIBLE 2026:</w:t>
      </w:r>
      <w:r>
        <w:t xml:space="preserve"> Digital competence of public officials in public governance in the era of digital transformation: empirical evidence and policy implications — https://doi.org/10.23900/ra.v24i114.1018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Currently, digital transformation is taking place rapidly on a global scale, and the digital competence of public officials is increasingly becoming a key determinant of the effectiveness of state governance. This study aims to analyze the impact of public officials’ digital competence on the effectiveness of state governance in the digital era, thereby clarifying the role of human factors in the process of building digital government and modern public governance. The research findings indicate that the digital competence of public officials has a positive and statistically significant impact on the effectiveness of state governance, with data processing capability and technological adaptability emerging as the most influential factors. The study contributes empirical evidence to the field of public governance in the context of digital transformation, while also providing a scientific basis for policymaking on public sector human resource development in the digital era. A limitation of the study lies in its scope and qualitative approach. Future research may expand by integrating both qualitative and quantitative methods, conducting comparative analyses across localities before and after administrative mergers, or further examining the role of emerging technologies such as artificial intelligence in reshaping the digital competence of public officials.</w:t>
      </w:r>
    </w:p>
    <w:p>
      <w:pPr/>
      <w:r>
        <w:rPr>
          <w:b/>
        </w:rPr>
        <w:t>POSSIBLE 2026:</w:t>
      </w:r>
      <w:r>
        <w:t xml:space="preserve"> Trading the first EUA — https://doi.org/10.4324/9781003359739-6</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Claire Byers began her career in natural sciences before shifting focus to environmental markets. In 2002, she joined Dutch utility Nuon as an environmental products trader. At that time, the carbon market was nascent, with no real tradeable emissions market, so their work focussed on government policy monitoring, renewable energy contracts and project risk assessments. Before the European Union Emissions Trading System (ETS) officially launched in 2005, Byers and her team created an initial trade involving EU allowances with Shell in 2003, aiming to establish market credibility rather than profit. The deal faced many operational uncertainties, such as unclear trading mechanisms and unknown prices, so the volume was small and the contract included safeguards in case the ETS changed. The first trade drew public attention and led to efforts to educate industrial companies about trading their allowances. Byers later moved to a bank to expand trading infrastructure and services. She reflects on the challenges of creating effective environmental markets and values holistic approaches that consider ecosystem complexity beyond carbon trading alone.</w:t>
      </w:r>
    </w:p>
    <w:p>
      <w:pPr/>
      <w:r>
        <w:rPr>
          <w:b/>
        </w:rPr>
        <w:t>POSSIBLE 2026:</w:t>
      </w:r>
      <w:r>
        <w:t xml:space="preserve"> Change from within? The strategies used by public officials to advance post-growth approaches — https://doi.org/10.48550/arxiv.2606.24439</w:t>
      </w:r>
    </w:p>
    <w:p>
      <w:pPr/>
      <w:r>
        <w:rPr>
          <w:b/>
        </w:rPr>
        <w:t>Shared claim-specific concepts:</w:t>
      </w:r>
      <w:r>
        <w:t xml:space="preserve"> government, officials, promote; EU scope visible. This is a provisional connection, not an outcome finding.</w:t>
      </w:r>
    </w:p>
    <w:p>
      <w:pPr>
        <w:pStyle w:val="SourceNote"/>
      </w:pPr>
      <w:r>
        <w:rPr>
          <w:b/>
        </w:rPr>
        <w:t>Available abstract (not full text):</w:t>
      </w:r>
      <w:r>
        <w:t xml:space="preserve"> Current societies face interconnected environmental and social crises. Post-growth research argues that addressing these challenges requires a reorganization of society around the priorities of environmental sustainability, social equity, and human wellbeing over economic growth. While scholars highlight the state's potential role in enabling post-growth transformations through changes from within government institutions, post-growth-minded public officials face tensions between aspiring for radical changes of established structures while working within these structures. To understand how public officials across contexts navigate this tension, we ask: How do post-growth-minded public officials promote post-growth approaches in their work? How do the strategies differ between civil servants and elected officials? What do these strategies reveal about the capacity of the state to advance post-growth transformations? To answer these questions, we interviewed 41 post-growth-minded civil servants and elected officials. Interviews covered seven European countries and local to supranational governance scales. We find that public officials aim to influence thinking and discourses as well as decision-making processes and the implementation of policies. Overall, elected officials tend to feel that they can be more outspoken in their activities whereas civil servants are more inclined to </w:t>
      </w:r>
    </w:p>
    <w:p>
      <w:pPr/>
      <w:r>
        <w:rPr>
          <w:b/>
        </w:rPr>
        <w:t>POSSIBLE 2025:</w:t>
      </w:r>
      <w:r>
        <w:t xml:space="preserve"> I CAN SPEAK: LOCAL GOVERNMENT REPRESENTATIVES TO EDUCATE THE PUBLIC TO SPEAK ENGLISH — https://openalex.org/W7216915950</w:t>
      </w:r>
    </w:p>
    <w:p>
      <w:pPr/>
      <w:r>
        <w:rPr>
          <w:b/>
        </w:rPr>
        <w:t>Shared claim-specific concepts:</w:t>
      </w:r>
      <w:r>
        <w:t xml:space="preserve"> government, educate, proficiency; EU scope not established. This is a provisional connection, not an outcome finding.</w:t>
      </w:r>
    </w:p>
    <w:p>
      <w:pPr>
        <w:pStyle w:val="SourceNote"/>
      </w:pPr>
      <w:r>
        <w:rPr>
          <w:b/>
        </w:rPr>
        <w:t>Available abstract (not full text):</w:t>
      </w:r>
      <w:r>
        <w:t xml:space="preserve"> In enhancing the intelligence and knowledge of the community, Diskominfo Wonosobo plays a role in public services in the field of Public Information and Communication. Radio is an ideal learning tool for those with limited access to information. Diskominfo Wonosobo collaborates with educational institutions to produce the radio broadcast program “I Can Speak,” aired by Radio Pesona FM Wonosobo, to learn to speak English. This research aims to identify how Radio Pesona FM, as a local public radio station under Diskominfo Wonosobo, runs the collaboration program. The urgency of the research is to provide insight into how learning communication practices in the context of radio broadcasts in Wonosobo. The research location was chosen due to the originality of the phenomenon and good access to data sources, using participatory observation techniques, focus group discussions and in-depth interviews. Twelve informants were selected by purposive sampling, consisting of listeners, broadcasters, academics and radio management. The research identified that I Can Speak is a platform for students to practice their English speaking and public speaking skills. I Can Speak is also a representative of the local government in serving the community by developing human resources through improving English language proficiency</w:t>
      </w:r>
    </w:p>
    <w:p>
      <w:pPr/>
      <w:r>
        <w:rPr>
          <w:b/>
        </w:rPr>
        <w:t>POSSIBLE 2025:</w:t>
      </w:r>
      <w:r>
        <w:t xml:space="preserve"> Educating and raising public awareness about floods with uniformed high-water marks — https://doi.org/10.5194/ems2025-48</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In the last ten years, the Slovenian Environment Agency, in cooperation with the Association of Slovenian Geographers and Ministries, has implemented an action: placing high-water marks on flooded areas near rivers, lakes, and the sea. The action aims to educate and inform the inhabitants about the natural phenomenon of high waters, improve their knowledge of the regular impoundments of karstic poljes, flooded areas near rivers, lakes, and sea, and raise awareness that, more or less frequently, the water needs its natural extended space —floodplains. The placement of high-water marks on flooded sites links various activities of public institutions, organizations, and local communities to manage water resources and improve flood safety responsibly. Besides the official institutions, local stakeholders are also included in the action because their role is crucial in the bottom-up approach. The local population, schools, local government, and real estate owners are the first whose involvement in the action is needed for their knowledge of the water level situation during floods in the areas. Physical markings as a lasting reminder in space are a part of the process of raising awareness and educating about high waters. Visible and uniformed high-water marks on the field raise awareness of the locals and visitors. Informing, educating, and raising public awareness about water, are o</w:t>
      </w:r>
    </w:p>
    <w:p>
      <w:pPr/>
      <w:r>
        <w:rPr>
          <w:b/>
        </w:rPr>
        <w:t>POSSIBLE 2025:</w:t>
      </w:r>
      <w:r>
        <w:t xml:space="preserve"> Public Officials’ Lies and Their Effects on the Proliferation of Disinformation — https://doi.org/10.1017/9781009373272.008</w:t>
      </w:r>
    </w:p>
    <w:p>
      <w:pPr/>
      <w:r>
        <w:rPr>
          <w:b/>
        </w:rPr>
        <w:t>Shared claim-specific concepts:</w:t>
      </w:r>
      <w:r>
        <w:t xml:space="preserve"> officials, promote; EU scope not established. This is a provisional connection, not an outcome finding.</w:t>
      </w:r>
    </w:p>
    <w:p>
      <w:pPr>
        <w:pStyle w:val="SourceNote"/>
      </w:pPr>
      <w:r>
        <w:rPr>
          <w:b/>
        </w:rPr>
        <w:t>Available abstract (not full text):</w:t>
      </w:r>
      <w:r>
        <w:t xml:space="preserve"> State responses to the recent ‘crisis’ caused by misinformation in social media have mainly aimed to impose liability on those who facilitate its dissemination. Internet companies, especially large platforms, have deployed numerous techniques, measures and instruments to address the phenomenon. However, little has been done to assess the importance of who originates disinformation and, in particular, whether some originators of misinformation are acting contrary to their preexisting obligations to the public. My view is that it would be wrong to attribute only to social media a central or exclusive role in the new disinformation crisis that impacts the information ecosystem. I also believe that disinformation has different effects depending on who promotes it – particularly whether it is promoted by a person with a public role. Importantly, the law of many countries already reflects this distinction – across a variety of contexts, public officials are obligated both to affirmatively provide certain types of information, and to take steps to ensure that information is true. In contrast, private individuals rarely bear analogous obligations; instead, law often protects their misstatements, in order to prevent censorship and promote public discourse.</w:t>
      </w:r>
    </w:p>
    <w:p>
      <w:pPr/>
      <w:r>
        <w:rPr>
          <w:b/>
        </w:rPr>
        <w:t>POSSIBLE 2025:</w:t>
      </w:r>
      <w:r>
        <w:t xml:space="preserve"> Assumptions about behaviour influence the policy preferences of public officials — https://doi.org/10.1080/14719037.2025.2570408</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Public officials often aim to change people’s behaviour to achieve policy goals. Policy design and behavioural perspectives suggest that individual factors such as officials’ assumptions about behaviour — or implicit theories — can influence officials’ policy choices. This pre-registered survey study examines how assumptions about cooperation, behavioural malleability, and self-control influence policy preferences among 1,015 public officials in the Netherlands. Results show that officials who believe in high levels of cooperative behaviour and behavioural malleability support more government intervention, while assumptions about self-control have no significant effect. Additionally, a quasi-experiment with an information-based intervention led officials to update their assumptions towards greater accuracy.</w:t>
      </w:r>
    </w:p>
    <w:p>
      <w:pPr/>
      <w:r>
        <w:rPr>
          <w:b/>
        </w:rPr>
        <w:t>POSSIBLE 2025:</w:t>
      </w:r>
      <w:r>
        <w:t xml:space="preserve"> Environmental Institutional Determinants of Climate Behavior Among Taiwan’s Public Officials — https://doi.org/10.3390/cli13110219</w:t>
      </w:r>
    </w:p>
    <w:p>
      <w:pPr/>
      <w:r>
        <w:rPr>
          <w:b/>
        </w:rPr>
        <w:t>Shared claim-specific concepts:</w:t>
      </w:r>
      <w:r>
        <w:t xml:space="preserve"> officials, literacy; EU scope not established. This is a provisional connection, not an outcome finding.</w:t>
      </w:r>
    </w:p>
    <w:p>
      <w:pPr>
        <w:pStyle w:val="SourceNote"/>
      </w:pPr>
      <w:r>
        <w:rPr>
          <w:b/>
        </w:rPr>
        <w:t>Available abstract (not full text):</w:t>
      </w:r>
      <w:r>
        <w:t xml:space="preserve"> This study investigates how climate change literacy (CCL) and institutional contexts shape the climate-related behaviors of Taiwan’s public officials. Drawing on a 2024 national survey of 1,940 civil servants, we apply hierarchical and comparative regression analyses to examine the relative influence of knowledge, affective dispositions, and organizational supports. Results show that solution-oriented knowledge exerts greater behavioral influence than factual awareness. At the same time, affective resources—particularly self-efficacy and environmental identity—are the strongest and most consistent drivers of engagement. Institutional factors further condition these relationships: central officials’ behaviors are shaped by departmental mandates and bureaucratic constraints, whereas local officials rely more on supervisor support and prior project involvement. These findings integrate literacy research with institutional perspectives, demonstrating that effective climate governance requires both individual agency and enabling organizational contexts. Policy implications include strengthening leadership training, creating experiential learning opportunities, and streamlining administrative structures across governance levels to accelerate climate action.</w:t>
      </w:r>
    </w:p>
    <w:p>
      <w:pPr/>
      <w:r>
        <w:rPr>
          <w:b/>
        </w:rPr>
        <w:t>POSSIBLE 2025:</w:t>
      </w:r>
      <w:r>
        <w:t xml:space="preserve"> Public library services for migrants in national government policies across eight European countries: a comparative analysis — https://doi.org/10.47989/ir30colis52282</w:t>
      </w:r>
    </w:p>
    <w:p>
      <w:pPr/>
      <w:r>
        <w:rPr>
          <w:b/>
        </w:rPr>
        <w:t>Shared claim-specific concepts:</w:t>
      </w:r>
      <w:r>
        <w:t xml:space="preserve"> first, government; EU scope visible. This is a provisional connection, not an outcome finding.</w:t>
      </w:r>
    </w:p>
    <w:p>
      <w:pPr>
        <w:pStyle w:val="SourceNote"/>
      </w:pPr>
      <w:r>
        <w:rPr>
          <w:b/>
        </w:rPr>
        <w:t>Available abstract (not full text):</w:t>
      </w:r>
      <w:r>
        <w:t xml:space="preserve"> Introduction. This study is the first to explore how public library services for migrants are prioritised in national government policies across eight European countries: Denmark, Finland, Germany, Hungary, Iceland, Norway, Poland and Sweden. Method. Using a comparative case study approach, the study analyses national library and immigration policy documents from the 1970s to the present, with qualitative content analysis identifying key themes and policy developments. Analysis. The research examines policy trends, recurring themes and country-specific differences, focusing on library services for migrants in national policies. Results. The study highlights variations in how library services are incorporated into national migration policies, and how library services for migrants are included in national library policies. Influencing factors include economic migration, humanitarian crises and policy shifts. Finland, Norway and Sweden have comprehensive national policies, while Denmark and Iceland have largely relied on local initiatives, and Hungary, Germany and Poland offer limited guidance. Conclusion. This paper lays the groundwork for future research, suggesting in-depth case studies to examine national challenges and the alignment between national policies and local practices.</w:t>
      </w:r>
    </w:p>
    <w:p>
      <w:pPr>
        <w:pStyle w:val="Heading2"/>
      </w:pPr>
      <w:r>
        <w:t>586. Are Carbon Prices Redundant in the 2030 EU Climate and Energy Policy Package?</w:t>
      </w:r>
    </w:p>
    <w:p>
      <w:pPr>
        <w:pStyle w:val="SourceNote"/>
      </w:pPr>
      <w:r>
        <w:rPr>
          <w:b/>
        </w:rPr>
        <w:t>Original source (2021):</w:t>
      </w:r>
      <w:r>
        <w:t xml:space="preserve"> https://doi.org/10.5547/01956574.42.3.faun</w:t>
      </w:r>
    </w:p>
    <w:p>
      <w:pPr/>
      <w:r>
        <w:t>Original wording (abstract; indexed_source_text_not_full_document_verified):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POSSIBLE 2026:</w:t>
      </w:r>
      <w:r>
        <w:t xml:space="preserve"> Energy policy and economic security: a comparison of Europe and Asia — https://doi.org/10.33223/epj/207199</w:t>
      </w:r>
    </w:p>
    <w:p>
      <w:pPr/>
      <w:r>
        <w:rPr>
          <w:b/>
        </w:rPr>
        <w:t>Shared claim-specific concepts:</w:t>
      </w:r>
      <w:r>
        <w:t xml:space="preserve"> demonstrate, key;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From Policy to Practice: European Funding and the Development of Energy-Efficient Buildings in Romania’s Mountain Regions — https://doi.org/10.3390/buildings16061161</w:t>
      </w:r>
    </w:p>
    <w:p>
      <w:pPr/>
      <w:r>
        <w:rPr>
          <w:b/>
        </w:rPr>
        <w:t>Shared claim-specific concepts:</w:t>
      </w:r>
      <w:r>
        <w:t xml:space="preserve"> emissions, reduction, annual; EU scope visible. This is a provisional connection, not an outcome finding.</w:t>
      </w:r>
    </w:p>
    <w:p>
      <w:pPr>
        <w:pStyle w:val="SourceNote"/>
      </w:pPr>
      <w:r>
        <w:rPr>
          <w:b/>
        </w:rPr>
        <w:t>Available abstract (not full text):</w:t>
      </w:r>
      <w:r>
        <w:t xml:space="preserve"> The European Union’s transition to climate neutrality by 2050 requires measurable reductions in energy consumption and greenhouse gas emissions, especially in territories characterized by geographical constraints, such as mountainous regions. The study analyzes how European funding guidelines are translated into concrete technical interventions for public buildings in mountainous areas of Romania, using a representative case study from Rodna, Bistrița-Năsăud County. The methodology is based on the national energy performance calculation framework (Mc 001/2022), harmonized with Directive 2010/31/EU and aligned with the EN ISO 52016-1 framework, while maintaining compatibility with the quasi-steady-state methodology implemented in MC 001/2022, and includes the assessment of compliance with the “Do No Significant Harm” (DNSH) principle also. The integrated energy rehabilitation of the analyzed building led to reductions in final energy consumption of 30–45%, primary energy consumption of 40–45%, and operational CO2 emissions of 45–50%. The integration of renewable energy sources increased their share to approximately 35% of the building’s energy mix. The estimated annual reduction of 40–45 tons of CO2 highlights the direct climate impact of investments financed from European funds. The results confirm that European funding instruments function not only as financial mechanisms, but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increase, relative, between;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From runoff to circular resource: an integrated optimization framework for cost, energy, and GHG performance in urban stormwater systems — https://doi.org/10.1038/s41545-026-00585-4</w:t>
      </w:r>
    </w:p>
    <w:p>
      <w:pPr/>
      <w:r>
        <w:rPr>
          <w:b/>
        </w:rPr>
        <w:t>Shared claim-specific concepts:</w:t>
      </w:r>
      <w:r>
        <w:t xml:space="preserve"> ghg, emissions, annual, between, key; EU scope not established. This is a provisional connection, not an outcome finding.</w:t>
      </w:r>
    </w:p>
    <w:p>
      <w:pPr>
        <w:pStyle w:val="SourceNote"/>
      </w:pPr>
      <w:r>
        <w:rPr>
          <w:b/>
        </w:rPr>
        <w:t>Available abstract (not full text):</w:t>
      </w:r>
      <w:r>
        <w:t xml:space="preserve"> Stormwater reuse is a key strategy for advancing integrated urban water management under the One Water framework, yet identifying sustainable treatment trains remains challenging due to trade-offs among cost, energy, and emissions. This study presents an integrated techno-economic and environmental optimization framework to identify optimal end-use-specific stormwater treatment systems for the eastern United States. A mixed-integer nonlinear programming superstructure integrates cost, energy, and life cycle greenhouse gas emissions data for a suite of technologies—including coagulation, sedimentation, constructed wetlands, filtration, membranes, and disinfection—across five end uses: drinking, industrial, irrigation, infrastructure, and surface-water recharge. Results reveal that cost-optimal treatment trains generally align with emission-optimal trains for drinking water, irrigation, and infrastructure, as treatment flexibility is constrained by either stringent (drinking water) or lenient (irrigation, infrastructure) quality requirements that limit flexibility. Industrial and surface-water recharge pathways exhibit greater differentiation among objectives, reflecting trade-offs between costs and emissions. Under typical influent conditions, levelized costs range from $0.06–$0.20 m⁻³, life cycle GHG emissions from 0.14–0.35 kg CO₂-eq m⁻³, and energy consumption from 0.3–0.8 kW</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key, institutions;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The Rise of European Housing Policy — https://doi.org/10.24834/isbn.9789178777341</w:t>
      </w:r>
    </w:p>
    <w:p>
      <w:pPr/>
      <w:r>
        <w:rPr>
          <w:b/>
        </w:rPr>
        <w:t>Shared claim-specific concepts:</w:t>
      </w:r>
      <w:r>
        <w:t xml:space="preserve"> institutions, commission; EU scope visible. This is a provisional connection, not an outcome finding.</w:t>
      </w:r>
    </w:p>
    <w:p>
      <w:pPr>
        <w:pStyle w:val="SourceNote"/>
      </w:pPr>
      <w:r>
        <w:rPr>
          <w:b/>
        </w:rPr>
        <w:t>Available abstract (not full text):</w:t>
      </w:r>
      <w:r>
        <w:t xml:space="preserve"> In December 2025, the European Commission presented its first-ever European Affordable Housing Plan (EAHP). The plan comes as a direct response to the ongoing European housing crisis—a crisis permeated by rising house prices and rents which has made housing increasingly unaffordable. Arguably, the announcement of the plan reflects an amplified presence of the EU in housing matter, a policy field which is not a formal EU competence. This report provides a snapshot of the development and announcement of EAHP by mapping perspectives from various EU institutions, political actors and other stakeholders. It examines how housing problems and solutions are framed at the European level and explores how emerging European housing policy can be understood in a Swedish context. The findings show a multifaceted European effort, attempting to tackle the crisis in a broad manner. However, the EAHP lacks detail and remains rather ambiguous in many of its policy interventions; it often refers to initiatives already in play, or, to unfinished strategies and additional plans expected to come later. The changes to state aid rules are presented as one of the most concrete actions, nevertheless, their applicability in Sweden is questioned. Ultimately, the report concludes that it is difficult to assess the outcomes of a strengthened European housing policy, as the presented plan is only an initial s</w:t>
      </w:r>
    </w:p>
    <w:p>
      <w:pPr/>
      <w:r>
        <w:rPr>
          <w:b/>
        </w:rPr>
        <w:t>POSSIBLE 2026:</w:t>
      </w:r>
      <w:r>
        <w:t xml:space="preserve"> Progressive Industrial Policy in Europe — https://doi.org/10.4324/9781003745563</w:t>
      </w:r>
    </w:p>
    <w:p>
      <w:pPr/>
      <w:r>
        <w:rPr>
          <w:b/>
        </w:rPr>
        <w:t>Shared claim-specific concepts:</w:t>
      </w:r>
      <w:r>
        <w:t xml:space="preserve"> reference, key; EU scope visible. This is a provisional connection, not an outcome finding.</w:t>
      </w:r>
    </w:p>
    <w:p>
      <w:pPr>
        <w:pStyle w:val="SourceNote"/>
      </w:pPr>
      <w:r>
        <w:rPr>
          <w:b/>
        </w:rPr>
        <w:t>Available abstract (not full text):</w:t>
      </w:r>
      <w:r>
        <w:t xml:space="preserve"> Amid accelerating global warming, the digital revolution and rising geopolitical tensions, industrial policy has taken centre-stage in EU policymaking. Consequently, initiatives such as the Green Deal Industrial Plan, the CHIPS &amp; Science Act, the Important Projects of Common European Interest (IPCEIs) and the InvestAI initiative have been developed or proposed recently. Meanwhile, by reintroducing competitiveness and security as primary objectives for industrial policy, European policymakers appear to backtrack on the social and environmental agenda, while not effectively addressing critical governance deficits and financing gaps. European industrial policy is thus at a critical juncture, and its strategic trajectory is currently under discussion. The volume intervenes into current industrial policy debates from a critical perspective. Achieving sustainable, inclusive and effective industrial policy depends on embracing a progressive approach that prioritises broad stakeholder engagement, effective governance and accelerated implementation, instead of a push for rearmament and geopolitical competition. Progressive Industrial Policy in Europe serves as a key reference for scholars and students in a diverse range of academic disciplines. The volume is also intended for researchers active at trade unions, think tanks and NGOs, along with policymakers and specialised civil servants</w:t>
      </w:r>
    </w:p>
    <w:p>
      <w:pPr/>
      <w:r>
        <w:rPr>
          <w:b/>
        </w:rPr>
        <w:t>POSSIBLE 2026:</w:t>
      </w:r>
      <w:r>
        <w:t xml:space="preserve"> Ten questions concerning operational greenhouse gas (GHG) emissions accounting for electricity use in buildings — https://doi.org/10.1016/j.buildenv.2026.114689</w:t>
      </w:r>
    </w:p>
    <w:p>
      <w:pPr/>
      <w:r>
        <w:rPr>
          <w:b/>
        </w:rPr>
        <w:t>Shared claim-specific concepts:</w:t>
      </w:r>
      <w:r>
        <w:t xml:space="preserve"> ghg, emissions, reference, between, key; EU scope not established. This is a provisional connection, not an outcome finding.</w:t>
      </w:r>
    </w:p>
    <w:p>
      <w:pPr>
        <w:pStyle w:val="SourceNote"/>
      </w:pPr>
      <w:r>
        <w:rPr>
          <w:b/>
        </w:rPr>
        <w:t>Available abstract (not full text):</w:t>
      </w:r>
      <w:r>
        <w:t xml:space="preserve"> As building codes, standards, and rating systems increasingly require greenhouse gas (GHG) reporting across the building life cycle, the need for robust and decision-relevant methods for operational carbon accounting has become critical. This paper addresses operational GHG emissions accounting for buildings, with a particular focus on electricity use, which has emerged as the dominant energy carrier as building electrification accelerates. Structured around ten guiding questions, the paper first examines the institutional and conceptual foundations of operational GHG accounting, reviewing commonly used frameworks and standards, and identifying key gaps related to electricity emissions accounting. It then clarifies the distinction between attributional and consequential accounting perspectives and discusses how this choice influences the selection and interpretation of electricity emissions factors across different applications. The paper next explores electricity emissions factors, including the types of factors available, their calculation methods, data requirements, and sources of historical, real-time, and forecasted emissions signals. It highlights how grid dynamics—such as variable renewable energy deployment and spatial and temporal variation in electricity generation—affect marginal and average emissions estimates, and discusses approaches for evaluating the accuracy of</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ghg, emissions, annual, relative;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ghg, emissions;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Connecting Europe through hydrogen: Cost allocation analysis of cross-border pipeline coalitions under varying subsidy policies — https://doi.org/10.1016/j.enpol.2026.115492</w:t>
      </w:r>
    </w:p>
    <w:p>
      <w:pPr/>
      <w:r>
        <w:rPr>
          <w:b/>
        </w:rPr>
        <w:t>Shared claim-specific concepts:</w:t>
      </w:r>
      <w:r>
        <w:t xml:space="preserve"> increase, key; EU scope visible. This is a provisional connection, not an outcome finding.</w:t>
      </w:r>
    </w:p>
    <w:p>
      <w:pPr>
        <w:pStyle w:val="SourceNote"/>
      </w:pPr>
      <w:r>
        <w:rPr>
          <w:b/>
        </w:rPr>
        <w:t>Available abstract (not full text):</w:t>
      </w:r>
      <w:r>
        <w:t xml:space="preserve"> Low-carbon hydrogen can contribute to decarbonization, diversification, and energy security. Today, planning and design for low-carbon hydrogen supply chains are underway with ambitious goals for 2030-2040. The regional availability of renewable sources will require the efficient transportation of green hydrogen from producers to consumers. To increase connectivity, the European Hydrogen Backbone vision proposes developing new and repurposed hydrogen pipelines, which will require massive investment. Continental implementation requires both international coordination and cooperation, and financial subsidies can help reduce the risks associated with demand uncertainty and long-term returns. While implementers see energy policy and regulation as key enablers, policymakers seek the most efficient allocation of resources. This paper explores the impact of subsidies on cross-border pipeline project coalitions. The methodology is applied to HyCorridorE (a European south-eastern corridor) and uses cooperative game theory (core solution). Simple rules and subsidy scenarios (30% and 50%, fixed or progressive) are deployed to assess cost allocation, coalition stability, and satisfaction levels. Fixed-rate subsidies threaten coalition stability by favoring smaller alliances, while progressive designs foster cohesive, large-scale cooperation. Since simple rules fail to optimize allocation, </w:t>
      </w:r>
    </w:p>
    <w:p>
      <w:pPr>
        <w:pStyle w:val="Heading2"/>
      </w:pPr>
      <w:r>
        <w:t>587. Are the European manufacturing and energy sectors on track for achieving net-zero emissions in 2050? An empirical analysis</w:t>
      </w:r>
    </w:p>
    <w:p>
      <w:pPr>
        <w:pStyle w:val="SourceNote"/>
      </w:pPr>
      <w:r>
        <w:rPr>
          <w:b/>
        </w:rPr>
        <w:t>Original source (2021):</w:t>
      </w:r>
      <w:r>
        <w:t xml:space="preserve"> https://doi.org/10.1016/j.enpol.2021.112464</w:t>
      </w:r>
    </w:p>
    <w:p>
      <w:pPr/>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POSSIBLE 2026:</w:t>
      </w:r>
      <w:r>
        <w:t xml:space="preserve"> Achieving SDG6 for Sustainable Water Supply and Wastewater Management in Southeastern Europe — https://doi.org/10.64697/iahr-apd2024_p559</w:t>
      </w:r>
    </w:p>
    <w:p>
      <w:pPr/>
      <w:r>
        <w:rPr>
          <w:b/>
        </w:rPr>
        <w:t>Shared claim-specific concepts:</w:t>
      </w:r>
      <w:r>
        <w:t xml:space="preserve"> findings, highlight, achieving, policies, support, established; EU scope visible. This is a provisional connection, not an outcome finding.</w:t>
      </w:r>
    </w:p>
    <w:p>
      <w:pPr>
        <w:pStyle w:val="SourceNote"/>
      </w:pPr>
      <w:r>
        <w:rPr>
          <w:b/>
        </w:rPr>
        <w:t>Available abstract (not full text):</w:t>
      </w:r>
      <w:r>
        <w:t xml:space="preserve">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pPr/>
      <w:r>
        <w:rPr>
          <w:b/>
        </w:rPr>
        <w:t>POSSIBLE 2026:</w:t>
      </w:r>
      <w:r>
        <w:t xml:space="preserve"> Achieving SDG 7 in the European Union: The Impact of Institutions and Macroeconomic Factors on Energy Conservation — https://doi.org/10.1002/sd.71042</w:t>
      </w:r>
    </w:p>
    <w:p>
      <w:pPr/>
      <w:r>
        <w:rPr>
          <w:b/>
        </w:rPr>
        <w:t>Shared claim-specific concepts:</w:t>
      </w:r>
      <w:r>
        <w:t xml:space="preserve"> findings, achieving, policies, support; EU scope visible. This is a provisional connection, not an outcome finding.</w:t>
      </w:r>
    </w:p>
    <w:p>
      <w:pPr>
        <w:pStyle w:val="SourceNote"/>
      </w:pPr>
      <w:r>
        <w:rPr>
          <w:b/>
        </w:rPr>
        <w:t>Available abstract (not full text):</w:t>
      </w:r>
      <w:r>
        <w:t xml:space="preserve">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findings, policies, support, green, deal;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findings, emissions, policies;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Can a wealth tax reduce CO2 emissions in Europe? — https://doi.org/10.1016/j.ecolecon.2026.109231</w:t>
      </w:r>
    </w:p>
    <w:p>
      <w:pPr/>
      <w:r>
        <w:rPr>
          <w:b/>
        </w:rPr>
        <w:t>Shared claim-specific concepts:</w:t>
      </w:r>
      <w:r>
        <w:t xml:space="preserve"> findings, highlight, emissions,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Drivers of carbon emissions in Europe: asymmetric and distributional analysis — https://doi.org/10.1057/s41599-026-08162-3</w:t>
      </w:r>
    </w:p>
    <w:p>
      <w:pPr/>
      <w:r>
        <w:rPr>
          <w:b/>
        </w:rPr>
        <w:t>Shared claim-specific concepts:</w:t>
      </w:r>
      <w:r>
        <w:t xml:space="preserve"> findings, highlight, emissions, policies, also, support; EU scope visible. This is a provisional connection, not an outcome finding.</w:t>
      </w:r>
    </w:p>
    <w:p>
      <w:pPr>
        <w:pStyle w:val="SourceNote"/>
      </w:pPr>
      <w:r>
        <w:rPr>
          <w:b/>
        </w:rPr>
        <w:t>Available abstract (not full text):</w:t>
      </w:r>
      <w:r>
        <w:t xml:space="preserve"> This study on European countries highlights how environmental fiscal policies, innovation, and renewable energy adoption can support long-term decarbonization. This impact is assessed on CO 2 emissions across 24 European economies from 2000 to 2024 using chaotic, asymmetric, and distributional models to capture complex policy responses. The estimates suggest that environmental taxation and spending consistently lower CO 2 emissions, with effects that are substantially stronger in high-emission countries; a 1% increase in environmental spending reduces emissions by more than 6% in the long run. Similarly, a 1% increase in renewable energy consumption reduces emissions by over 9%, while a comparable rise in innovation lowers emissions by around 8%, underscoring the importance of technological progress. Low-carbon technology trade also contributes to mitigation, although its effectiveness is shaped by each country’s absorptive capacity and trade structure. Across all models, adverse policy shocks, such as cuts in environmental spending or reductions in environmental taxes, produce disproportionately larger increases in emissions, underscoring the risks of policy reversals. By integrating chaotic dynamics with asymmetric and distributional analysis, this study provides a more comprehensive framework for understanding policy effectiveness. The findings highlight the need for stable </w:t>
      </w:r>
    </w:p>
    <w:p>
      <w:pPr/>
      <w:r>
        <w:rPr>
          <w:b/>
        </w:rPr>
        <w:t>POSSIBLE 2026:</w:t>
      </w:r>
      <w:r>
        <w:t xml:space="preserve"> H5N1 Transmission Dynamics in Europe: An Endemic-Epidemic Analysis — https://doi.org/10.5281/zenodo.20194753</w:t>
      </w:r>
    </w:p>
    <w:p>
      <w:pPr/>
      <w:r>
        <w:rPr>
          <w:b/>
        </w:rPr>
        <w:t>Shared claim-specific concepts:</w:t>
      </w:r>
      <w:r>
        <w:t xml:space="preserve"> findings, additional, also, support; EU scope visible. This is a provisional connection, not an outcome finding.</w:t>
      </w:r>
    </w:p>
    <w:p>
      <w:pPr>
        <w:pStyle w:val="SourceNote"/>
      </w:pPr>
      <w:r>
        <w:rPr>
          <w:b/>
        </w:rPr>
        <w:t>Available abstract (not full text):</w:t>
      </w:r>
      <w:r>
        <w:t xml:space="preserve"> Highly Pathogenic Avian Influenza H5N1 has caused repeated outbreaks across Europe since 2021, highlighting the need for quantitative frameworks that can support forecasting outbreak dynamics while accounting for temporal and spatial dependence in reported outbreak activity. We developed a spatio-temporal endemic-epidemic model using weekly H5N1 outbreak data from 37 European countries over 208 weeks (2021-2024). A structured feature selection framework was used to screen ecological, environmental, livestock, and anthropogenic covariates and allocate retained predictors across the endemic, autoregressive, and neighbourhood components. Model development and validation were temporally separated, and the final specification was evaluated on an independent 2024 test period against regression baselines and reduced HHH4 models. The final model retained 11 predictors, including several avian community variables together with environmental, livestock, and anthropogenic factors. The autoregressive component accounted for the largest share of fitted incidence, followed by the neighbourhood and endemic components, indicating that recent within-country outbreak activity provided the strongest predictive information while neighbouring-country activity contributed additional value. The proposed HHH4 model achieved the best overall probabilistic predictive performance among the models evaluat</w:t>
      </w:r>
    </w:p>
    <w:p>
      <w:pPr/>
      <w:r>
        <w:rPr>
          <w:b/>
        </w:rPr>
        <w:t>POSSIBLE 2026:</w:t>
      </w:r>
      <w:r>
        <w:t xml:space="preserve"> ACHIEVING SDG 11 IN EUROPE: ASSESSING THE ROLE OF ENERGY USE AND CARBON FOOTPRINTS IN SHAPING SUSTAINABLE CITIES AND COMMUNITIES — https://doi.org/10.15666/aeer/2404_84718505</w:t>
      </w:r>
    </w:p>
    <w:p>
      <w:pPr/>
      <w:r>
        <w:rPr>
          <w:b/>
        </w:rPr>
        <w:t>Shared claim-specific concepts:</w:t>
      </w:r>
      <w:r>
        <w:t xml:space="preserve"> findings, highlight, achieving, emissions, also; EU scope visible. This is a provisional connection, not an outcome finding.</w:t>
      </w:r>
    </w:p>
    <w:p>
      <w:pPr>
        <w:pStyle w:val="SourceNote"/>
      </w:pPr>
      <w:r>
        <w:rPr>
          <w:b/>
        </w:rPr>
        <w:t>Available abstract (not full text):</w:t>
      </w:r>
      <w:r>
        <w:t xml:space="preserve"> Using panel data covering 30 European countries from 2010 to 2024, the study investigates how energy consumption patterns and economic factors influence carbon intensity of GDP, greenhouse gas emissions, and urban sustainability outcomes. The empirical analysis applies panel econometric techniques, including pooled ordinary least squares (OLS), fixed effects (FE), and random effects (RE) models, to examine the relationships between energy use, renewable energy adoption, trade openness, economic growth, and environmental outcomes. The findings show that total energy use significantly increases carbon intensity and greenhouse gas emissions, indicating continued reliance on carbon-intensive energy systems. In contrast, higher per capita energy use and greater reliance on renewable energy sources contribute to reducing carbon intensity and improving urban sustainability outcomes. Trade openness is also found to increase emissions, suggesting the presence of pollution-intensive production patterns linked to global trade integration. In addition, climate-related government spending and renewable energy expansion demonstrate potential in mitigating emissions and supporting sustainable urban development. In conclusion, the results highlight the importance of improving energy efficiency and accelerating renewable energy transitions to achieve sustainable urban development and strengthen</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findings, achieving, also, not, climate;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findings, policies, support;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2026:</w:t>
      </w:r>
      <w:r>
        <w:t xml:space="preserve"> Assisted Migration and Large-Scale Restoration in Europe Would Require Over 100 Billion Seedlings — https://doi.org/10.5194/egusphere-egu26-22570</w:t>
      </w:r>
    </w:p>
    <w:p>
      <w:pPr/>
      <w:r>
        <w:rPr>
          <w:b/>
        </w:rPr>
        <w:t>Shared claim-specific concepts:</w:t>
      </w:r>
      <w:r>
        <w:t xml:space="preserve"> findings, highlight, require, climate; EU scope visible. This is a provisional connection, not an outcome finding.</w:t>
      </w:r>
    </w:p>
    <w:p>
      <w:pPr>
        <w:pStyle w:val="SourceNote"/>
      </w:pPr>
      <w:r>
        <w:rPr>
          <w:b/>
        </w:rPr>
        <w:t>Available abstract (not full text):</w:t>
      </w:r>
      <w:r>
        <w:t xml:space="preserve"> Climate change is expected to profoundly alter the climatic suitability of tree species across Europe, necessitating large-scale reforestation and assisted migration to maintain forest ecosystem services. Here, we present a pan-European projection of potential seedling requirements under assisted migration across three reforestation strategies: conifer-preferred, broadleaf-preferred, and promotion of natural regeneration. Our simulations show that under the moderate-emission scenario (RCP4.5), total seedling requirements range from ~92 billion under the natural-regeneration-oriented strategy to ~144 billion when broadleaves are prioritized. Under the high-emission scenario (RCP8.5), demand rises substantially, reaching up to ~192 billion seedlings across the landscape.Temporal patterns differ between scenarios. Under RCP4.5, seedling requirements are highest early in the century, with 2035 totals of ~69–72 billion for replacement-focused strategies and ~47 billion for the natural regeneration scenario, declining steadily toward 2095. In contrast, RCP8.5 projections peak at the end of the century, reaching ~76–82 billion seedlings for replacement-focused strategies and ~50 billion under natural regeneration.Species composition of projected demand varies with reforestation strategy. In the conifer replacement strategy, silver fir, Scots pine, and black pine dominate, together req</w:t>
      </w:r>
    </w:p>
    <w:p>
      <w:pPr/>
      <w:r>
        <w:rPr>
          <w:b/>
        </w:rPr>
        <w:t>POSSIBLE 2026:</w:t>
      </w:r>
      <w:r>
        <w:t xml:space="preserve"> From emissions to illness: aviation and transport pollution and respiratory mortality in Europe — https://doi.org/10.3846/aviation.2026.26800</w:t>
      </w:r>
    </w:p>
    <w:p>
      <w:pPr/>
      <w:r>
        <w:rPr>
          <w:b/>
        </w:rPr>
        <w:t>Shared claim-specific concepts:</w:t>
      </w:r>
      <w:r>
        <w:t xml:space="preserve"> findings, highlight, emissions, also, support; EU scope visible. This is a provisional connection, not an outcome finding.</w:t>
      </w:r>
    </w:p>
    <w:p>
      <w:pPr>
        <w:pStyle w:val="SourceNote"/>
      </w:pPr>
      <w:r>
        <w:rPr>
          <w:b/>
        </w:rPr>
        <w:t>Available abstract (not full text):</w:t>
      </w:r>
      <w:r>
        <w:t xml:space="preserve"> This study explores the association between aviation-related CO₂ emissions and asthma mortality in 15 European Union countries with the highest levels of air traffic between 2008 and 2021. The analysis finds a strong and statistically significant relationship: a 1% increase in aviation emissions is linked to up to a 0.125% rise in asthma-related deaths, underscoring the hidden public health burden of air transport pollution. Emissions from road transport and industrial activity also exhibit strong long-run effects; notably, a 1% rise in road transport emissions corresponds to a 0.79% increase in asthma mortality. Economic expansion, measured by GDP, is indirectly associated with higher asthma mortality, likely through increased demand for aviation and growing urban density. Urban population growth itself is also linked to heightened asthma risks in both the short and long term. These findings highlight the health risks posed by transport emissions and support the need for stronger environmental and public health policy responses. Recommended measures include enhancing emission limits for aviation, promoting sustainable aviation fuels, and integrating air quality indicators into urban and transport planning.</w:t>
      </w:r>
    </w:p>
    <w:p>
      <w:pPr>
        <w:pStyle w:val="Heading2"/>
      </w:pPr>
      <w:r>
        <w:t>588. Assessing Energy Descent Scenarios for the Ecological Transition in Spain 2020–2030</w:t>
      </w:r>
    </w:p>
    <w:p>
      <w:pPr>
        <w:pStyle w:val="SourceNote"/>
      </w:pPr>
      <w:r>
        <w:rPr>
          <w:b/>
        </w:rPr>
        <w:t>Original source (2021):</w:t>
      </w:r>
      <w:r>
        <w:t xml:space="preserve"> https://doi.org/10.3390/su132111867</w:t>
      </w:r>
    </w:p>
    <w:p>
      <w:pPr/>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POSSIBLE 2026:</w:t>
      </w:r>
      <w:r>
        <w:t xml:space="preserve"> OC7 From regulation to implementation: a cross-country ecological analysis of HIV testing frameworks and late diagnosis in Europe — https://doi.org/10.1136/sextrans-icar-2026.6</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two, spain, between;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European Center-Left Parties and Immigration Issues (Examples of Britain, Germany and Spain — https://doi.org/10.20542/0131-2227-2026-70-9-57-65</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The topic of immigration has become one of the most urgent and painful in European politics. With the growing popularity of anti-immigrant populist movements, a number of European center-left parties are trying to find a balance between adhering to traditional migration policies and attempting not to alienate the electorate dissatisfied with immigration processes. The article examines the specifics of the immigration policy of the three parties – in the governments of Great Britain (Labour Party), Germany (Social Democratic Party of Germany, SPD) and Spain (Spanish Socialist Workers’ Party, PSOE). The parties discussed in the article demonstrate, in the author’s opinion, two models of reaction to immigration-related challenges. The Labour Party and the SPD continue – largely, as it seems, by inertia – to repeat “mantras” about a positive attitude towards immigration, but actually pursue a policy to limit migration to Britain and Germany to one extent or another. At the same time, the Labour Party is acting, in the author’s view, more consistently than the SPD, who are part of the coalition governments (especially as a junior partner), forced to compromise with the more rigid position of the Christian Democrats. Another model is represented by the PSOE, which is trying to take control of immigration processes by very soft and favorable methods for immigrants (including illegal o</w:t>
      </w:r>
    </w:p>
    <w:p>
      <w:pPr/>
      <w:r>
        <w:rPr>
          <w:b/>
        </w:rPr>
        <w:t>POSSIBLE 2026:</w:t>
      </w:r>
      <w:r>
        <w:t xml:space="preserve"> Age, income, education and religiosity in Europe: evidence from the last two decades — https://doi.org/10.1007/s12232-026-00536-y</w:t>
      </w:r>
    </w:p>
    <w:p>
      <w:pPr/>
      <w:r>
        <w:rPr>
          <w:b/>
        </w:rPr>
        <w:t>Shared claim-specific concepts:</w:t>
      </w:r>
      <w:r>
        <w:t xml:space="preserve"> two, between; EU scope visible. This is a provisional connection, not an outcome finding.</w:t>
      </w:r>
    </w:p>
    <w:p>
      <w:pPr>
        <w:pStyle w:val="SourceNote"/>
      </w:pPr>
      <w:r>
        <w:rPr>
          <w:b/>
        </w:rPr>
        <w:t>Available abstract (not full text):</w:t>
      </w:r>
      <w:r>
        <w:t xml:space="preserve"> Abstract This study explores how individual and regional factors influence religiosity across Europe, focusing on education, income, age, and health as institutional drivers. Testing three sociological hypotheses, we find that education has a U-shaped effect on religious engagement, while age, health, and relative income significantly predict religiosity. Regional economic and educational contexts show no consistent influence. Our findings contribute to institutional economics by illuminating how education and income shape cultural norms and collective belief systems, underscoring the enduring interplay between personal conditions and institutional structures in shaping religious behavior. JEL numbers: Z12, A13.</w:t>
      </w:r>
    </w:p>
    <w:p>
      <w:pPr/>
      <w:r>
        <w:rPr>
          <w:b/>
        </w:rPr>
        <w:t>POSSIBLE 2026:</w:t>
      </w:r>
      <w:r>
        <w:t xml:space="preserve"> Transition to the Green Economy. A Comparative Analysis of the European Program Life in Romania and Spain on the Greenhouse Gas Emissions — https://doi.org/10.25115/h29ty930</w:t>
      </w:r>
    </w:p>
    <w:p>
      <w:pPr/>
      <w:r>
        <w:rPr>
          <w:b/>
        </w:rPr>
        <w:t>Shared claim-specific concepts:</w:t>
      </w:r>
      <w:r>
        <w:t xml:space="preserve"> continue, two, transition, spain, between, green; EU scope visible. This is a provisional connection, not an outcome finding.</w:t>
      </w:r>
    </w:p>
    <w:p>
      <w:pPr>
        <w:pStyle w:val="SourceNote"/>
      </w:pPr>
      <w:r>
        <w:rPr>
          <w:b/>
        </w:rPr>
        <w:t>Available abstract (not full text):</w:t>
      </w:r>
      <w:r>
        <w:t xml:space="preserve"> Rising greenhouse gas emissions have led to extreme weather events, which have become increasingly frequent in recent years. These have serious consequences for people's lives and the global economy. In 2023, the European Union was the fourth largest emitter of greenhouse gases in the world. It is against this background that the Union is proposing a European Green Deal, aiming for climate neutrality, resource efficiency and economic competitiveness by 2050. This paper studies the impact of the European LIFE program which is one of the funding mechanisms of the Green Deal on the reduction of greenhouse gas emissions, focusing on the case study of Romania and Spain. The main aim is to determine whether LIFE funding contributes significantly to emission reductions by using econometric modeling to analyze various factors influencing emissions in the two selected countries, taking into account their socio-economic differences. The results of such a comparison between an economically developed country in Western Europe and an emerging economy in Eastern Europe may provide valuable insights into the impact of the EU's efforts to transition to a green economy, as well as the factors that continue to influence emissions in these distinct economies.</w:t>
      </w:r>
    </w:p>
    <w:p>
      <w:pPr/>
      <w:r>
        <w:rPr>
          <w:b/>
        </w:rPr>
        <w:t>POSSIBLE 2026:</w:t>
      </w:r>
      <w:r>
        <w:t xml:space="preserve"> Kuramoto Phase Synchronization in Regional Epidemic Dynamics: Two Test Cases from European COVID-19 and Influenza Surveillance — https://doi.org/10.48550/arxiv.2609.06899</w:t>
      </w:r>
    </w:p>
    <w:p>
      <w:pPr/>
      <w:r>
        <w:rPr>
          <w:b/>
        </w:rPr>
        <w:t>Shared claim-specific concepts:</w:t>
      </w:r>
      <w:r>
        <w:t xml:space="preserve"> two, between; EU scope visible. This is a provisional connection, not an outcome finding.</w:t>
      </w:r>
    </w:p>
    <w:p>
      <w:pPr>
        <w:pStyle w:val="SourceNote"/>
      </w:pPr>
      <w:r>
        <w:rPr>
          <w:b/>
        </w:rPr>
        <w:t>Available abstract (not full text):</w:t>
      </w:r>
      <w:r>
        <w:t xml:space="preserve"> We test whether the Kuramoto model quantitatively describes spatial synchronization in regional epidemic waves, using daily COVID-19 incidence for 400 German \emph{Kreise} (2021--2023) and weekly ILI rates for 12 European countries (ECDC, 2021--2026). Bandpass filtering and Hilbert-transform phase extraction yield high global order parameters ($\langle r\rangle\approx0.87$ for Germany; $\langle r\rangle\approx0.97$ for Europe), yet both are dominated by a common-mode driver rather than pairwise local coupling. Removing the common mode reveals genuine short-range synchronization: an exponentially decaying residual local order with correlation length $ξ=152\pm6$~km in Germany, and a significant neighbor-vs.-non-neighbor contrast (Mann--Whitney $p=0.005$) in the European panel. We interpret this convergent pattern across two diseases and two spatial scales as a universal two-scale structure: a long-range common-mode field superimposed on shorter-range diffusive coupling. Cross-validation against a companion gauge-mediated Doi--Peliti framework shows that district-level effective screening mass $m_R$ is uncorrelated with local~$r$ (null result), the national $(m_R,r)$ phase portrait independently reproduces a previously reported hysteresis loop, and pairwise phase lags quantitatively match fractional-calculus predictions. A frequency--degree correlation provides the structural sign</w:t>
      </w:r>
    </w:p>
    <w:p>
      <w:pPr/>
      <w:r>
        <w:rPr>
          <w:b/>
        </w:rPr>
        <w:t>POSSIBLE 2026:</w:t>
      </w:r>
      <w:r>
        <w:t xml:space="preserve"> Distribution and Shared Pathogenicity of Small‐Spored Alternaria on Solanaceous Crops in Europe — https://doi.org/10.1111/ppa.70296</w:t>
      </w:r>
    </w:p>
    <w:p>
      <w:pPr/>
      <w:r>
        <w:rPr>
          <w:b/>
        </w:rPr>
        <w:t>Shared claim-specific concepts:</w:t>
      </w:r>
      <w:r>
        <w:t xml:space="preserve"> two, ecological, based; EU scope visible. This is a provisional connection, not an outcome finding.</w:t>
      </w:r>
    </w:p>
    <w:p>
      <w:pPr>
        <w:pStyle w:val="SourceNote"/>
      </w:pPr>
      <w:r>
        <w:rPr>
          <w:b/>
        </w:rPr>
        <w:t>Available abstract (not full text):</w:t>
      </w:r>
      <w:r>
        <w:t xml:space="preserve"> ABSTRACT Small‐spored Alternaria species such as A. alternata and A. arborescens are frequently isolated from diseased potato and tomato plants. However, their respective host ranges and pathogenic behaviours remain poorly resolved, and it is unclear whether their occurrence across hosts reflects true specialisation or ecological opportunism. Limited genetic differentiation among these closely related taxa further complicates their classification as primary necrotrophs or secondary colonisers. In this study, we analysed natural populations of small‐spored Alternaria from Germany, Poland and Serbia using molecular phylogenetics, morphological characterisation and controlled infection assays to clarify species identity, host associations and pathogenic potential. Both A. alternata and A. arborescens were detected across all regions and hosts, indicating broad distribution and ecological overlap. The two species were consistently isolated from foliar lesions and were each capable of causing characteristic Alternaria brown‐spot (ABS) symptoms, thereby fulfilling Koch's postulates. Phylogenetic analyses based on Alt A1 and RPB2 loci resolved two well‐supported species clades and revealed extensive haplotype sharing across more than 1300 km, multiple hosts and diverse climates, suggesting high gene flow and limited population structure. The consistent co‐occurrence and comparable pat</w:t>
      </w:r>
    </w:p>
    <w:p>
      <w:pPr/>
      <w:r>
        <w:rPr>
          <w:b/>
        </w:rPr>
        <w:t>POSSIBLE 2025:</w:t>
      </w:r>
      <w:r>
        <w:t xml:space="preserve"> On the ecological impact of prehistoric hunter-gatherers in Europe: Early Holocene (Mesolithic) and Last Interglacial (Neanderthal) foragers compared — https://doi.org/10.1371/journal.pone.0328218</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continue, two, ecological;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Traditional agroforestry systems in Europe revisited: a systematic review — https://doi.org/10.1007/s10457-025-01335-0</w:t>
      </w:r>
    </w:p>
    <w:p>
      <w:pPr/>
      <w:r>
        <w:rPr>
          <w:b/>
        </w:rPr>
        <w:t>Shared claim-specific concepts:</w:t>
      </w:r>
      <w:r>
        <w:t xml:space="preserve"> ecological, between, variations;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2025:</w:t>
      </w:r>
      <w:r>
        <w:t xml:space="preserve"> Contribution to an Ecological Worldview: Adaptation and validation of the New Ecological Paradigm Scale to the European Portuguese language — https://doi.org/10.1016/j.erap.2023.100964</w:t>
      </w:r>
    </w:p>
    <w:p>
      <w:pPr/>
      <w:r>
        <w:rPr>
          <w:b/>
        </w:rPr>
        <w:t>Shared claim-specific concepts:</w:t>
      </w:r>
      <w:r>
        <w:t xml:space="preserve"> two, ecological, between; EU scope visible. This is a provisional connection, not an outcome finding.</w:t>
      </w:r>
    </w:p>
    <w:p>
      <w:pPr>
        <w:pStyle w:val="SourceNote"/>
      </w:pPr>
      <w:r>
        <w:rPr>
          <w:b/>
        </w:rPr>
        <w:t>Available abstract (not full text):</w:t>
      </w:r>
      <w:r>
        <w:t xml:space="preserve"> The growing need for societies to adopt a more ecological and sustainable mindset highlights the importance of instruments such as the 15-item New Ecological Paradigm Scale (NEP Scale). The scale measures the individuals’ endorsement of an ecological worldview, contrasting with the perspective of human dominance and exemptionalism. This study aimed to validate the European Portuguese version of the NEP Scale using a cross-validation approach. The total sample, consisting of 511 participants (56.4% women; aged between 18-73 years old), was split into two halves, with the first half used to perform an exploratory factor analysis (EFA) to refine the scale, and the second half to perform a confirmatory factor analysis (CFA). The EFA revealed a 14- item two-factor latent structure, which was subsequently confirmed through CFA (CFI = 0.98; TLI = 0.97; RMSEA = 0.04; SRMR = 0.06). Internal consistency was assessed using Cronbach's alpha (α) and McDonald's omega (ωs), with factor 1 (Ecocentrism; α = .88; ωs = .87), and factor 2 (Anthropocentrism; α = .80; ωs = .81) showing strong internal consistency. Significant moderate correlations between both NEP Scale dimensions and the Ecologically Conscious Consumer Behavior (ECCB) scale (r1 = .383; r2 = .313) provided convergent evidence for construct validity. The correlation between NEP dimensions was .70, indicating an acceptable discriminan</w:t>
      </w:r>
    </w:p>
    <w:p>
      <w:pPr/>
      <w:r>
        <w:rPr>
          <w:b/>
        </w:rPr>
        <w:t>POSSIBLE 2025:</w:t>
      </w:r>
      <w:r>
        <w:t xml:space="preserve"> The health-economic burden of hip and knee periprosthetic joint infections in Europe — https://doi.org/10.1302/2633-1462.63.bjo-2024-0225.r1</w:t>
      </w:r>
    </w:p>
    <w:p>
      <w:pPr/>
      <w:r>
        <w:rPr>
          <w:b/>
        </w:rPr>
        <w:t>Shared claim-specific concepts:</w:t>
      </w:r>
      <w:r>
        <w:t xml:space="preserve"> based, calculation, evaluate; EU scope visible. This is a provisional connection, not an outcome finding.</w:t>
      </w:r>
    </w:p>
    <w:p>
      <w:pPr>
        <w:pStyle w:val="SourceNote"/>
      </w:pPr>
      <w:r>
        <w:rPr>
          <w:b/>
        </w:rPr>
        <w:t>Available abstract (not full text):</w:t>
      </w:r>
      <w:r>
        <w:t xml:space="preserve"> Aims: Periprosthetic joint infections (PJIs) pose significant challenges to patients and healthcare systems worldwide. The aim of this study was to estimate the health-economic burden of reimbursement payment in Europe for PJIs following primary hip and knee arthroplasty. Methods: The calculation was based on health-economic modelling using data on primary hip and knee arthroplasties for the year 2019 from the Statistical Office of the European Union (Eurostat) and published infection rates to estimate the total number of hip and knee PJIs in 30 European countries. Revision procedures were stratified into: 1) debridement, antibiotics, and implant retention (DAIR); 2) one-stage exchange; and 3) two-stage revision procedures. The cases were then multiplied by the respective healthcare system reimbursement payments. Payment data were acquired from a survey of 13 countries (Austria, Croatia, France, Germany, Italy, Lithuania, Netherlands, Norway, Portugal, Slovenia, Switzerland, Turkey, and the UK) and extrapolated for the remaining countries. Results: In 2019, a total of 2,048,778 primary total joint replacements were performed (total hip arthroplasty (THA) = 1,147,316 and total knee arthroplasty (TKA) = 901,462), with an estimated 20,416 cases of PJIs (11,131 hip and 9,285 knee) in Europe. This results in an estimated total reimbursement burden of €346,262,026 for European health</w:t>
      </w:r>
    </w:p>
    <w:p>
      <w:pPr>
        <w:pStyle w:val="Heading2"/>
      </w:pPr>
      <w:r>
        <w:t>589. Assessing future sustainability and resilience of farming systems with a participatory method: A case study on extensive sheep farming in Huesca, Spain</w:t>
      </w:r>
    </w:p>
    <w:p>
      <w:pPr>
        <w:pStyle w:val="SourceNote"/>
      </w:pPr>
      <w:r>
        <w:rPr>
          <w:b/>
        </w:rPr>
        <w:t>Original source (2021):</w:t>
      </w:r>
      <w:r>
        <w:t xml:space="preserve"> https://doi.org/10.1016/j.ecolind.2021.108236</w:t>
      </w:r>
    </w:p>
    <w:p>
      <w:pPr/>
      <w:r>
        <w:t>Original wording (abstract; indexed_source_text_not_full_document_verified): The methodology includes an assessment of current performance (Step 1), identification of critical thresholds whose exceedance can lead to large and permanent system change (Step 2), impact assessment when critical thresholds are exceeded (Step 3), identification of desired alternative systems and their expected improved performance of sustainability and resilience (Step 4), identification of strategies to realize those alternative systems (Step 5), and an assessment on the compatibility of alternative systems with the developments of exogenous factors as projected in different future scenarios (Step 6). Although the high-tech extensive system seems most compatible with a future in which sustainable food production is very important, the semi-intensive system seems a less risky bet as it has on average the best compatibility with multiple future scenarios.</w:t>
      </w:r>
    </w:p>
    <w:p>
      <w:pPr/>
      <w:r>
        <w:rPr>
          <w:b/>
        </w:rPr>
        <w:t>POSSIBLE 2026:</w:t>
      </w:r>
      <w:r>
        <w:t xml:space="preserve"> WHO/Euro HIS assessment methodology — https://doi.org/10.1093/eurpub/ckag169.370</w:t>
      </w:r>
    </w:p>
    <w:p>
      <w:pPr/>
      <w:r>
        <w:rPr>
          <w:b/>
        </w:rPr>
        <w:t>Shared claim-specific concepts:</w:t>
      </w:r>
      <w:r>
        <w:t xml:space="preserve"> methodology, includes, assessment, performance, system, systems; EU scope visible. This is a provisional connection, not an outcome finding.</w:t>
      </w:r>
    </w:p>
    <w:p>
      <w:pPr>
        <w:pStyle w:val="SourceNote"/>
      </w:pPr>
      <w:r>
        <w:rPr>
          <w:b/>
        </w:rPr>
        <w:t>Available abstract (not full text):</w:t>
      </w:r>
      <w:r>
        <w:t xml:space="preserve"> Abstract WHO’s ‘Support tool to strengthen health information systems: Guidance for health information system assessment and strategy development’ was first published in 2015 and updated in 2021 and 2024. At the time of writing, it has been applied almost 40 times in 26 Member States of the WHO European Region. The tool has two main parts: guidance for performing an HIS assessment and guidance for the subsequent stepwise development of an HIS strategy. The assessment methodology aims to achieve a good balance between data collection and actual data use and reflects the growing importance of electronic health records and other digital solutions. It comprises a core module, which provides an overall assessment of the performance of the entire national HIS, and several add-on modules, which provide support for a more in-depth assessment of specific HIS functions. The core module covers five domains: data collection; analysis; health reporting; knowledge translation; and governance and resources. Data for the assessment is collected by means of a combination of desk review and semi-structured key informant interviews. Data gathering is supported by an item sheet, which includes for each domain a set of main questions, which are subdivided into more detailed probing questions. For each probing question, a description is given of what the situation would be like in a fully matured HI</w:t>
      </w:r>
    </w:p>
    <w:p>
      <w:pPr/>
      <w:r>
        <w:rPr>
          <w:b/>
        </w:rPr>
        <w:t>POSSIBLE 2026:</w:t>
      </w:r>
      <w:r>
        <w:t xml:space="preserve"> Cross-border healthcare system function, performance and cooperation in Europe: a scoping review protocol — https://doi.org/10.1136/bmjopen-2026-117613</w:t>
      </w:r>
    </w:p>
    <w:p>
      <w:pPr/>
      <w:r>
        <w:rPr>
          <w:b/>
        </w:rPr>
        <w:t>Shared claim-specific concepts:</w:t>
      </w:r>
      <w:r>
        <w:t xml:space="preserve"> methodology, assessment, performance, system; EU scope visible. This is a provisional connection, not an outcome finding.</w:t>
      </w:r>
    </w:p>
    <w:p>
      <w:pPr>
        <w:pStyle w:val="SourceNote"/>
      </w:pPr>
      <w:r>
        <w:rPr>
          <w:b/>
        </w:rPr>
        <w:t>Available abstract (not full text):</w:t>
      </w:r>
      <w:r>
        <w:t xml:space="preserve"> INTRODUCTION: Cross-border collaboration in healthcare has become increasingly important in the context of European integration, particularly in border regions where institutional and health system interactions are most pronounced. These regions offer opportunities for joint healthcare provision, patient and workforce mobility and shared use of resources. However, healthcare governance largely remains a national responsibility, introducing administrative, legal and institutional barriers to coordinated care. This review will examine the structures and mechanisms in place for cooperation and will map the available evidence relevant to the functions of cross-border healthcare in Europe using the Health System Performance Assessment framework. METHODS AND ANALYSIS: This scoping review will follow the Joanna Briggs Institute methodology and the Preferred Reporting Items for Systematic Reviews and Meta-Analyses extension for Scoping Reviews. Eligibility will be determined using the Population-Concept-Context approach. A three-step search strategy will include an initial limited search, comprehensive searches across six databases (PubMed, Web of Science, Medline, Embase, Global Health, Scopus) and grey literature searching. Two reviewers will independently screen studies via Covidence. Data will be extracted using a standardised form and synthesised descriptively. AI tools can assist</w:t>
      </w:r>
    </w:p>
    <w:p>
      <w:pPr/>
      <w:r>
        <w:rPr>
          <w:b/>
        </w:rPr>
        <w:t>POSSIBLE 2026:</w:t>
      </w:r>
      <w:r>
        <w:t xml:space="preserve"> Methodological considerations in plastics-related life cycle assessment — https://openalex.org/W7213573784</w:t>
      </w:r>
    </w:p>
    <w:p>
      <w:pPr/>
      <w:r>
        <w:rPr>
          <w:b/>
        </w:rPr>
        <w:t>Shared claim-specific concepts:</w:t>
      </w:r>
      <w:r>
        <w:t xml:space="preserve"> methodology, includes, assessment; EU scope visible. This is a provisional connection, not an outcome finding.</w:t>
      </w:r>
    </w:p>
    <w:p>
      <w:pPr>
        <w:pStyle w:val="SourceNote"/>
      </w:pPr>
      <w:r>
        <w:rPr>
          <w:b/>
        </w:rPr>
        <w:t>Available abstract (not full text):</w:t>
      </w:r>
      <w:r>
        <w:t xml:space="preserve"> This report includes guidance for dealing with key issues in the assessment of environmental impacts of products and processes within the framework of the PlastLIFE project, which aims to establish a safe and sustainable circular economy for plastics in Finland by 2035. The starting point for the assessment methodology is the Product Environmental Footprint (PEF) framework developed by the European Union. The report clarifies this framework and discusses whether deviations from the PEF methodology should be made in the PlastLIFE project. The focus is on key issues identified in a dialogue with project participants, such as the assessment of littering and microplastics, the choice between attributional and consequential LCA, co-product allocation, waste management and recycling, dynamic modelling, electricity, and chain-of-custody (CoC) approaches. The report discusses the pros and cons of different methodological options but leaves the final decision on methods to the LCA practitioner in PlastLIFE. The PEF framework should be considered the default approach and deviations from this framework should be transparently reported and justified. Further research is warranted on most of these methodological issues. It would be particularly interesting to: - investigate when the Circular Footprint Formula (CFF) can be replaced by a simpler method without loss of important information (s</w:t>
      </w:r>
    </w:p>
    <w:p>
      <w:pPr/>
      <w:r>
        <w:rPr>
          <w:b/>
        </w:rPr>
        <w:t>POSSIBLE 2026:</w:t>
      </w:r>
      <w:r>
        <w:t xml:space="preserve"> The Role of Step Length and Step Frequency in the 400-meters Hurdles Performance. — https://doi.org/10.5114/jhk/205439</w:t>
      </w:r>
    </w:p>
    <w:p>
      <w:pPr/>
      <w:r>
        <w:rPr>
          <w:b/>
        </w:rPr>
        <w:t>Shared claim-specific concepts:</w:t>
      </w:r>
      <w:r>
        <w:t xml:space="preserve"> current, performance, step; EU scope visible. This is a provisional connection, not an outcome finding.</w:t>
      </w:r>
    </w:p>
    <w:p>
      <w:pPr>
        <w:pStyle w:val="SourceNote"/>
      </w:pPr>
      <w:r>
        <w:rPr>
          <w:b/>
        </w:rPr>
        <w:t>Available abstract (not full text):</w:t>
      </w:r>
      <w:r>
        <w:t xml:space="preserve"> Running speed represents the optimal balance between stride frequency (SF) and stride length (SL), both crucial determinants of performance. In recent years, there has been a significant increase in performance in the 400-m hurdles (mH) for both men and women. The main purpose of this study was to assess whether SF and SL were significant indicators of performance in the 400 mH. Additionally, the study sought to determine whether the ratio of stride length to stride frequency (SL/SF) could serve as a more effective performance indicator compared to analysing SL and SF separately. A total of 511 individual performances from four major championships (the World Championships Doha 2019 and Oregon 2022, the Tokyo 2020 Olympics and the Munich 2022 European Championships) were analysed through video during competition. SL showed high to moderate correlations with performance in both sexes, especially in the second half of the race. However, SF did not correlate with final performance and showed only minor differences between groups. Elite athletes demonstrated a higher SL/SF ratio, as well as greater SL, with more pronounced differences in the second half of the race. Coaches should consider using the SL/SF ratio rather than SF alone to enhance its validity as a kinematic variable related to performance. The current top athletes exhibit higher values for SL and the SL/SF ratio, with p</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methodology, performance, sustainability;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2025:</w:t>
      </w:r>
      <w:r>
        <w:t xml:space="preserve"> A Methodological Approach to Address Economic Vulnerability to Wildfires in Europe — https://doi.org/10.3390/fire8100379</w:t>
      </w:r>
    </w:p>
    <w:p>
      <w:pPr/>
      <w:r>
        <w:rPr>
          <w:b/>
        </w:rPr>
        <w:t>Shared claim-specific concepts:</w:t>
      </w:r>
      <w:r>
        <w:t xml:space="preserve"> assessment, step, critical, resilience; EU scope visible. This is a provisional connection, not an outcome finding.</w:t>
      </w:r>
    </w:p>
    <w:p>
      <w:pPr>
        <w:pStyle w:val="SourceNote"/>
      </w:pPr>
      <w:r>
        <w:rPr>
          <w:b/>
        </w:rPr>
        <w:t>Available abstract (not full text):</w:t>
      </w:r>
      <w:r>
        <w:t xml:space="preserve"> The assessment of the economic vulnerability of natural disasters is a necessary step in the evaluation of any risks. This study proposes the approach implemented under the H2020 FirEurisk project to value the economic damage of wildfires on a European scale. Economic damage is assessed as the net value change in natural (agricultural and forestry resources and their ecosystem services) and manufactured assets under simulated fire intensity, taking into consideration the time necessary for natural capital to recover to the pre-damaged conditions. We show minimum, maximum, and average damage for European countries and map the critical areas. Damages to provisioning-ecosystem services are more pronounced in Central Europe because of the lower resilience of ecosystems compared to the Mediterranean, suggesting that mitigation measures (such as managing vegetation to reduce fuel; improving access to fire services; and engaging communities through education, agriculture, and forest management participation) must be enforced. We are confident that the approach proposed may stimulate further research to test the goodness of the estimates proposed and suggest where it is more appropriate to invest in fire prevention.</w:t>
      </w:r>
    </w:p>
    <w:p>
      <w:pPr/>
      <w:r>
        <w:rPr>
          <w:b/>
        </w:rPr>
        <w:t>POSSIBLE 2025:</w:t>
      </w:r>
      <w:r>
        <w:t xml:space="preserve"> ESG Performance and Economic Growth in Europe — https://doi.org/10.1002/sd.70141</w:t>
      </w:r>
    </w:p>
    <w:p>
      <w:pPr/>
      <w:r>
        <w:rPr>
          <w:b/>
        </w:rPr>
        <w:t>Shared claim-specific concepts:</w:t>
      </w:r>
      <w:r>
        <w:t xml:space="preserve"> performance, large, alternative; EU scope visible. This is a provisional connection, not an outcome finding.</w:t>
      </w:r>
    </w:p>
    <w:p>
      <w:pPr>
        <w:pStyle w:val="SourceNote"/>
      </w:pPr>
      <w:r>
        <w:rPr>
          <w:b/>
        </w:rPr>
        <w:t>Available abstract (not full text):</w:t>
      </w:r>
      <w:r>
        <w:t xml:space="preserve"> ABSTRACT This study evaluates environmental, social, and governance (ESG) performance at the country level as well as the relationship between this factor and economic growth by reference to a large sample of European countries over the period 2011–2020. As the measurement of ESG performance is an emerging concept, we consider a range of indicators that can be used to evaluate this factor on the basis of alternative methodologies, thus allowing us to check the robustness of the results. This approach reveals that countries that joined the European Union (EU) in 2004 or later exhibited lower levels of ESG performance than did countries in Western Europe; however, the decisive factors in this context are social and governance issues rather than environmental issues. These indications are robust across various settings. Further results reveal the existence of Granger causality between ESG performance and economic growth; however, ESG performance is revealed to impact economic growth only in the middle to long term.</w:t>
      </w:r>
    </w:p>
    <w:p>
      <w:pPr/>
      <w:r>
        <w:rPr>
          <w:b/>
        </w:rPr>
        <w:t>POSSIBLE 2025:</w:t>
      </w:r>
      <w:r>
        <w:t xml:space="preserve"> D4.6-LCA-methodology-to-include-secondary-flows-in-CPS — https://doi.org/10.5281/zenodo.23096804</w:t>
      </w:r>
    </w:p>
    <w:p>
      <w:pPr/>
      <w:r>
        <w:rPr>
          <w:b/>
        </w:rPr>
        <w:t>Shared claim-specific concepts:</w:t>
      </w:r>
      <w:r>
        <w:t xml:space="preserve"> methodology, assessment, critical, system, sustainability; EU scope visible. This is a provisional connection, not an outcome finding.</w:t>
      </w:r>
    </w:p>
    <w:p>
      <w:pPr>
        <w:pStyle w:val="SourceNote"/>
      </w:pPr>
      <w:r>
        <w:rPr>
          <w:b/>
        </w:rPr>
        <w:t>Available abstract (not full text):</w:t>
      </w:r>
      <w:r>
        <w:t xml:space="preserve"> This document provides methodological guidance for conducting life cycle assessments (LCAs) within the context of the CERA 4in1 certification system, facilitating compliance with the EU Battery Regulation and Critical Raw Materials Act and enhancing interoperability with other existing standards and guidelines. The guidance is tailored to the domain surrounding critical raw materials for energy applications, namely batteries and rare earth magnets. The guidance is classified into general aspects concerning the complete supply chain of batteries and magnets, and specific aspects concerning the supply chain of four key commodities: lithium, cobalt, natural graphite, and neodymium. The addressed aspects include considerations relevant to primary and secondary materials. To develop this document, we first performed a focused literature review of a selection of European regulations, guidelines and standards. The main objective of the review was to ensure that the LCA methodology proposed in MaDiTraCe aligns with established LCA standards and guidelines to an optimal degree and to identify methodological areas of opportunity. The screened literature consisted of focused exploratory queries that were expanded with the input of an interdisciplinary group of experts. Many sustainability framework documents refer to the LCA thinking framework. However, we excluded most of these framework</w:t>
      </w:r>
    </w:p>
    <w:p>
      <w:pPr/>
      <w:r>
        <w:rPr>
          <w:b/>
        </w:rPr>
        <w:t>POSSIBLE 2025:</w:t>
      </w:r>
      <w:r>
        <w:t xml:space="preserve"> Cross-border healthcare system function, performance and cooperation in Europe: A Scoping Review protocol — https://doi.org/10.17605/osf.io/r3nfb</w:t>
      </w:r>
    </w:p>
    <w:p>
      <w:pPr/>
      <w:r>
        <w:rPr>
          <w:b/>
        </w:rPr>
        <w:t>Shared claim-specific concepts:</w:t>
      </w:r>
      <w:r>
        <w:t xml:space="preserve"> methodology, performance, system, systems, expected; EU scope visible. This is a provisional connection, not an outcome finding.</w:t>
      </w:r>
    </w:p>
    <w:p>
      <w:pPr>
        <w:pStyle w:val="SourceNote"/>
      </w:pPr>
      <w:r>
        <w:rPr>
          <w:b/>
        </w:rPr>
        <w:t>Available abstract (not full text):</w:t>
      </w:r>
      <w:r>
        <w:t xml:space="preserve"> Title: Cross-border healthcare system function, performance and cooperation in Europe: A Scoping Review Purpose: The purpose of this scoping review is to systematically map and synthesize existing evidence on cross-border healthcare (CBHC) in Europe, with a focus on understanding how healthcare systems operate and cooperate across national borders. Despite the removal of physical borders within the EU, healthcare remains largely under national jurisdiction, creating challenges for coordination due to differing legal, administrative, and institutional frameworks. CBHC aims to overcome these barriers, particularly in border regions where access to healthcare services may be limited. This review will identify existing structures, cooperation mechanisms, functions, objectives, and goals of CBHC initiatives and examine the types and quality of available evidence in both EU internal borders and borders with neighboring non-EU countries. Research Questions: What forms of cross-border healthcare cooperation and integration exist in European border regions? Which healthcare system functions, objectives, and goals are addressed in CBHC initiatives? What institutional, legal, and administrative frameworks support CBHC, and how do they influence performance and collaboration? What types of data, indicators, and evidence are available, and where do gaps exist? Methods: This scoping review w</w:t>
      </w:r>
    </w:p>
    <w:p>
      <w:pPr/>
      <w:r>
        <w:rPr>
          <w:b/>
        </w:rPr>
        <w:t>POSSIBLE 2025:</w:t>
      </w:r>
      <w:r>
        <w:t xml:space="preserve"> Satellite remote sensing-based crop cover classification over Europe: accuracy of different methodological approaches — https://doi.org/10.1080/01431161.2025.2565837</w:t>
      </w:r>
    </w:p>
    <w:p>
      <w:pPr/>
      <w:r>
        <w:rPr>
          <w:b/>
        </w:rPr>
        <w:t>Shared claim-specific concepts:</w:t>
      </w:r>
      <w:r>
        <w:t xml:space="preserve"> performance, identification, alternative; EU scope visible. This is a provisional connection, not an outcome finding.</w:t>
      </w:r>
    </w:p>
    <w:p>
      <w:pPr>
        <w:pStyle w:val="SourceNote"/>
      </w:pPr>
      <w:r>
        <w:rPr>
          <w:b/>
        </w:rPr>
        <w:t>Available abstract (not full text):</w:t>
      </w:r>
      <w:r>
        <w:t xml:space="preserve"> Crop maps play an important role in a variety of applications, from calculating crop areas and forecasting food production quantities to the analysis of agri-environmental interactions, highlighting the necessity of timely and accurate information on agricultural land use. The availability of remote sensing data has permitted numerous crop classification studies, which have investigated a variety of methods to improve classification performance, such as the selection of remote sensing sources, classification algorithms, and preprocessing methods. This paper compares these approaches with respect to classification accuracy in a European context. The study also investigates aspects such as classification level, study area division, and class granularity. The review shows that optical products provide more information for crop identification than radar products, however, combining optical data with radar backscatter increases accuracy. Classification accuracy benefits from specific features such as red-edge and spectral indices for optical products and Haralick textures for radar. Compared to traditional machine learning and distance-based classification methods, deep learning algorithms have been shown to achieve superior performance. Nevertheless, random forest’s comparative accuracy at relatively low computational cost makes it a viable alternative for large-scale applications.</w:t>
      </w:r>
    </w:p>
    <w:p>
      <w:pPr/>
      <w:r>
        <w:rPr>
          <w:b/>
        </w:rPr>
        <w:t>POSSIBLE 2025:</w:t>
      </w:r>
      <w:r>
        <w:t xml:space="preserve"> Durability as an index of endurance exercise performance: Methodological considerations — https://doi.org/10.1113/ep092120</w:t>
      </w:r>
    </w:p>
    <w:p>
      <w:pPr/>
      <w:r>
        <w:rPr>
          <w:b/>
        </w:rPr>
        <w:t>Shared claim-specific concepts:</w:t>
      </w:r>
      <w:r>
        <w:t xml:space="preserve"> current, performance, resilience; EU scope not established. This is a provisional connection, not an outcome finding.</w:t>
      </w:r>
    </w:p>
    <w:p>
      <w:pPr>
        <w:pStyle w:val="SourceNote"/>
      </w:pPr>
      <w:r>
        <w:rPr>
          <w:b/>
        </w:rPr>
        <w:t>Available abstract (not full text):</w:t>
      </w:r>
      <w:r>
        <w:t xml:space="preserve"> Endurance athletes routinely complete physiological assessments to predict performance, inform training programmes and monitor subsequent training adaptations. This profiling is typically performed with the athlete in a 'fresh' (i.e., rested) condition, but physiological profiling variables deteriorate during prolonged exercise. Durability has been defined as the resilience to the deterioration of physiological variables and performance during or following prolonged exercise. Herein, we review the current approaches to measure durability. The construction of the fatiguing protocol affects durability profiles, with greater relative intensity and duration resulting in more marked deterioration of baseline measures. The design of durability assessments should control for factors that could impact durability measurements, such as nutrition and environmental characteristics, to ensure that outcomes are repeatable and can be compared between athletes or over time in the same athlete. The selection of these parameters should be based on the proposed research question or applied context and take account of the training status of the athlete. Accordingly, this review highlights important considerations to ensure that protocols for profiling durability in research and applied practice are appropriate.</w:t>
      </w:r>
    </w:p>
    <w:p>
      <w:pPr/>
      <w:r>
        <w:rPr>
          <w:b/>
        </w:rPr>
        <w:t>POSSIBLE 2025:</w:t>
      </w:r>
      <w:r>
        <w:t xml:space="preserve"> ADAPTING ARCHITECTURAL AND CONSTRUCTION COMPANIES TO EUROPEAN NORMS AND STANDARDS: RECOMMENDATIONS AND A STEP-BY-STEP TRANSITION ALGORITHM — https://doi.org/10.30857/2786-5398.2025.2.7</w:t>
      </w:r>
    </w:p>
    <w:p>
      <w:pPr/>
      <w:r>
        <w:rPr>
          <w:b/>
        </w:rPr>
        <w:t>Shared claim-specific concepts:</w:t>
      </w:r>
      <w:r>
        <w:t xml:space="preserve"> methodology, includes, current, performance, systems; EU scope visible. This is a provisional connection, not an outcome finding.</w:t>
      </w:r>
    </w:p>
    <w:p>
      <w:pPr>
        <w:pStyle w:val="SourceNote"/>
      </w:pPr>
      <w:r>
        <w:rPr>
          <w:b/>
        </w:rPr>
        <w:t>Available abstract (not full text):</w:t>
      </w:r>
      <w:r>
        <w:t xml:space="preserve"> The article is devoted to the theoretical and applied foundations of adapting architectural and construction companies to European norms and standards in the context of Ukraine’s strategic integration into the single economic, technical, and institutional space of the EU. The relevance of the study has been substantiated in connection with increasing regulatory pressure, requirements for operational transparency, digital transformation, and corporate social responsibility. Considering global challenges such as climate change, resource vulnerability, and sustainable development imperatives, the article emphasizes the need for a systematic approach to reforming the managerial, technical, organizational, and social subsystems of an architectural and construction company. It has been determined that the key frameworks for modernization are unified standards (EN Eurocodes, CPR, ISO 9001, ISO 14001, ISO 45001) and advanced construction concepts (nZEB, ESG, BIM, digital object passports). The scientific apparatus of the article presents a nine-stage algorithm for transitioning to European standards, which includes an audit of the current state, roadmap development, regulatory adaptation, digitalization, personnel transformation, institutional integration, quality certification, ESG implementation, and monitoring mechanisms. Each stage is accompanied by practical recommendations focuse</w:t>
      </w:r>
    </w:p>
    <w:p>
      <w:pPr>
        <w:pStyle w:val="Heading2"/>
      </w:pPr>
      <w:r>
        <w:t>590. Boosting the EU forest-based bioeconomy: Market, climate, and employment impacts</w:t>
      </w:r>
    </w:p>
    <w:p>
      <w:pPr>
        <w:pStyle w:val="SourceNote"/>
      </w:pPr>
      <w:r>
        <w:rPr>
          <w:b/>
        </w:rPr>
        <w:t>Original source (2021):</w:t>
      </w:r>
      <w:r>
        <w:t xml:space="preserve"> https://doi.org/10.1016/j.techfore.2020.120478</w:t>
      </w:r>
    </w:p>
    <w:p>
      <w:pPr/>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POSSIBLE 2026:</w:t>
      </w:r>
      <w:r>
        <w:t xml:space="preserve"> CHANGES IN FRUIT PRODUCTION AND IMPORTS FROM TURKEY TO EUROPEAN UNION COUNTRIES — https://doi.org/10.5604/01.3001.0055.6187</w:t>
      </w:r>
    </w:p>
    <w:p>
      <w:pPr/>
      <w:r>
        <w:rPr>
          <w:b/>
        </w:rPr>
        <w:t>Shared claim-specific concepts:</w:t>
      </w:r>
      <w:r>
        <w:t xml:space="preserve"> further, increased, imports; EU scope visible. This is a provisional connection, not an outcome finding.</w:t>
      </w:r>
    </w:p>
    <w:p>
      <w:pPr>
        <w:pStyle w:val="SourceNote"/>
      </w:pPr>
      <w:r>
        <w:rPr>
          <w:b/>
        </w:rPr>
        <w:t>Available abstract (not full text):</w:t>
      </w:r>
      <w:r>
        <w:t xml:space="preserve">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pPr/>
      <w:r>
        <w:rPr>
          <w:b/>
        </w:rPr>
        <w:t>POSSIBLE 2026:</w:t>
      </w:r>
      <w:r>
        <w:t xml:space="preserve"> THE IMPORT OF THE NATURAL GAS FROM THE REPUBLIC OF AZERBAIJAN IN THE CONTEXT OF THE ENERGY POLICY OF THE EUROPEAN UNION — https://doi.org/10.48137/26870703_2026_35_3_61</w:t>
      </w:r>
    </w:p>
    <w:p>
      <w:pPr/>
      <w:r>
        <w:rPr>
          <w:b/>
        </w:rPr>
        <w:t>Shared claim-specific concepts:</w:t>
      </w:r>
      <w:r>
        <w:t xml:space="preserve"> further, increased, reduce; EU scope visible. This is a provisional connection, not an outcome finding.</w:t>
      </w:r>
    </w:p>
    <w:p>
      <w:pPr>
        <w:pStyle w:val="SourceNote"/>
      </w:pPr>
      <w:r>
        <w:rPr>
          <w:b/>
        </w:rPr>
        <w:t>Available abstract (not full text):</w:t>
      </w:r>
      <w:r>
        <w:t xml:space="preserve">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further, increased,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further, consumption, climate;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Consumption Patterns, Inflation, and Household Welfare: Demand-Based Equivalence Scales in Europe — https://doi.org/10.1007/s11205-026-03882-0</w:t>
      </w:r>
    </w:p>
    <w:p>
      <w:pPr/>
      <w:r>
        <w:rPr>
          <w:b/>
        </w:rPr>
        <w:t>Shared claim-specific concepts:</w:t>
      </w:r>
      <w:r>
        <w:t xml:space="preserve"> further, lower, consumption, reduce; EU scope visible. This is a provisional connection, not an outcome finding.</w:t>
      </w:r>
    </w:p>
    <w:p>
      <w:pPr>
        <w:pStyle w:val="SourceNote"/>
      </w:pPr>
      <w:r>
        <w:rPr>
          <w:b/>
        </w:rPr>
        <w:t>Available abstract (not full text):</w:t>
      </w:r>
      <w:r>
        <w:t xml:space="preserve"> Abstract Equivalence scales are a central component of distributional analysis. They adjust household incomes for size and composition, shaping poverty and inequality measurement. Most work relies on the modified OECD scale from the mid-1990s, despite substantial changes in consumption patterns since. We revisit equivalence scales for 23 European countries using a demand model based on the linear expenditure system and harmonised Household Budget Survey microdata for 2010–2020. We estimate three demand-based scales: a minimum needs scale anchored in subsistence, a utility implicit scale based on welfare equivalence under common preferences, and a utility explicit scale as a sensitivity check. Across specifications, the demand-based estimates generally imply larger economies of scale than the modified OECD scale, especially for larger households. Scales are lower at higher living standards and exhibit a modest downward trend over time. A simulation of 2020–2024 price changes shows that recent inflation is likely to further reduce scales, with stronger impacts for households with children. Regional heterogeneity persists, reflecting differences in prices, preferences and consumption patterns. Recomputing distributional indicators shows that poverty measures are more sensitive than inequality measures to the choice of equivalence scale. The utility implicit scale typically yields </w:t>
      </w:r>
    </w:p>
    <w:p>
      <w:pPr/>
      <w:r>
        <w:rPr>
          <w:b/>
        </w:rPr>
        <w:t>POSSIBLE 2026:</w:t>
      </w:r>
      <w:r>
        <w:t xml:space="preserve"> Import tariffs’ influence on sourcing strategies – European battery and energy storage companies under the USA-China trade conflict — https://openalex.org/W7220754230</w:t>
      </w:r>
    </w:p>
    <w:p>
      <w:pPr/>
      <w:r>
        <w:rPr>
          <w:b/>
        </w:rPr>
        <w:t>Shared claim-specific concepts:</w:t>
      </w:r>
      <w:r>
        <w:t xml:space="preserve"> further, resulting, storage; EU scope visible. This is a provisional connection, not an outcome finding.</w:t>
      </w:r>
    </w:p>
    <w:p>
      <w:pPr>
        <w:pStyle w:val="SourceNote"/>
      </w:pPr>
      <w:r>
        <w:rPr>
          <w:b/>
        </w:rPr>
        <w:t>Available abstract (not full text):</w:t>
      </w:r>
      <w:r>
        <w:t xml:space="preserve"> Recent trade disruptions have guided companies to adapt their sourcing strategies. This is because disruptions can have a significant influence on a company’s profitability. Growing tensions between countries, trade wars, and the resulting tariffs have forced companies to evaluate their sourcing. This has become increasingly topical during the US-China trade war that saw the US raise the import tariffs on many sectors, especially towards China. Previous literature examines trade disruptions and tariff adjustments, but limited research has been carried out on factors affecting these adjustments or on European companies, rather than companies from the US or China. Therefore, this study aims to fill this research gap by answering the research question of how companies are adjusting their sourcing strategies in the battery and energy storage industry in relation to the US import tariffs. The methodology chosen for this research was a qualitative case study using an abductive thematic approach. A qualitative approach is well suited to answering “how” questions and to finding new insights of the topic from the perspective of the participants. A case study allows for the study of the current phenomenon in its real-life context. The case in this thesis is the battery and energy storage industry during the US import tariffs, especially on China. The data is collected through semi-struct</w:t>
      </w:r>
    </w:p>
    <w:p>
      <w:pPr/>
      <w:r>
        <w:rPr>
          <w:b/>
        </w:rPr>
        <w:t>POSSIBLE 2026:</w:t>
      </w:r>
      <w:r>
        <w:t xml:space="preserve"> Critical assessment of cheese-making technologies in the context of import substitution — https://doi.org/10.36871/vet.zoo.bio.202608115</w:t>
      </w:r>
    </w:p>
    <w:p>
      <w:pPr/>
      <w:r>
        <w:rPr>
          <w:b/>
        </w:rPr>
        <w:t>Shared claim-specific concepts:</w:t>
      </w:r>
      <w:r>
        <w:t xml:space="preserve"> further, substitution, need; EU scope visible. This is a provisional connection, not an outcome finding.</w:t>
      </w:r>
    </w:p>
    <w:p>
      <w:pPr>
        <w:pStyle w:val="SourceNote"/>
      </w:pPr>
      <w:r>
        <w:rPr>
          <w:b/>
        </w:rPr>
        <w:t>Available abstract (not full text):</w:t>
      </w:r>
      <w:r>
        <w:t xml:space="preserve"> In the context of the tightening foreign policy situation and sanctions pressure, the Russian dairy industry has faced a critical dependence on imported starter cultures, previously supplied from European countries. This work analyzes trends in the development of domestic strains of starter microorganisms, and also demonstrates their effectiveness in comparison with European and Soviet analogues. The review is based on an analysis of scientific publications from 2020 to 2025 from the databases of eLibrary, PubMed, Scopus and CyberLeninka, as well as official statistics from Rosstat and the Ministry of Agriculture. The growth of the share of Russian starter cultures in cheese production under the conditions of sanctions is shown. Key microorganisms are considered: Lactococcus lactis subsp. lactis, Lactococcus lactis subsp. cremoris, Streptococcus thermophilus, Lactobacillus helveticus and others isolated in Uglich, Altai, Tomsk and Yaroslavl region, and modern domestic mixtures are also shown. The review finds that domestic strains demonstrate efficiency comparable to European ones in acid formation and proteolytic activity; however, they require further refinement due to the need to increase their production volumes. The strategic directions of the industry development are outlined: creation of collections of autochthonous strains, introduction of genomic screening, support of </w:t>
      </w:r>
    </w:p>
    <w:p>
      <w:pPr/>
      <w:r>
        <w:rPr>
          <w:b/>
        </w:rPr>
        <w:t>POSSIBLE 2026:</w:t>
      </w:r>
      <w:r>
        <w:t xml:space="preserve"> Asset prices and durable spending in Central and Eastern Europe — https://doi.org/10.1007/s10663-026-09676-4</w:t>
      </w:r>
    </w:p>
    <w:p>
      <w:pPr/>
      <w:r>
        <w:rPr>
          <w:b/>
        </w:rPr>
        <w:t>Shared claim-specific concepts:</w:t>
      </w:r>
      <w:r>
        <w:t xml:space="preserve"> further, lower, consumption; EU scope visible. This is a provisional connection, not an outcome finding.</w:t>
      </w:r>
    </w:p>
    <w:p>
      <w:pPr>
        <w:pStyle w:val="SourceNote"/>
      </w:pPr>
      <w:r>
        <w:rPr>
          <w:b/>
        </w:rPr>
        <w:t>Available abstract (not full text):</w:t>
      </w:r>
      <w:r>
        <w:t xml:space="preserve"> Abstract This paper analyses the effect of asset price changes on durable consumption in 11 Central and Eastern European economies from the European Union from 2000Q1 to 2023Q2. Using the method of moments quantile regression for panel data, we find that declines in house prices lead to decreases in durable consumption spending, which are more pronounced among lower-spending households who also show greater sensitivity to stock price declines than higher-spending ones. In contrast, higher-spending households react more prominently to house price increases, underscoring the asymmetric nature of wealth effects. Additionally, monetary and fiscal indicators, such as rising interest rates and public debt, are associated with reduced consumer confidence, further dampening consumption across all durable spending levels. Wealth inequality constrains durable spending, especially in the lower quantiles, while an ageing population slightly boosts consumption in lower expenditure quantiles, reflecting a more cautious approach to spending. These findings highlight the importance of targeted policy measures to stabilise consumption, address wealth inequality, and mitigate the financial vulnerabilities of households at the lower end of the durable spending distribution.</w:t>
      </w:r>
    </w:p>
    <w:p>
      <w:pPr/>
      <w:r>
        <w:rPr>
          <w:b/>
        </w:rPr>
        <w:t>POSSIBLE 2025:</w:t>
      </w:r>
      <w:r>
        <w:t xml:space="preserve"> Lithium import demand and electric vehicle market growth in Europe: Perspectives on economic policy uncertainty and geopolitical turbulence — https://doi.org/10.1016/j.tranpol.2025.103905</w:t>
      </w:r>
    </w:p>
    <w:p>
      <w:pPr/>
      <w:r>
        <w:rPr>
          <w:b/>
        </w:rPr>
        <w:t>Shared claim-specific concepts:</w:t>
      </w:r>
      <w:r>
        <w:t xml:space="preserve"> further, imports, lower, need; EU scope visible. This is a provisional connection, not an outcome finding.</w:t>
      </w:r>
    </w:p>
    <w:p>
      <w:pPr>
        <w:pStyle w:val="SourceNote"/>
      </w:pPr>
      <w:r>
        <w:rPr>
          <w:b/>
        </w:rPr>
        <w:t>Available abstract (not full text):</w:t>
      </w:r>
      <w:r>
        <w:t xml:space="preserve"> Electromobility plays a pivotal role in enhancing sustainability within the global transportation sector, with a significant reliance on lithium-ion batteries for the operation of electric vehicles (EVs). The concentration of lithium resources and the challenges posed by geopolitical turbulence and fluctuating economic policies are major concerns affecting the smooth trade of lithium. This study investigates the dynamics between EV market growth in 25 European countries and the import demand for lithium, considering factors such as lithium price, geopolitical unrest, and economic policy uncertainties. Utilizing quarterly data from 2013q1 to 2023q1, we employ the quantiles via moments (QvM) method to examine the relationship between the variables within the spectrum of cross-sectional heterogeneity. Our findings confirm that the expansion of the EV market significantly increases lithium import demands within Europe across all quantiles (q.15-q.95). The adverse impact of lithium price on its import demand, observed from lower to higher quantiles, validates the Marshallian demand proposition. More importantly, the demand for lithium imports is further impeded by the interactive effects of lithium price, economic policy uncertainty, and lithium price-geopolitical tensions. Our findings remain robust across the linear models with multi-way fixed effects (ML-FE) and IV regression tec</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lower, need,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Determinants of critical raw material imports: The case of the European Union and China — https://doi.org/10.1007/s13563-025-00528-4</w:t>
      </w:r>
    </w:p>
    <w:p>
      <w:pPr/>
      <w:r>
        <w:rPr>
          <w:b/>
        </w:rPr>
        <w:t>Shared claim-specific concepts:</w:t>
      </w:r>
      <w:r>
        <w:t xml:space="preserve"> imports, outside, materials, climate, positive; EU scope visible. This is a provisional connection, not an outcome finding.</w:t>
      </w:r>
    </w:p>
    <w:p>
      <w:pPr>
        <w:pStyle w:val="SourceNote"/>
      </w:pPr>
      <w:r>
        <w:rPr>
          <w:b/>
        </w:rPr>
        <w:t>Available abstract (not full text):</w:t>
      </w:r>
      <w:r>
        <w:t xml:space="preserve"> Abstract In 2019, the European Union (EU) launched a growth strategy called the Green Deal with the aim to reach climate neutrality by 2050. Green transformation assumes using new technologies, such as li-ion batteries, fuel cells, etc., which are dependent on industrial raw materials. As the occurrence of these mineral resources is limited in the EU, the EU must import them. The literature has focused especially on the issue of the so-called critical raw materials (CRMs). Although their definition and lists differ, they have a similar character. In the EU, the list of CRMs includes 34 high-tech minerals, and it has been confirmed by several studies that many of them are imported from China. Although the EU announced limiting its dependence on raw materials from outside countries, the EU will never be self-sufficient in raw materials. Based on this, we focus on the determinants of the growth of imports of CRMs from China. Using data from 2000–2023, besides the growth of the EU gross domestic product (GDP) and the growth of the share of industry in the EU’s GDP, we find that the increase of the share of CRMs in China’s total exports will have a positive impact on the growth of the EU’s imports of CRMs from China. For the sake of ensuring its supply of strategic resources, we propose that the EU should sign a preferential trade and investment agreement with China.</w:t>
      </w:r>
    </w:p>
    <w:p>
      <w:pPr/>
      <w:r>
        <w:rPr>
          <w:b/>
        </w:rPr>
        <w:t>POSSIBLE 2025:</w:t>
      </w:r>
      <w:r>
        <w:t xml:space="preserve"> Parallel import of medicines: legal principles and prospects for development in Ukraine — https://doi.org/10.24144/2788-6018.2025.05.1.30</w:t>
      </w:r>
    </w:p>
    <w:p>
      <w:pPr/>
      <w:r>
        <w:rPr>
          <w:b/>
        </w:rPr>
        <w:t>Shared claim-specific concepts:</w:t>
      </w:r>
      <w:r>
        <w:t xml:space="preserve"> further, increased, imports, lower, need, positive; EU scope visible. This is a provisional connection, not an outcome finding.</w:t>
      </w:r>
    </w:p>
    <w:p>
      <w:pPr>
        <w:pStyle w:val="SourceNote"/>
      </w:pPr>
      <w:r>
        <w:rPr>
          <w:b/>
        </w:rPr>
        <w:t>Available abstract (not full text):</w:t>
      </w:r>
      <w:r>
        <w:t xml:space="preserve"> The article examines the legal principles and prospects for the development of the institution of parallel import of medicines in Ukraine. The relevance of the problem is due to the processes of reforming the pharmaceutical sector, harmonization of national legislation with the EU acquis and the need to ensure continuous access of the population to medicines under martial law. It is emphasized that the modern model of the pharmaceutical market is characterized by a high level of monopolization, which complicates competition and hinders the implementation of the constitutional right of citizens to health care. Parallel import is considered as a tool for reducing the cost of drugs and expanding their range, which at the same time directly affects the sphere of intellectual property. The provisions of the Law of Ukraine No. 3860-ІХ dated 16.07.2024 are analyzed, which regulates the legal principles of parallel import and determines the conditions for its implementation. It was established that imported medicines must be identical or substantially similar to medicines registered in Ukraine and require a separate permit from the State Service of Ukraine for Medicines and Drug Control. The restrictions introduced by the legislator were separately considered: the sale of such medicines is permitted exclusively through healthcare institutions, which is aimed at minimizing the risks of </w:t>
      </w:r>
    </w:p>
    <w:p>
      <w:pPr>
        <w:pStyle w:val="Heading2"/>
      </w:pPr>
      <w:r>
        <w:t>591. Burden of pancreatic cancer along with attributable risk factors in Europe between 1990 and 2019, and projections until 2039</w:t>
      </w:r>
    </w:p>
    <w:p>
      <w:pPr>
        <w:pStyle w:val="SourceNote"/>
      </w:pPr>
      <w:r>
        <w:rPr>
          <w:b/>
        </w:rPr>
        <w:t>Original source (2021):</w:t>
      </w:r>
      <w:r>
        <w:t xml:space="preserve"> https://doi.org/10.1002/ijc.33617</w:t>
      </w:r>
    </w:p>
    <w:p>
      <w:pPr/>
      <w:r>
        <w:t>Original wording (abstract; indexed_source_text_not_full_document_verified):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POSSIBLE 2026:</w:t>
      </w:r>
      <w:r>
        <w:t xml:space="preserve"> Data on the uptake of Integrated Pest Management (IPM) practices in European agriculture — https://doi.org/10.1016/j.dib.2026.113075</w:t>
      </w:r>
    </w:p>
    <w:p>
      <w:pPr/>
      <w:r>
        <w:rPr>
          <w:b/>
        </w:rPr>
        <w:t>Shared claim-specific concepts:</w:t>
      </w:r>
      <w:r>
        <w:t xml:space="preserve"> here, obtained, data, countries; EU scope visible. This is a provisional connection, not an outcome finding.</w:t>
      </w:r>
    </w:p>
    <w:p>
      <w:pPr>
        <w:pStyle w:val="SourceNote"/>
      </w:pPr>
      <w:r>
        <w:rPr>
          <w:b/>
        </w:rPr>
        <w:t>Available abstract (not full text):</w:t>
      </w:r>
      <w:r>
        <w:t xml:space="preserve"> We here present data collected in a large-scale survey from 25 National Crop Clusters (NCCs) across 10 European countries (Denmark, Germany, Italy, the Netherlands, Belgium, Poland, Romania, Spain, Switzerland, and Greece), comprising 8 different crops (grapes, olives, apples, strawberries, wheat, maize, potatoes, and onions). Each National Crop Cluster represents a crop-specific network in one country, which includes farmers growing a specific crop and other relevant actors in its production environment and supply chain. The National Crop Clusters have been selected to represent a diversity of regions, crops, farm types, sectors and system representatives of European agriculture. They cover a broad geographical spread in different climatic zones, making them suitable for studying Integrated Pest Management (IPM) techniques, barriers, and opportunities in various food sectors. In total, 4,684 complete responses were obtained from the farmers, using an online survey in country-specific languages in 2024. The survey focuses on decisions regarding the adoption of IPM practices and low-pesticide use. The survey data contains information on farmers current and future use of IPM measures, as well as their perceived effectiveness. The dataset further provides comprehensive information on farm and farmer characteristics, farmers' preferences and attitudes toward IPM, their sources of i</w:t>
      </w:r>
    </w:p>
    <w:p>
      <w:pPr/>
      <w:r>
        <w:rPr>
          <w:b/>
        </w:rPr>
        <w:t>POSSIBLE 2026:</w:t>
      </w:r>
      <w:r>
        <w:t xml:space="preserve"> Global and Regional Burden of Crohn’s Disease (1990-2023): A Global Burden of Disease Study Analysis — https://doi.org/10.7759/cureus.113724</w:t>
      </w:r>
    </w:p>
    <w:p>
      <w:pPr/>
      <w:r>
        <w:rPr>
          <w:b/>
        </w:rPr>
        <w:t>Shared claim-specific concepts:</w:t>
      </w:r>
      <w:r>
        <w:t xml:space="preserve"> data, burden, disease, gbd, between, conclusion; EU scope not established. This is a provisional connection, not an outcome finding.</w:t>
      </w:r>
    </w:p>
    <w:p>
      <w:pPr>
        <w:pStyle w:val="SourceNote"/>
      </w:pPr>
      <w:r>
        <w:rPr>
          <w:b/>
        </w:rPr>
        <w:t>Available abstract (not full text):</w:t>
      </w:r>
      <w:r>
        <w:t xml:space="preserve"> BACKGROUND: Crohn's disease (CD) is an inflammatory bowel disease (IBD) that has evolved into a global health concern, with a rising cumulative burden that makes periodic, up-to-date quantification essential for health-system planning. In recent decades, its incidence has stabilized in early-industrialized regions while rising rapidly in newly industrialized ones, resulting in an increasing cumulative disease burden in high-income regions. This epidemiological transition necessitates precise burden estimation to inform strategic health policies. METHODS: The study was conducted using openly available modeled estimates from the Global Burden of Disease (GBD) 2023 study, in an independent effort to analyze the regional and global burden of CD from 1990 to 2023. This analysis was conducted in accordance with the Guidelines for Accurate and Transparent Health Estimates Reporting. Main outcome measures were disability-adjusted life years (DALYs), years of life lost (YLLs), and years lived with disability (YLDs), expressed as absolute values and age-standardized rates per 100,000 people across 21 GBD regions. The contributions of population growth and age-standardized rate change to the observed DALY were examined after being separated using a two-component decomposition, in addition to the temporal patterns across the whole period. YLLs and YLDs were calculated for each year, and fo</w:t>
      </w:r>
    </w:p>
    <w:p>
      <w:pPr/>
      <w:r>
        <w:rPr>
          <w:b/>
        </w:rPr>
        <w:t>POSSIBLE 2026:</w:t>
      </w:r>
      <w:r>
        <w:t xml:space="preserve"> Nonfatal Burden of Disease and Risk-Attributable Burden in Romania, 1990 to 2023: A Secondary Analysis of Global Burden of Disease 2023 Estimates — https://doi.org/10.3390/healthcare14183035</w:t>
      </w:r>
    </w:p>
    <w:p>
      <w:pPr/>
      <w:r>
        <w:rPr>
          <w:b/>
        </w:rPr>
        <w:t>Shared claim-specific concepts:</w:t>
      </w:r>
      <w:r>
        <w:t xml:space="preserve"> burden, disease, gbd, between; EU scope visible. This is a provisional connection, not an outcome finding.</w:t>
      </w:r>
    </w:p>
    <w:p>
      <w:pPr>
        <w:pStyle w:val="SourceNote"/>
      </w:pPr>
      <w:r>
        <w:rPr>
          <w:b/>
        </w:rPr>
        <w:t>Available abstract (not full text):</w:t>
      </w:r>
      <w:r>
        <w:t xml:space="preserve"> Background/Objectives: We assessed changes in nonfatal disease burden and risk attribution in Romania between 1990 and 2023. Methods: We analysed Global Burden of Disease (GBD) 2023 estimates of years lived with disability (YLDs), related nonfatal measures and risk attribution for 199 causes and 61 risks, with seventeen comparator locations. Results: The age-standardised YLD rate changed by −4.1% (95% uncertainty interval [UI] −10.1 to 1.3), and total YLDs by −3.9% (95% UI −9.2 to 0.7). Both intervals included zero. The crude rate rose by 17.0%. The population size and age structure components of the decomposition were approximately −552,000 and +545,000 YLDs; their uncertainty was not estimated. Healthy life expectancy increased by 5.2 years. Its difference from life expectancy rose from 9.2 to 10.2 years, without an uncertainty interval for this derived change. Low-back pain remained the leading level 3 cause. Anxiety disorders increased by 41.7% (95% UI 4.5 to 101.8) and ranked second by point estimate; rank uncertainty was not estimated. The joint risk-attributable fraction fell from 31.2% to 28.3%. Conclusions: Romania had more disability per inhabitant and a larger share at older ages in 2023. Musculoskeletal disorders remained the main source of nonfatal burden, while anxiety disorders and diabetes increased.</w:t>
      </w:r>
    </w:p>
    <w:p>
      <w:pPr/>
      <w:r>
        <w:rPr>
          <w:b/>
        </w:rPr>
        <w:t>POSSIBLE 2026:</w:t>
      </w:r>
      <w:r>
        <w:t xml:space="preserve"> Unequal healthy ageing trajectories across Europe: socioeconomic development and age-related disease burden in the European Union and South-Eastern European countries — https://doi.org/10.1007/s11357-026-02273-0</w:t>
      </w:r>
    </w:p>
    <w:p>
      <w:pPr/>
      <w:r>
        <w:rPr>
          <w:b/>
        </w:rPr>
        <w:t>Shared claim-specific concepts:</w:t>
      </w:r>
      <w:r>
        <w:t xml:space="preserve"> data, burden, disease, between, countries, union; EU scope visible. This is a provisional connection, not an outcome finding.</w:t>
      </w:r>
    </w:p>
    <w:p>
      <w:pPr>
        <w:pStyle w:val="SourceNote"/>
      </w:pPr>
      <w:r>
        <w:rPr>
          <w:b/>
        </w:rPr>
        <w:t>Available abstract (not full text):</w:t>
      </w:r>
      <w:r>
        <w:t xml:space="preserve"> Although life expectancy has increased, many of the added years are lived in poor health, highlighting growing inequalities in ageing trajectories. Despite the increasing need for ageing-related health strategies, non-EU European countries remain underrepresented in comparative research, leaving limited evidence on healthy ageing disparities between EU and South-Eastern European (SEE) nations. This study explored variations in key health and socioeconomic indicators of societal ageing and age-related disease burden among individuals aged 70 and older across European countries, with a focus on EU and non-EU SEE nations. Data for 33 European countries were extracted from Global Burden of Disease 2021 study. Indicators included mortality, years lived with disability (YLD), healthy life expectancy (HALE), current health expenditure (HE), and Human Development Index (HDI). Hierarchical cluster analysis was used to classify EU countries, and SEE countries were analysed separately. Trends in mortality, YLD rates, and HALE were analysed using Joinpoint regression. Spearman's rank correlation was used to assess relationships between health, socioeconomic factors, and disease burden. Western and Northern European countries showed the most favourable values for indicators, while SEE countries exhibited the highest all-cause and cardiovascular mortality and the lowest HALE and HDI values. </w:t>
      </w:r>
    </w:p>
    <w:p>
      <w:pPr/>
      <w:r>
        <w:rPr>
          <w:b/>
        </w:rPr>
        <w:t>POSSIBLE 2026:</w:t>
      </w:r>
      <w:r>
        <w:t xml:space="preserve"> Population-Level Co-Distribution and Spatiotemporal Burden Trends of Endometriosis and Polycystic Ovary Syndrome Among Reproductive-Age Women in Europe, 1990–2023: An Analysis of the Global Burden of Disease 2023 — https://doi.org/10.2147/ijwh.s640643</w:t>
      </w:r>
    </w:p>
    <w:p>
      <w:pPr/>
      <w:r>
        <w:rPr>
          <w:b/>
        </w:rPr>
        <w:t>Shared claim-specific concepts:</w:t>
      </w:r>
      <w:r>
        <w:t xml:space="preserve"> data, burden, disease, gbd, countries, conclusion; EU scope visible. This is a provisional connection, not an outcome finding.</w:t>
      </w:r>
    </w:p>
    <w:p>
      <w:pPr>
        <w:pStyle w:val="SourceNote"/>
      </w:pPr>
      <w:r>
        <w:rPr>
          <w:b/>
        </w:rPr>
        <w:t>Available abstract (not full text):</w:t>
      </w:r>
      <w:r>
        <w:t xml:space="preserve"> Background: Endometriosis (EM) and polycystic ovary syndrome (PCOS) are two prevalent endocrine-related gynecological conditions with shared pathophysiological pathways, yet their population-level burden patterns and socioeconomic correlates across Europe remain unclear. This study examines the geographic overlap in population-level disease burden patterns of EM and PCOS (hereafter referred to as ecological co-distribution), which does not represent individual-level comorbidity. Methods: Using the Global Burden of Disease (GBD) 2023 dataset, we retrieved incident cases and disability-adjusted life years (DALYs) data for EM and PCOS among women aged 15-49 years covering 44 European countries (1990-2023). Countries were classified into three population-level burden phenotypes (consistent pattern, EM-predominant pattern, PCOS-predominant pattern) by cross-tabulating quartiles of age-standardized incidence rates (ASIR). Temporal trajectories were quantified via the estimated annual percentage change (EAPC) method combined with Joinpoint regression modeling. Additional analyses included age-stratified burden distribution, correlation with the Socio-demographic Index (SDI), and decomposition analysis of burden drivers. Results: EM and PCOS exhibited diametrically opposite spatial gradients: EM burden concentrated in Central and Eastern Europe, while PCOS burden predominated in Wester</w:t>
      </w:r>
    </w:p>
    <w:p>
      <w:pPr/>
      <w:r>
        <w:rPr>
          <w:b/>
        </w:rPr>
        <w:t>POSSIBLE 2026:</w:t>
      </w:r>
      <w:r>
        <w:t xml:space="preserve"> Post-Treatment Lyme Disease Syndrome in Six European Countries Using Data from the Burden of Lyme Disease (BOLD) Study — https://doi.org/10.3390/pathogens15080809</w:t>
      </w:r>
    </w:p>
    <w:p>
      <w:pPr/>
      <w:r>
        <w:rPr>
          <w:b/>
        </w:rPr>
        <w:t>Shared claim-specific concepts:</w:t>
      </w:r>
      <w:r>
        <w:t xml:space="preserve"> data, burden, disease, countries; EU scope visible. This is a provisional connection, not an outcome finding.</w:t>
      </w:r>
    </w:p>
    <w:p>
      <w:pPr>
        <w:pStyle w:val="SourceNote"/>
      </w:pPr>
      <w:r>
        <w:rPr>
          <w:b/>
        </w:rPr>
        <w:t>Available abstract (not full text):</w:t>
      </w:r>
      <w:r>
        <w:t xml:space="preserve"> Up to 10% of patients with Lyme borreliosis (LB) will experience symptoms that fulfill the Infectious Disease Society of America (IDSA) criteria of post-treatment Lyme disease syndrome (PTLDS). This study assesses PTLDS in the Burden of Lyme Disease (BOLD) study through clinical assessment ("PTLDS Assessed by Clinicians") and by post hoc evaluation of patient-reported outcomes, including the 36-Item Short Form Health Survey, Fatigue Severity Scale, and Cognitive Failures Questionnaire ("PTLDS Assessed by Questionnaire"). Among 242 LB cases who completed antibiotic treatment and had objective manifestations stabilized or resolved, 99 (40.9%) reported ≥1 symptom of fatigue, musculoskeletal pain, or cognitive impairment 10 months after diagnosis. Fifteen (6.2%) cases met the PTLDS criteria assessed by either clinicians or predefined questionnaire severity thresholds; four (1.7%) met both. PTLDS cases assessed by questionnaires and LB cases with persistent symptoms both reported greater symptom severity and poorer physical functioning than PTLDS cases assessed by clinicians. These exploratory findings suggest that clinician- and questionnaire-based assessments may identify partially different subsets of patients with PTLDS and either method could underestimate the proportion of patients with PTLDS.</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data, countries, united, bayesian;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2026:</w:t>
      </w:r>
      <w:r>
        <w:t xml:space="preserve"> Improving Europe-wide windstorm damage modeling using insurance loss data — https://doi.org/10.5194/egusphere-2026-3099</w:t>
      </w:r>
    </w:p>
    <w:p>
      <w:pPr/>
      <w:r>
        <w:rPr>
          <w:b/>
        </w:rPr>
        <w:t>Shared claim-specific concepts:</w:t>
      </w:r>
      <w:r>
        <w:t xml:space="preserve"> data, between, countries;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2026:</w:t>
      </w:r>
      <w:r>
        <w:t xml:space="preserve"> Global burden of metabolic dysfunction-associated steatotic liver disease, 1990–2023, and projections to 2050: a systematic analysis for the Global Burden of Disease Study 2023 — https://doi.org/10.1016/s2468-1253(26)00011-7</w:t>
      </w:r>
    </w:p>
    <w:p>
      <w:pPr/>
      <w:r>
        <w:rPr>
          <w:b/>
        </w:rPr>
        <w:t>Shared claim-specific concepts:</w:t>
      </w:r>
      <w:r>
        <w:t xml:space="preserve"> burden, disease;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Biological data derived from European weather radars — https://doi.org/10.1038/s41597-025-04641-5</w:t>
      </w:r>
    </w:p>
    <w:p>
      <w:pPr/>
      <w:r>
        <w:rPr>
          <w:b/>
        </w:rPr>
        <w:t>Shared claim-specific concepts:</w:t>
      </w:r>
      <w:r>
        <w:t xml:space="preserve"> here, obtained, data, between, countries; EU scope visible. This is a provisional connection, not an outcome finding.</w:t>
      </w:r>
    </w:p>
    <w:p>
      <w:pPr>
        <w:pStyle w:val="SourceNote"/>
      </w:pPr>
      <w:r>
        <w:rPr>
          <w:b/>
        </w:rPr>
        <w:t>Available abstract (not full text):</w:t>
      </w:r>
      <w:r>
        <w:t xml:space="preserve"> Weather radars detect more than weather, they also continuously register the movements of billions of animals aloft in the lower atmosphere. This makes archived, unfiltered weather radar data a goldmine for biological monitoring purposes, providing coverage of the aerial habitat in a way no other method can. Here we present two datasets of biological data extracted from European weather radar data, obtained through a collaboration with the Operational Programme for the Exchange of Weather Radar Information (OPERA) and three national meteorological services. The datasets were created by processing weather radar data with methods optimized for extracting bird targets, resulting in vertical profiles of biological targets. The datasets collectively cover 141 radar stations in 18 countries, from 2008 to 2023. Data quality and coverage differs between years, countries, and radar stations, so care must be taken when evaluating data for each specific use case. Despite these challenges the datasets are currently the most comprehensive of their kind in Europe and open new avenues in understanding continental scale movements of aerial animals.</w:t>
      </w:r>
    </w:p>
    <w:p>
      <w:pPr/>
      <w:r>
        <w:rPr>
          <w:b/>
        </w:rPr>
        <w:t>POSSIBLE 2025:</w:t>
      </w:r>
      <w:r>
        <w:t xml:space="preserve"> Legal Challenges for the regulation of the European Health Data Space — https://doi.org/10.54103/milanoup.215.c459</w:t>
      </w:r>
    </w:p>
    <w:p>
      <w:pPr/>
      <w:r>
        <w:rPr>
          <w:b/>
        </w:rPr>
        <w:t>Shared claim-specific concepts:</w:t>
      </w:r>
      <w:r>
        <w:t xml:space="preserve"> here, data, between, union; EU scope visible. This is a provisional connection, not an outcome finding.</w:t>
      </w:r>
    </w:p>
    <w:p>
      <w:pPr>
        <w:pStyle w:val="SourceNote"/>
      </w:pPr>
      <w:r>
        <w:rPr>
          <w:b/>
        </w:rPr>
        <w:t>Available abstract (not full text):</w:t>
      </w:r>
      <w:r>
        <w:t xml:space="preserve"> In the present context of the so-called ‘Digital Society’, an important process of legislative reform is taking place inside the European Union. In areas such as the digital transformation of the health sector, these actions have a considerable impact on traditional legal concepts and categories such as privacy or informed consent. This is especially relevant in the realm of health science research in the context of Big Data. The nature of this type of research projects requires a new model of consent, which is called broad consent. The legislator faces the challenge of having to respect, on the one hand, the balance between the possibility of obtaining consent in a simple and feasible way, and on the other, the need to provide data subjects the necessary information and control over their sphere of privacy. Likewise, a formula must be found that protects individuals, but does not unduly hinder progress in biomedical research. This issue requires an assessment from both an ethical and a legal perspective. Here comes into play the role of Research Ethics Committees that is reinforced by these new legislative measures, so that the concept of data ethics is coined. In the drafting of this work, my experience as a member of the Research Ethics Committee of the University of Valencia has been fundamental.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pStyle w:val="Heading2"/>
      </w:pPr>
      <w:r>
        <w:t>592. COVID-19 and European maritime futures: different pathways to deal with the pandemic</w:t>
      </w:r>
    </w:p>
    <w:p>
      <w:pPr>
        <w:pStyle w:val="SourceNote"/>
      </w:pPr>
      <w:r>
        <w:rPr>
          <w:b/>
        </w:rPr>
        <w:t>Original source (2021):</w:t>
      </w:r>
      <w:r>
        <w:t xml:space="preserve"> https://doi.org/10.1007/s40152-021-00216-3</w:t>
      </w:r>
    </w:p>
    <w:p>
      <w:pPr/>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pPr/>
      <w:r>
        <w:rPr>
          <w:b/>
        </w:rPr>
        <w:t>POSSIBLE 2026:</w:t>
      </w:r>
      <w:r>
        <w:t xml:space="preserve"> FACTORS CONSTRAINING OPERATIONAL EFFICIENCY IN MARITIME TRANSPORTATION: A COMPARATIVE ANALYSIS OF QUANTITATIVE DECISION SUPPORT MODELS AND FIELD REALITIES — https://doi.org/10.17753/sosekev.1889137</w:t>
      </w:r>
    </w:p>
    <w:p>
      <w:pPr/>
      <w:r>
        <w:rPr>
          <w:b/>
        </w:rPr>
        <w:t>Shared claim-specific concepts:</w:t>
      </w:r>
      <w:r>
        <w:t xml:space="preserve"> maritime, constraining, conditions; EU scope visible. This is a provisional connection, not an outcome finding.</w:t>
      </w:r>
    </w:p>
    <w:p>
      <w:pPr>
        <w:pStyle w:val="SourceNote"/>
      </w:pPr>
      <w:r>
        <w:rPr>
          <w:b/>
        </w:rPr>
        <w:t>Available abstract (not full text):</w:t>
      </w:r>
      <w:r>
        <w:t xml:space="preserve"> This study aims to identify the key risk factors that constrain operational efficiency in international maritime transport and to conduct a comparative analysis of the performance of the six continents addressed in line with these factors. The research is based on a hybrid research design that combines qualitative field observations with quantitative decision support models. Within the scope of the study, seven key criteria were considered: port congestion, bureaucratic barriers, security/piracy, technical and fuel issues, personnel issues, environmental conditions, and geopolitical risks. Based on these criteria, Europe, North America, South America, Asia, Africa, and Oceania were compared in terms of operational risks. The research working group consisted of three senior ship captains with a cumulative 60 years of sectoral experience. Semi-structured interviews and pairwise comparison matrices were used as data collection tools. In the analysis of the data, the Best-Worst Method (BWM) was applied for criterion weighting and the Simple Additive Weighting (SAW) method was applied for continent ranking, and the findings were validated using the Analytic Hierarchy Process (AHP) and Technique for Order of Preference by Similarity to Ideal Solution (TOPSIS) methods. According to the analysis results, bureaucratic barriers have been identified as the most dominant operational constr</w:t>
      </w:r>
    </w:p>
    <w:p>
      <w:pPr/>
      <w:r>
        <w:rPr>
          <w:b/>
        </w:rPr>
        <w:t>POSSIBLE 2026:</w:t>
      </w:r>
      <w:r>
        <w:t xml:space="preserve"> Collaborative governance in maritime transport: policy arrangements under the European green deal — https://doi.org/10.1007/s40152-026-00504-w</w:t>
      </w:r>
    </w:p>
    <w:p>
      <w:pPr/>
      <w:r>
        <w:rPr>
          <w:b/>
        </w:rPr>
        <w:t>Shared claim-specific concepts:</w:t>
      </w:r>
      <w:r>
        <w:t xml:space="preserve"> maritime, deal, sectors; EU scope visible. This is a provisional connection, not an outcome finding.</w:t>
      </w:r>
    </w:p>
    <w:p>
      <w:pPr>
        <w:pStyle w:val="SourceNote"/>
      </w:pPr>
      <w:r>
        <w:rPr>
          <w:b/>
        </w:rPr>
        <w:t>Available abstract (not full text):</w:t>
      </w:r>
      <w:r>
        <w:t xml:space="preserve"> Abstract This article examines the emergence of collaborative governance within the EU maritime transport sector in response to the European Green Deal (EGD) and its decarbonization agenda. Using a nested case study design, it analyses policy arrangements for shipping and ports, applying a combined analytical framework based on the policy arrangement concept and collaborative governance theory. The findings highlight that while shipping and port sectors have historically operated in siloed arrangements, the EGD has prompted cross-sectoral collaboration through initiatives such as green shipping corridors, alternative fuel infrastructure projects, and stakeholder alliances. Increased collaborative dynamics are evident both within and between these two sectors, fostering trust, alignment, and early joint problem-solving. However, large-scale joint action and fully integrated governance mechanisms remain limited, indicating that the emergent collaborative governance regime is in its formative stage. The study demonstrates how the EGD is reshaping sectoral interactions, providing a foundation for transformative change in maritime transport governance, while highlighting the need for sustained institutionalization, joint investment, and system-level adaptation to realize long-term impact.</w:t>
      </w:r>
    </w:p>
    <w:p>
      <w:pPr/>
      <w:r>
        <w:rPr>
          <w:b/>
        </w:rPr>
        <w:t>POSSIBLE 2026:</w:t>
      </w:r>
      <w:r>
        <w:t xml:space="preserve"> Governing Critical Maritime Infrastructure in the European Union; Path-Dependent Transformation and Institutional Change — https://doi.org/10.1007/s41125-026-00113-y</w:t>
      </w:r>
    </w:p>
    <w:p>
      <w:pPr/>
      <w:r>
        <w:rPr>
          <w:b/>
        </w:rPr>
        <w:t>Shared claim-specific concepts:</w:t>
      </w:r>
      <w:r>
        <w:t xml:space="preserve"> maritime, specific, sectors; EU scope visible. This is a provisional connection, not an outcome finding.</w:t>
      </w:r>
    </w:p>
    <w:p>
      <w:pPr>
        <w:pStyle w:val="SourceNote"/>
      </w:pPr>
      <w:r>
        <w:rPr>
          <w:b/>
        </w:rPr>
        <w:t>Available abstract (not full text):</w:t>
      </w:r>
      <w:r>
        <w:t xml:space="preserve"> Abstract The subsidiarity paradox, in which formal affirmations of national prerogative coexist with factual EU-level centralisation, is a well-documented feature of European security governance. How this paradox unfolds in specific critical infrastructure sectors, however, remains insufficiently understood. This article asks how the EU’s governance of critical maritime infrastructure has transformed across three phases between 2014 and 2025 and to what extent the mechanisms of institutional change documented for crisis governance and the regulatory security state in adjacent sectors account for this trajectory. Drawing on a qualitative content analysis of 21 EU documents, it identifies three governance phases and five ideal-typical governance modes, and demonstrates that external shocks, most decisively the Nord Stream sabotage of 2022, opened windows of opportunity for institutional change. This change proceeded through layering and conversion instead of rupture and confirms the pattern of institutional syncretism observed in adjacent policy fields. The result is a stable coexistence of hierarchical and network-based governance modes whose functional differentiation reflects the jurisdictional reach of EU law. The article extends the meso-level analysis of EU crisis governance to critical maritime infrastructure and specifies the legal mechanism through which subsidiarity and</w:t>
      </w:r>
    </w:p>
    <w:p>
      <w:pPr/>
      <w:r>
        <w:rPr>
          <w:b/>
        </w:rPr>
        <w:t>POSSIBLE 2026:</w:t>
      </w:r>
      <w:r>
        <w:t xml:space="preserve"> Green Hydrogen for Maritime Decarbonization — https://doi.org/10.1002/cnl2.70128</w:t>
      </w:r>
    </w:p>
    <w:p>
      <w:pPr/>
      <w:r>
        <w:rPr>
          <w:b/>
        </w:rPr>
        <w:t>Shared claim-specific concepts:</w:t>
      </w:r>
      <w:r>
        <w:t xml:space="preserve"> maritime, enabling; EU scope not established. This is a provisional connection, not an outcome finding.</w:t>
      </w:r>
    </w:p>
    <w:p>
      <w:pPr>
        <w:pStyle w:val="SourceNote"/>
      </w:pPr>
      <w:r>
        <w:rPr>
          <w:b/>
        </w:rPr>
        <w:t>Available abstract (not full text):</w:t>
      </w:r>
      <w:r>
        <w:t xml:space="preserve"> ABSTRACT In pursuit of global carbon neutrality, maritime shipping with high CO 2 emissions confronts an urgent imperative deep decarbonization. Green hydrogen is a zero‐carbon fuel produced through water electrolysis by renewable energy sources, which is emerging as a promising solution for maritime decarbonization owing to its high energy density and versatile application potential. Here, it provides a systematic overview of the technological feasibility of green hydrogen for maritime shipping, encompassing its current application status and key challenges. It analyzes recent advances in green hydrogen production, storage, transportation, and infrastructure development, while exploring the enabling roles of policy support, technological innovation, and international collaboration. Despite facing substantial barriers in cost, technology, and infrastructure, green hydrogen boasts enormous decarbonization potential and occupies an indispensable strategic position in the global carbon neutrality agenda.</w:t>
      </w:r>
    </w:p>
    <w:p>
      <w:pPr/>
      <w:r>
        <w:rPr>
          <w:b/>
        </w:rPr>
        <w:t>POSSIBLE 2026:</w:t>
      </w:r>
      <w:r>
        <w:t xml:space="preserve"> Understanding Maritime Traffic Complexity: A Comprehensive Concept Development Review — https://doi.org/10.3390/technologies14040231</w:t>
      </w:r>
    </w:p>
    <w:p>
      <w:pPr/>
      <w:r>
        <w:rPr>
          <w:b/>
        </w:rPr>
        <w:t>Shared claim-specific concepts:</w:t>
      </w:r>
      <w:r>
        <w:t xml:space="preserve"> maritime, conditions; EU scope not established. This is a provisional connection, not an outcome finding.</w:t>
      </w:r>
    </w:p>
    <w:p>
      <w:pPr>
        <w:pStyle w:val="SourceNote"/>
      </w:pPr>
      <w:r>
        <w:rPr>
          <w:b/>
        </w:rPr>
        <w:t>Available abstract (not full text):</w:t>
      </w:r>
      <w:r>
        <w:t xml:space="preserve"> Maritime traffic complexity (MTC) is a term that has gained increased importance in the last decade in the maritime safety domain. It is a concept for understanding navigational safety and operational challenges in congested maritime environments. Although research interest in MTC has grown, it is a concept that remains fragmented, with various interpretations of definitions, indicators, and modeling approaches present in the literature. This study presents a comprehensive literature review and bibliometric analysis to synthesize the current state of research on MTC as a scientific construct and clarify its conceptual foundations from an analytical perspective. In accordance with PRISMA guidelines and systematic literature review (SLR) methodology, relevant studies were identified and screened across major scientific databases. A detailed analysis was conducted on 40 scientific publications. The findings indicate that most existing MTC models rely mainly on Automatic Identification System (AIS) data and corresponding derived metrics. MTC is primarily assessed through geometric vessel–vessel interactions, relative motion parameters, and collision-risk indicators. Bibliometric analysis demonstrates a rapid increase in scientific interest in this topic since 2015, with research concentrated in several leading journals. The study identifies a significant methodological limitation i</w:t>
      </w:r>
    </w:p>
    <w:p>
      <w:pPr/>
      <w:r>
        <w:rPr>
          <w:b/>
        </w:rPr>
        <w:t>POSSIBLE 2026:</w:t>
      </w:r>
      <w:r>
        <w:t xml:space="preserve"> Navigating the talk at sea: Expanding conversational sequences in maritime communication — https://doi.org/10.17398/2340-2784.51.203</w:t>
      </w:r>
    </w:p>
    <w:p>
      <w:pPr/>
      <w:r>
        <w:rPr>
          <w:b/>
        </w:rPr>
        <w:t>Shared claim-specific concepts:</w:t>
      </w:r>
      <w:r>
        <w:t xml:space="preserve"> maritime, specific; EU scope not established. This is a provisional connection, not an outcome finding.</w:t>
      </w:r>
    </w:p>
    <w:p>
      <w:pPr>
        <w:pStyle w:val="SourceNote"/>
      </w:pPr>
      <w:r>
        <w:rPr>
          <w:b/>
        </w:rPr>
        <w:t>Available abstract (not full text):</w:t>
      </w:r>
      <w:r>
        <w:t xml:space="preserve"> This article makes the case for the expanded conversational sequences observable in a specific type of professional, radio-mediated communication -- interaction of vessel traffic services (VTS). Within the theoretical framework developed by Schegloff (2007) and Kendrick et al. (2020), we examined patterns of sequential expansion in VTS interaction via Very High Frequency (VHF) radio at a major port located in China. Using the method of Conversation Analysis to analyze the authentic, audio-recorded language data, we illustrated how functional motivations for sequential expansion in informal, ordinary conversations can be mobilized into the mechanisms of routinized maritime communication. We argue that 1) expansions happening at different sequential positions perform specific communicative functions to execute institutional practices in VTS interaction; and 2) that communicative meanings constructed via expanded sequences in VTS interaction have important procedural consequences and demonstrate distinct institutional adaptations to the core properties of human interactive language use. The findings not only build on the main lines of development in the application of conversation analysis to interaction in contextualized, specialized discourse, but also bring to light the limitations of stipulated communication protocols in safety-critical, high-stake talk.</w:t>
      </w:r>
    </w:p>
    <w:p>
      <w:pPr/>
      <w:r>
        <w:rPr>
          <w:b/>
        </w:rPr>
        <w:t>POSSIBLE 2026:</w:t>
      </w:r>
      <w:r>
        <w:t xml:space="preserve"> The Significance Of Trust In Maintaining Safety During Digital Transformations In The Maritime Industry — https://doi.org/10.3850/esrel2026061419_esrel26-p26287-cd</w:t>
      </w:r>
    </w:p>
    <w:p>
      <w:pPr/>
      <w:r>
        <w:rPr>
          <w:b/>
        </w:rPr>
        <w:t>Shared claim-specific concepts:</w:t>
      </w:r>
      <w:r>
        <w:t xml:space="preserve"> maritime, insight, affect; EU scope not established. This is a provisional connection, not an outcome finding.</w:t>
      </w:r>
    </w:p>
    <w:p>
      <w:pPr>
        <w:pStyle w:val="SourceNote"/>
      </w:pPr>
      <w:r>
        <w:rPr>
          <w:b/>
        </w:rPr>
        <w:t>Available abstract (not full text):</w:t>
      </w:r>
      <w:r>
        <w:t xml:space="preserve"> Digitalization is rapidly transforming maritime operations, reshaping both technical systems and everyday work practices on board vessels and within shipowner organizations.This paper investigates how the introduction of digital tools such as automated machinery and sensor-based monitoring systems, as well as information technologies for data processing and communication affect maritime work and safety.While the adoption of these technologies is driven by efficiency demands, environmental requirements, regulatory pressures, and the need for real-time operational insight.Crews benefit from improved access to operational data and enhanced connectivity, yet they also face increased workloads due to manual data entry, duplicate reporting, and insufficient integration between systems.This has an impact on the sociotechnical system and hence, the safety of the operation.This is not recognized in the development of technology.Drawing on sociotechnical research, the study highlights the role of technology design, usability, and integration in shaping safe and efficient operations.Despite the potential for digital tools to support operational resilience, findings indicate that current systems are primarily developed from a functional, control-oriented perspective.A central challenge identified in the study is the lack of collaboration and trust between shipowners and technology supplier</w:t>
      </w:r>
    </w:p>
    <w:p>
      <w:pPr/>
      <w:r>
        <w:rPr>
          <w:b/>
        </w:rPr>
        <w:t>POSSIBLE 2026:</w:t>
      </w:r>
      <w:r>
        <w:t xml:space="preserve"> A domain-adapted NLP pipeline for human factors classification of maritime accidents — https://doi.org/10.1016/j.oceaneng.2026.125625</w:t>
      </w:r>
    </w:p>
    <w:p>
      <w:pPr/>
      <w:r>
        <w:rPr>
          <w:b/>
        </w:rPr>
        <w:t>Shared claim-specific concepts:</w:t>
      </w:r>
      <w:r>
        <w:t xml:space="preserve"> maritime, enabling; EU scope not established. This is a provisional connection, not an outcome finding.</w:t>
      </w:r>
    </w:p>
    <w:p>
      <w:pPr>
        <w:pStyle w:val="SourceNote"/>
      </w:pPr>
      <w:r>
        <w:rPr>
          <w:b/>
        </w:rPr>
        <w:t>Available abstract (not full text):</w:t>
      </w:r>
      <w:r>
        <w:t xml:space="preserve"> Human error continues to account for most maritime accidents, highlighting persistent challenges in safety management and organisational learning. Although post-incident investigations generate rich narrative data, extracting meaningful insights is hindered by manual coding, subjective interpretation, and inconsistent application of human-factors taxonomies. Despite increasing interest in applying NLP to safety analysis, no existing approach provides a taxonomy-ready, domain-adapted framework capable of reliably classifying fine-grained human and organisational factors in maritime accident narratives. This study presents a natural language processing (NLP) and machine learning (ML) framework to automate the identification of human and organisational contributory factors in maritime accident reporting using an adapted SHIELD taxonomy. The approach analyses individual causal and contributory text segments extracted from accident investigation narratives, which are classified into human and organisational factor codes. Central to the approach is SeaSafeBERT, a domain-adapted BERT model fine-tuned on an international corpus of maritime investigations and combined with TF-IDF lexical features to support structured, multi-level classification. To address sparse taxonomy classes, we developed SHIELD-NLP, a consolidated coding scheme preserving SHIELD's intent but ensuring sufficient c</w:t>
      </w:r>
    </w:p>
    <w:p>
      <w:pPr/>
      <w:r>
        <w:rPr>
          <w:b/>
        </w:rPr>
        <w:t>POSSIBLE 2025:</w:t>
      </w:r>
      <w:r>
        <w:t xml:space="preserve"> Employee mobility and corporate carbon footprint: a case study at Gdynia Maritime University — https://doi.org/10.34659/eis.2025.95.4.1159</w:t>
      </w:r>
    </w:p>
    <w:p>
      <w:pPr/>
      <w:r>
        <w:rPr>
          <w:b/>
        </w:rPr>
        <w:t>Shared claim-specific concepts:</w:t>
      </w:r>
      <w:r>
        <w:t xml:space="preserve"> maritime, insight, conditions, sustainable; EU scope visible. This is a provisional connection, not an outcome finding.</w:t>
      </w:r>
    </w:p>
    <w:p>
      <w:pPr>
        <w:pStyle w:val="SourceNote"/>
      </w:pPr>
      <w:r>
        <w:rPr>
          <w:b/>
        </w:rPr>
        <w:t>Available abstract (not full text):</w:t>
      </w:r>
      <w:r>
        <w:t xml:space="preserve"> In the face of the climate crisis, comprehensive actions are being taken on the international and specifically on the European level in order to improve environmental conditions and enhance the resilience of transport and organisational systems. Calculating a carbon footprint is one of the key topics. More and more entities face this challenge: companies, institutions, organisations and, ultimately, cities. The purpose of the paper is to investigate the impact of employee mobility on the enterprise’s carbon footprint. This article gives new insight into creating a mobility plan for an enterprise and its impact on the carbon footprint. A prepared mobility plan can provide the data needed to calculate the carbon footprint of employee travel. The authors conducted a survey among one-third of Gdynia Maritime University (GMU) employees to identify the respondents' transport behaviours and preferences. The collected data enabled the estimation of the transport modal split and indicated the average distance and frequency of a work travel. Furthermore, the carbon footprint was calculated in accordance with the Greenhouse Gas Protocol standard created by the World Resources Institute and the World Business Council for Sustainable Development. Annual carbon dioxide emissions resulting from the travel of all university employees were estimated. The results indicate that drivers of individ</w:t>
      </w:r>
    </w:p>
    <w:p>
      <w:pPr/>
      <w:r>
        <w:rPr>
          <w:b/>
        </w:rPr>
        <w:t>POSSIBLE 2025:</w:t>
      </w:r>
      <w:r>
        <w:t xml:space="preserve"> Maritime vision datasets for autonomous navigation: A comparative analysis — https://doi.org/10.33175/mtr.2025.277976</w:t>
      </w:r>
    </w:p>
    <w:p>
      <w:pPr/>
      <w:r>
        <w:rPr>
          <w:b/>
        </w:rPr>
        <w:t>Shared claim-specific concepts:</w:t>
      </w:r>
      <w:r>
        <w:t xml:space="preserve"> maritime, enabling, conditions, specific; EU scope not established. This is a provisional connection, not an outcome finding.</w:t>
      </w:r>
    </w:p>
    <w:p>
      <w:pPr>
        <w:pStyle w:val="SourceNote"/>
      </w:pPr>
      <w:r>
        <w:rPr>
          <w:b/>
        </w:rPr>
        <w:t>Available abstract (not full text):</w:t>
      </w:r>
      <w:r>
        <w:t xml:space="preserve"> Artificial intelligence is becoming an increasingly essential component in many areas, with notable advancements being made in the field of maritime computer vision. The employed deep learning models require substantial quantities of high-quality training data that are specifically tailored to the tasks for which they are being applied in the maritime domain. Training autonomous navigation systems for unmanned surface vehicles has been significantly enhanced by using extensive visual datasets captured through high-quality cameras, enabling these systems to learn from diverse environmental scenarios and improve the decision-making accuracy. However, the identification of suitable publicly accessible maritime vision datasets is challenging, and there is currently no broad overview of datasets that have been specifically designed for computer vision tasks related to unmanned surface vehicles in the maritime domain. This survey addresses the identified research gap by providing a comprehensive and systematic overview of open-source vision datasets containing ships, taking into account the specific task, the surrounding environment, and additional available data, such as infrared images or time series information. It is our aim to assist new researchers in the field of maritime computer vision to gain a rapid overview and facilitate initial access to this domain, enabling them to id</w:t>
      </w:r>
    </w:p>
    <w:p>
      <w:pPr/>
      <w:r>
        <w:rPr>
          <w:b/>
        </w:rPr>
        <w:t>POSSIBLE 2025:</w:t>
      </w:r>
      <w:r>
        <w:t xml:space="preserve"> Blockchain Technology and Maritime Logistics: A Systematic Literature Review — https://doi.org/10.3390/logistics10010012</w:t>
      </w:r>
    </w:p>
    <w:p>
      <w:pPr/>
      <w:r>
        <w:rPr>
          <w:b/>
        </w:rPr>
        <w:t>Shared claim-specific concepts:</w:t>
      </w:r>
      <w:r>
        <w:t xml:space="preserve"> maritime, enabling, conditions, general; EU scope not established. This is a provisional connection, not an outcome finding.</w:t>
      </w:r>
    </w:p>
    <w:p>
      <w:pPr>
        <w:pStyle w:val="SourceNote"/>
      </w:pPr>
      <w:r>
        <w:rPr>
          <w:b/>
        </w:rPr>
        <w:t>Available abstract (not full text):</w:t>
      </w:r>
      <w:r>
        <w:t xml:space="preserve"> Background: Blockchain has been extensively discussed for enhancing transparency, traceability, and trust in general; however, there is fragmented empirical evidence available with respect to this issue within maritime logistics. The objective is to integrate and categorize peer-reviewed publications concerning applications of blockchain in maritime logistics and related supply chain domains. Methods: A systematic literature review with PRISMA 2020 was performed in Scopus database, and after a process of screening and eligibility, a total of 78 journal articles published mainly from September 2024 were incorporated. Descriptive and bibliometric analyses were conducted, and VOS viewer-based bibliographic coupling were employed to visualize thematic structure. Results: The review identifies seven research priorities for blockchain in maritime logistics: Technological Interoperability, Economic and Operational Impact, Cybersecurity and Privacy, Adoption and Scalability, Decision-Making and Trust, Environmental Sustainability, and Standardization and Regulatory Frameworks. Blockchain’s primary advantages are enhanced data integrity and visibility, whereas key challenges include interoperability, legal/regulatory uncertainty (e.g., e-doc recognition), high costs, scalability ceilings, integration with legacy systems, and data governance fears. Conclusions: The application of blockch</w:t>
      </w:r>
    </w:p>
    <w:p>
      <w:pPr/>
      <w:r>
        <w:rPr>
          <w:b/>
        </w:rPr>
        <w:t>POSSIBLE 2025:</w:t>
      </w:r>
      <w:r>
        <w:t xml:space="preserve"> An Overview of Critical Success Factors for Digital Shipping Corridors: A Roadmap for Maritime Logistics Modernization — https://doi.org/10.3390/su17125537</w:t>
      </w:r>
    </w:p>
    <w:p>
      <w:pPr/>
      <w:r>
        <w:rPr>
          <w:b/>
        </w:rPr>
        <w:t>Shared claim-specific concepts:</w:t>
      </w:r>
      <w:r>
        <w:t xml:space="preserve"> maritime, enabling, conditions, sustainable; EU scope not established. This is a provisional connection, not an outcome finding.</w:t>
      </w:r>
    </w:p>
    <w:p>
      <w:pPr>
        <w:pStyle w:val="SourceNote"/>
      </w:pPr>
      <w:r>
        <w:rPr>
          <w:b/>
        </w:rPr>
        <w:t>Available abstract (not full text):</w:t>
      </w:r>
      <w:r>
        <w:t xml:space="preserve"> Digital Shipping Corridors (DSCs) are gaining traction as integrated models for increasing transparency, efficiency, and sustainability in maritime logistics. Yet, the enabling conditions for their effective implementation remain insufficiently explored. This study employs a qualitative thematic review approach, analyzing the academic literature, global policy documents, and selected case studies to identify and synthesize the critical success factors for DSC development. The analysis reveals seven interdependent factors: technological infrastructure, economic feasibility, regulatory frameworks, logistical efficiency, logistical security, stakeholder collaboration, and environmental sustainability. These factors are not independent but interact dynamically, requiring coordinated development across technical, institutional, and environmental domains. This study proposes a dynamic interaction framework that illustrates how progress in one area (e.g., digital infrastructure) depends on readiness in others (e.g., governance and cross-sector collaboration). The outcomes contribute both conceptually and practically. The framework offers a system-level understanding of DSC implementation and identifies key leverage points for intervention. The findings provide strategic guidance for policymakers, port authorities, and supply chain stakeholders pursuing digitally enabled sustainable ma</w:t>
      </w:r>
    </w:p>
    <w:p>
      <w:pPr>
        <w:pStyle w:val="Heading2"/>
      </w:pPr>
      <w:r>
        <w:t>593. CROATIAN RURAL FUTURES IN 2030: FOUR ALTERNATIVE SCENARIOS FOR POSTSOCIALIST COUNTRYSIDE IN THE NEWEST E.U. MEMBER STATE</w:t>
      </w:r>
    </w:p>
    <w:p>
      <w:pPr>
        <w:pStyle w:val="SourceNote"/>
      </w:pPr>
      <w:r>
        <w:rPr>
          <w:b/>
        </w:rPr>
        <w:t>Original source (2021):</w:t>
      </w:r>
      <w:r>
        <w:t xml:space="preserve"> https://doi.org/10.1080/00167428.2020.1871298</w:t>
      </w:r>
    </w:p>
    <w:p>
      <w:pPr/>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POSSIBLE 2026:</w:t>
      </w:r>
      <w:r>
        <w:t xml:space="preserve"> Alternative Investment Funds: Regulation in European Union Law and Prospects for Implementation in Ukraine — https://doi.org/10.31359/1993-0909.2026.33.3.386</w:t>
      </w:r>
    </w:p>
    <w:p>
      <w:pPr/>
      <w:r>
        <w:rPr>
          <w:b/>
        </w:rPr>
        <w:t>Shared claim-specific concepts:</w:t>
      </w:r>
      <w:r>
        <w:t xml:space="preserve"> aim, construct, alternative, framework; EU scope visible. This is a provisional connection, not an outcome finding.</w:t>
      </w:r>
    </w:p>
    <w:p>
      <w:pPr>
        <w:pStyle w:val="SourceNote"/>
      </w:pPr>
      <w:r>
        <w:rPr>
          <w:b/>
        </w:rPr>
        <w:t>Available abstract (not full text):</w:t>
      </w:r>
      <w:r>
        <w:t xml:space="preserve">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pPr/>
      <w:r>
        <w:rPr>
          <w:b/>
        </w:rPr>
        <w:t>POSSIBLE 2026:</w:t>
      </w:r>
      <w:r>
        <w:t xml:space="preserve"> Reliability and Construct Validity of the Short Physical Performance Battery in Croatian Older Adults — https://doi.org/10.3390/geriatrics11020033</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Background: Population aging represents a major public health challenge, accompanied by an increasing prevalence of chronic diseases and age-related functional decline. Declines in lower-extremity physical function are particularly important, as they are strongly associated with mobility limitations, loss of independence, increased risk of falls, hospitalization, and mortality in older adults. Reliable and valid tools to assess physical performance are therefore essential in both clinical and research settings. The Short Physical Performance Battery (SPPB) is a widely used instrument for assessing lower-extremity physical performance in older adults and is recommended within the diagnostic algorithm of the European Working Group on Sarcopenia in Older People (EWGSOP2) for evaluating physical performance severity. However, the SPPB has not yet been psychometrically validated in the Croatian older population. This study aimed to evaluate the reliability and validity of the SPPB in Croatian older adults. Methods: This study examined the metric properties of the SPPB in a sample of 153 older adults recruited from nursing homes and community settings. Results: The SPPB demonstrated acceptable internal consistency (Cronbach’s alpha = 0.74) and good test–retest reliability (ICC = 0.893) for the total score. Convergent and construct validity were supported by significant associations w</w:t>
      </w:r>
    </w:p>
    <w:p>
      <w:pPr/>
      <w:r>
        <w:rPr>
          <w:b/>
        </w:rPr>
        <w:t>POSSIBLE 2026:</w:t>
      </w:r>
      <w:r>
        <w:t xml:space="preserve"> Alternative tourism in European Union countries: Market growth, segment diversification and development prospects — https://doi.org/10.9770/p3788439343</w:t>
      </w:r>
    </w:p>
    <w:p>
      <w:pPr/>
      <w:r>
        <w:rPr>
          <w:b/>
        </w:rPr>
        <w:t>Shared claim-specific concepts:</w:t>
      </w:r>
      <w:r>
        <w:t xml:space="preserve"> alternative, important, framework, developed; EU scope visible. This is a provisional connection, not an outcome finding.</w:t>
      </w:r>
    </w:p>
    <w:p>
      <w:pPr>
        <w:pStyle w:val="SourceNote"/>
      </w:pPr>
      <w:r>
        <w:rPr>
          <w:b/>
        </w:rPr>
        <w:t>Available abstract (not full text):</w:t>
      </w:r>
      <w:r>
        <w:t xml:space="preserve"> The diversification of contemporary tourism has transformed alternative tourism into an increasingly important component of the European tourism economy.However, it remains conceptually fragmented and lacks a unified framework integrating its diverse market segments.This study aims to conceptualize alternative tourism as an integrated system of interconnected tourism markets and to examine its development in the European Union through empirical evidence from multiple measurable tourism segments.The research adopts a mixed conceptual-empirical approach combining systems theory, literature analysis, and secondary data analysis.A conceptual framework is developed to explain the relationships among tourist motivations, destination resources, alternative tourism market segments, and sustainability outcomes.The empirical analysis draws on official statistics and institutional datasets from Eurostat, the Global Wellness Institute, ISTAT, Metsähallitus, and other authoritative sources.Six market segments are examined: wellness tourism, spa and thermal tourism, platform-based accommodation, agritourism, nature-based tourism, and pilgrimage tourism.The findings reveal consistent long-term growth across all analysed segments, driven by increasing demand for health, authenticity, sustainability, naturebased experiences, spirituality, and personal development.The study demonstrates that alt</w:t>
      </w:r>
    </w:p>
    <w:p>
      <w:pPr/>
      <w:r>
        <w:rPr>
          <w:b/>
        </w:rPr>
        <w:t>POSSIBLE 2026:</w:t>
      </w:r>
      <w:r>
        <w:t xml:space="preserve"> Study of asymptotes in upper secondary mathematics education: A praxeological analysis of textbooks in Croatia — https://doi.org/10.29333/iejme/18924</w:t>
      </w:r>
    </w:p>
    <w:p>
      <w:pPr/>
      <w:r>
        <w:rPr>
          <w:b/>
        </w:rPr>
        <w:t>Shared claim-specific concepts:</w:t>
      </w:r>
      <w:r>
        <w:t xml:space="preserve"> croatia, acknowledging, framework; EU scope visible. This is a provisional connection, not an outcome finding.</w:t>
      </w:r>
    </w:p>
    <w:p>
      <w:pPr>
        <w:pStyle w:val="SourceNote"/>
      </w:pPr>
      <w:r>
        <w:rPr>
          <w:b/>
        </w:rPr>
        <w:t>Available abstract (not full text):</w:t>
      </w:r>
      <w:r>
        <w:t xml:space="preserve"> The notion of the asymptote is part of the upper secondary and university mathematics curriculum. Acknowledging the existing literature on student issues with asymptotes and the influential role of textbooks in mathematics education, we examined the knowledge of asymptotes provided in upper secondary mathematics textbooks in Croatia. Within the framework of the Anthropological Theory of the Didactic, we constructed a reference model for the study of asymptotes and conducted a systematic and detailed textbook analysis, focusing on praxeological organisation, ostensive manifestations, and the process of study. The analysis revealed that textbooks fail to connect knowledge and representations of asymptotes across different contexts, to organise the process of study in a mathematically and pedagogically coherent manner, and to address recognised student issues related to asymptotes. This study contributes to the research on asymptotes and textbook analysis, and proposes a reference model based on exploration using different representations, analogous work, and the construction of a generalised discourse.</w:t>
      </w:r>
    </w:p>
    <w:p>
      <w:pPr/>
      <w:r>
        <w:rPr>
          <w:b/>
        </w:rPr>
        <w:t>POSSIBLE 2026:</w:t>
      </w:r>
      <w:r>
        <w:t xml:space="preserve"> Intellectual Capital and Performance in Croatian Academic Libraries: An Empirical Analysis — https://doi.org/10.34190/eckm.27.1.5099</w:t>
      </w:r>
    </w:p>
    <w:p>
      <w:pPr/>
      <w:r>
        <w:rPr>
          <w:b/>
        </w:rPr>
        <w:t>Shared claim-specific concepts:</w:t>
      </w:r>
      <w:r>
        <w:t xml:space="preserve"> croatia, four; EU scope visible. This is a provisional connection, not an outcome finding.</w:t>
      </w:r>
    </w:p>
    <w:p>
      <w:pPr>
        <w:pStyle w:val="SourceNote"/>
      </w:pPr>
      <w:r>
        <w:rPr>
          <w:b/>
        </w:rPr>
        <w:t>Available abstract (not full text):</w:t>
      </w:r>
      <w:r>
        <w:t xml:space="preserve"> The importance of intellectual capital in the knowledge economy has become crucial, as the competitiveness and successful performance of contemporary organisations depend on such resources. Numerous empirical studies support this, most of which originate from the for-profit sector. However, the importance of intellectual capital in the public and non-profit sectors is also widely acknowledged and, according to some authors, may be even greater than in the for-profit sector. This research contributes to the existing literature on intellectual capital in the public and non-profit sectors by examining intellectual capital in academic libraries. Although there are assumptions in the literature on the importance of intellectual capital to library performance, there remains a lack of empirical research confirming this claim. This study investigates intellectual capital in academic libraries in Croatia and its relationship with performance. Intellectual capital is categorized into three main components: human, structural, and relational capital. A questionnaire on intellectual capital was distributed to academic libraries in Croatia. To test the relationship between intellectual capital and performance, the survey results were combined with secondary data on library performance, assessed using performance indicators defined by the ISO 11620 standard. This standard follows the balanced</w:t>
      </w:r>
    </w:p>
    <w:p>
      <w:pPr/>
      <w:r>
        <w:rPr>
          <w:b/>
        </w:rPr>
        <w:t>POSSIBLE 2026:</w:t>
      </w:r>
      <w:r>
        <w:t xml:space="preserve"> Trust in Artificial Intelligence and Its Acceptance in Croatian Society — https://doi.org/10.7906/indecs.24.1.4</w:t>
      </w:r>
    </w:p>
    <w:p>
      <w:pPr/>
      <w:r>
        <w:rPr>
          <w:b/>
        </w:rPr>
        <w:t>Shared claim-specific concepts:</w:t>
      </w:r>
      <w:r>
        <w:t xml:space="preserve"> croatia, important; EU scope visible. This is a provisional connection, not an outcome finding.</w:t>
      </w:r>
    </w:p>
    <w:p>
      <w:pPr>
        <w:pStyle w:val="SourceNote"/>
      </w:pPr>
      <w:r>
        <w:rPr>
          <w:b/>
        </w:rPr>
        <w:t>Available abstract (not full text):</w:t>
      </w:r>
      <w:r>
        <w:t xml:space="preserve"> Important questions concerning citizen trust in artificial intelligence (AI) systems have been raised by their rapid development and widespread application throughout various social and economic activities.Trust in AI has become a crucial element determining the level of its societal acceptance along with a series of interconnected factors.This study aims to investigate the factors influencing trust in AI, the social implications of such trust and distrust, as well as the perception of and readiness to accept AI within Croatian society.Conducted on a sample of 500 respondents in the Republic of Croatia, the research sought to examine the frequency of AI tool usage, the level of trust in AI, and the citizens' readiness to accept it in everyday and professional contexts.The results indicate an overall moderate level of trust in AI, characterized by a prevailing cautious optimism.Most respondents recognize the benefits of AI in various life situations, while also expressing pronounced caution and selective acceptance of certain forms of its application.Simultaneously, they voice concerns regarding ethical dilemmas.The analysis shows that trust in AI is significantly correlated with the frequency of AI tool usage and the level of digital literacy, suggesting that personal experience and understanding of the technology positively influence the perception of its reliability.Within th</w:t>
      </w:r>
    </w:p>
    <w:p>
      <w:pPr/>
      <w:r>
        <w:rPr>
          <w:b/>
        </w:rPr>
        <w:t>POSSIBLE 2026:</w:t>
      </w:r>
      <w:r>
        <w:t xml:space="preserve"> Beyond Bretton Woods Conditionality: How the BRICS+ and New Development Bank Construct a Pluriversal Alternative — https://doi.org/10.47305/jlia.2026.2212</w:t>
      </w:r>
    </w:p>
    <w:p>
      <w:pPr/>
      <w:r>
        <w:rPr>
          <w:b/>
        </w:rPr>
        <w:t>Shared claim-specific concepts:</w:t>
      </w:r>
      <w:r>
        <w:t xml:space="preserve"> construct, alternative, framework; EU scope not established. This is a provisional connection, not an outcome finding.</w:t>
      </w:r>
    </w:p>
    <w:p>
      <w:pPr>
        <w:pStyle w:val="SourceNote"/>
      </w:pPr>
      <w:r>
        <w:rPr>
          <w:b/>
        </w:rPr>
        <w:t>Available abstract (not full text):</w:t>
      </w:r>
      <w:r>
        <w:t xml:space="preserve"> This study argues that BRICS+ catalyzes transformation in the international system rather than reproducing colonial power structures. It shows that institutional initiatives, particularly the New Development Bank (NDB), enable BRICS+ to construct an alternative global governance framework that empowers the Global South and challenges the post-colonial dominance of the Bretton Woods system. Using a hybrid framework combining Decolonial Theory and Constructivism, the research examines how tensions between anti-colonial discourse and internal power asymmetries may produce forms of domination. Through Critical Discourse Analysis of official documents and a case study of NDB, the study identifies emerging inclusive multilateralism within BRICS+. Findings suggest NDB functions as a strategic instrument for advancing a more equitable, multipolar, and pluriversal global order.</w:t>
      </w:r>
    </w:p>
    <w:p>
      <w:pPr/>
      <w:r>
        <w:rPr>
          <w:b/>
        </w:rPr>
        <w:t>POSSIBLE 2026:</w:t>
      </w:r>
      <w:r>
        <w:t xml:space="preserve"> THE RISE OF FAR-RIGHT MOVEMENTS IN EUROPE WITHIN THE FRAMEWORK OF NEOLIBERALISM: THE CASE OF AfD (ALTERNATIVE FÜR DEUTSCHLAND) — https://doi.org/10.58702/teyd.1676030</w:t>
      </w:r>
    </w:p>
    <w:p>
      <w:pPr/>
      <w:r>
        <w:rPr>
          <w:b/>
        </w:rPr>
        <w:t>Shared claim-specific concepts:</w:t>
      </w:r>
      <w:r>
        <w:t xml:space="preserve"> alternative, framework; EU scope visible. This is a provisional connection, not an outcome finding.</w:t>
      </w:r>
    </w:p>
    <w:p>
      <w:pPr>
        <w:pStyle w:val="SourceNote"/>
      </w:pPr>
      <w:r>
        <w:rPr>
          <w:b/>
        </w:rPr>
        <w:t>Available abstract (not full text):</w:t>
      </w:r>
      <w:r>
        <w:t xml:space="preserve"> Far-right movements in Europe have gained significant momentum, increasingly challenging the European Union’s integration process and core values. This study aims to analyze the underlying causes behind the emergence and rise of far-right movements while exploring their relationship with neoliberalism. Ruth Wodak’s historical approach, one of the essential frameworks in critical discourse analysis, is adopted as the methodological foundation. Wodak’s method, which incorporates historical context, ideology-power relations, and interdisciplinary analysis, offers a suitable framework for a detailed examination of both the rise of the far-right and the historical development of neoliberal policies. Furthermore, the study investigates how far-right movements instrumentalize the social and economic inequalities produced by neoliberal reforms, offering a multidimensional assessment supported by media analysis. A comprehensive literature review was conducted to achieve this, examining relevant academic articles, online publications, and books.</w:t>
      </w:r>
    </w:p>
    <w:p>
      <w:pPr/>
      <w:r>
        <w:rPr>
          <w:b/>
        </w:rPr>
        <w:t>POSSIBLE 2025:</w:t>
      </w:r>
      <w:r>
        <w:t xml:space="preserve"> Right-wing and left-wing populists in the 2024 European Parliament elections in Germany: an analysis of the success of Alternative for Germany and Sahra Wagenknecht's Alliance — https://doi.org/10.31338/1641-2478pe.3.25.11</w:t>
      </w:r>
    </w:p>
    <w:p>
      <w:pPr/>
      <w:r>
        <w:rPr>
          <w:b/>
        </w:rPr>
        <w:t>Shared claim-specific concepts:</w:t>
      </w:r>
      <w:r>
        <w:t xml:space="preserve"> aim, construct, alternative; EU scope visible. This is a provisional connection, not an outcome finding.</w:t>
      </w:r>
    </w:p>
    <w:p>
      <w:pPr>
        <w:pStyle w:val="SourceNote"/>
      </w:pPr>
      <w:r>
        <w:rPr>
          <w:b/>
        </w:rPr>
        <w:t>Available abstract (not full text):</w:t>
      </w:r>
      <w:r>
        <w:t xml:space="preserve">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pPr/>
      <w:r>
        <w:rPr>
          <w:b/>
        </w:rPr>
        <w:t>POSSIBLE 2025:</w:t>
      </w:r>
      <w:r>
        <w:t xml:space="preserve"> Emotional Practices in the Process of (Re) Constructing Diaspora Identity – Croats in New Zealand — https://doi.org/10.11567/met.2025.2</w:t>
      </w:r>
    </w:p>
    <w:p>
      <w:pPr/>
      <w:r>
        <w:rPr>
          <w:b/>
        </w:rPr>
        <w:t>Shared claim-specific concepts:</w:t>
      </w:r>
      <w:r>
        <w:t xml:space="preserve"> aim, framework; EU scope not established. This is a provisional connection, not an outcome finding.</w:t>
      </w:r>
    </w:p>
    <w:p>
      <w:pPr>
        <w:pStyle w:val="SourceNote"/>
      </w:pPr>
      <w:r>
        <w:rPr>
          <w:b/>
        </w:rPr>
        <w:t>Available abstract (not full text):</w:t>
      </w:r>
      <w:r>
        <w:t xml:space="preserve"> The history of Croats in New Zealand dates back to the 19th century. Geographical distance and weaker ties to the country of origin have resulted in unique patterns of this diaspora’s social development. It is marked by an intensified process of assimilation into New Zealand society, while a significant part of the community, in terms of origin, primarily highlights a regional Dalmatian identity over a national Croatian one, given that the vast majority of immigrants originate from Central Dalmatia. The aim of this study is to analyse the development of this diaspora from the perspective of emotions as a foundation for its formation. The focus will be on Auckland, where the largest community of settlers and their descendants was established. To achieve the primary goal of the study, ten archived interviews, conducted using oral history methods with New Zealanders of Croatian descent, will be interpreted. These interviews are held in New Zealand libraries. Special emphasis will be placed on the methodological challenges of analysing this type of source. Within the established theoretical framework, the collective and individual activities of diaspora members are recognised as the emotional foundation upon which both individual and group identities are (re)constructed. The process of (re)constructing their identity was based on daily activities, particularly in areas of the city </w:t>
      </w:r>
    </w:p>
    <w:p>
      <w:pPr/>
      <w:r>
        <w:rPr>
          <w:b/>
        </w:rPr>
        <w:t>POSSIBLE 2025:</w:t>
      </w:r>
      <w:r>
        <w:t xml:space="preserve"> Defining an alternative assessment construct as a rating scale for evaluation of LSP oral presentation — https://doi.org/10.5937/zrpfu2527035p</w:t>
      </w:r>
    </w:p>
    <w:p>
      <w:pPr/>
      <w:r>
        <w:rPr>
          <w:b/>
        </w:rPr>
        <w:t>Shared claim-specific concepts:</w:t>
      </w:r>
      <w:r>
        <w:t xml:space="preserve"> aim, construct, alternative; EU scope not established. This is a provisional connection, not an outcome finding.</w:t>
      </w:r>
    </w:p>
    <w:p>
      <w:pPr>
        <w:pStyle w:val="SourceNote"/>
      </w:pPr>
      <w:r>
        <w:rPr>
          <w:b/>
        </w:rPr>
        <w:t>Available abstract (not full text):</w:t>
      </w:r>
      <w:r>
        <w:t xml:space="preserve"> The subject of the research is grounded on the theoretical analysis of different models of communicative competence in order to develop rating criteria for assessment of oral presentation in language for specific purposes. The aim of the research is defining validity of an alternative form of assessment, such as oral presentation, by defining the construct of assessment in the manner of the standardised testing procedure. More precisely, starting from the students’ performances, i.e. oral presentations in language for specific purposes that need to be evaluated, we analysed theoretical frameworks of communicative competence and specific purpose language ability, as well as speech parameters and public speaking rating scales’ characteristics. This approach was adopted in order to reach an optimal solution for an assessment construct of oral presentation performance. The initial hypothesis posits that it is possible to ensure the a priori validity of alternative assessment by defining the construct and its operalisation through rating criteria. Therefore, we designed a unique rating scale for oral presentation assessment based on the results of the theoretical analysis. Thus, the rating scale for oral presentation assessment is composed of the parameters of linguistic, sociolinguistic, discourse and functional competences as well as on performance strategies and background knowle</w:t>
      </w:r>
    </w:p>
    <w:p>
      <w:pPr/>
      <w:r>
        <w:rPr>
          <w:b/>
        </w:rPr>
        <w:t>POSSIBLE 2025:</w:t>
      </w:r>
      <w:r>
        <w:t xml:space="preserve"> Changes in Complementary and Alternative Medicine (CAM) use from 2014 to 2023: Findings from a cross-national population-based survey in Europe — https://doi.org/10.1007/s10389-025-02494-1</w:t>
      </w:r>
    </w:p>
    <w:p>
      <w:pPr/>
      <w:r>
        <w:rPr>
          <w:b/>
        </w:rPr>
        <w:t>Shared claim-specific concepts:</w:t>
      </w:r>
      <w:r>
        <w:t xml:space="preserve"> aim, alternative, without; EU scope visible. This is a provisional connection, not an outcome finding.</w:t>
      </w:r>
    </w:p>
    <w:p>
      <w:pPr>
        <w:pStyle w:val="SourceNote"/>
      </w:pPr>
      <w:r>
        <w:rPr>
          <w:b/>
        </w:rPr>
        <w:t>Available abstract (not full text):</w:t>
      </w:r>
      <w:r>
        <w:t xml:space="preserve"> Abstract Aim The COVID-19 pandemic has sparked interest in Complementary and Alternative Medicine (CAM), both as a remedy for managing symptoms and in relation to its association with vaccine hesitancy and resistance to public health measures. European cross-national evidence remains sparse. This article provides a comparative analysis of CAM use across European countries between 2014 and 2023. We assess changes in the prevalence of use of different CAM modalities and explore their associations with sociodemographic factors. Subject and methods Analyses used weighted European Social Survey (ESS) data to estimate proportions and logistic regression with robust standard errors, controlling for gender, age, education, income, and country of residence. Results Our findings indicate that overall CAM use in Europe has remained relatively stable during this period, although there were notable differences between countries and between treatment modalities, with some showing increases and others decreases in use. Exclusively relying on CAM without consulting medical professionals remains stable at approximately 8% of CAM users. The typical user profiles of CAM have remained consistent: women, mid-age groups and highly educated people tend to use CAM more than other groups. Conclusion While CAM use may have spiked temporarily during the pandemic, our analysis shows no evidence of a susta</w:t>
      </w:r>
    </w:p>
    <w:p>
      <w:pPr>
        <w:pStyle w:val="Heading2"/>
      </w:pPr>
      <w:r>
        <w:t>594. Charging the future: Roadmaps and value tensions for mainstreaming prosumerism to 2030 and 2050</w:t>
      </w:r>
    </w:p>
    <w:p>
      <w:pPr>
        <w:pStyle w:val="SourceNote"/>
      </w:pPr>
      <w:r>
        <w:rPr>
          <w:b/>
        </w:rPr>
        <w:t>Original source (2021):</w:t>
      </w:r>
      <w:r>
        <w:t xml:space="preserve"> https://doi.org/10.5281/zenodo.4568679</w:t>
      </w:r>
    </w:p>
    <w:p>
      <w:pPr/>
      <w:r>
        <w:t>Original wording (abstract; indexed_source_text_not_full_document_verified): Third, we highlight three key value tensions which underlie these leverage points, and for which value prioritisations will need to be made.</w:t>
      </w:r>
    </w:p>
    <w:p>
      <w:pPr/>
      <w:r>
        <w:rPr>
          <w:b/>
        </w:rPr>
        <w:t>POSSIBLE 2026:</w:t>
      </w:r>
      <w:r>
        <w:t xml:space="preserve"> Discrimination of two-highlight versus single-highlight phantom echoes by bottlenose dolphins ( Tursiops truncatus ) — https://doi.org/10.1121/10.0043763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pPr/>
      <w:r>
        <w:rPr>
          <w:b/>
        </w:rPr>
        <w:t>POSSIBLE 2026:</w:t>
      </w:r>
      <w:r>
        <w:t xml:space="preserve"> Tensions and transformation : investigating the dynamic value of digital platforms — https://doi.org/10.82444/warw.33911656</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platforms are transforming every industry as they create value distinct from any other digital technology by leveraging complementarity, boundary resources, and network effects. However, the process of value creation and value capture face increasing challenges as a result of the growing involvement of third parties beyond the platform owners’ control and a predominantly narrow focus on economic value across most of the actors, particularly by the platform owners who possess the capability to achieve border impacts. For platforms at different development stages, there should be specific types of value and mechanisms of creating and capturing value corresponding to the conditions, instead of a universal set of definitions, standards, and theories. Therefore, this thesis uses a process-oriented perspective to understand what types of value are created and how value is created and captured at different development stages of digital platforms. The first study examines the early-stage development of a traditional media company within a digital transformation project, where knowledge emerges as the central value pursued for creation and capture. The second study investigates Douyin (known globally as TikTok) during its scaling phase as an established platform, highlighting data as a critical source of capturable value used to address tensions between the platform and its comp</w:t>
      </w:r>
    </w:p>
    <w:p>
      <w:pPr/>
      <w:r>
        <w:rPr>
          <w:b/>
        </w:rPr>
        <w:t>POSSIBLE 2026:</w:t>
      </w:r>
      <w:r>
        <w:t xml:space="preserve"> Navigating Tensions in Digital Transformation: Managerial Action Across Levels — https://doi.org/10.5463/thesis.1701</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transformation promises incumbent firms new ways to compete and create value, but the journey there is shadowed with tensions. This dissertation asks: How do managers in incumbent firms navigate tensions when leading digital transformation? Three interconnected studies build the answer. The first, a systematic review of 109 articles, highlights a framework on how managers use paradoxical, convergence, and legitimacy framing to resolve cognitive tensions across sensing, seizing, and transforming. The second, a longitudinal case study of PetCo, distinguishes commensalistic from rivalrous resource tensions in ecosystem diversification, showing how each triggers distinct patterns of distributed leadership, from peer-level coordination among middle managers to coordination across hierarchical levels. The third examines artificial intelligence adoption, uncovering distinct challenges across generative and predictive AI and highlighting middle managers as pivotal actors in scaling AI across three phases. Together, these studies advance a multi-level understanding of digital transformation: one where success depends not only on strategic vision from the top, but on how managers across the hierarchy actively navigate cognitive, resource, and technological tensions in practice.</w:t>
      </w:r>
    </w:p>
    <w:p>
      <w:pPr/>
      <w:r>
        <w:rPr>
          <w:b/>
        </w:rPr>
        <w:t>POSSIBLE 2026:</w:t>
      </w:r>
      <w:r>
        <w:t xml:space="preserve"> A cosmological intercept tension in local distance ladders — https://doi.org/10.48550/arxiv.2610.31181</w:t>
      </w:r>
    </w:p>
    <w:p>
      <w:pPr/>
      <w:r>
        <w:rPr>
          <w:b/>
        </w:rPr>
        <w:t>Shared claim-specific concepts:</w:t>
      </w:r>
      <w:r>
        <w:t xml:space="preserve"> third, highlight, value; EU scope not established. This is a provisional connection, not an outcome finding.</w:t>
      </w:r>
    </w:p>
    <w:p>
      <w:pPr>
        <w:pStyle w:val="SourceNote"/>
      </w:pPr>
      <w:r>
        <w:rPr>
          <w:b/>
        </w:rPr>
        <w:t>Available abstract (not full text):</w:t>
      </w:r>
      <w:r>
        <w:t xml:space="preserve"> The Hubble tension motivates direct tests of the internal consistency of the local distance ladder. We perform forward and backward consistency checks between Type Ia supernovae in Cepheid host galaxies and the Hubble-flow supernova sample using Pantheon+ data. Within flat $Λ$CDM, we impose Planck-CMB priors on one sample, infer the supernova absolute-magnitude calibration, and propagate it to the other sample to recover the Hubble constant, which should match the input value if the second and third rungs of the distance ladder align perfectly. We examine the impact of host-galaxy peculiar velocities using redshift corrections based on the Manticore-Local reconstruction. These corrections shift the recovered $H_0$ from $74.30^{+1.18}_{-1.20}$ to $71.37^{+1.23}_{-1.18}$ $\mathrm{km\,s^{-1}Mpc^{-1}}$ in the forward analysis and from $60.83^{+0.98}_{-0.97}$ to $63.25^{+0.95}_{-0.93}$ $\mathrm{km\,s^{-1}Mpc^{-1}}$ in the backward analysis, bringing both results closer to the input CMB constraint. Comparing the cosmological intercepts of the magnitude-redshift relation inferred from two rungs of the distance ladder before and after peculiar-velocity corrections, we find that the significance of the discrepancy decreases from $6.8σ$ to $3.9σ$ in the forward check and from $7.3σ$ to $4.3σ$ in the backward check. Peculiar-velocity corrections therefore partially alleviate the intercept</w:t>
      </w:r>
    </w:p>
    <w:p>
      <w:pPr/>
      <w:r>
        <w:rPr>
          <w:b/>
        </w:rPr>
        <w:t>POSSIBLE 2026:</w:t>
      </w:r>
      <w:r>
        <w:t xml:space="preserve"> Introduction to the Third Edition — https://doi.org/10.1017/9781009724524.002</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Preface to the Third Edition — https://doi.org/10.1017/9781009724524.001</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Shared experiences of three professionals navigating careers in the Third Space — https://doi.org/10.1080/13603108.2026.2631071</w:t>
      </w:r>
    </w:p>
    <w:p>
      <w:pPr/>
      <w:r>
        <w:rPr>
          <w:b/>
        </w:rPr>
        <w:t>Shared claim-specific concepts:</w:t>
      </w:r>
      <w:r>
        <w:t xml:space="preserve"> third, three, need; EU scope not established. This is a provisional connection, not an outcome finding.</w:t>
      </w:r>
    </w:p>
    <w:p>
      <w:pPr>
        <w:pStyle w:val="SourceNote"/>
      </w:pPr>
      <w:r>
        <w:rPr>
          <w:b/>
        </w:rPr>
        <w:t>Available abstract (not full text):</w:t>
      </w:r>
      <w:r>
        <w:t xml:space="preserve"> Career progression within the Third Space in higher education remains largely informal, with limited structured pathways for advancement. This paper draws on a year-long collaborative autoethnographic reflection by three Technology Enhanced Learning (TEL) practitioners to examine the lived realities of navigating careers in this evolving domain. Anchored in Whitchurch's conceptualisation of Third Space work, we explore the contextual and individualised nature of our trajectories, identifying both emerging competencies and persistent gaps in professional recognition. Our reflections reveal how the underdeveloped professionalisation of Third Space TEL roles affects identity formation, validation, and career sustainability. We critically consider the implications of this informality, particularly the need for clearer frameworks that acknowledge the strategic and pedagogical contributions of these roles. By situating our case within broader literature on Third Space professionalisation, we contribute to ongoing conversations about recognition, legitimacy, and institutional responsibility in creating sustainable and valued career pathways.</w:t>
      </w:r>
    </w:p>
    <w:p>
      <w:pPr/>
      <w:r>
        <w:rPr>
          <w:b/>
        </w:rPr>
        <w:t>POSSIBLE 2026:</w:t>
      </w:r>
      <w:r>
        <w:t xml:space="preserve"> Third-party Casino Servicescape Design Evaluation: Highlighting Architectural Attributes Addressing Health &amp; Wellness — https://openalex.org/W7164623194</w:t>
      </w:r>
    </w:p>
    <w:p>
      <w:pPr/>
      <w:r>
        <w:rPr>
          <w:b/>
        </w:rPr>
        <w:t>Shared claim-specific concepts:</w:t>
      </w:r>
      <w:r>
        <w:t xml:space="preserve"> third, three, key; EU scope not established. This is a provisional connection, not an outcome finding.</w:t>
      </w:r>
    </w:p>
    <w:p>
      <w:pPr>
        <w:pStyle w:val="SourceNote"/>
      </w:pPr>
      <w:r>
        <w:rPr>
          <w:b/>
        </w:rPr>
        <w:t>Available abstract (not full text):</w:t>
      </w:r>
      <w:r>
        <w:t xml:space="preserve"> This study examines three critical components of understanding the casino environment’s impact on human well-being. First, a Delphi study with expert architects’ analysis of design cues establishes that not all casino designs are equal. Casinos are typically analyzed in terms of their profitability, guest satisfaction, visit duration, average spend, etc., or their individual components are separately measured but not assessed in their impact as part of an integrated whole. Their impact on health and wellness is often an afterthought or hardly a consideration at all. This fills a key gap in the existing servicescape literature. Second, AI image generation accelerates discernment of casino design decisions’ relationship to potential guest perception and behavior. As real-world design and construction take time to materialize, simulating innumerable design options provides field experts with the opportunity to illustrate how certain design variables may have more profound effects on health and wellness (e.g. lighting and proportion, color and connection to nature, layout and wayfinding, etc.). Rapidly creating design iterations for visual stimuli in surveys enables more reliable focus-group testing. The third component illustrates that by demonstrating greater control over key design elements and their integration into the comprehensive guest experience, casino architects and deve</w:t>
      </w:r>
    </w:p>
    <w:p>
      <w:pPr/>
      <w:r>
        <w:rPr>
          <w:b/>
        </w:rPr>
        <w:t>POSSIBLE 2026:</w:t>
      </w:r>
      <w:r>
        <w:t xml:space="preserve"> When Generative AI Becomes a Colleague: Early Identity Tensions in Academia — https://doi.org/10.5465/amproc.2026.14697poster</w:t>
      </w:r>
    </w:p>
    <w:p>
      <w:pPr/>
      <w:r>
        <w:rPr>
          <w:b/>
        </w:rPr>
        <w:t>Shared claim-specific concepts:</w:t>
      </w:r>
      <w:r>
        <w:t xml:space="preserve"> third, highlight, three, key, value, tensions; EU scope not established. This is a provisional connection, not an outcome finding.</w:t>
      </w:r>
    </w:p>
    <w:p>
      <w:pPr>
        <w:pStyle w:val="SourceNote"/>
      </w:pPr>
      <w:r>
        <w:rPr>
          <w:b/>
        </w:rPr>
        <w:t>Available abstract (not full text):</w:t>
      </w:r>
      <w:r>
        <w:t xml:space="preserve"> Generative AI (Gen-AI) introduces uncertainty into both what professionals do and who they are at work by augmenting and reframing tasks traditionally tied to professional expertise. Yet existing research has largely approached Gen-AI through an efficiency-oriented lens, treating its identity implications as future concerns. Addressing this gap, we qualitatively examine how professionals make sense of their professional identity as Gen-AI becomes embedded in everyday work. Based on preliminary findings from eight academics, we identify three key tensions. First, although Gen-AI is initially perceived as reducing workload, participants describe a reconfiguration of effort, as time saved is offset by new cognitive demands such as evaluating outputs and heightened perfectionism. Second, participants express ambivalence toward Gen-AI use in identity-relevant domains: they engage AI in tasks they find meaningful or central to skill development, sometimes relying on its output while simultaneously seeking to strengthen their own expertise. Third, although participants state that Gen-AI does not fundamentally alter workplace social dynamics, their practices suggest otherwise: many turn to “always-available AI colleague” for communication and early-stage brainstorming, while expressing concerns about reduced help-seeking, informal learning, and social bonds. Across these tensions, part</w:t>
      </w:r>
    </w:p>
    <w:p>
      <w:pPr/>
      <w:r>
        <w:rPr>
          <w:b/>
        </w:rPr>
        <w:t>POSSIBLE 2026:</w:t>
      </w:r>
      <w:r>
        <w:t xml:space="preserve"> Third culture teachers: exploring identities of Vietnamese teachers in international schools — https://doi.org/10.1080/14767724.2026.2653563</w:t>
      </w:r>
    </w:p>
    <w:p>
      <w:pPr/>
      <w:r>
        <w:rPr>
          <w:b/>
        </w:rPr>
        <w:t>Shared claim-specific concepts:</w:t>
      </w:r>
      <w:r>
        <w:t xml:space="preserve"> third, value, tensions; EU scope not established. This is a provisional connection, not an outcome finding.</w:t>
      </w:r>
    </w:p>
    <w:p>
      <w:pPr>
        <w:pStyle w:val="SourceNote"/>
      </w:pPr>
      <w:r>
        <w:rPr>
          <w:b/>
        </w:rPr>
        <w:t>Available abstract (not full text):</w:t>
      </w:r>
      <w:r>
        <w:t xml:space="preserve"> This paper explores how Vietnamese teachers in international schools navigate different sets of cultural values within Vietnam’s expansion of the market-driven education sector. Drawing on postcolonial theory, the study conceptualises these teachers as Third Culture Teachers who navigate tensions between Vietnamese collectivist cultural traditions and Western-centric cosmopolitan ideologies. Their identities are shaped through a dynamic, negotiated, and paradoxical process of value negotiation and the assertion of a decolonised mind. By foregrounding Vietnamese teachers’ voices, the study highlights how these teachers challenge coloniality embedded in international schools and contribute to decolonising the knowledge production in global education research.</w:t>
      </w:r>
    </w:p>
    <w:p>
      <w:pPr/>
      <w:r>
        <w:rPr>
          <w:b/>
        </w:rPr>
        <w:t>POSSIBLE 2026:</w:t>
      </w:r>
      <w:r>
        <w:t xml:space="preserve"> AI Adoption and the Digital Divide in Colombia’s Third Sector: Unintended Consequences, Organizational Readiness, and Ethical Tensions — https://doi.org/10.29173/cjnser871</w:t>
      </w:r>
    </w:p>
    <w:p>
      <w:pPr/>
      <w:r>
        <w:rPr>
          <w:b/>
        </w:rPr>
        <w:t>Shared claim-specific concepts:</w:t>
      </w:r>
      <w:r>
        <w:t xml:space="preserve"> third, tensions, need; EU scope not established. This is a provisional connection, not an outcome finding.</w:t>
      </w:r>
    </w:p>
    <w:p>
      <w:pPr>
        <w:pStyle w:val="SourceNote"/>
      </w:pPr>
      <w:r>
        <w:rPr>
          <w:b/>
        </w:rPr>
        <w:t>Available abstract (not full text):</w:t>
      </w:r>
      <w:r>
        <w:t xml:space="preserve"> This study examines the adoption of artificial intelligence (AI) in Colombia’s third sector through a mixed-methods study of 104 survey respondents and 20 semi-structured interviews. Findings reveal uneven, largely incremental, task-oriented adoption, constrained by infrastructure, digital skills, governance capacity, and institutional support. While AI offers opportunities for efficiency, communication, and resource optimization, concerns remain around privacy, misinformation, technological dependency, and the erosion of human-centred practice. Drawing on theories of the digital divide, organizational readiness, and unintended consequences, the study conceptualizes AI as both a stratifying and moral technology, highlighting the need for context-sensitive governance, capability building, and equitable institutional support.</w:t>
      </w:r>
    </w:p>
    <w:p>
      <w:pPr/>
      <w:r>
        <w:rPr>
          <w:b/>
        </w:rPr>
        <w:t>POSSIBLE 2026:</w:t>
      </w:r>
      <w:r>
        <w:t xml:space="preserve"> Always on, never still: navigating the tensions of value creation within the livestreaming ecosystem — https://doi.org/10.1016/j.jbusres.2026.116394</w:t>
      </w:r>
    </w:p>
    <w:p>
      <w:pPr/>
      <w:r>
        <w:rPr>
          <w:b/>
        </w:rPr>
        <w:t>Shared claim-specific concepts:</w:t>
      </w:r>
      <w:r>
        <w:t xml:space="preserve"> three, value, tensions; EU scope not established. This is a provisional connection, not an outcome finding.</w:t>
      </w:r>
    </w:p>
    <w:p>
      <w:pPr>
        <w:pStyle w:val="SourceNote"/>
      </w:pPr>
      <w:r>
        <w:rPr>
          <w:b/>
        </w:rPr>
        <w:t>Available abstract (not full text):</w:t>
      </w:r>
      <w:r>
        <w:t xml:space="preserve"> Livestreaming is transforming influencer marketing by enabling synchronous, improvised, and prolonged interactions that challenge the temporal and relational assumptions of traditional social media. Yet, little is known about how value emerges and is sustained in real-time. Adopting a netnographic research design, this study examines how prolonged synchrony reshapes value creation within influencer ecosystems. Extending Libai et al., 2025 equity-based framework, this work conceptualizes value creation as shaped by three core tensions (endurance vs. fragility, unpredictability vs. control, and specialization vs. diversification), each navigated through adaptive mechanisms: self-disclosing, improvising, and anchoring. This study introduces relational equity to capture the cumulative value that originates from the continuous alignment of a growing number or interdependent actors involved in adaptive mechanisms. Throughout this process, value creation unfolds in a spiral dynamic, as the result of tensions which are continuously rebalanced in real-time. This work advances a processual understanding of value creation under prolonged synchrony.</w:t>
      </w:r>
    </w:p>
    <w:p>
      <w:pPr>
        <w:pStyle w:val="Heading2"/>
      </w:pPr>
      <w:r>
        <w:t>595. Conducting pre-foresight research: organizational aspect</w:t>
      </w:r>
    </w:p>
    <w:p>
      <w:pPr>
        <w:pStyle w:val="SourceNote"/>
      </w:pPr>
      <w:r>
        <w:rPr>
          <w:b/>
        </w:rPr>
        <w:t>Original source (2021):</w:t>
      </w:r>
      <w:r>
        <w:t xml:space="preserve"> https://doi.org/10.15407/socium2021.02.026</w:t>
      </w:r>
    </w:p>
    <w:p>
      <w:pPr/>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POSSIBLE 2026:</w:t>
      </w:r>
      <w:r>
        <w:t xml:space="preserve"> FAIRsharing record for: FAIR Metric - R1.2 - Metadata - Linked Publications — https://doi.org/10.25504/fairsharing.653df6</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pPr/>
      <w:r>
        <w:rPr>
          <w:b/>
        </w:rPr>
        <w:t>POSSIBLE 2026:</w:t>
      </w:r>
      <w:r>
        <w:t xml:space="preserve"> Knowledge Management Practice in the Indian Publications Industry with a Case Study of Publications Hub, India — https://doi.org/10.30954/2322-0465.01.2026.14</w:t>
      </w:r>
    </w:p>
    <w:p>
      <w:pPr/>
      <w:r>
        <w:rPr>
          <w:b/>
        </w:rPr>
        <w:t>Shared claim-specific concepts:</w:t>
      </w:r>
      <w:r>
        <w:t xml:space="preserve"> purpose, detailed, well, improve; EU scope not established. This is a provisional connection, not an outcome finding.</w:t>
      </w:r>
    </w:p>
    <w:p>
      <w:pPr>
        <w:pStyle w:val="SourceNote"/>
      </w:pPr>
      <w:r>
        <w:rPr>
          <w:b/>
        </w:rPr>
        <w:t>Available abstract (not full text):</w:t>
      </w:r>
      <w:r>
        <w:t xml:space="preserve">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pPr/>
      <w:r>
        <w:rPr>
          <w:b/>
        </w:rPr>
        <w:t>POSSIBLE 2026:</w:t>
      </w:r>
      <w:r>
        <w:t xml:space="preserve"> Class XII Mathematics: Detailed Step-by-Step Solution Manual — https://doi.org/10.5281/zenodo.23293618</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Mathematics for Class XII: Complete Step-by-Step Solution Manual Author: Abdul Rab ChacharDesignation: Lecturer in MathematicsAffiliation: College Education Department, Government of Sindh, Pakistan This educational solution manual is designed as an independent companion to the Class XII Mathematics textbook prescribed by the Sindh Textbook Board, Jamshoro, Pakistan. The manual aims to provide clear, detailed, step-by-step mathematical solutions to help higher secondary students, teachers, and independent learners develop conceptual understanding, strengthen problem-solving skills, and prepare for examinations. The manual is organized around the twelve units of the prescribed mathematics curriculum, including functions and limits, differential calculus, integration, vector functions, analytic geometry, differential equations, partial differentiation, and introductory numerical methods. Educational Purpose This work is intended for free educational distribution and non-commercial learning. Students and teachers are encouraged to access and share the original, unmodified manual with appropriate attribution, subject to its stated license. Copyright and Attribution Copyright © 2026 Abdul Rab Chachar. This is an independently prepared educational resource and is not an official publication of, or endorsed by, the Sindh Textbook Board. Website: https://abdulrab.github.ioLinkedIn: htt</w:t>
      </w:r>
    </w:p>
    <w:p>
      <w:pPr/>
      <w:r>
        <w:rPr>
          <w:b/>
        </w:rPr>
        <w:t>POSSIBLE 2026:</w:t>
      </w:r>
      <w:r>
        <w:t xml:space="preserve"> Delays in publication of 2026 papers — https://doi.org/10.1002/ovs2.70056</w:t>
      </w:r>
    </w:p>
    <w:p>
      <w:pPr/>
      <w:r>
        <w:rPr>
          <w:b/>
        </w:rPr>
        <w:t>Shared claim-specific concepts:</w:t>
      </w:r>
      <w:r>
        <w:t xml:space="preserve"> purpose, publication, detailed, terms, well, improve; EU scope not established. This is a provisional connection, not an outcome finding.</w:t>
      </w:r>
    </w:p>
    <w:p>
      <w:pPr>
        <w:pStyle w:val="SourceNote"/>
      </w:pPr>
      <w:r>
        <w:rPr>
          <w:b/>
        </w:rPr>
        <w:t>Available abstract (not full text):</w:t>
      </w:r>
      <w:r>
        <w:t xml:space="preserve"> The one major change that was not included in our January 2024, 3-year plan for the journal1 was to change publishers to Wiley.2 The three main advantages we foresaw were a significant reduction in publication times, improved readability of papers, and a route for authors to obtain open access publication of their papers via Wiley agreements with institutions worldwide.2 This means that authors from many universities will get payment for open access publication via their institution and do not need to have grants for this purpose. Having worked with Wiley as editor-in-chief of Ophthalmic &amp; Physiological Optics from 2010 to 2020, I was also aware of their excellent marketing team that helped to improve our communications with authors and reviewers. Wiley also has very well-thought-through processes for dealing with ethical issues and AI. We started the process of choosing a new publisher in 2024 and chose Wiley in early 2025, with a plan to switch in January 2026. Wiley was the only publisher to provide a detailed transition plan. The plan was due to start in July 2025 with the conversion of the backfiles of all Optometry and Visions Science (OVS)'s past issues from Wolters–Kluwer to Wiley. The first difficulty was the amount of time needed for the legal team at the American Academy of Optometry (AAO) to finalize an agreement with Wiley; this delayed the process for several mont</w:t>
      </w:r>
    </w:p>
    <w:p>
      <w:pPr/>
      <w:r>
        <w:rPr>
          <w:b/>
        </w:rPr>
        <w:t>POSSIBLE 2026:</w:t>
      </w:r>
      <w:r>
        <w:t xml:space="preserve"> CGT TECHNICAL DISCLOSURE BULLETIN V1 - Prior Art Publication for Inventions Derived from Conscious Geometry Theory — https://doi.org/10.5281/zenodo.18772630</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document constitutes a defensive publication and prior art disclosure under the principles of intellectual property law. Its purpose is to place into the public domain detailed technical descriptions of all known and anticipated inventions, methods, systems, devices, and applications derivable from Conscious Geometry Theory (CGT).All inventions described in this document to the public domain for the benefit of humanity under CC-BY-4.0 licence. No patent applications have been filed, are pending, or will be filed by the inventor for any invention described herein.</w:t>
      </w:r>
    </w:p>
    <w:p>
      <w:pPr/>
      <w:r>
        <w:rPr>
          <w:b/>
        </w:rPr>
        <w:t>POSSIBLE 2026:</w:t>
      </w:r>
      <w:r>
        <w:t xml:space="preserve"> Towards Fitness-for-purpose assessment in HealthData@EU — https://doi.org/10.5281/zenodo.20204309</w:t>
      </w:r>
    </w:p>
    <w:p>
      <w:pPr/>
      <w:r>
        <w:rPr>
          <w:b/>
        </w:rPr>
        <w:t>Shared claim-specific concepts:</w:t>
      </w:r>
      <w:r>
        <w:t xml:space="preserve"> purpose, publication, detailed, well, recommendations; EU scope visible. This is a provisional connection, not an outcome finding.</w:t>
      </w:r>
    </w:p>
    <w:p>
      <w:pPr>
        <w:pStyle w:val="SourceNote"/>
      </w:pPr>
      <w:r>
        <w:rPr>
          <w:b/>
        </w:rPr>
        <w:t>Available abstract (not full text):</w:t>
      </w:r>
      <w:r>
        <w:t xml:space="preserve"> Proposal Design of a Fitness‑for‑Purpose (F4P) Mechanism for HealthData@EU Executive Summary This report proposes an initial design for a Fitness‑for‑Purpose (F4P) mechanism within HealthData@EU, aimed at complementing the existing QUANTUM Data Quality, Utility, and Maturity Label. The F4P mechanism introduces a structured way to capture and share Data Users’ assessments of how well datasets meet specific secondary‑use purposes under the European Health Data Space (EHDS). These assessments are intended to enhance transparency, usability, and trust by making real‑world dataset performance visible through Health Data Access Bodies (HDAB) catalogues. At its core, the mechanism enables purpose‑specific scoring of datasets, aligned with EHDS Article 53(1) use cases, including scientific research (e.g., AI training/testing), public health surveillance, policymaking and Health Technology Assessment (HTA), statistics, and education. Evaluations are anchored in QUANTUM’s established data quality dimensions, such as completeness, consistency, and accuracy; while also incorporating qualitative feedback through user comments and optional supporting materials (e.g., reports, code, persistent identifiers). The design defines a post‑use reporting model, requiring feedback submission within EHDS Article 61(4) timelines, while allowing optional early feedback to Data Holders (DHs). Governance i</w:t>
      </w:r>
    </w:p>
    <w:p>
      <w:pPr/>
      <w:r>
        <w:rPr>
          <w:b/>
        </w:rPr>
        <w:t>POSSIBLE 2026:</w:t>
      </w:r>
      <w:r>
        <w:t xml:space="preserve"> Mobile apps for cancer patient education: a technology foresight analysis — https://doi.org/10.1007/s00520-026-11112-z</w:t>
      </w:r>
    </w:p>
    <w:p>
      <w:pPr/>
      <w:r>
        <w:rPr>
          <w:b/>
        </w:rPr>
        <w:t>Shared claim-specific concepts:</w:t>
      </w:r>
      <w:r>
        <w:t xml:space="preserve"> purpose, terms, effectiveness, foresight; EU scope not established. This is a provisional connection, not an outcome finding.</w:t>
      </w:r>
    </w:p>
    <w:p>
      <w:pPr>
        <w:pStyle w:val="SourceNote"/>
      </w:pPr>
      <w:r>
        <w:rPr>
          <w:b/>
        </w:rPr>
        <w:t>Available abstract (not full text):</w:t>
      </w:r>
      <w:r>
        <w:t xml:space="preserve"> PURPOSE: To identify and classify free mobile applications for adult cancer patient education available in the App Store and Google Play. METHODS: A technology foresight study was conducted in four phases (preparation, pre-prospecting, prospecting, and post-prospecting). Search was carried out in both stores, using the terms "cancer" and "oncology". Free apps in English, Spanish, or Portuguese aimed at educating adults with cancer were included. Quality was assessed based on a scale adapted from the Applications Scoring System. RESULTS: A total of 848 apps were identified. After screening, 32 met the inclusion criteria. Most were categorized under "Medicine" (n = 21), were available in the App Store (n = 25), and were released between 2017 and 2024, peaking in 2024 (n = 14). Content most frequently addressed breast cancer. Only nine apps achieved the maximum app comprehensiveness score, and seven cited scientific literature. Most required internet connectivity (n = 28) and were easy to navigate (n = 29), whereas professional validation and offline resources were limited. Overall quality scores ranged from 5 to 10, with a median score of 8 (interquartile range [IQR]: 6-9). CONCLUSION: Although digital solutions for oncology education have expanded rapidly, a substantial proportion of available applications remain devoid of a rigorous scientific foundation and continue to exhibit</w:t>
      </w:r>
    </w:p>
    <w:p>
      <w:pPr/>
      <w:r>
        <w:rPr>
          <w:b/>
        </w:rPr>
        <w:t>POSSIBLE 2026:</w:t>
      </w:r>
      <w:r>
        <w:t xml:space="preserve"> AI-Driven Cyberattack Risks - A Foresight Study — https://doi.org/10.59297/es35t565</w:t>
      </w:r>
    </w:p>
    <w:p>
      <w:pPr/>
      <w:r>
        <w:rPr>
          <w:b/>
        </w:rPr>
        <w:t>Shared claim-specific concepts:</w:t>
      </w:r>
      <w:r>
        <w:t xml:space="preserve"> improve, foresight; EU scope not established. This is a provisional connection, not an outcome finding.</w:t>
      </w:r>
    </w:p>
    <w:p>
      <w:pPr>
        <w:pStyle w:val="SourceNote"/>
      </w:pPr>
      <w:r>
        <w:rPr>
          <w:b/>
        </w:rPr>
        <w:t>Available abstract (not full text):</w:t>
      </w:r>
      <w:r>
        <w:t xml:space="preserve"> The digitalization has integrated artificial intelligence (AI) across multiple domains, including cybersecurity, creating both opportunities and risks. While AI enhances organizational defense through automated threat detection and incident response, it also enables scalable and autonomous cyberattacks by threat actors. This study examines future risks posed by AI-driven cyberattacks using foresight methodologies that combine horizon scanning and scenario development to identify current and emerging offensive AI capabilities. Previous studies indicates that present AI-enabled threats primarily involve social engineering and adversarial attacks, while future risks may include quantum-powered AI and fully autonomous systems. The study highlights a widening gap between offensive and defensive AI, driven by incentives, technical skill, and expertise. Three cyberattack scenarios involving AI tools were developed and validated through interviews with experts to assess plausibility and future relevance. Finally, the study proposes precautionary actions to strengthen organizational resilience, emphasizing anticipatory governance and cross-industry collaboration to improve threat intelligence accuracy</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formation, stage, foresight, tool;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Biodiversity Literature Repository: a repository and gateway to data in publications — https://doi.org/10.5194/wbf2026-718</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platforms.To support these sophisticated domain workflows, Zenodo introduced custom metadata, allowing communities like Plazi, the Berlin Museum für</w:t>
      </w:r>
    </w:p>
    <w:p>
      <w:pPr/>
      <w:r>
        <w:rPr>
          <w:b/>
        </w:rPr>
        <w:t>POSSIBLE 2026:</w:t>
      </w:r>
      <w:r>
        <w:t xml:space="preserve"> Biodiversity Literature Repository: a repository and gateway to data in publications — https://doi.org/10.5281/zenodo.20700022</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 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 To support these sophisticated domain workflows, Zenodo introduced custom metadata, allowing communities like Plazi, the Berlin Museum f</w:t>
      </w:r>
    </w:p>
    <w:p>
      <w:pPr/>
      <w:r>
        <w:rPr>
          <w:b/>
        </w:rPr>
        <w:t>POSSIBLE 2026:</w:t>
      </w:r>
      <w:r>
        <w:t xml:space="preserve"> Enhancing research writing through digital platform in an English for research publication purposes course: Insights from the QuiryThink platform — https://doi.org/10.55493/5019.v15i4.6133</w:t>
      </w:r>
    </w:p>
    <w:p>
      <w:pPr/>
      <w:r>
        <w:rPr>
          <w:b/>
        </w:rPr>
        <w:t>Shared claim-specific concepts:</w:t>
      </w:r>
      <w:r>
        <w:t xml:space="preserve"> publication, effectiveness; EU scope not established. This is a provisional connection, not an outcome finding.</w:t>
      </w:r>
    </w:p>
    <w:p>
      <w:pPr>
        <w:pStyle w:val="SourceNote"/>
      </w:pPr>
      <w:r>
        <w:rPr>
          <w:b/>
        </w:rPr>
        <w:t>Available abstract (not full text):</w:t>
      </w:r>
      <w:r>
        <w:t xml:space="preserve"> The integration of digital platforms in English for Research Publication Purposes (ERPP) courses is increasingly crucial to support EFL students’ academic writing development. However, empirical evidence on the effectiveness of technology-mediated platforms in supporting ERPP instruction remains limited. This study aims to examine the effectiveness of the QuiryThink Platform in supporting EFL students’ academic writing development in an ERPP course. A quantitative research design was employed involving 28 English education students from the university. Data were gathered using a questionnaire and analyzed through descriptive analysis. The findings reveal that the QuiryThink Platform is effective in teaching ERPP, as indicated by a 75% perceived effectiveness of its feedback system, a 67.90% improvement in academic writing skills, a 60.70% improvement in understanding digital tools, a 68.60% improvement in understanding rhetorical organization, a 60.70% improvement in understanding the publication process, a 75% development of critical reading skills and learner autonomy. In addition, 78.60% of students reported increased confidence in producing publishable manuscripts, 64.30% expressed strong satisfaction with the course contents, and 78.60% indicated willingness to recommend the QuiryThink platform. The implication of this study is that pedagogically grounded digital platforms</w:t>
      </w:r>
    </w:p>
    <w:p>
      <w:pPr>
        <w:pStyle w:val="Heading2"/>
      </w:pPr>
      <w:r>
        <w:t>596. Conservation biology research priorities for 2050: A Central-Eastern European perspective</w:t>
      </w:r>
    </w:p>
    <w:p>
      <w:pPr>
        <w:pStyle w:val="SourceNote"/>
      </w:pPr>
      <w:r>
        <w:rPr>
          <w:b/>
        </w:rPr>
        <w:t>Original source (2021):</w:t>
      </w:r>
      <w:r>
        <w:t xml:space="preserve"> https://doi.org/10.1016/j.biocon.2021.109396</w:t>
      </w:r>
    </w:p>
    <w:p>
      <w:pPr/>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POSSIBLE 2026:</w:t>
      </w:r>
      <w:r>
        <w:t xml:space="preserve"> Inventory and analysis of foresight studies on European livestock production systems: The D1.5 delivrable for the STEP-UP project — https://openalex.org/W7212105644</w:t>
      </w:r>
    </w:p>
    <w:p>
      <w:pPr/>
      <w:r>
        <w:rPr>
          <w:b/>
        </w:rPr>
        <w:t>Shared claim-specific concepts:</w:t>
      </w:r>
      <w:r>
        <w:t xml:space="preserve"> possible, environmental, foresight, identified, highlight, challenges; EU scope visible. This is a provisional connection, not an outcome finding.</w:t>
      </w:r>
    </w:p>
    <w:p>
      <w:pPr>
        <w:pStyle w:val="SourceNote"/>
      </w:pPr>
      <w:r>
        <w:rPr>
          <w:b/>
        </w:rPr>
        <w:t>Available abstract (not full text):</w:t>
      </w:r>
      <w:r>
        <w:t xml:space="preserve"> T1.5 aims to identify the diversity of scenarios on the European livestock sector developed by public, scientific, and economic stakeholders, to highlight underexplored impacts within these future visions and to identify mentioned trade-offs. Indeed, the European livestock sector faces major challenges, including environmental pressures, ethical concerns, and health risks and foresight analysis helps explore possible futures and inform shared visions for sustainable livestock systems. We mapped and reviewed 86 foresight studies published since 2010, analysing 257 scenarios that we encoded into 22 descriptive variables and 93 system variables across six categories. Through statistical analysis on a sub-corpus of 50 studies and 160 scenarios, we identified 7 scenario families ranging from deregulated, intensive models to highly regulated, agroecological transitions. Most scenarios anticipate reduced land use and livestock numbers, with only a few projecting increased production. Technological adoption is widespread, but agroecological practices are mainly present in transformative scenarios. While most scenarios focused on production methods, volumes, and trade outcomes, many topics issues were largely neglected like value chain dynamics, One Health issues and social sustainability. Scenarios largely ignore disruptive events and many European regions, suggesting the need for more</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possible, statements, foresight, researchers, fields,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identified, researchers, challenges;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The next episode for narrative foresight — https://doi.org/10.1016/j.futures.2026.103876</w:t>
      </w:r>
    </w:p>
    <w:p>
      <w:pPr/>
      <w:r>
        <w:rPr>
          <w:b/>
        </w:rPr>
        <w:t>Shared claim-specific concepts:</w:t>
      </w:r>
      <w:r>
        <w:t xml:space="preserve"> possible, foresight, researchers;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European Expert Opinion Statement on Paediatric Organ Donation Stresses Best Practice in Parent Communication — https://doi.org/10.1111/apa.70479</w:t>
      </w:r>
    </w:p>
    <w:p>
      <w:pPr/>
      <w:r>
        <w:rPr>
          <w:b/>
        </w:rPr>
        <w:t>Shared claim-specific concepts:</w:t>
      </w:r>
      <w:r>
        <w:t xml:space="preserve"> likely, addressing, line; EU scope visible. This is a provisional connection, not an outcome finding.</w:t>
      </w:r>
    </w:p>
    <w:p>
      <w:pPr>
        <w:pStyle w:val="SourceNote"/>
      </w:pPr>
      <w:r>
        <w:rPr>
          <w:b/>
        </w:rPr>
        <w:t>Available abstract (not full text):</w:t>
      </w:r>
      <w:r>
        <w:t xml:space="preserve"> This paper provides a European expert opinion statement on paediatric organ donation, with a specific focus on best practice and communication with the parents of potential donors. Paediatric deceased organ donation is an incredibly altruistic gift that represents the best of humanity. Many children on transplant waiting lists cannot receive an organ from living or deceased adults, due to their need for small organs. For example, a child weighing 10 kg can only receive a heart from a deceased child. In Europe, it is usually the parents who decide to donate the organs of their dying or dead child. It is extremely rare for a child to have the capacity to do so before the withdrawal of life-sustaining therapy (WLST), in advance of circulatory determination of death. Given the mortality rates on paediatric waiting lists, parents should be supported to make positive decisions. This includes health professionals addressing issues that may inadvertently prevent or deter any decision to donate [1]. In our opinion, European paediatric, emergency department and intensive care unit (ICU) teams should facilitate organ donation. It is vital that they collaborate with specialist organ donation teams throughout the admission of a potential child donor. This process should start with early notification during the initial care of a child with a severe brain injury, especially if death by neurol</w:t>
      </w:r>
    </w:p>
    <w:p>
      <w:pPr/>
      <w:r>
        <w:rPr>
          <w:b/>
        </w:rPr>
        <w:t>POSSIBLE 2025:</w:t>
      </w:r>
      <w:r>
        <w:t xml:space="preserve"> European Myeloma Network Group review and consensus statement on primary plasma cell leukemia — https://doi.org/10.1016/j.annonc.2025.01.022</w:t>
      </w:r>
    </w:p>
    <w:p>
      <w:pPr/>
      <w:r>
        <w:rPr>
          <w:b/>
        </w:rPr>
        <w:t>Shared claim-specific concepts:</w:t>
      </w:r>
      <w:r>
        <w:t xml:space="preserve"> used, possible, statements, questions, international; EU scope visible. This is a provisional connection, not an outcome finding.</w:t>
      </w:r>
    </w:p>
    <w:p>
      <w:pPr>
        <w:pStyle w:val="SourceNote"/>
      </w:pPr>
      <w:r>
        <w:rPr>
          <w:b/>
        </w:rPr>
        <w:t>Available abstract (not full text):</w:t>
      </w:r>
      <w:r>
        <w:t xml:space="preserve">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possible, foresight, identified,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From Reaction to Foresight: EUPHA’s vision for health security in Europe — https://doi.org/10.1093/eurpub/ckaf071</w:t>
      </w:r>
    </w:p>
    <w:p>
      <w:pPr/>
      <w:r>
        <w:rPr>
          <w:b/>
        </w:rPr>
        <w:t>Shared claim-specific concepts:</w:t>
      </w:r>
      <w:r>
        <w:t xml:space="preserve"> possible, environmental, foresight;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Embedding the Future in the European Union: Advancing Towards Strategic Foresight — https://doi.org/10.33067/se.1.2025.10</w:t>
      </w:r>
    </w:p>
    <w:p>
      <w:pPr/>
      <w:r>
        <w:rPr>
          <w:b/>
        </w:rPr>
        <w:t>Shared claim-specific concepts:</w:t>
      </w:r>
      <w:r>
        <w:t xml:space="preserve"> possible, foresight, international;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The Need for Synergy in Foresight Research for Healthcare and Medical Sciences — https://doi.org/10.36401/iddb-25-1</w:t>
      </w:r>
    </w:p>
    <w:p>
      <w:pPr/>
      <w:r>
        <w:rPr>
          <w:b/>
        </w:rPr>
        <w:t>Shared claim-specific concepts:</w:t>
      </w:r>
      <w:r>
        <w:t xml:space="preserve"> possible, foresight, international, trends, challenges;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A consensus statement from the European Society for Clinical Investigation — https://openalex.org/W7112121428</w:t>
      </w:r>
    </w:p>
    <w:p>
      <w:pPr/>
      <w:r>
        <w:rPr>
          <w:b/>
        </w:rPr>
        <w:t>Shared claim-specific concepts:</w:t>
      </w:r>
      <w:r>
        <w:t xml:space="preserve"> environmental, addressing, trends; EU scope visible. This is a provisional connection, not an outcome finding.</w:t>
      </w:r>
    </w:p>
    <w:p>
      <w:pPr>
        <w:pStyle w:val="SourceNote"/>
      </w:pPr>
      <w:r>
        <w:rPr>
          <w:b/>
        </w:rPr>
        <w:t>Available abstract (not full text):</w:t>
      </w:r>
      <w:r>
        <w:t xml:space="preserve"> Background: Most forms of obesity are associated with chronic diseases that remain a global public health challenge. Aims: Despite significant advancements in understanding its pathophysiology, effective management of obesity is hindered by the persistence of knowledge gaps in epidemiology, phenotypic heterogeneity and policy implementation. Materials and Methods: This consensus statement by the European Society for Clinical Investigation identifies eight critical areas requiring urgent attention. Key gaps include insufficient long-term data on obesity trends, the inadequacy of body mass index (BMI) as a sole diagnostic measure, and insufficient recognition of phenotypic diversity in obesity-related cardiometabolic risks. Moreover, the socio-economic drivers of obesity and its transition across phenotypes remain poorly understood. Results: The syndemic nature of obesity, exacerbated by globalization and environmental changes, necessitates a holistic approach integrating global frameworks and community-level interventions. This statement advocates for leveraging emerging technologies, such as artificial intelligence, to refine predictive models and address phenotypic variability. It underscores the importance of collaborative efforts among scientists, policymakers, and stakeholders to create tailored interventions and enduring policies. Discussion: The consensus highlights the n</w:t>
      </w:r>
    </w:p>
    <w:p>
      <w:pPr/>
      <w:r>
        <w:rPr>
          <w:b/>
        </w:rPr>
        <w:t>POSSIBLE 2025:</w:t>
      </w:r>
      <w:r>
        <w:t xml:space="preserve"> A Possible Way to Enhance European Competitiveness — https://doi.org/10.34190/ecie.20.1.3930</w:t>
      </w:r>
    </w:p>
    <w:p>
      <w:pPr/>
      <w:r>
        <w:rPr>
          <w:b/>
        </w:rPr>
        <w:t>Shared claim-specific concepts:</w:t>
      </w:r>
      <w:r>
        <w:t xml:space="preserve"> possible, hungarian, international;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pStyle w:val="Heading2"/>
      </w:pPr>
      <w:r>
        <w:t>597. Cross-border climate vulnerabilities of the European Union to drought</w:t>
      </w:r>
    </w:p>
    <w:p>
      <w:pPr>
        <w:pStyle w:val="SourceNote"/>
      </w:pPr>
      <w:r>
        <w:rPr>
          <w:b/>
        </w:rPr>
        <w:t>Original source (2021):</w:t>
      </w:r>
      <w:r>
        <w:t xml:space="preserve"> https://doi.org/10.1038/s41467-021-23584-0</w:t>
      </w:r>
    </w:p>
    <w:p>
      <w:pPr/>
      <w:r>
        <w:t>Original wording (abstract; indexed_source_text_not_full_document_verified):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POSSIBLE 2026:</w:t>
      </w:r>
      <w:r>
        <w:t xml:space="preserve"> Drought Impacts on Agricultural Production Across EU Regions — https://doi.org/10.1007/s40797-026-00379-0</w:t>
      </w:r>
    </w:p>
    <w:p>
      <w:pPr/>
      <w:r>
        <w:rPr>
          <w:b/>
        </w:rPr>
        <w:t>Shared claim-specific concepts:</w:t>
      </w:r>
      <w:r>
        <w:t xml:space="preserve"> drought, severity, production, agricultural; EU scope visible. This is a provisional connection, not an outcome finding.</w:t>
      </w:r>
    </w:p>
    <w:p>
      <w:pPr>
        <w:pStyle w:val="SourceNote"/>
      </w:pPr>
      <w:r>
        <w:rPr>
          <w:b/>
        </w:rPr>
        <w:t>Available abstract (not full text):</w:t>
      </w:r>
      <w:r>
        <w:t xml:space="preserve"> Abstract Regional agricultural sectors are particularly vulnerable to the impacts of drought events, resulting in significant economic losses across Europe each year. Therefore, it is essential to have a thorough understanding of how drought affects crop productivity in order to make informed decisions and strategies. We merge data on crop yields and regional farming systems with the Combined Drought Indicator, provided by the European Drought Observatory, using crop masks. We analyse the effects of drought on wheat and maize production across EU regions from 2013 to 2021. Our analysis reveals that each additional 10-day period of drought leads to an average reduction in wheat yield of between 1.62 and 1.74% and a decrease in maize yield of between 0.62 and 0.86%. We find that drought events particularly affect crop yields during the summer period. In the case of maize, we observe that the estimated reduction in yields due to drought is related to drought of second-level severity, with a decrease between 1.62 and 2.33% of the average regional maize yield per additional 10-days of drought. Similarly, our analysis indicates that the summer period has the most significant effect on wheat yields with the negative impact ranging between 5.63 and 5.81%. Drought effects on wheat yields are even higher when taking into consideration the potential endogeneity of the fAPAR component of 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drought, severity, production, agricultural, increase, climate;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Contrasting effects of flash and slow droughts on maize yield loss and crop failure across Europe — https://doi.org/10.1016/j.ejrh.2026.103830</w:t>
      </w:r>
    </w:p>
    <w:p>
      <w:pPr/>
      <w:r>
        <w:rPr>
          <w:b/>
        </w:rPr>
        <w:t>Shared claim-specific concepts:</w:t>
      </w:r>
      <w:r>
        <w:t xml:space="preserve"> drought, severity, production, agricultural, focus; EU scope visible. This is a provisional connection, not an outcome finding.</w:t>
      </w:r>
    </w:p>
    <w:p>
      <w:pPr>
        <w:pStyle w:val="SourceNote"/>
      </w:pPr>
      <w:r>
        <w:rPr>
          <w:b/>
        </w:rPr>
        <w:t>Available abstract (not full text):</w:t>
      </w:r>
      <w:r>
        <w:t xml:space="preserve"> Study region Europe, spanning diverse climatic zones from the semi-arid Mediterranean to the humid continental north, characterized by strong hydroclimatic variability and significant dependence on rainfed maize production. Study focus Agricultural drought risk in Europe is becoming increasingly complex, regional evidence remains limited on how drought onset speed translates to maize yield loss and crop failure across Europe's hydroclimatic zones. This study defines and distinguishes flash and slow droughts using the rate of decline in the Standardized Water Deficit Index and characterizes their spatiotemporal patterns across Europe from 1989 to 2018 and quantifies their effects on maize yield losses and crop failure using fixed effects and mixed effects logistic models. New hydrological insights for the region Firstly, both drought types showed significantly increasing trends across Europe, with slow droughts occurring more frequently than flash droughts. Secondly, flash drought was significantly associated with yield loss across four metrics (count: −208.05 kg ha −1 ; severity: −138.25 kg ha −1 ; cumulative severity: −4.13 kg ha −1 ; duration: −12.78 kg ha −1 day −1 ; all p &lt; 0.001). Slow drought affected yield only through duration (−9.36 kg ha⁻¹ day⁻¹, p = 0.005). Thirdly, flash and slow drought significantly elevated crop failure odds across all drought metrics, with droug</w:t>
      </w:r>
    </w:p>
    <w:p>
      <w:pPr/>
      <w:r>
        <w:rPr>
          <w:b/>
        </w:rPr>
        <w:t>POSSIBLE 2026:</w:t>
      </w:r>
      <w:r>
        <w:t xml:space="preserve"> Influence of Drought Severity on Household Livelihood Strategies in Rachuonyo North Sub-County, Kenya — https://doi.org/10.37284/ajccrs.5.2.5920</w:t>
      </w:r>
    </w:p>
    <w:p>
      <w:pPr/>
      <w:r>
        <w:rPr>
          <w:b/>
        </w:rPr>
        <w:t>Shared claim-specific concepts:</w:t>
      </w:r>
      <w:r>
        <w:t xml:space="preserve"> drought, severity, increase, climate, them; EU scope not established. This is a provisional connection, not an outcome finding.</w:t>
      </w:r>
    </w:p>
    <w:p>
      <w:pPr>
        <w:pStyle w:val="SourceNote"/>
      </w:pPr>
      <w:r>
        <w:rPr>
          <w:b/>
        </w:rPr>
        <w:t>Available abstract (not full text):</w:t>
      </w:r>
      <w:r>
        <w:t xml:space="preserve"> Drought is a climate hazard that affects household livelihoods in rural areas where activities depend on rainfall. Studies show that when drought occurs, water becomes insufficient for livestock and crops, compelling households to cope with and adapt to its effects. However, no empirical studies have examined the influence of drought severity on household livelihood strategies. This study examined how drought severity influences household livelihood strategies, focusing on crop farming, livestock keeping, fishing, and trade. The study used Rogers's (1975) Protection Motivation Theory. The study used a mixed-methods, cross-sectional design with a quasi-longitudinal aspect, integrating qualitative and quantitative household survey data with temporal rainfall information to examine drought severity and household livelihood strategies over time. A multistage sampling procedure selected 384 household respondents from a target population of 39,927. The seven wards were treated as strata, and the sample was proportionately allocated to each ward according to the number of households. Systematic sampling was used to select households in each ward. We used purposive sampling to select KII and FGD participants. Qualitative data were analysed thematically, coding and organising them into themes, while quantitative data were analysed using cross-tabulation, chi-square, and linear regressio</w:t>
      </w:r>
    </w:p>
    <w:p>
      <w:pPr/>
      <w:r>
        <w:rPr>
          <w:b/>
        </w:rPr>
        <w:t>POSSIBLE 2026:</w:t>
      </w:r>
      <w:r>
        <w:t xml:space="preserve"> Towards an operational European Drought Impacts Database (EDID) — https://doi.org/10.5194/nhess-26-845-2026</w:t>
      </w:r>
    </w:p>
    <w:p>
      <w:pPr/>
      <w:r>
        <w:rPr>
          <w:b/>
        </w:rPr>
        <w:t>Shared claim-specific concepts:</w:t>
      </w:r>
      <w:r>
        <w:t xml:space="preserve"> drought, severity; EU scope visible. This is a provisional connection, not an outcome finding.</w:t>
      </w:r>
    </w:p>
    <w:p>
      <w:pPr>
        <w:pStyle w:val="SourceNote"/>
      </w:pPr>
      <w:r>
        <w:rPr>
          <w:b/>
        </w:rPr>
        <w:t>Available abstract (not full text):</w:t>
      </w:r>
      <w:r>
        <w:t xml:space="preserve"> Abstract. Drought impact information is essential to move from reactive management to a proactive approach. Data on drought impacts provide regional insight into vulnerability and support robust risk assessment and sustainable adaptation strategies. Drought impact data are also essential to build and validate models for advanced impact forecasting, including AI enhanced tools. While there is increasing consensus on the operational use of specific physical drought hazard indices, to date there is no generally accepted convention on drought impact data collection and use. Based on experience and content of several regional research databases, the development of a European Drought Impact Database (EDID) explicitly aims for operational application within the framework of the Copernicus European Drought Observatory. This article gives insight into the implementation of EDID, its structure and attributes, and provides an analysis of the content. Among the nine impacted systems, agriculture, public water supply and aquatic ecosystems contribute a majority of the impact records. Over the covered time period, impacts became more variable in the system they describe and recent years show some more extremely severe impacts according to a newly introduced severity score. Mapped at country scale, the impacts confirm previously identified European sectorial impact hotspots. The work and prod</w:t>
      </w:r>
    </w:p>
    <w:p>
      <w:pPr/>
      <w:r>
        <w:rPr>
          <w:b/>
        </w:rPr>
        <w:t>POSSIBLE 2026:</w:t>
      </w:r>
      <w:r>
        <w:t xml:space="preserve"> Assessing Crop Yield Variability Using Meteorological Drought Indices for Agricultural Drought Monitoring in Botswana — https://doi.org/10.3390/cli14040077</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Botswana’s semi-arid climate makes it vulnerable to climate change, particularly drought, which threatens agricultural productivity. This study assesses drought impact on Botswana’s agricultural sector using Climate Hazards Center Infrared Precipitation with Station (CHIRPS) rainfall data and Climate Hazards Center Infrared Temperature with Station (CHIRTS) temperature data (25 km) to compute the Standardized Precipitation Index (SPI), Standardized Temperature Condition Index (STCI) and Standardized Precipitation Evapotranspiration Index (SPEI) at seasonal/annual time scales (1, 3, 6 and 12 months). The indices are used to assess their ability to predict crop yields using national data during Botswana’s rainy season, while employing univariate and multivariate statistical models. Statistical models also linked historical drought patterns to yield variability with the Percentage Area Affected (PAA) by drought, identifying key predictors. A majority of the crops (sunflower, maize, sorghum and pulses) showed variability which was best explained by SPEI 6 more particularly under the PAA multivariate models, with the highest and moderate explanatory power (R2) found in sunflower (0.48) and maize (0.43). However, variability in millet was best explained by SPI-3, although the R2 was low (0.26). Other crops displayed positive coefficients within the models, which may be attributed to </w:t>
      </w:r>
    </w:p>
    <w:p>
      <w:pPr/>
      <w:r>
        <w:rPr>
          <w:b/>
        </w:rPr>
        <w:t>POSSIBLE 2026:</w:t>
      </w:r>
      <w:r>
        <w:t xml:space="preserve"> Crop-specific impacts of the 2023/2024 drought on Zambia’s agricultural production — https://doi.org/10.1016/j.cliser.2026.100710</w:t>
      </w:r>
    </w:p>
    <w:p>
      <w:pPr/>
      <w:r>
        <w:rPr>
          <w:b/>
        </w:rPr>
        <w:t>Shared claim-specific concepts:</w:t>
      </w:r>
      <w:r>
        <w:t xml:space="preserve"> drought, severity, production, agricultural, quantify, climate; EU scope not established. This is a provisional connection, not an outcome finding.</w:t>
      </w:r>
    </w:p>
    <w:p>
      <w:pPr>
        <w:pStyle w:val="SourceNote"/>
      </w:pPr>
      <w:r>
        <w:rPr>
          <w:b/>
        </w:rPr>
        <w:t>Available abstract (not full text):</w:t>
      </w:r>
      <w:r>
        <w:t xml:space="preserve"> The 2023/2024 El Niño event was one of the most significant climatic shocks to Zambia's agricultural sector, resulting in a severe mid-season drought across much of the country. This study quantifies crop-specific impacts of the drought on Zambia's agricultural production using district-level crop production and 30-year rainfall data used to construct the Standardized Precipitation Index (SPI). Exploiting spatial variation in the severity of the 2023/2024 drought, we estimate the effect of a one standard deviation rainfall deficit on crop yields and national production. The objective is to quantify how this single extreme event affected crop production in Zambia. Results reveal substantial heterogeneity in crop resilience. Among cereals and tubers, sorghum (9% yield reduction) and millet (12%) are more drought tolerant than maize (30%), rice (26%), and sweet potato (25%). Among pulses and oilseeds, sunflower (12%), cowpea (14%), common bean (15%), and groundnut (16%) show lower yield losses than soybean (21%) and Bambara nut (20%). We find significant heterogeneity in the effect of drought on cereal crop yield across agroecological zones, but less consistent heterogeneity for pulses. The results further indicate that approximately 76% of the observed 64% decline in national crop production value can be directly attributed to El Niño-induced drought conditions. We also show that</w:t>
      </w:r>
    </w:p>
    <w:p>
      <w:pPr/>
      <w:r>
        <w:rPr>
          <w:b/>
        </w:rPr>
        <w:t>POSSIBLE 2026:</w:t>
      </w:r>
      <w:r>
        <w:t xml:space="preserve"> Multi-year droughts and their compounding economic impacts in Europe — https://doi.org/10.5194/egusphere-egu26-15194</w:t>
      </w:r>
    </w:p>
    <w:p>
      <w:pPr/>
      <w:r>
        <w:rPr>
          <w:b/>
        </w:rPr>
        <w:t>Shared claim-specific concepts:</w:t>
      </w:r>
      <w:r>
        <w:t xml:space="preserve"> drought, severity, production, agricultural, climate, vulnerabilities; EU scope visible. This is a provisional connection, not an outcome finding.</w:t>
      </w:r>
    </w:p>
    <w:p>
      <w:pPr>
        <w:pStyle w:val="SourceNote"/>
      </w:pPr>
      <w:r>
        <w:rPr>
          <w:b/>
        </w:rPr>
        <w:t>Available abstract (not full text):</w:t>
      </w:r>
      <w:r>
        <w:t xml:space="preserve"> Climate change is intensifying the frequency and severity of droughts, posing significant risks to regional economies, water resources, and food security. While the direct impacts of droughts on agricultural output and water availability are documented, their medium and long-term economic consequences across multiple sectors remain underexplored. In particular, drought effects may accumulate over time, with multi-year drought conditions potentially compounding economic impacts and creating lasting disruptions to different industries, labour markets, and public services. Given the spatial heterogeneity of drought exposure and economic structures, a fine-grained regional analysis is necessary to understand varying vulnerabilities and adaptation capacities. Using NUTS 3 regional economic data and firm-level metrics across Europe (1995-2022), combined with high-resolution climate data from EOBS, we employ Local Projection fixed-effects models to examine how drought duration and severity affect various economic outputs like production, productivity, investment, capital stock, and employment. We assess droughts using SPI and SPEI indices at 3, 6, and 12-month accumulation periods and analyze both their contemporaneous and lagged effects on economic outputs at fine spatial level. By combining high spatial resolution drought indices with comprehensive economic data and local projection</w:t>
      </w:r>
    </w:p>
    <w:p>
      <w:pPr/>
      <w:r>
        <w:rPr>
          <w:b/>
        </w:rPr>
        <w:t>POSSIBLE 2026:</w:t>
      </w:r>
      <w:r>
        <w:t xml:space="preserve"> Drought Risk Mapping and Parametric Insurance in Agriculture: A Machine Learning-Based Framework — https://doi.org/10.54560/jracr.v16i2.726</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Climate change has increased both the frequency and intensity of agricultural droughts, reinforcing the need for risk transfer instruments that rely on objective environmental indicators. This study introduces a comprehensive framework for the development of drought index insurance using openly available climatic and satellite data. The approach builds synthetic indicators that combine precipitation-based measures (SPI, SPEI) with vegetation indices (NDVI), selected through statistical learning techniques such as Lasso regression, Random Forest, and Partial Least Squares. These indicators are then embedded in parametric indemnity functions whose shape depends on their correlation with crop yields, ensuring decreasing or increasing payouts as appropriate. Calibration with historical yield data is performed to minimize basis risk, and pure premiums are derived through simulation methods including empirical resampling, bootstrap, Monte Carlo, and kernel density estimation. The framework is applied to three Moroccan regions with contrasting agro-climatic conditions and representative crops. Results indicate that the proposed design substantially lowers basis risk while preserving transparency, interpretability, and reproducibility. More broadly, the framework provides a transferable methodological contribution by linking machine learning with actuarial tools, supporting the develop</w:t>
      </w:r>
    </w:p>
    <w:p>
      <w:pPr/>
      <w:r>
        <w:rPr>
          <w:b/>
        </w:rPr>
        <w:t>POSSIBLE 2026:</w:t>
      </w:r>
      <w:r>
        <w:t xml:space="preserve"> Regional drought impacts drive telecoupled land change through international agricultural trade — https://doi.org/10.1088/1748-9326/ae81c9</w:t>
      </w:r>
    </w:p>
    <w:p>
      <w:pPr/>
      <w:r>
        <w:rPr>
          <w:b/>
        </w:rPr>
        <w:t>Shared claim-specific concepts:</w:t>
      </w:r>
      <w:r>
        <w:t xml:space="preserve"> drought, production, agricultural, increase, compared, quantify; EU scope not established. This is a provisional connection, not an outcome finding.</w:t>
      </w:r>
    </w:p>
    <w:p>
      <w:pPr>
        <w:pStyle w:val="SourceNote"/>
      </w:pPr>
      <w:r>
        <w:rPr>
          <w:b/>
        </w:rPr>
        <w:t>Available abstract (not full text):</w:t>
      </w:r>
      <w:r>
        <w:t xml:space="preserve"> Abstract Land change and agricultural development patterns can be influenced by trade relationships and international demand. The complexity of these interconnections suggests that the cross-scale impacts of a shock, like a drought, in competing international agricultural systems, such as those in Brazil and the US, have been overlooked when evaluated at solely regional or global extents. Here, to more comprehensively assess the cascading effects of shocks between distant regions and to quantify the indirect drivers of land change in biodiverse ecosystems, we evaluated the telecoupled ecological and economic processes linking the 2012 US agricultural drought and land conversion across Brazil and the Cerrado biome using the Simplified International Model of agricultural Prices, Land use, and the Environment-Gridded version (SIMPLE-G). Brazil is the global leader in soybean and corn exports, followed closely by the US, and Brazilian soybean production has increasingly come at the cost of land conversion in the world’s most biodiverse tropical savanna, the Cerrado of Brazil. We found that simulated US drought conditions reduced domestic production and exports of soybeans and corn, which led to global market price increases of 5.37% and 5.44% for soybeans and corn (respectively) when compared to pre-simulation conditions. On average, a 1 hectare (ha) decrease in the amount of cropl</w:t>
      </w:r>
    </w:p>
    <w:p>
      <w:pPr/>
      <w:r>
        <w:rPr>
          <w:b/>
        </w:rPr>
        <w:t>POSSIBLE 2026:</w:t>
      </w:r>
      <w:r>
        <w:t xml:space="preserve"> Two decades of agricultural drought impacts: remote sensing insights into vegetation productivity and phenological change in semi-arid Botswana — https://doi.org/10.1007/s10661-026-14996-w</w:t>
      </w:r>
    </w:p>
    <w:p>
      <w:pPr/>
      <w:r>
        <w:rPr>
          <w:b/>
        </w:rPr>
        <w:t>Shared claim-specific concepts:</w:t>
      </w:r>
      <w:r>
        <w:t xml:space="preserve"> drought, severity, agricultural, compared; EU scope not established. This is a provisional connection, not an outcome finding.</w:t>
      </w:r>
    </w:p>
    <w:p>
      <w:pPr>
        <w:pStyle w:val="SourceNote"/>
      </w:pPr>
      <w:r>
        <w:rPr>
          <w:b/>
        </w:rPr>
        <w:t>Available abstract (not full text):</w:t>
      </w:r>
      <w:r>
        <w:t xml:space="preserve"> Abstract Vegetation phenology needs to be considered in the assessment of agricultural drought severity, especially in drylands such as Botswana. Using Remote Sensing time-series data (2000 – 2020), this study evaluated vegetation productivity using the annual sum of the Enhanced Vegetation Index (EVI sum ) and computed changes as trends (EVIsum trend ) in agricultural lands comprising grasslands and croplands. To assess agricultural drought severity, a weighted linear combination was applied to the EVI-based Vegetation Condition Index (VCI wlc ) and compared to the conventional Standardized Precipitation Index. To detect how agricultural drought has impacted vegetation phenology, we identified dynamics in vegetation greenup, maturity, peak, senescence and dormancy and correlated these to the EVI sum and VCI wlc . Differentiating between croplands and grasslands, vegetation productivity in grasslands was consistently lower than in croplands during droughts. The seasonal agriculture-related phenology, such as late vegetation greenup — the start of the season — is correlated with reduced vegetation productivity and severe agricultural droughts as evidenced by lower EVI sum and VCI wlc values, respectively. Notable phenology patterns include delayed greenup in grasslands compared to croplands, while the peak period often overlaps between grasslands and croplands. Overall, phenolog</w:t>
      </w:r>
    </w:p>
    <w:p>
      <w:pPr/>
      <w:r>
        <w:rPr>
          <w:b/>
        </w:rPr>
        <w:t>POSSIBLE 2026:</w:t>
      </w:r>
      <w:r>
        <w:t xml:space="preserve"> Microbial Biostimulants for Drought Resilience in Plants: Mechanisms, Plant–Microbiome Interactions, and Sustainable Agricultural Applications — https://doi.org/10.3390/plants15193022</w:t>
      </w:r>
    </w:p>
    <w:p>
      <w:pPr/>
      <w:r>
        <w:rPr>
          <w:b/>
        </w:rPr>
        <w:t>Shared claim-specific concepts:</w:t>
      </w:r>
      <w:r>
        <w:t xml:space="preserve"> drought, production, agricultural; EU scope not established. This is a provisional connection, not an outcome finding.</w:t>
      </w:r>
    </w:p>
    <w:p>
      <w:pPr>
        <w:pStyle w:val="SourceNote"/>
      </w:pPr>
      <w:r>
        <w:rPr>
          <w:b/>
        </w:rPr>
        <w:t>Available abstract (not full text):</w:t>
      </w:r>
      <w:r>
        <w:t xml:space="preserve"> Drought stress is one of the most significant challenges for global agriculture, adversely affecting crop yields and food security. In recent years, microbial biostimulants have emerged as a promising solution to enhance plant resilience against such abiotic stresses. This review explores the mechanisms by which microbial biostimulants, including beneficial bacteria and fungi, confer drought tolerance in plants. Key interactions between plants and their associated microbiomes are highlighted, emphasizing the roles of root-associated microbes in promoting plant growth, nutrient uptake, and stress mitigation. We examine microbial-induced plant responses, including improved water relations, photosynthetic performance, and osmotic adjustment. Additionally, the review examines the sustainability of microbial biostimulant use in agricultural practices, addressing their potential to reduce reliance on chemical inputs and improve soil health. Evidence from field studies across diverse crops is also discussed, highlighting the potential of microbial biostimulants to improve plant performance and yield stability under water-limited conditions while emphasizing the context-dependent nature of their efficacy. Furthermore, we underscore the importance of microbial diversity and community composition in maximizing the benefits of biostimulants. By integrating microbial biostimulants into con</w:t>
      </w:r>
    </w:p>
    <w:p>
      <w:pPr>
        <w:pStyle w:val="Heading2"/>
      </w:pPr>
      <w:r>
        <w:t>598. Decoupling transport-related greenhouse gas emissions and economic growth in the European Union countries</w:t>
      </w:r>
    </w:p>
    <w:p>
      <w:pPr>
        <w:pStyle w:val="SourceNote"/>
      </w:pPr>
      <w:r>
        <w:rPr>
          <w:b/>
        </w:rPr>
        <w:t>Original source (2021):</w:t>
      </w:r>
      <w:r>
        <w:t xml:space="preserve"> https://doi.org/10.13044/j.sdewes.d9.0411</w:t>
      </w:r>
    </w:p>
    <w:p>
      <w:pPr/>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POSSIBLE 2026:</w:t>
      </w:r>
      <w:r>
        <w:t xml:space="preserve"> A multi-model analysis of hydrogen uptake in a climate-neutral Europe — https://doi.org/10.1038/s41467-026-78681-9</w:t>
      </w:r>
    </w:p>
    <w:p>
      <w:pPr/>
      <w:r>
        <w:rPr>
          <w:b/>
        </w:rPr>
        <w:t>Shared claim-specific concepts:</w:t>
      </w:r>
      <w:r>
        <w:t xml:space="preserve"> union, climate-neutral, sectors, transport;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2026:</w:t>
      </w:r>
      <w:r>
        <w:t xml:space="preserve"> Sustainable Development and Democratic Resilience in the European Union — https://doi.org/10.3390/su18073631</w:t>
      </w:r>
    </w:p>
    <w:p>
      <w:pPr/>
      <w:r>
        <w:rPr>
          <w:b/>
        </w:rPr>
        <w:t>Shared claim-specific concepts:</w:t>
      </w:r>
      <w:r>
        <w:t xml:space="preserve"> union, become, relationship, between; EU scope visible. This is a provisional connection, not an outcome finding.</w:t>
      </w:r>
    </w:p>
    <w:p>
      <w:pPr>
        <w:pStyle w:val="SourceNote"/>
      </w:pPr>
      <w:r>
        <w:rPr>
          <w:b/>
        </w:rPr>
        <w:t>Available abstract (not full text):</w:t>
      </w:r>
      <w:r>
        <w:t xml:space="preserve"> The European Union is increasingly confronted with a convergence of sustainability, democratic, and security-related challenges that affect the conditions for long-term transformation. While sustainable development and democratic resilience are often discussed separately, their interdependence has become more visible in the context of geopolitical instability, geoeconomic competition, hybrid threats, and growing societal polarization. This article examines the relationship between sustainable development and democratic resilience in the European Union and analyses how external pressures shape both agendas. The study employs a qualitative, concept-driven research design that combines the analysis of EU strategic and policy documents, a structured review of relevant scholarly literature, and triangulation with selected sustainability and governance indicators. The findings suggest that the implementation of sustainable development goals depends not only on regulatory and economic capacity, but also on social cohesion, public trust, and the resilience of democratic institutions, which together shape the legitimacy, continuity, and political feasibility of long-term transformative policies. At the same time, energy dependence, supply-chain vulnerabilities, technological dependencies, and information threats increasingly constrain the EU’s sustainability agenda. In response, the art</w:t>
      </w:r>
    </w:p>
    <w:p>
      <w:pPr/>
      <w:r>
        <w:rPr>
          <w:b/>
        </w:rPr>
        <w:t>POSSIBLE 2026:</w:t>
      </w:r>
      <w:r>
        <w:t xml:space="preserve"> Climate Change and Sustainable Financial Stability: A Sector-Level Study for the Banking Sector in the European Union — https://doi.org/10.3390/su18126362</w:t>
      </w:r>
    </w:p>
    <w:p>
      <w:pPr/>
      <w:r>
        <w:rPr>
          <w:b/>
        </w:rPr>
        <w:t>Shared claim-specific concepts:</w:t>
      </w:r>
      <w:r>
        <w:t xml:space="preserve"> union, sectors, relationship, between; EU scope visible. This is a provisional connection, not an outcome finding.</w:t>
      </w:r>
    </w:p>
    <w:p>
      <w:pPr>
        <w:pStyle w:val="SourceNote"/>
      </w:pPr>
      <w:r>
        <w:rPr>
          <w:b/>
        </w:rPr>
        <w:t>Available abstract (not full text):</w:t>
      </w:r>
      <w:r>
        <w:t xml:space="preserve"> This study investigates the relationship between climate change and financial risk by examining how temperature variations affect banking sector credit quality across European Union countries. Using quarterly panel data and sector-level non-performing loan (NPL) ratios from the EBA Risk Dashboard, the paper applies fixed-effects and dynamic panel models to estimate climate–credit sensitivities. Specifically, we investigate whether observed temperature changes affect sectoral NPLs in Europe and whether these effects differ across sectors. The results indicate a statistically significant and positive relationship between temperature changes and NPL levels, with notable heterogeneity across sectors. Evidence further suggests that climate shocks exhibit delayed effects on credit risk, as models incorporating lag structures yield stronger and more robust results. These findings provide empirical support for integrating climate variables into credit risk assessment and contribute to the literature by offering a sector-resolved, data-driven foundation for climate risk stress-testing frameworks.</w:t>
      </w:r>
    </w:p>
    <w:p>
      <w:pPr/>
      <w:r>
        <w:rPr>
          <w:b/>
        </w:rPr>
        <w:t>POSSIBLE 2026:</w:t>
      </w:r>
      <w:r>
        <w:t xml:space="preserve"> Externalisation within the migration policy of the European Union — https://doi.org/10.15170/pjiel.2025.2.2</w:t>
      </w:r>
    </w:p>
    <w:p>
      <w:pPr/>
      <w:r>
        <w:rPr>
          <w:b/>
        </w:rPr>
        <w:t>Shared claim-specific concepts:</w:t>
      </w:r>
      <w:r>
        <w:t xml:space="preserve"> union, analyse, between; EU scope visible. This is a provisional connection, not an outcome finding.</w:t>
      </w:r>
    </w:p>
    <w:p>
      <w:pPr>
        <w:pStyle w:val="SourceNote"/>
      </w:pPr>
      <w:r>
        <w:rPr>
          <w:b/>
        </w:rPr>
        <w:t>Available abstract (not full text):</w:t>
      </w:r>
      <w:r>
        <w:t xml:space="preserve"> The externalisation of the migration policy within the European Union is a new approach of blocking migrants from the possibility of activating the safeguards of the European human rights. Despite having several case studies and mal-practices of the externalisation globally (e.g. the practice of the USA or Australia), the EU is uncovering its own approach – with its own flaws. This article offers to present the existing externalisation agreements between the EU and its partner countries, shows improper procedures and gives recommendations in order to be more humane towards persons arriving to Europe. The methodology of the paper is to analyse the text of the partnerships, then analyse their execution. Problematic practices and procedures are highlighted. In the recommendationspart, the author attempts to give solutions to these issues.</w:t>
      </w:r>
    </w:p>
    <w:p>
      <w:pPr/>
      <w:r>
        <w:rPr>
          <w:b/>
        </w:rPr>
        <w:t>POSSIBLE 2026:</w:t>
      </w:r>
      <w:r>
        <w:t xml:space="preserve"> The European Union and Latin America : normative encounters — https://doi.org/10.82444/warw.33769111</w:t>
      </w:r>
    </w:p>
    <w:p>
      <w:pPr/>
      <w:r>
        <w:rPr>
          <w:b/>
        </w:rPr>
        <w:t>Shared claim-specific concepts:</w:t>
      </w:r>
      <w:r>
        <w:t xml:space="preserve"> union, important, between; EU scope visible. This is a provisional connection, not an outcome finding.</w:t>
      </w:r>
    </w:p>
    <w:p>
      <w:pPr>
        <w:pStyle w:val="SourceNote"/>
      </w:pPr>
      <w:r>
        <w:rPr>
          <w:b/>
        </w:rPr>
        <w:t>Available abstract (not full text):</w:t>
      </w:r>
      <w:r>
        <w:t xml:space="preserve"> The current doctoral research looks at how norm entrepreneur and norm interpreter interact, highlighting the limitations of previous research in recognising the agency of the norm interpreter and the complex interactions between the two actors. Normative encounters is coined as a central concept for understanding how the EU as norm entrepreneur creates normative dialogues with its interlocutors, in this case Latin American regional organisations. Two dynamics are proposed to show how normative encounters happen or are prevented from doing so. On one side, an analysis is made of cases in which the norm entrepreneur attempts to diffuse its norms to the norm interpreter that localises the norms which are then incorporated (or not) in concrete policies through policy entrepreneurship. On the other side, an equally important dynamic starts with the norm interpreter that creates new norms though norm subsidiarity, diffuses this new normative content and creates a need for the initial norm entrepreneur to adapt its normative approach and to make it visible to the norm interpreter through concrete policies. By using concepts from both International Relations and public policy studies, the thesis questions and updates the way of looking at the European Union as a normative actor. It also explores the link between norms and policies by analysing the European Union cooperation for develop</w:t>
      </w:r>
    </w:p>
    <w:p>
      <w:pPr/>
      <w:r>
        <w:rPr>
          <w:b/>
        </w:rPr>
        <w:t>POSSIBLE 2026:</w:t>
      </w:r>
      <w:r>
        <w:t xml:space="preserve"> Convergence and divergence: strategic narratives and relationality across the African Union/European Union Partnership — https://doi.org/10.1080/23745118.2026.2639999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international system is in a transitional period with competing strategic narratives attempting to influence the trajectory of this change. The European Union (EU) has emerged as a significant voice in this transition and is positioning itself as a more global actor particularly in its relationship with the African Union (AU). Drawing from a wide range of policy documents, this article examines AU strategic narratives on a changing international system, the role of Africa within it, and its relationship with the EU in order to ascertain the level of convergence and divergence in their approaches and preferences. Addressing the under-examined area of African strategic narratives, this research provides an empirical contribution in updating understandings of AU strategic narratives regarding the international system and its ongoing partnership with the EU. Furthermore, this article introduces the idea of ‘Relational Narratives’ as a means to operationalise understandings of strategic narratives in international relations, which can provide further insights into narrative development and co-construction between parties. As the AU/EU navigate an increasingly multipolar system and increase the frequency of their interaction, better understandings of the relational dynamics and points of friction therein present opportunities for more effective cooperation and inter-regional gove</w:t>
      </w:r>
    </w:p>
    <w:p>
      <w:pPr/>
      <w:r>
        <w:rPr>
          <w:b/>
        </w:rPr>
        <w:t>POSSIBLE 2026:</w:t>
      </w:r>
      <w:r>
        <w:t xml:space="preserve"> Comparing the Foreign Policy Identities of the United States of America and the European Union in Climate Communications and National Narratives — https://doi.org/10.35784/preko.8643</w:t>
      </w:r>
    </w:p>
    <w:p>
      <w:pPr/>
      <w:r>
        <w:rPr>
          <w:b/>
        </w:rPr>
        <w:t>Shared claim-specific concepts:</w:t>
      </w:r>
      <w:r>
        <w:t xml:space="preserve"> union, including, between; EU scope visible. This is a provisional connection, not an outcome finding.</w:t>
      </w:r>
    </w:p>
    <w:p>
      <w:pPr>
        <w:pStyle w:val="SourceNote"/>
      </w:pPr>
      <w:r>
        <w:rPr>
          <w:b/>
        </w:rPr>
        <w:t>Available abstract (not full text):</w:t>
      </w:r>
      <w:r>
        <w:t xml:space="preserve"> The aim of the study was to determine the specifics of the formation and transformation of the foreign policy positions of the United States of America (USA) and the European Union (EU) based on a comprehensive analysis of the climate communications and public diplomacy in the global context. Using the methods of discourse analysis, content analysis, and comparative analysis, the author studied materials for the period 2015-2023, including international agreements, national strategies, and policy documents. On this basis, the dominant narratives, rhetorical strategies, and value orientations that shaped the unique international positions of the United States as a technological leader and the EU as a normative force were identified. The study results revealed significant differences in strategic approaches: The US focused on technological innovations, competitive advantages, and economic opportunities, while the EU emphasised the values of multilateral cooperation, collective responsibility, and inclusive dialogue. It was found that the transformation of public narratives and communication strategies correlated with changes in political administrations in the US and institutional reforms in the EU, which was reflected in the change in rhetoric, priorities, and mechanisms for implementing climate policy. The study demonstrated a significant evolution of the approaches of both act</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first, greenhouse, gas, emissions, including, transport;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FRAMING CLIMATE CHANGE AS A HUMAN SECURITY CHALLENGE: A COMPARATIVE ANALYSIS OF THE U.S. UNDER THE TRUMP ADMINISTRATION AND THE EUROPEAN UNION — https://doi.org/10.29228/mjes.481</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This article examines how two major global actors—the United States (U.S.) and the European Union (EU)—have framed climate change from a human security perspective, with a particular focus on the Trump era. Drawing on Frame Theory, the study explains how political narratives and policy discourses construct the meaning of climate change and analyzes how this construction shapes public perception and policy priorities. Through a qualitative comparative analysis of official speeches and policy documents, significant differences are identified between the framing approaches of the U.S. and the EU. The Trump administration primarily addressed climate change within the context of economic interests and energy independence, whereas the EU framed it as a global and humanitarian security issue requiring multilateral cooperation. The article argues that determining whether global actors frame climate change within a human security paradigm is crucial for understanding how framing processes shape the conceptualization of security and redefine the relationship between the environmental and political spheres.</w:t>
      </w:r>
    </w:p>
    <w:p>
      <w:pPr/>
      <w:r>
        <w:rPr>
          <w:b/>
        </w:rPr>
        <w:t>POSSIBLE 2026:</w:t>
      </w:r>
      <w:r>
        <w:t xml:space="preserve"> Integrating climate-neutrality criteria into sustainable public procurement: A comparative legal study of the United Arab Emirates, European Union and France — https://doi.org/10.58256/p6fw1180</w:t>
      </w:r>
    </w:p>
    <w:p>
      <w:pPr/>
      <w:r>
        <w:rPr>
          <w:b/>
        </w:rPr>
        <w:t>Shared claim-specific concepts:</w:t>
      </w:r>
      <w:r>
        <w:t xml:space="preserve"> union, become, climate-neutral, emissions; EU scope visible. This is a provisional connection, not an outcome finding.</w:t>
      </w:r>
    </w:p>
    <w:p>
      <w:pPr>
        <w:pStyle w:val="SourceNote"/>
      </w:pPr>
      <w:r>
        <w:rPr>
          <w:b/>
        </w:rPr>
        <w:t>Available abstract (not full text):</w:t>
      </w:r>
      <w:r>
        <w:t xml:space="preserve"> Public procurement increasingly serves as a legal and regulatory instrument through which governments shape markets and pursue sustainability goals. Using doctrinal, comparative and normative legal analysis, this study examines how climate-neutrality criteria can be incorporated into sustainable public procurement in the United Arab Emirates (UAE), drawing on European Union (EU) and French law. The comparison shows that environmental objectives become legally credible when they are translated into transparent specifications, award criteria, life-cycle costing methods, evidentiary rules and performance obligations, rather than left as broad policy aspirations. The UAE federal procurement framework already recognises public value, sustainable development, environmental specifications and products that reduce carbon emissions, but it does not yet provide a fully operational climate-procurement methodology. The study therefore proposes a four-part Climate-Neutral Procurement Legality Test: a criterion must be connected to the subject matter or performance of the contract, objectively measurable or verifiable, proportionate to the procurement's value and environmental significance, and enforceable after award. It also develops a procurement-cycle model covering needs assessment, technical specifications, supplier qualification, award, performance monitoring and review. The analysis </w:t>
      </w:r>
    </w:p>
    <w:p>
      <w:pPr/>
      <w:r>
        <w:rPr>
          <w:b/>
        </w:rPr>
        <w:t>POSSIBLE 2025:</w:t>
      </w:r>
      <w:r>
        <w:t xml:space="preserve"> Setting the course: aligning European Union marine pollution policy ambitions with environmental realities — https://doi.org/10.3389/fmars.2025.1586918</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pPr/>
      <w:r>
        <w:rPr>
          <w:b/>
        </w:rPr>
        <w:t>POSSIBLE 2025:</w:t>
      </w:r>
      <w:r>
        <w:t xml:space="preserve"> The European Union — https://doi.org/10.1017/9781009293723.009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pPr>
        <w:pStyle w:val="Heading2"/>
      </w:pPr>
      <w:r>
        <w:t>599. Designing health system scenarios at the national level</w:t>
      </w:r>
    </w:p>
    <w:p>
      <w:pPr>
        <w:pStyle w:val="SourceNote"/>
      </w:pPr>
      <w:r>
        <w:rPr>
          <w:b/>
        </w:rPr>
        <w:t>Original source (2021):</w:t>
      </w:r>
      <w:r>
        <w:t xml:space="preserve"> https://doi.org/10.52547/ijhehp.9.3.296</w:t>
      </w:r>
    </w:p>
    <w:p>
      <w:pPr/>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POSSIBLE 2026:</w:t>
      </w:r>
      <w:r>
        <w:t xml:space="preserve"> Measuring the Confidence Architecture of Indo-European Claims: findings, code and reproduction materials. — https://doi.org/10.5281/zenodo.22880450</w:t>
      </w:r>
    </w:p>
    <w:p>
      <w:pPr/>
      <w:r>
        <w:rPr>
          <w:b/>
        </w:rPr>
        <w:t>Shared claim-specific concepts:</w:t>
      </w:r>
      <w:r>
        <w:t xml:space="preserve"> materials, tools, four; EU scope visible. This is a provisional connection, not an outcome finding.</w:t>
      </w:r>
    </w:p>
    <w:p>
      <w:pPr>
        <w:pStyle w:val="SourceNote"/>
      </w:pPr>
      <w:r>
        <w:rPr>
          <w:b/>
        </w:rPr>
        <w:t>Available abstract (not full text):</w:t>
      </w:r>
      <w:r>
        <w:t xml:space="preserve">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pPr/>
      <w:r>
        <w:rPr>
          <w:b/>
        </w:rPr>
        <w:t>POSSIBLE 2026:</w:t>
      </w:r>
      <w:r>
        <w:t xml:space="preserve"> Optimizing coating materials and processes for controlled release coated urea fertilizer: review of bio-based coating materials and encapsulation methods — https://doi.org/10.15480/882.17571</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2026:</w:t>
      </w:r>
      <w:r>
        <w:t xml:space="preserve"> The potential of the SARC-CalF questionnaire as a screening tool for frailty — https://doi.org/10.17826/cumj.1929370</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Purpose: Frailty and sarcopenia exhibit overlapping physical characteristics, as described by the Fried Frailty Phenotype (FFP). Although the SARC-CalF questionnaire is widely used for sarcopenia screening, as recommended by the EWGSOP-2 guidelines, its potential to identify frailty has not been thoroughly investigated. This study aims to evaluate the SARC-CalF as a simple, objective tool for assessing frailty in older adults.Materials and Methods: This cross-sectional study included 337 patients aged 65 years and older. Frailty was assessed through the FFP. Demographic characteristics and the SARC-CalF questionnaire were obtained. To identify appropriate SARC-CalF cut-off points for detecting frailty, we used a receiver operating characteristic (ROC) curve to calculate the area under the curve (AUC) and its 95% confidence interval.Results: The average age of the participants was 75.27±6.6, with 64.3% (n=217) being women. Frailty was observed in 15.4 % (n=52) of the study population. Frail patients exhibited higher median SARC-CalF scores than non-frail participants (5.5 vs. 1). The AUC of the SARC-CalF score for frailty was 0.800 (95% confidence interval [CI], 0.75-0.84). Using a cut-off value of &gt;2, sensitivity was 84.6%, specificity was 66.3%, PPV was 30.7%, and NPV was 96.1%.Conclusion: The SARC-CalF questionnaire demonstrated good discriminative performance in identifying </w:t>
      </w:r>
    </w:p>
    <w:p>
      <w:pPr/>
      <w:r>
        <w:rPr>
          <w:b/>
        </w:rPr>
        <w:t>POSSIBLE 2026:</w:t>
      </w:r>
      <w:r>
        <w:t xml:space="preserve"> Translation and Validation of the Khasi version of European Organisation for Research and Treatment of Cancer Core Quality of Life Questionnaire (EORTC QLQ-C-30) and Oesophageal Cancer module (EORTC QLQ-OES-18) — https://doi.org/10.25259/ijpc_192_2025</w:t>
      </w:r>
    </w:p>
    <w:p>
      <w:pPr/>
      <w:r>
        <w:rPr>
          <w:b/>
        </w:rPr>
        <w:t>Shared claim-specific concepts:</w:t>
      </w:r>
      <w:r>
        <w:t xml:space="preserve"> materials, methods, questionnaire, health, process; EU scope visible. This is a provisional connection, not an outcome finding.</w:t>
      </w:r>
    </w:p>
    <w:p>
      <w:pPr>
        <w:pStyle w:val="SourceNote"/>
      </w:pPr>
      <w:r>
        <w:rPr>
          <w:b/>
        </w:rPr>
        <w:t>Available abstract (not full text):</w:t>
      </w:r>
      <w:r>
        <w:t xml:space="preserve"> Objectives: Oesophageal cancer (OC) is characterised by poor prognosis, a significant reduction in Quality of Life (QoL) and requirement for morbid therapy. The highest age-adjusted rate of OC incidence in India was seen in the East Khasi Hills district of Meghalaya, being 10 times the national average. This study aimed to develop and validate Khasi translations of the European Organisation for Research and Treatment of Cancer Core Quality of Life questionnaire (EORTC QLQ-C-30) Version 3.0 and EORTC QLQ-OES-18 questionnaires for use in the Khasi-speaking population of Meghalaya. Materials and Methods: This study was conducted as a part of a hospital-based cross-sectional study to develop and validate a Khasi-translated version of the QLQ-C-30 and QLQ-OES-18 questionnaires. The questionnaire was translated into the local (Khasi) language and validated (two-phase process: Two forward translations, two backward translations, followed by pilot testing). Reliability assessment was done using Cronbach's alpha. The construct validity and the correlation of each scale of the QLQ-C30 and QLQ-OES18 were evaluated using Spearman's correlation coefficient (r). Results: Cronbach's alpha was satisfactory (&gt;0.70) for all the scales of QLQ-C-30 and QLQ-OES-18. Convergent validity was moderate to high (r = 0.541 to 0.995) (Global health domain convergent validity r = 0.983-0.995), whereas discr</w:t>
      </w:r>
    </w:p>
    <w:p>
      <w:pPr/>
      <w:r>
        <w:rPr>
          <w:b/>
        </w:rPr>
        <w:t>POSSIBLE 2026:</w:t>
      </w:r>
      <w:r>
        <w:t xml:space="preserve"> Impact of the urban environment on self-perception of health in a medium-sized European city: A mixed-methods study — https://doi.org/10.1016/j.cities.2025.106730</w:t>
      </w:r>
    </w:p>
    <w:p>
      <w:pPr/>
      <w:r>
        <w:rPr>
          <w:b/>
        </w:rPr>
        <w:t>Shared claim-specific concepts:</w:t>
      </w:r>
      <w:r>
        <w:t xml:space="preserve"> methods, in-depth, health; EU scope visible. This is a provisional connection, not an outcome finding.</w:t>
      </w:r>
    </w:p>
    <w:p>
      <w:pPr>
        <w:pStyle w:val="SourceNote"/>
      </w:pPr>
      <w:r>
        <w:rPr>
          <w:b/>
        </w:rPr>
        <w:t>Available abstract (not full text):</w:t>
      </w:r>
      <w:r>
        <w:t xml:space="preserve"> This mixed-methods study explores how the urban environment influences self-perceived health, with particular attention to the generational differences that became evident during and after the COVID-19 pandemic call for urban planning strategies that respond to all dimensions of health. The research was carried out in a medium-sized Spanish city, combining qualitative data from 27 in-depth interviews and quantitative survey responses from 185 residents across neighbourhoods with varying environmental characteristics. Although the study initially focused on built environment factors such as green space access, walkability, and infrastructure quality, the qualitative findings showed that mental health—especially among younger participants—emerged as a central factor shaping health perceptions. Feelings of isolation, hopelessness, and confinement were frequently described by younger respondents, often tied to perceptions of spatial and social marginalization in their living environments. In contrast, older participants reported greater resilience and a more positive outlook on their health. These findings highlight the need to address mental health disparities within urban policy and underscore the importance of creating inclusive, equitable environments that support psychological well-being across age groups. The study demonstrates the value of allowing emergent themes to guide m</w:t>
      </w:r>
    </w:p>
    <w:p>
      <w:pPr/>
      <w:r>
        <w:rPr>
          <w:b/>
        </w:rPr>
        <w:t>POSSIBLE 2026:</w:t>
      </w:r>
      <w:r>
        <w:t xml:space="preserve"> P.315 Arabic translation and validation of the EULAR systemic sclerosis impact of disease (ScleroId) questionnaire — https://doi.org/10.1136/jsrd-2026-sswc.357</w:t>
      </w:r>
    </w:p>
    <w:p>
      <w:pPr/>
      <w:r>
        <w:rPr>
          <w:b/>
        </w:rPr>
        <w:t>Shared claim-specific concepts:</w:t>
      </w:r>
      <w:r>
        <w:t xml:space="preserve"> methods, tools, questionnaire, health, first; EU scope visible. This is a provisional connection, not an outcome finding.</w:t>
      </w:r>
    </w:p>
    <w:p>
      <w:pPr>
        <w:pStyle w:val="SourceNote"/>
      </w:pPr>
      <w:r>
        <w:rPr>
          <w:b/>
        </w:rPr>
        <w:t>Available abstract (not full text):</w:t>
      </w:r>
      <w:r>
        <w:t xml:space="preserve"> Introduction The EULAR Systemic Sclerosis Impact of Disease (ScleroID) questionnaire is a crucial patient-reported outcome measure (PROM) for assessing the burden of systemic sclerosis (SSc). While its psychometric properties are validated in European populations, a linguistically and culturally adapted Arabic version for Egypt is currently unavailable. This study aimed to translate and validate the ScleroID questionnaire for use in the Egyptian population, fulfilling a critical need for patient-centric assessment tools. Material and Methods This study followed a two-phase protocol. The first phase involved the rigorous translation and cross-cultural adaptation of the ScleroID questionnaire into Egyptian Arabic, following international guidelines. This included forward and back-translation, synthesis by an expert committee, and cognitive debriefing with 15 SSc patients to ensure clarity and cultural equivalence. The second phase, currently underway, involves a cross-sectional psychometric validation study on a convenience sample of 50-100 adult SSc patients. We are assessing the translated version’s feasibility, internal consistency (using Cronbach’s alpha), and test-retest reliability (using the Intraclass Correlation Coefficient, ICC). We will also evaluate its construct validity by correlating its scores with established PROMs like the Health Assessment Questionnaire (HAQ). </w:t>
      </w:r>
    </w:p>
    <w:p>
      <w:pPr/>
      <w:r>
        <w:rPr>
          <w:b/>
        </w:rPr>
        <w:t>POSSIBLE 2026:</w:t>
      </w:r>
      <w:r>
        <w:t xml:space="preserve"> OPTICAL MATERIALS AS A TOOL FOR DETERMINING THE ORGANIC MATTER PRESENT IN WATER — https://doi.org/10.35587/brj.ed.978-65-6016-137-5_5</w:t>
      </w:r>
    </w:p>
    <w:p>
      <w:pPr/>
      <w:r>
        <w:rPr>
          <w:b/>
        </w:rPr>
        <w:t>Shared claim-specific concepts:</w:t>
      </w:r>
      <w:r>
        <w:t xml:space="preserve"> materials, questionnaire, university; EU scope not established. This is a provisional connection, not an outcome finding.</w:t>
      </w:r>
    </w:p>
    <w:p>
      <w:pPr>
        <w:pStyle w:val="SourceNote"/>
      </w:pPr>
      <w:r>
        <w:rPr>
          <w:b/>
        </w:rPr>
        <w:t>Available abstract (not full text):</w:t>
      </w:r>
      <w:r>
        <w:t xml:space="preserve"> Promoting sustainability in universities requires assessments to generate medium-and long-term strategies.It is a challenge for researchers to find valid and reliable documents.The purpose of the research was to apply an instrument that defines the degree of attention university students pay to sustainability.A questionnaire with six categories-university education, university relations, socioeconomic links and impact, knowledge acquisition, application and social impact of sustainability, and evaluation of university sustainability-corresponding to 27 items, was administered to a pilot group of 351 undergraduate students from five universities and 13 study programs.Due to the rural nature of the institutions, the questionnaire was administered on paper.Descriptive statistics were applied descriptive statistics and obtained Cronbach's alpha factor to determine the reliability of the responses.The questionnaire was found to have a consistency greater than 0.9.In the category of university education, teachers are required to generate proposals that include students in research.in the university relationship category, it is necessary to develop sustainable extramural activities; in the outreach category, projects are required to transfer technology to communities that include students; in the case of knowledge appropriation, students are concerned about sustainability in their com</w:t>
      </w:r>
    </w:p>
    <w:p>
      <w:pPr/>
      <w:r>
        <w:rPr>
          <w:b/>
        </w:rPr>
        <w:t>POSSIBLE 2025:</w:t>
      </w:r>
      <w:r>
        <w:t xml:space="preserve"> Analytical Methods for In-Depth Assessment of Recycled Plastics: A Review — https://doi.org/10.3390/environments12050154</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pPr/>
      <w:r>
        <w:rPr>
          <w:b/>
        </w:rPr>
        <w:t>POSSIBLE 2025:</w:t>
      </w:r>
      <w:r>
        <w:t xml:space="preserve"> Optimizing coating materials and processes for controlled release coated urea fertilizer: Review of bio-based coating materials and encapsulation methods — https://doi.org/10.1016/j.rineng.2025.108716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2025:</w:t>
      </w:r>
      <w:r>
        <w:t xml:space="preserve"> Exploring Parental Intentions to Use Digital Tools to Enhance Parent-Child Sexual Communication in Europe: Cross-Sectional Questionnaire Study — https://doi.org/10.2196/75489</w:t>
      </w:r>
    </w:p>
    <w:p>
      <w:pPr/>
      <w:r>
        <w:rPr>
          <w:b/>
        </w:rPr>
        <w:t>Shared claim-specific concepts:</w:t>
      </w:r>
      <w:r>
        <w:t xml:space="preserve"> methods, tools, questionnaire; EU scope visible. This is a provisional connection, not an outcome finding.</w:t>
      </w:r>
    </w:p>
    <w:p>
      <w:pPr>
        <w:pStyle w:val="SourceNote"/>
      </w:pPr>
      <w:r>
        <w:rPr>
          <w:b/>
        </w:rPr>
        <w:t>Available abstract (not full text):</w:t>
      </w:r>
      <w:r>
        <w:t xml:space="preserve"> BACKGROUND: Parent-child communication about sexuality education is critical for safe adolescent sexual development and well-being. Yet, there is evidence that these conversations are often ineffective. Digital tools have therefore emerged as promising interventions that may assist parents in addressing sensitive or difficult topics. However, our understanding of the factors that may motivate parental adoption of these technologies remains limited. OBJECTIVE: This study aimed to explore factors associated with European parents' intentions to use a digital tool designed to support parent-child sexual communication and complement school-based sexuality education. The study was conducted across the United Kingdom, Belgium, and Italy. METHODS: Using the technology acceptance model, we applied structural equation modeling to identify motivators of parents' intention to use the hypothetical app. This included perceived usefulness and perceived ease of use. Perceived usefulness was further analyzed by its subcomponents-relevance to parenting and quality of technology-through an alternative 3-construct model. Additionally, the associations between demographic characteristics (age, gender, country of residence, and education level) and the latent constructs were assessed. RESULTS: =0.47. Perceived usefulness was significantly associated with intention to use (β=0.67, P&lt;.001), while perc</w:t>
      </w:r>
    </w:p>
    <w:p>
      <w:pPr/>
      <w:r>
        <w:rPr>
          <w:b/>
        </w:rPr>
        <w:t>POSSIBLE 2025:</w:t>
      </w:r>
      <w:r>
        <w:t xml:space="preserve"> Validation and Reliability of the Polish Version of the Eating Assessment Tool-10 Questionnaire — https://doi.org/10.3390/nu17081291</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Introduction: Early identification of patients at risk of dysphagia is of paramount importance. To date, no dysphagia screening questionnaire has been validated and translated into Polish that can be widely used in a multidisciplinary setting. Our study aimed to validate and adapt the Polish version of the Eating Assessment Tool-10 questionnaire (EAT-10). Materials and Methods: The EAT-10 questionnaire was translated into Polish using a formal forward–backward translation method. The Polish EAT-10 was administered to 109 patients with different dysphagia etiologies and 24 control subjects. Internal consistency, unidimensionality, test–retest reliability and external validity against the Visual Analog Scale (VAS), and Flexible Endoscopic Evaluation of Swallowing (FEES) were performed. Results: The EAT-10PL demonstrated excellent internal consistency (Cronbach’s α = 0.958) and confirmed unidimensionality. We found a strong correlation between EAT-10PL with the Visual Analog Scale (VAS) (rs = 0.94, p &lt; 0.001) and a weaker correlation with the PAS (rs = 0.55, p &lt; 0.001). We reported a sensitivity of 79.5% and specificity at the level of 60.0%, using ≥3 as a cut-off point. The statistically chosen cutoff point for PAS ≥ 2 and EAT-10 ≥ 6 indicated optimal specificity (70.0%) and sensitivity (79.5%) of measurements performed using EAT-10PL. The EAT-10PL questionnaire demonstrates high</w:t>
      </w:r>
    </w:p>
    <w:p>
      <w:pPr/>
      <w:r>
        <w:rPr>
          <w:b/>
        </w:rPr>
        <w:t>POSSIBLE 2025:</w:t>
      </w:r>
      <w:r>
        <w:t xml:space="preserve"> An in-depth review on tannin sources, extraction methods, and industrial applications — https://doi.org/10.1007/s44187-025-00689-9</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Tannins are naturally occurring polyphenolic compounds that are widely distributed in a variety of plant parts, such as leaves, bark, fruits, and seeds. This review provides a comprehensive analysis of tannins, with a particular focus on their classification, historical context, chemical structure, extraction techniques, and diverse applications across industrial and biomedical fields. Tannins are typically categorized as either condensed or hydrolyzable, with each form exhibiting unique functional attributes and structural characteristics. The extraction of tannins has progressed from conventional water-based maceration and decoction to contemporary methods, including ultrasound-assisted, microwave-assisted, supercritical fluid, and enzyme-assisted extractions. Among these, nonthermal technologies such as ultrasound-assisted, enzyme-assisted and supercritical fluid extraction are particularly highlighted for their ability to preserve heat-sensitive tannin structures, reduce energy consumption and support eco-friendly processing. Tannins are utilized in leather tanning, food preservation, medicine, water treatment, corrosion inhibition, and the development of innovative materials, such as bio-based adhesives and packaging films. Condensed tannins show industrial promise due to antioxidant and antibacterial properties, while hydrolyzable tannins offer medicinal benefits such as </w:t>
      </w:r>
    </w:p>
    <w:p>
      <w:pPr>
        <w:pStyle w:val="Heading2"/>
      </w:pPr>
      <w:r>
        <w:t>600. Disaggregation of official demographic projections in sub-groups by education level: the neglected “composition effect” in the future path of life expectancy</w:t>
      </w:r>
    </w:p>
    <w:p>
      <w:pPr>
        <w:pStyle w:val="SourceNote"/>
      </w:pPr>
      <w:r>
        <w:rPr>
          <w:b/>
        </w:rPr>
        <w:t>Original source (2021):</w:t>
      </w:r>
      <w:r>
        <w:t xml:space="preserve"> https://doi.org/10.1186/s41118-020-00113-3</w:t>
      </w:r>
    </w:p>
    <w:p>
      <w:pPr/>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POSSIBLE 2026:</w:t>
      </w:r>
      <w:r>
        <w:t xml:space="preserve"> Precise Editing of Indolines at Different Positions via SET and CMD Pathways — https://doi.org/10.1021/jacsau.6c00050</w:t>
      </w:r>
    </w:p>
    <w:p>
      <w:pPr/>
      <w:r>
        <w:rPr>
          <w:b/>
        </w:rPr>
        <w:t>Shared claim-specific concepts:</w:t>
      </w:r>
      <w:r>
        <w:t xml:space="preserve"> set, different, high; EU scope not established. This is a provisional connection, not an outcome finding.</w:t>
      </w:r>
    </w:p>
    <w:p>
      <w:pPr>
        <w:pStyle w:val="SourceNote"/>
      </w:pPr>
      <w:r>
        <w:rPr>
          <w:b/>
        </w:rPr>
        <w:t>Available abstract (not full text):</w:t>
      </w:r>
      <w:r>
        <w:t xml:space="preserve">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pPr/>
      <w:r>
        <w:rPr>
          <w:b/>
        </w:rPr>
        <w:t>POSSIBLE 2026:</w:t>
      </w:r>
      <w:r>
        <w:t xml:space="preserve"> Factors Influencing Participation in Student Evaluation of Teaching (SETs): A Quality Improvement Analysis — https://doi.org/10.1002/jdd.70303</w:t>
      </w:r>
    </w:p>
    <w:p>
      <w:pPr/>
      <w:r>
        <w:rPr>
          <w:b/>
        </w:rPr>
        <w:t>Shared claim-specific concepts:</w:t>
      </w:r>
      <w:r>
        <w:t xml:space="preserve"> provide, set, different, between, low, education; EU scope not established. This is a provisional connection, not an outcome finding.</w:t>
      </w:r>
    </w:p>
    <w:p>
      <w:pPr>
        <w:pStyle w:val="SourceNote"/>
      </w:pPr>
      <w:r>
        <w:rPr>
          <w:b/>
        </w:rPr>
        <w:t>Available abstract (not full text):</w:t>
      </w:r>
      <w:r>
        <w:t xml:space="preserve">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pPr/>
      <w:r>
        <w:rPr>
          <w:b/>
        </w:rPr>
        <w:t>POSSIBLE 2026:</w:t>
      </w:r>
      <w:r>
        <w:t xml:space="preserve">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pPr/>
      <w:r>
        <w:rPr>
          <w:b/>
        </w:rPr>
        <w:t>Shared claim-specific concepts:</w:t>
      </w:r>
      <w:r>
        <w:t xml:space="preserve"> set, high, over; EU scope not established. This is a provisional connection, not an outcome finding.</w:t>
      </w:r>
    </w:p>
    <w:p>
      <w:pPr>
        <w:pStyle w:val="SourceNote"/>
      </w:pPr>
      <w:r>
        <w:rPr>
          <w:b/>
        </w:rPr>
        <w:t>Available abstract (not full text):</w:t>
      </w:r>
      <w:r>
        <w:t xml:space="preserve">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pPr/>
      <w:r>
        <w:rPr>
          <w:b/>
        </w:rPr>
        <w:t>POSSIBLE 2026:</w:t>
      </w:r>
      <w:r>
        <w:t xml:space="preserve"> The limb-to-waist ratio: resolving the divergence between mortality and cardiovascular risk — https://doi.org/10.20517/2574-1209.2025.147</w:t>
      </w:r>
    </w:p>
    <w:p>
      <w:pPr/>
      <w:r>
        <w:rPr>
          <w:b/>
        </w:rPr>
        <w:t>Shared claim-specific concepts:</w:t>
      </w:r>
      <w:r>
        <w:t xml:space="preserve"> divergence, mortality, between; EU scope not established. This is a provisional connection, not an outcome finding.</w:t>
      </w:r>
    </w:p>
    <w:p>
      <w:pPr>
        <w:pStyle w:val="SourceNote"/>
      </w:pPr>
      <w:r>
        <w:rPr>
          <w:b/>
        </w:rPr>
        <w:t>Available abstract (not full text):</w:t>
      </w:r>
      <w:r>
        <w:t xml:space="preserve"> Aim: We aimed to resolve the paradoxical associations of limb circumference—inverse with mortality but positive with cardiovascular risk factors (CVRFs)—by systematically comparing the predictive value of the ratio of combined arm and thigh circumference (ATC) to waist circumference (WC) against that of the sum of ATC for mortality and key CVRFs. Methods: Our analysis utilized data from 17,276 U.S. participants in the 1999-2006 NHANES (National Health and Nutrition Examination Survey). We utilized Cox proportional hazards, generalized linear, and restricted cubic spline models, with comprehensive adjustment for confounders including adiposity. The outcomes assessed were all-cause and cardiovascular mortality, hypertension, diabetes, and resting tachycardia. Results: During median 18.04-year follow-up (3,927 deaths, 1,047 cardiovascular deaths), the highest versus lowest ATC/WC quartile showed consistently protective associations: all-cause mortality (hazard ratio (HR) = 0.47, 95% confidence interval (95%CI): 0.38-0.57), cardiovascular mortality (HR = 0.32, 0.21-0.49), hypertension (OR = 0.49, 0.41-0.59), diabetes (odds ratio (OR) = 0.26, 0.18-0.37), and resting tachycardia (OR = 0.28, 0.19-0.39; all P &lt; 0.001). Conversely, ATC exhibited adiposity-dependent paradoxical associations: protective for mortality but harmful for CVRFs when unadjusted for adiposity. After adiposity adj</w:t>
      </w:r>
    </w:p>
    <w:p>
      <w:pPr/>
      <w:r>
        <w:rPr>
          <w:b/>
        </w:rPr>
        <w:t>POSSIBLE 2026:</w:t>
      </w:r>
      <w:r>
        <w:t xml:space="preserve"> Predictive divergence in machine learning models for clinical mortality risk: A multicohort study of covid-19 patients — https://doi.org/10.1371/journal.pone.0344354</w:t>
      </w:r>
    </w:p>
    <w:p>
      <w:pPr/>
      <w:r>
        <w:rPr>
          <w:b/>
        </w:rPr>
        <w:t>Shared claim-specific concepts:</w:t>
      </w:r>
      <w:r>
        <w:t xml:space="preserve"> divergence, mortality, between, high; EU scope not established. This is a provisional connection, not an outcome finding.</w:t>
      </w:r>
    </w:p>
    <w:p>
      <w:pPr>
        <w:pStyle w:val="SourceNote"/>
      </w:pPr>
      <w:r>
        <w:rPr>
          <w:b/>
        </w:rPr>
        <w:t>Available abstract (not full text):</w:t>
      </w:r>
      <w:r>
        <w:t xml:space="preserve"> BACKGROUND: Machine learning (ML) algorithms are increasingly used in healthcare to support clinical decision-making. While models with similar overall performance are often considered interchangeable for deployment, they may produce divergent predictions, a phenomenon known as algorithmic multiplicity. In such cases, the choice of algorithm may introduce bias. This study investigates the impacts of algorithmic multiplicity in mortality prediction and assesses the influence of patient characteristics on model decisions. METHODS: A cohort of 4,337 adult patients (≥18 years) with RT-PCR-confirmed covid-19 from five tertiary care hospitals in Brazil was followed from March to August 2020. Five popular ML models for structured data were trained on demographic and laboratory data collected at early hospital admission to predict in-hospital mortality. Model performance, feature importance, and algorithmic prediction similarity were evaluated. Feature distributions were compared between patients correctly or incorrectly classified by all models using paired t-tests or Mann-Whitney U tests, as applicable, at the 5% significance level. Subgroup performance differences were assessed using 10-fold cross-validation applied to five k-means-delineated clusters, compared by one-way ANOVA. Within-cluster predictive divergence was assessed within a 95% confidence interval. RESULTS: All models a</w:t>
      </w:r>
    </w:p>
    <w:p>
      <w:pPr/>
      <w:r>
        <w:rPr>
          <w:b/>
        </w:rPr>
        <w:t>POSSIBLE 2026:</w:t>
      </w:r>
      <w:r>
        <w:t xml:space="preserve"> Mortality convergence and divergence across Hungarian districts: long-term age-specific dynamics and spatial polarization — https://doi.org/10.15196/rs160508</w:t>
      </w:r>
    </w:p>
    <w:p>
      <w:pPr/>
      <w:r>
        <w:rPr>
          <w:b/>
        </w:rPr>
        <w:t>Shared claim-specific concepts:</w:t>
      </w:r>
      <w:r>
        <w:t xml:space="preserve"> convergence, divergence, mortality, life, expectancy, age; EU scope visible. This is a provisional connection, not an outcome finding.</w:t>
      </w:r>
    </w:p>
    <w:p>
      <w:pPr>
        <w:pStyle w:val="SourceNote"/>
      </w:pPr>
      <w:r>
        <w:rPr>
          <w:b/>
        </w:rPr>
        <w:t>Available abstract (not full text):</w:t>
      </w:r>
      <w:r>
        <w:t xml:space="preserve"> Life expectancy has increased substantially across Europe in recent decades, but improvements within countries have often been uneven across regions.Evidence on the long-term subnational experiences of postcommunist countries remains limited.This study examines regional convergence in life expectancy at birth across Hungarian districts using σ-and β-convergence approaches from the 1980s to the early 2020s.σ-convergence is measured using the population-weighted standard deviation of life expectancy at birth.Changes in the standard deviation are decomposed into age-specific contributions of mortality (M) and population structure (P), separately for total, between-, and withinregion components.District-level disparity (N = 175) increased over time: the standard deviation doubled among women and exceeded early-1990s crisis levels among men.Divergence was concentrated above age 50, particularly at ages 65 and over, whereas mortality below age 50 showed convergence.β-convergence models reveal regional polarization at older ages, reflecting faster improvements in the capital region and distinct convergence dynamics in the former heavy-industry region.These findings indicate that mortality convergence can only be understood by accounting for both age-specific dynamics and spatial heterogeneity.Mortality convergence and divergence across Hungarian districts: long-term age-specific dynam</w:t>
      </w:r>
    </w:p>
    <w:p>
      <w:pPr/>
      <w:r>
        <w:rPr>
          <w:b/>
        </w:rPr>
        <w:t>POSSIBLE 2026:</w:t>
      </w:r>
      <w:r>
        <w:t xml:space="preserve"> Characterising mortality dynamics across countries and time using a multi-stage clustering approach — https://doi.org/10.48550/arxiv.2609.17268</w:t>
      </w:r>
    </w:p>
    <w:p>
      <w:pPr/>
      <w:r>
        <w:rPr>
          <w:b/>
        </w:rPr>
        <w:t>Shared claim-specific concepts:</w:t>
      </w:r>
      <w:r>
        <w:t xml:space="preserve"> set, convergence, divergence, mortality, between, over; EU scope visible. This is a provisional connection, not an outcome finding.</w:t>
      </w:r>
    </w:p>
    <w:p>
      <w:pPr>
        <w:pStyle w:val="SourceNote"/>
      </w:pPr>
      <w:r>
        <w:rPr>
          <w:b/>
        </w:rPr>
        <w:t>Available abstract (not full text):</w:t>
      </w:r>
      <w:r>
        <w:t xml:space="preserve"> Comparative analyses of mortality dynamics across countries have long shaped our understanding of mortality inequalities and patterns of divergence and convergence over time. However, most existing studies focus on either mortality differences across countries at a single point in time or on country trajectories, without considering both factors simultaneously. In this paper, we address this gap by introducing a multi-stage clustering framework, applied to 94 countries by sex over the period 1960-2019 using data from the World Population Prospects. Specifically, we model life-table probabilities of death using a time-dependent beta latent variable model and identify a small set of ``mortality states'' that characterise the mortality pattern of each country at any given point in time. We then cluster countries based on their sequences of mortality states. Our results reveal substantial heterogeneity in the timing and pace of transitions between mortality states, including a persistent East-West divide in Europe and distinctive Latin American patterns associated with elevated young-adult male mortality. Cross-country inequality increased for both sexes until the 1990s, before plateauing and subsequently declining. Our proposed multi-stage clustering framework provides an interpretable, time-explicit description of mortality dynamics that jointly captures within-country change and</w:t>
      </w:r>
    </w:p>
    <w:p>
      <w:pPr/>
      <w:r>
        <w:rPr>
          <w:b/>
        </w:rPr>
        <w:t>POSSIBLE 2026:</w:t>
      </w:r>
      <w:r>
        <w:t xml:space="preserve"> Demographic Divergence: The Legacy of the Opioid Epidemic — https://doi.org/10.3386/w35340</w:t>
      </w:r>
    </w:p>
    <w:p>
      <w:pPr/>
      <w:r>
        <w:rPr>
          <w:b/>
        </w:rPr>
        <w:t>Shared claim-specific concepts:</w:t>
      </w:r>
      <w:r>
        <w:t xml:space="preserve"> divergence, mortality, life, increase; EU scope not established. This is a provisional connection, not an outcome finding.</w:t>
      </w:r>
    </w:p>
    <w:p>
      <w:pPr>
        <w:pStyle w:val="SourceNote"/>
      </w:pPr>
      <w:r>
        <w:rPr>
          <w:b/>
        </w:rPr>
        <w:t>Available abstract (not full text):</w:t>
      </w:r>
      <w:r>
        <w:t xml:space="preserve"> We study how the opioid epidemic shaped local population dynamics in the United States.Exploiting variation in exposure that stems from Purdue Pharma's targeted marketing of OxyContin to high-cancer-mortality areas, we find that more exposed commuting zones experienced lower population growth.By 2020, a one-standard-deviation increase in exposure reduced population growth among individuals aged 18 to 64 by 2.4 percentage points.Direct mortality from druginduced deaths made only a limited contribution to these changes.Instead, population losses were primarily driven by migratory responses: exposure increased out-migration rates, especially among college-educated individuals.These responses are consistent with the opioid epidemic operating as a disamenity shock, deteriorating local quality of life.Working in the opposite direction, we also document a rise in fertility rates that, by 2020, partially counteracts these population losses.Our findings show that the opioid epidemic reshaped local demographic composition and contributed to the long-run divergence in population dynamics across U.S. commuting zones.</w:t>
      </w:r>
    </w:p>
    <w:p>
      <w:pPr/>
      <w:r>
        <w:rPr>
          <w:b/>
        </w:rPr>
        <w:t>POSSIBLE 2026:</w:t>
      </w:r>
      <w:r>
        <w:t xml:space="preserve"> Mortality in Autism: A Longitudinal Register-Based Study — https://doi.org/10.1007/s10803-026-07328-x</w:t>
      </w:r>
    </w:p>
    <w:p>
      <w:pPr/>
      <w:r>
        <w:rPr>
          <w:b/>
        </w:rPr>
        <w:t>Shared claim-specific concepts:</w:t>
      </w:r>
      <w:r>
        <w:t xml:space="preserve"> mortality, between, groups; EU scope visible. This is a provisional connection, not an outcome finding.</w:t>
      </w:r>
    </w:p>
    <w:p>
      <w:pPr>
        <w:pStyle w:val="SourceNote"/>
      </w:pPr>
      <w:r>
        <w:rPr>
          <w:b/>
        </w:rPr>
        <w:t>Available abstract (not full text):</w:t>
      </w:r>
      <w:r>
        <w:t xml:space="preserve"> Abstract Purpose To examine mortality and causes of death in a population-based cohort of adults with autism spectrum disorder (ASD), and to compare findings with a sample drawn from the general population. Methods A population-based cohort of individuals ( N = 113) born 1962–1984 and diagnosed with ASD in childhood during the 1970’s and 1980’s was followed up through register between 2000 and 2023. Most individuals were diagnosed with co-occurring intellectual disability (ID). The group was compared to an age- and sex-matched group ( N = 1130) from the general population. Data for both groups were obtained from the National Cause of Death Register in Sweden. Kaplan-Meier survival analysis was used to calculate the survival distributions of the participants with ASD and the comparison group, and Cox proportional hazards regression to estimate Hazard ratios for mortality. Results During the study period (2000–2023) 9.7% of the ASD group and 2.7% of the comparison group had died, p &lt; .001. The ASD group had a higher risk of mortality than the comparison group (Hazard Ratio = 3.77, 95%CI = 1.89–7.52, p &lt; .001). Mortality did not differ significantly between males and females in the ASD group. Significantly more individuals with severe ID had died compared to the rest of the cohort, X 2 (1, N = 113) = 4.7, p &lt; .05. Conclusion Individuals with ASD and co-occurring ID may be at great</w:t>
      </w:r>
    </w:p>
    <w:p>
      <w:pPr/>
      <w:r>
        <w:rPr>
          <w:b/>
        </w:rPr>
        <w:t>POSSIBLE 2026:</w:t>
      </w:r>
      <w:r>
        <w:t xml:space="preserve"> Long-term negative divergence in mortality at ages 25–49 years between the United Kingdom and 21 peer countries between 1990 and 2019 — https://doi.org/10.1007/s10654-026-01396-0</w:t>
      </w:r>
    </w:p>
    <w:p>
      <w:pPr/>
      <w:r>
        <w:rPr>
          <w:b/>
        </w:rPr>
        <w:t>Shared claim-specific concepts:</w:t>
      </w:r>
      <w:r>
        <w:t xml:space="preserve"> divergence, mortality, between, low, life, increase; EU scope visible. This is a provisional connection, not an outcome finding.</w:t>
      </w:r>
    </w:p>
    <w:p>
      <w:pPr>
        <w:pStyle w:val="SourceNote"/>
      </w:pPr>
      <w:r>
        <w:rPr>
          <w:b/>
        </w:rPr>
        <w:t>Available abstract (not full text):</w:t>
      </w:r>
      <w:r>
        <w:t xml:space="preserve"> BACKGROUND: The poor performance of the UK in reducing mortality compared to many other high-income countries following the 2008 financial crisis have been extensively studied, with particular attention to deaths of despair at working ages. However, longer-term trends in the differences in working-age mortality between the UK and peer countries have not been systematically investigated. METHODS: We compared trends (1990-2019) in age-standardised mortality rates at age 25-49 years in the UK and its constituent parts (England and its 9 standard regions, Wales, Scotland, Northern Ireland) with those of 21 peer countries. FINDINGS: Between 1990 and 2019 the UK went from having relatively low mortality rates at age 25-49 years compared to its peers to having one of the highest. This reflects both the better progress made by many other countries in reducing mortality rates as well as an absolute increase in the UK from 2013. Against the counter-factual that rates in the UK followed the median of the comparator countries (2001-2019) this resulted in 3.1 million excess years of life lost. The divergence in mortality of the UK with its peers was apparent from 1990 and was observed for all constituent parts of the UK and English regions. External cause mortality accounted for much of the divergence in rates between 2001 and 2019 (69% women; 78% men), as did the overlapping categories of </w:t>
      </w:r>
    </w:p>
    <w:p>
      <w:pPr/>
      <w:r>
        <w:rPr>
          <w:b/>
        </w:rPr>
        <w:t>POSSIBLE 2026:</w:t>
      </w:r>
      <w:r>
        <w:t xml:space="preserve"> Photocatalytic C–C Coupling by a Au(I) Complex: Mechanistic Elucidation and SET Modulation — https://doi.org/10.1021/jacsau.5c01536</w:t>
      </w:r>
    </w:p>
    <w:p>
      <w:pPr/>
      <w:r>
        <w:rPr>
          <w:b/>
        </w:rPr>
        <w:t>Shared claim-specific concepts:</w:t>
      </w:r>
      <w:r>
        <w:t xml:space="preserve"> set, between, high, groups; EU scope not established. This is a provisional connection, not an outcome finding.</w:t>
      </w:r>
    </w:p>
    <w:p>
      <w:pPr>
        <w:pStyle w:val="SourceNote"/>
      </w:pPr>
      <w:r>
        <w:rPr>
          <w:b/>
        </w:rPr>
        <w:t>Available abstract (not full text):</w:t>
      </w:r>
      <w:r>
        <w:t xml:space="preserve"> High Resolution Image Download MS PowerPoint Slide Photocatalytic C–C coupling reactions mediated by molecular complexes represent an advancing field of research, in which Au-based catalysts have demonstrated significant potential. Herein, we employ an integrated computational strategy: incorporating MS-CASPT2, DFT, and kinetic analyses of fluorescence, phosphorescence, intersystem crossing, internal conversion, and electron transfer processes to unravel the mechanistic intricacies between aryldiazonium salts and alkynyl-silanes catalyzed by a naphthalene-di-imide-functionalized N-heterocyclic carbene Au(I) complex, [(NDI-NHC)–Au–Cl]. Upon photoexcitation, a four-state model (S 0, S 1, T 2, and T 1 ) of the photophysical process is identified. The reaction proceeds via a triplet-state-initiated tandem comprising single electron transfer (SET), N 2 extrusion, radical addition, and intersystem crossing, culminating in reductive elimination to complete the catalytic cycle. Furthermore, introducing electron-withdrawing groups such as the cyano group into the aryldiazonium scaffold enhances SET efficiency by a certain cancellation of the reorganization energy by driving energy, thereby reducing the free energy barrier. The nonradiative decay dominates the reaction coordinates. Leveraging these mechanistic insights, the SET modulation strategy is theoretically extended to Ag and Cu c</w:t>
      </w:r>
    </w:p>
    <w:p>
      <w:pPr/>
      <w:r>
        <w:rPr>
          <w:b/>
        </w:rPr>
        <w:t>POSSIBLE 2026:</w:t>
      </w:r>
      <w:r>
        <w:t xml:space="preserve"> Life expectancy nexus mortality in 14 selected SADC countries with trend analysis — https://doi.org/10.1007/s44257-026-00088-z</w:t>
      </w:r>
    </w:p>
    <w:p>
      <w:pPr/>
      <w:r>
        <w:rPr>
          <w:b/>
        </w:rPr>
        <w:t>Shared claim-specific concepts:</w:t>
      </w:r>
      <w:r>
        <w:t xml:space="preserve"> mortality, between, high, life, expectancy, over; EU scope not established. This is a provisional connection, not an outcome finding.</w:t>
      </w:r>
    </w:p>
    <w:p>
      <w:pPr>
        <w:pStyle w:val="SourceNote"/>
      </w:pPr>
      <w:r>
        <w:rPr>
          <w:b/>
        </w:rPr>
        <w:t>Available abstract (not full text):</w:t>
      </w:r>
      <w:r>
        <w:t xml:space="preserve"> Abstract Background This study provides a plethora of dimensional analysis of the relationship between life expectancy (LE) and various mortality-related indicators across 14 selected Southern African Development Community (SADC) countries over a 13-year historical period. Objective The objective of the study is to analyze the historical impacts of health and economic indicators on life expectancy from 2010 to 2022 and to forecast regional development trends up to 2027. Method The study covers 14 specific nations: Angola, Botswana, Comoros, the Democratic Republic of Congo (DRC), Eswatini, Lesotho, Madagascar, Malawi, Mauritius, Mozambique, Namibia, South Africa, Zambia, and Zimbabwe. Methodologically, a dynamic panel Generalized Method of Moments (GMM) and a machine learning Random Forest model were deployed using Python and R (version 4.5.3) for data analysis and predictive modelling. Results The correlation analysis identified infant mortality (IM), under-5 mortality and HIV prevalence (HIVP) as the most significant negative predictors oscillating between − 0.72 and − 0.90 of life expectancy, GDP per capita serves as a critical positive predictor. Key findings reveal a general upward trend in life expectancy across the SADC region over the 13-year historical period, although a notable dip occurred around 2021, likely due to the impact of the COVID-19 pandemic. The random for</w:t>
      </w:r>
    </w:p>
    <w:p>
      <w:pPr>
        <w:pStyle w:val="Heading2"/>
      </w:pPr>
      <w:r>
        <w:t>601. EFFECTS OF HYDROGEN PRODUCTION ON ECONOMIC GROWTH IN THE EUROPEAN UNION</w:t>
      </w:r>
    </w:p>
    <w:p>
      <w:pPr>
        <w:pStyle w:val="SourceNote"/>
      </w:pPr>
      <w:r>
        <w:rPr>
          <w:b/>
        </w:rPr>
        <w:t>Original source (2021):</w:t>
      </w:r>
      <w:r>
        <w:t xml:space="preserve"> https://doi.org/10.47535/1991auoes30(2)003</w:t>
      </w:r>
    </w:p>
    <w:p>
      <w:pPr/>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POSSIBLE 2026:</w:t>
      </w:r>
      <w:r>
        <w:t xml:space="preserve"> Paleogeography of Europe, Central Asia, and Siberia in the Aalenian-Bathonian (Middle Jurassic) — https://doi.org/10.17223/25421379/39/6</w:t>
      </w:r>
    </w:p>
    <w:p>
      <w:pPr/>
      <w:r>
        <w:rPr>
          <w:b/>
        </w:rPr>
        <w:t>Shared claim-specific concepts:</w:t>
      </w:r>
      <w:r>
        <w:t xml:space="preserve"> article, presents, climate, over; EU scope visible. This is a provisional connection, not an outcome finding.</w:t>
      </w:r>
    </w:p>
    <w:p>
      <w:pPr>
        <w:pStyle w:val="SourceNote"/>
      </w:pPr>
      <w:r>
        <w:rPr>
          <w:b/>
        </w:rPr>
        <w:t>Available abstract (not full text):</w:t>
      </w:r>
      <w:r>
        <w:t xml:space="preserve">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pPr/>
      <w:r>
        <w:rPr>
          <w:b/>
        </w:rPr>
        <w:t>POSSIBLE 2026:</w:t>
      </w:r>
      <w:r>
        <w:t xml:space="preserve"> The influence of Gustav II Adolf's “Military Article” on the Russian “Military Article” of 1715 — https://doi.org/10.51885/3107-2755_ssadh_2026_2_14</w:t>
      </w:r>
    </w:p>
    <w:p>
      <w:pPr/>
      <w:r>
        <w:rPr>
          <w:b/>
        </w:rPr>
        <w:t>Shared claim-specific concepts:</w:t>
      </w:r>
      <w:r>
        <w:t xml:space="preserve"> article, author, presents, role; EU scope visible. This is a provisional connection, not an outcome finding.</w:t>
      </w:r>
    </w:p>
    <w:p>
      <w:pPr>
        <w:pStyle w:val="SourceNote"/>
      </w:pPr>
      <w:r>
        <w:rPr>
          <w:b/>
        </w:rPr>
        <w:t>Available abstract (not full text):</w:t>
      </w:r>
      <w:r>
        <w:t xml:space="preserve">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pPr/>
      <w:r>
        <w:rPr>
          <w:b/>
        </w:rPr>
        <w:t>POSSIBLE 2026:</w:t>
      </w:r>
      <w:r>
        <w:t xml:space="preserve"> Towards Hydrogen Law in the European Union and Europe? — https://doi.org/10.4324/9781003669654-18</w:t>
      </w:r>
    </w:p>
    <w:p>
      <w:pPr/>
      <w:r>
        <w:rPr>
          <w:b/>
        </w:rPr>
        <w:t>Shared claim-specific concepts:</w:t>
      </w:r>
      <w:r>
        <w:t xml:space="preserve"> hydrogen, union, energy; EU scope visible. This is a provisional connection, not an outcome finding.</w:t>
      </w:r>
    </w:p>
    <w:p>
      <w:pPr>
        <w:pStyle w:val="SourceNote"/>
      </w:pPr>
      <w:r>
        <w:rPr>
          <w:b/>
        </w:rPr>
        <w:t>Available abstract (not full text):</w:t>
      </w:r>
      <w:r>
        <w:t xml:space="preserve"> This concluding chapter adopts a holistic perspective to synthesise the insights presented across the volume, each of which examines distinct components of the emerging regulatory architecture on hydrogen. Drawing together these contributions, the chapter reflects on the gradual emergence of hydrogen law in Europe. Our analysis demonstrates that, although hydrogen law cannot yet be characterised as a coherent field of law, a notable degree of coherence nonetheless arises from the shared objectives underpinning the diverse regulatory measures currently in place. These common objectives enable us to conceptualise the evolving framework as a regulatory ecosystem, which is sufficiently flexible and dynamic to develop in parallel with the maturing hydrogen market it seeks to steer. The chapter offers an integrative perspective on how the EU&amp;s;s legal landscape is shaping, and being shaped by, the transition towards a hydrogen-based energy system.</w:t>
      </w:r>
    </w:p>
    <w:p>
      <w:pPr/>
      <w:r>
        <w:rPr>
          <w:b/>
        </w:rPr>
        <w:t>POSSIBLE 2026:</w:t>
      </w:r>
      <w:r>
        <w:t xml:space="preserve"> Towards European Hydrogen Market Design: Perspectives from Transmission System Operators — https://openalex.org/W7144391439</w:t>
      </w:r>
    </w:p>
    <w:p>
      <w:pPr/>
      <w:r>
        <w:rPr>
          <w:b/>
        </w:rPr>
        <w:t>Shared claim-specific concepts:</w:t>
      </w:r>
      <w:r>
        <w:t xml:space="preserve"> hydrogen, decarbonisation, electricity, over, final; EU scope visible. This is a provisional connection, not an outcome finding.</w:t>
      </w:r>
    </w:p>
    <w:p>
      <w:pPr>
        <w:pStyle w:val="SourceNote"/>
      </w:pPr>
      <w:r>
        <w:rPr>
          <w:b/>
        </w:rPr>
        <w:t>Available abstract (not full text):</w:t>
      </w:r>
      <w:r>
        <w:t xml:space="preserve"> Despite hydrogen being central to Europe's decarbonisation strategy, only a small share of renewable hydrogen projects reached final investment decision. A key barrier is uncertainty about how future hydrogen markets will be designed and operated, particularly under Renewable Fuels of Non-Biological Origin requirements. This study investigates the extent to which future hydrogen market design can be adapted from existing natural gas markets, and the challenges it must address. The analysis was based on a survey on future hydrogen market design targeting European gas transmission system operators, the stakeholder group responsible for operating the network and implementing the Network Codes. The survey provided an assessment of mechanism transferability and identified challenges for the early development of the hydrogen market. Core market design principles and trading frameworks are broadly transferable from natural gas markets, as entry-exit systems and virtual trading points. Capacity allocation requires targeted adaptation to improve coupling with electricity markets. Tariffs require adaptation through intertemporal cost allocation, distributing infrastructure costs over time to protect early adopters. Balancing regimes should be revisited to reflect hydrogen's physical characteristics and different linepack flexibility usages. Key challenges for early hydrogen markets inclu</w:t>
      </w:r>
    </w:p>
    <w:p>
      <w:pPr/>
      <w:r>
        <w:rPr>
          <w:b/>
        </w:rPr>
        <w:t>POSSIBLE 2026:</w:t>
      </w:r>
      <w:r>
        <w:t xml:space="preserve"> Sources of European Union competition law — https://doi.org/10.24144/2307-3322.2026.93.2.3</w:t>
      </w:r>
    </w:p>
    <w:p>
      <w:pPr/>
      <w:r>
        <w:rPr>
          <w:b/>
        </w:rPr>
        <w:t>Shared claim-specific concepts:</w:t>
      </w:r>
      <w:r>
        <w:t xml:space="preserve"> article, presents, union, achieving, significant, role; EU scope visible. This is a provisional connection, not an outcome finding.</w:t>
      </w:r>
    </w:p>
    <w:p>
      <w:pPr>
        <w:pStyle w:val="SourceNote"/>
      </w:pPr>
      <w:r>
        <w:rPr>
          <w:b/>
        </w:rPr>
        <w:t>Available abstract (not full text):</w:t>
      </w:r>
      <w:r>
        <w:t xml:space="preserve"> This article presents a comprehensive and systematic study of the sources of European Union competition law as a dynamic, multi-level legal system shaped by profound economic, technological and geopolitical transformations. The authors proceed from the premise that contemporary EU competition law has ceased to be exclusively an instrument for ensuring the functioning of the internal market and increasingly performs a strategic role in achieving objectives of economic resilience, digital transformation, strategic autonomy and crisis management in conditions of global instability. The paper advances the thesis that the system of sources of EU competition law is becoming more complex and evolving, driven by an expansion of regulatory fields, the growing role of supranational institutions and the emergence of new regulatory instruments. The authors provide a detailed analysis of primary EU law instruments, above all the Treaty on European Union and the Treaty on the Functioning of the European Union, which enshrine the fundamental principles of competition, establish the Union’s exclusive competence in this area and create the normative foundation for the operation of the internal market. It is shown that norms of primary law possess direct effect and play a key role in the formation of a unified competition law regime. Special attention is devoted to the analysis of EU secondary l</w:t>
      </w:r>
    </w:p>
    <w:p>
      <w:pPr/>
      <w:r>
        <w:rPr>
          <w:b/>
        </w:rPr>
        <w:t>POSSIBLE 2026:</w:t>
      </w:r>
      <w:r>
        <w:t xml:space="preserve"> Resource requirements and consequences of large-scale hydrogen use in Europe — https://doi.org/10.1038/s41893-026-01771-5</w:t>
      </w:r>
    </w:p>
    <w:p>
      <w:pPr/>
      <w:r>
        <w:rPr>
          <w:b/>
        </w:rPr>
        <w:t>Shared claim-specific concepts:</w:t>
      </w:r>
      <w:r>
        <w:t xml:space="preserve"> hydrogen, climate, electricity, energy; EU scope visible. This is a provisional connection, not an outcome finding.</w:t>
      </w:r>
    </w:p>
    <w:p>
      <w:pPr>
        <w:pStyle w:val="SourceNote"/>
      </w:pPr>
      <w:r>
        <w:rPr>
          <w:b/>
        </w:rPr>
        <w:t>Available abstract (not full text):</w:t>
      </w:r>
      <w:r>
        <w:t xml:space="preserve"> Abstract As European countries transition to fuels with lower climate change impact, distinct challenges may arise. Electrolytic hydrogen is central to planned developments in transportation and industry, but large-scale hydrogen production could have energy and environmental consequences. Here we simulate site-specific hydrogen demand distribution for Europe in 2050, to assess possible effects on local water use risks, regional electricity generation composition and cost, and total land use. Results show that around 20% of annual water use for hydrogen production is simulated to happen in areas with ‘extremely high’ projected risk of water stress, and local water stress caused by hydrogen production could become severe. Widespread electrolytic hydrogen use requires large investments in electricity generation, but the impacts on the marginal electricity cost to consumers could be small. The electricity generation system required for producing hydrogen or e-fuels would require less land than cultivating biomass for biofuels. The findings highlight the need for coordinated policy action to ensure that hydrogen deployment aligns with local water availability, regional electricity system development, land constraints and broader sustainability goals.</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hydrogen, support, union;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Hydrogen and Ammonia Export Markets: Trends, Costs, and the U.S. Position — https://doi.org/10.66816/tp5131893</w:t>
      </w:r>
    </w:p>
    <w:p>
      <w:pPr/>
      <w:r>
        <w:rPr>
          <w:b/>
        </w:rPr>
        <w:t>Shared claim-specific concepts:</w:t>
      </w:r>
      <w:r>
        <w:t xml:space="preserve"> hydrogen, electricity, final, energy; EU scope visible. This is a provisional connection, not an outcome finding.</w:t>
      </w:r>
    </w:p>
    <w:p>
      <w:pPr>
        <w:pStyle w:val="SourceNote"/>
      </w:pPr>
      <w:r>
        <w:rPr>
          <w:b/>
        </w:rPr>
        <w:t>Available abstract (not full text):</w:t>
      </w:r>
      <w:r>
        <w:t xml:space="preserve"> This study identifies near-term drivers for growth in emerging ammonia and hydrogen export markets, summarizes recently announced commercial projects, and characterizes the approximate cost of exports from the United States and other regions.Techno-economic analysis in this report covers the following hydrogen production technologies: 1) natural gas reforming (NGR), 2) NGR with carbon capture and storage (NGR-CCS), and 3) electrolysis using renewable electricity.These production technologies are evaluated alongside the following methods of hydrogen conversion or delivery: 1) ammonia production and export via ships, 2) pipelines for export of gaseous hydrogen, and 3) hydrogen liquefaction and export via ships.The aforementioned technologies were chosen for evaluation given their level of market maturity and prevalence in commercial announcements.Hydrogen production technologies in early stages of development (e.g., geologic, photoelectrochemical) were not evaluated in this report because of a lack of cost and market data.The scope combines three analytical components.The first is a review of global market signals, including production, trade, announced and in-development NGR-CCS and electrolysis export projects, signed NGR-CCS and electrolysis offtake agreements, and importer policy roadmaps and certification frameworks.The second is a bottom-up techno-economic assessment of uns</w:t>
      </w:r>
    </w:p>
    <w:p>
      <w:pPr/>
      <w:r>
        <w:rPr>
          <w:b/>
        </w:rPr>
        <w:t>POSSIBLE 2026:</w:t>
      </w:r>
      <w:r>
        <w:t xml:space="preserve"> European Cross-Border Heritage Projects : Borderless Memories, Shared Destinations — https://doi.org/10.13137/2611-2914/38713</w:t>
      </w:r>
    </w:p>
    <w:p>
      <w:pPr/>
      <w:r>
        <w:rPr>
          <w:b/>
        </w:rPr>
        <w:t>Shared claim-specific concepts:</w:t>
      </w:r>
      <w:r>
        <w:t xml:space="preserve"> article, author, presents, significant, role; EU scope visible. This is a provisional connection, not an outcome finding.</w:t>
      </w:r>
    </w:p>
    <w:p>
      <w:pPr>
        <w:pStyle w:val="SourceNote"/>
      </w:pPr>
      <w:r>
        <w:rPr>
          <w:b/>
        </w:rPr>
        <w:t>Available abstract (not full text):</w:t>
      </w:r>
      <w:r>
        <w:t xml:space="preserve"> This article explores the role of memory tourism in European borderlands, with particular attention to processes of cultural valorisation and cross-border cooperation in contexts shaped by the legacy of the world wars. Following a brief theoretical framework based on key concepts from the sociology of memory and border studies, this article presents a selection of significant European projects in which wartime heritage has been transformed into sustainable and participatory tourist itineraries. In these cases, national memories and divergent narratives have become opportunities for dialogue and development. In response to these challenges – such as the risk of sensationalism, exclusion of minority memories, and divisive governance – the author proposes an “Ethical Code for Memory Tourism” based on principles such as respect for historical dignity, narrative inclusion, engagement of local communities, civic education, sustainability, cross-border cooperation, and impact monitoring.</w:t>
      </w:r>
    </w:p>
    <w:p>
      <w:pPr/>
      <w:r>
        <w:rPr>
          <w:b/>
        </w:rPr>
        <w:t>POSSIBLE 2026:</w:t>
      </w:r>
      <w:r>
        <w:t xml:space="preserve"> EXTENSION OF THE EUROPEAN PUBLIC PROSECUTOR'S OFFICE'S COMPETENCE TO ENVIRONMENTAL CRIME: IS THE CURRENT MODEL SUFFICIENT? — https://doi.org/10.33542/sic2026-2-04</w:t>
      </w:r>
    </w:p>
    <w:p>
      <w:pPr/>
      <w:r>
        <w:rPr>
          <w:b/>
        </w:rPr>
        <w:t>Shared claim-specific concepts:</w:t>
      </w:r>
      <w:r>
        <w:t xml:space="preserve"> article, author, presents, union; EU scope visible. This is a provisional connection, not an outcome finding.</w:t>
      </w:r>
    </w:p>
    <w:p>
      <w:pPr>
        <w:pStyle w:val="SourceNote"/>
      </w:pPr>
      <w:r>
        <w:rPr>
          <w:b/>
        </w:rPr>
        <w:t>Available abstract (not full text):</w:t>
      </w:r>
      <w:r>
        <w:t xml:space="preserve"> The article addresses the issue of extending the competence of the European Public Prosecutor’s Office to environmental crime within the context of the fragmented system of criminal law enforcement in the European Union. It is based on an analysis of environmental crime as a specific form of cross-border criminality that exceeds the capacity of individual Member States to respond effectively. The author examines the current competence framework of the European Public Prosecutor’s Office, identifies its limitations and assesses its ability to respond to emerging forms of criminality. Attention is also given to the problems of fragmented enforcement and conflicts of jurisdiction. On the basis of this analysis, the article presents models for the possible extension of the EPPO’s competence and evaluates their implications, including from a national perspective with a focus on the Slovak Republic. The article concludes with de lege ferenda proposals aimed at enhancing the effectiveness and coherence of environmental criminal law enforcement at the level of the European Union.</w:t>
      </w:r>
    </w:p>
    <w:p>
      <w:pPr/>
      <w:r>
        <w:rPr>
          <w:b/>
        </w:rPr>
        <w:t>POSSIBLE 2026:</w:t>
      </w:r>
      <w:r>
        <w:t xml:space="preserve"> Party-Political Model of European Union in the Context of Transition to Strategic Autonomy — https://doi.org/10.20542/0131-2227-2026-70-6-29-41</w:t>
      </w:r>
    </w:p>
    <w:p>
      <w:pPr/>
      <w:r>
        <w:rPr>
          <w:b/>
        </w:rPr>
        <w:t>Shared claim-specific concepts:</w:t>
      </w:r>
      <w:r>
        <w:t xml:space="preserve"> article, author, presents, aspects, union, increase; EU scope visible. This is a provisional connection, not an outcome finding.</w:t>
      </w:r>
    </w:p>
    <w:p>
      <w:pPr>
        <w:pStyle w:val="SourceNote"/>
      </w:pPr>
      <w:r>
        <w:rPr>
          <w:b/>
        </w:rPr>
        <w:t>Available abstract (not full text):</w:t>
      </w:r>
      <w:r>
        <w:t xml:space="preserve"> The article analyzes the main aspects of the European Union’s transition to strategic autonomy and the impact of the results of its party-political model renewal, following the European election in 2024, on this process. The author pays special attention to the issue of improving interaction between the EU’s leading political institutions the European Council, the European Parliament and the European Commission, – on the one hand, and European civil society, on the other hand, which will increase the degree of these institutions’ legitimacy and involve representatives of civil society in the decision-making process at the Union level, including in the problem of its strategic autonomy. However, the solution to this problem is impossible without strengthening the pan-European socio-political space, and radically reforming the existing party-political model at the EU level, since European parties are key communicators between authorities and citizens. The article presents some thoughts on how the regulations of the European Parliament and the Council should be reformed in order to provide European parties with more opportunities to improve their interaction with civil society institutions at the EU level, including by increasing their funding. The results of the transformation of the leading European parties’ programmatic positions on the eve and during these elections are consid</w:t>
      </w:r>
    </w:p>
    <w:p>
      <w:pPr/>
      <w:r>
        <w:rPr>
          <w:b/>
        </w:rPr>
        <w:t>POSSIBLE 2026:</w:t>
      </w:r>
      <w:r>
        <w:t xml:space="preserve"> Invisible Contributors Task Authors at the IOI and EGOI — https://doi.org/10.15388/ioi.2026.06</w:t>
      </w:r>
    </w:p>
    <w:p>
      <w:pPr/>
      <w:r>
        <w:rPr>
          <w:b/>
        </w:rPr>
        <w:t>Shared claim-specific concepts:</w:t>
      </w:r>
      <w:r>
        <w:t xml:space="preserve"> article, author, presents, over; EU scope visible. This is a provisional connection, not an outcome finding.</w:t>
      </w:r>
    </w:p>
    <w:p>
      <w:pPr>
        <w:pStyle w:val="SourceNote"/>
      </w:pPr>
      <w:r>
        <w:rPr>
          <w:b/>
        </w:rPr>
        <w:t>Available abstract (not full text):</w:t>
      </w:r>
      <w:r>
        <w:t xml:space="preserve"> This article presents what is believed to be the first comprehensive catalogue of task authors for both the International Olympiad in Informatics (IOI) and the European Girls’ Olympiad in Informatics (EGOI). The IOI catalogue identifies authors for 183 of 207 tasks across 37 editions; the EGOI catalogue covers all 40 tasks across 5 editions. An analysis of the contestant-to-author pipeline reveals that 66 of the 135 known IOI task authors (49%) were themselves IOI contestants, with this proportion increasing over time since the first such author appeared in 2001. A gender analysis reveals that, across both competitions, only nine distinct women have ever authored a task: six appear at the IOI and four at the EGOI, with Monika Steinová the sole overlap. IOI 1995 in the Netherlands holds the record for the highest female authorship share ever at either competition, at 33%. The data is offered as a resource for the community and as an invitation to fill the remaining gaps.</w:t>
      </w:r>
    </w:p>
    <w:p>
      <w:pPr>
        <w:pStyle w:val="Heading2"/>
      </w:pPr>
      <w:r>
        <w:t>602. EU climate and energy governance in times of crisis: towards a new agenda</w:t>
      </w:r>
    </w:p>
    <w:p>
      <w:pPr>
        <w:pStyle w:val="SourceNote"/>
      </w:pPr>
      <w:r>
        <w:rPr>
          <w:b/>
        </w:rPr>
        <w:t>Original source (2021):</w:t>
      </w:r>
      <w:r>
        <w:t xml:space="preserve"> https://doi.org/10.1080/13501763.2021.1918221</w:t>
      </w:r>
    </w:p>
    <w:p>
      <w:pPr/>
      <w:r>
        <w:t>Original wording (abstract; indexed_source_text_not_full_document_verified): As the EU seeks to fully decarbonise itself by 2050, interactions with the crisis trends are likely to intensify in ways which future research could fruitfully investigate.</w:t>
      </w:r>
    </w:p>
    <w:p>
      <w:pPr/>
      <w:r>
        <w:rPr>
          <w:b/>
        </w:rPr>
        <w:t>POSSIBLE 2026:</w:t>
      </w:r>
      <w:r>
        <w:t xml:space="preserve"> Reframing the Refugee Rentier State: Turkey in the European Refugee ‘Crisis’ — https://doi.org/10.3390/socsci15070457</w:t>
      </w:r>
    </w:p>
    <w:p>
      <w:pPr/>
      <w:r>
        <w:rPr>
          <w:b/>
        </w:rPr>
        <w:t>Shared claim-specific concepts:</w:t>
      </w:r>
      <w:r>
        <w:t xml:space="preserve"> seeks, itself, interactions, crisis; EU scope visible. This is a provisional connection, not an outcome finding.</w:t>
      </w:r>
    </w:p>
    <w:p>
      <w:pPr>
        <w:pStyle w:val="SourceNote"/>
      </w:pPr>
      <w:r>
        <w:rPr>
          <w:b/>
        </w:rPr>
        <w:t>Available abstract (not full text):</w:t>
      </w:r>
      <w:r>
        <w:t xml:space="preserve"> The refugee rentier state seeks to manipulate mass population movements to obtain economic and political/strategic ‘rents’, asserting itself in a way that challenges the premises of Global South marginality, disempowerment and exclusion within the international system. This article develops the concept of the refugee rentier state, which it understands as a political economy framework for analysing how host states transform refugee populations into sources of bargaining power within asymmetric systems of global governance, while showing how this “trading” feeds into economic vulnerabilities and exclusions associated with forced labour arrangements. It shows how refugee hosting can function as a strategic asset through which states extract economic and political/strategic rents from wealthier counterparts. Drawing on Turkey’s engagement with the European Union in the European refugee “crisis”, the article examines how refugee rentier strategies operate within, rather than outside, established migration governance regimes, giving rise to economic informality and partial labour market integration. In applying the rentier state model to EU–Turkey interactions, it situates refugee rentierism within the structural logic of EU migration externalisation and the institutional weaknesses of international refugee protection, while considering how they feed into the vulnerability of displa</w:t>
      </w:r>
    </w:p>
    <w:p>
      <w:pPr/>
      <w:r>
        <w:rPr>
          <w:b/>
        </w:rPr>
        <w:t>POSSIBLE 2026:</w:t>
      </w:r>
      <w:r>
        <w:t xml:space="preserve"> Assessing the future cost of hydrogen in a fully decarbonised Italian energy system: a comparison of myopic and perfect foresight optimisation approaches — https://doi.org/10.1016/j.ijhydene.2026.157058</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This study evaluates the role and cost dynamics of hydrogen in the energy transition towards carbon neutrality by 2050. Using the H2RES long-term optimisation tool, the research explores scenarios involving electrolyser technologies, hydrogen storage, and fuel cells, considering increasing hydrogen demand in hard-to-abate sectors. By optimising the system under both perfect foresight and myopic planning approaches, results indicate that alkaline electrolysers dominate deployment, while solid-oxide electrolysers gain traction in high-efficiency, low-cost scenarios. Fuel cells play a negligible role, except for solid oxide fuel cells under optimistic assumptions. Electrolyser capacity is projected to reach 40-70 GW, with the levelized cost of hydrogen dropping from €2.37/kg in 2030 to €1.49-€2.05/kg by 2050. Myopic approach results in up to 25% higher hydrogen costs due to less efficient infrastructure development. This work highlights that hydrogen's economic viability depends on integrated system planning and should not be assessed in isolation from broader energy system configurations.</w:t>
      </w:r>
    </w:p>
    <w:p>
      <w:pPr/>
      <w:r>
        <w:rPr>
          <w:b/>
        </w:rPr>
        <w:t>POSSIBLE 2026:</w:t>
      </w:r>
      <w:r>
        <w:t xml:space="preserve"> Identification of barriers to decarbonise the German steel industry as a basis for a feasibility assessment — https://doi.org/10.1016/j.enpol.2026.115373</w:t>
      </w:r>
    </w:p>
    <w:p>
      <w:pPr/>
      <w:r>
        <w:rPr>
          <w:b/>
        </w:rPr>
        <w:t>Shared claim-specific concepts:</w:t>
      </w:r>
      <w:r>
        <w:t xml:space="preserve"> decarbonise; EU scope visible. This is a provisional connection, not an outcome finding.</w:t>
      </w:r>
    </w:p>
    <w:p>
      <w:pPr>
        <w:pStyle w:val="SourceNote"/>
      </w:pPr>
      <w:r>
        <w:rPr>
          <w:b/>
        </w:rPr>
        <w:t>Available abstract (not full text):</w:t>
      </w:r>
      <w:r>
        <w:t xml:space="preserve"> Decarbonising the German steel industry requires not only mature low-carbon technologies, but also framework conditions that make their deployment feasible in practice. This study identifies the most critical barriers using a mixed-methods approach: 1) a systematic review of 42 publications and 2) semi-structured interviews with experts from all German primary steel producers. The review results in a comprehensive inventory of barriers associated with feasibility dimensions, which serves as a structured basis for the interviews. Experts weighted each barrier and highlighted the most important obstacles. The resulting ranking by practitioners differs markedly from rankings inferred from literature, suggesting that frequency of mention may be a weak indicator of practical relevance. Barriers with high consensus and importance relate to energy costs and the long-term availability of low-carbon electricity and hydrogen, regulatory certainty (EU ETS, CBAM, support schemes), international competition with global overcapacities, and the creation of lead markets for green steel. Socio-cultural barriers appear comparatively minor in this sectoral context. Methodologically, the study demonstrates a structured diagnostic approach: capturing the barrier landscape via literature, refining and prioritising through expert input, and translating top barriers into actionable indicators. The res</w:t>
      </w:r>
    </w:p>
    <w:p>
      <w:pPr/>
      <w:r>
        <w:rPr>
          <w:b/>
        </w:rPr>
        <w:t>POSSIBLE 2026:</w:t>
      </w:r>
      <w:r>
        <w:t xml:space="preserve"> Decarbonising the Haber-Bosch ammonia industry: from technical barriers to market deployment — https://doi.org/10.2760/2677610</w:t>
      </w:r>
    </w:p>
    <w:p>
      <w:pPr/>
      <w:r>
        <w:rPr>
          <w:b/>
        </w:rPr>
        <w:t>Shared claim-specific concepts:</w:t>
      </w:r>
      <w:r>
        <w:t xml:space="preserve"> trends; EU scope not established. This is a provisional connection, not an outcome finding.</w:t>
      </w:r>
    </w:p>
    <w:p>
      <w:pPr>
        <w:pStyle w:val="SourceNote"/>
      </w:pPr>
      <w:r>
        <w:rPr>
          <w:b/>
        </w:rPr>
        <w:t>Available abstract (not full text):</w:t>
      </w:r>
      <w:r>
        <w:t xml:space="preserve"> Ammonia is a key commodity, serving as a fertiliser, a feedstock for the chemical industry and an emerging energy carrier. The sector is heavily dependent on the fossil-fuel driven Haber-Bosch production route, which alone accounts for more than one third of the CO₂ emissions of the (petro)chemical industry. Decarbonising this route largely relies on the (i) integration of carbon capture, (ii) use of biomass derived hydrogen, and (iii) electrification. This report first maps the technical challenges of each pathway and then examines market deployment and R&amp;D trends. Results confirm that while carbon capture is a mature technology, high costs and regulatory uncertainty limit its uptake. On the contrary, the biomass-fed route suffers from low ammonia yields that restrict its potential for large-scale deployment in the future. Although coupling intermittent renewable energy with the continuous Haber-Bosch synthesis loop remains a major barrier of the electrified route, first-of-a-kind plants are already operational, with more projects planned in the future. This has been largely possible due to recent progress and innovations in operational solutions, such as advanced forecasting, optimisation and control systems. The necessary individual technologies are therefore largely available; what is needed now are incremental performance improvements and, most importantly, a system-level </w:t>
      </w:r>
    </w:p>
    <w:p>
      <w:pPr/>
      <w:r>
        <w:rPr>
          <w:b/>
        </w:rPr>
        <w:t>POSSIBLE 2026:</w:t>
      </w:r>
      <w:r>
        <w:t xml:space="preserve"> The eurosystem under siege: the crisis response of the European central bank — https://doi.org/10.82444/warw.33796888</w:t>
      </w:r>
    </w:p>
    <w:p>
      <w:pPr/>
      <w:r>
        <w:rPr>
          <w:b/>
        </w:rPr>
        <w:t>Shared claim-specific concepts:</w:t>
      </w:r>
      <w:r>
        <w:t xml:space="preserve"> interactions, crisis, investigate; EU scope visible. This is a provisional connection, not an outcome finding.</w:t>
      </w:r>
    </w:p>
    <w:p>
      <w:pPr>
        <w:pStyle w:val="SourceNote"/>
      </w:pPr>
      <w:r>
        <w:rPr>
          <w:b/>
        </w:rPr>
        <w:t>Available abstract (not full text):</w:t>
      </w:r>
      <w:r>
        <w:t xml:space="preserve"> In 2007, the certainties that had long guided financial markets evaporated. The financial and sovereign debt crisis fundamentally changed the financial system and the role of central banks. In the euro area, the European Central Bank (ECB) has gained enormous power and influence over the financial markets and national governments. In monetary policy, the ECB has introduced a wide range of new instruments to tackle the institutional and structural shortcomings of a destabilised financial sys- tem within an incomplete monetary union. This thesis makes a close assessment of these changes to analyse why and how the ECB has changed since the recent financial and sovereign debt crisis. It examine the questions: What were the ideational drivers for this change? And what were the lessons learned for the ECB from the crises? The thesis applies the economic ideational frameworks of post-Keynesianism and ordoliberalism as well as insights from neo-liberalism and Hyman Minsky on financial crisis dynamics to better understand the different forces that influence the decision-making of the ECB. The theoretical framework of epistemic communities also helps to better analyse the deeper implications behind the decisions of European central bankers and their interactions with commercial bankers. The thesis draws on 42 interviews with high-level decision-makers from central banks in Europe, commer</w:t>
      </w:r>
    </w:p>
    <w:p>
      <w:pPr/>
      <w:r>
        <w:rPr>
          <w:b/>
        </w:rPr>
        <w:t>POSSIBLE 2026:</w:t>
      </w:r>
      <w:r>
        <w:t xml:space="preserve"> Operational Decision-Making for Sustainable Food Transportation: A Preliminary Local Area Energy Planning Framework for Decarbonising Freight Systems in Lincolnshire, UK — https://doi.org/10.3390/futuretransp6020075</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The transition to net-zero energy systems requires operationally grounded decision-making frameworks that integrate technology performance, infrastructure readiness, and policy constraints at local scale. Food transportation represents a high-emission and operationally critical component of regional energy and supply chain systems, particularly in food-producing regions. This study proposes a preliminary Local Area Energy Planning (LAEP) framework to support operational decision-making for the decarbonisation of food transportation, using Lincolnshire, UK, as a case study. The framework evaluates alternative freight transport technologies—battery electric vehicles (BEVs), hydrogen fuel cell electric vehicles (HFCEVs), battery electric road systems (BERS), and conventional internal combustion engine vehicles—across energy efficiency, CO2 emissions, infrastructure requirements, and cost implications. Secondary data from national statistics, regional planning documents, and peer-reviewed literature are analysed using comparative quantitative and qualitative assessment methods. Results indicate that BEVs currently offer the most energy-efficient and cost-effective solution for short-haul and last-mile food logistics, achieving overall efficiencies of approximately 77–82% with zero tailpipe emissions. HFCEVs and BERS present potential long-term operational advantages for heavy-duty </w:t>
      </w:r>
    </w:p>
    <w:p>
      <w:pPr/>
      <w:r>
        <w:rPr>
          <w:b/>
        </w:rPr>
        <w:t>POSSIBLE 2026:</w:t>
      </w:r>
      <w:r>
        <w:t xml:space="preserve"> Improving the environmental performance of electric vehicles as the grid decarbonises: Design interventions to reduce embodied emissions and in-use energy losses of switched reluctance motors — https://doi.org/10.1016/j.ecmx.2026.101829</w:t>
      </w:r>
    </w:p>
    <w:p>
      <w:pPr/>
      <w:r>
        <w:rPr>
          <w:b/>
        </w:rPr>
        <w:t>Shared claim-specific concepts:</w:t>
      </w:r>
      <w:r>
        <w:t xml:space="preserve"> investigate; EU scope visible. This is a provisional connection, not an outcome finding.</w:t>
      </w:r>
    </w:p>
    <w:p>
      <w:pPr>
        <w:pStyle w:val="SourceNote"/>
      </w:pPr>
      <w:r>
        <w:rPr>
          <w:b/>
        </w:rPr>
        <w:t>Available abstract (not full text):</w:t>
      </w:r>
      <w:r>
        <w:t xml:space="preserve"> The transport sector is rapidly electrifying, so demand for electric motors is predicted to rise, while emissions associated with vehicle use will decline in-line with grid decarbonisation. This motivates attention towards the embodied emissions of the motors, together with critical raw material and recyclability concerns associated with permanent magnets and copper. This study investigates design interventions to a magnet-free, copper-free, automotive switched reluctance motor (SRM), aiming to improve its environmental performance, while exploring the balance between emissions phases as the grid decarbonises. For the first time, a “Morphological Analysis” approach is used to systematically investigate possible combinations of these motor design interventions. Significant potential savings are identified in both embodied emissions and in-use energy losses, improving environmental performance beyond permanent magnet motors reported in literature. Changes to individual components could reduce embodied emissions by 33%, and in-use losses by 44%. Combining interventions through the morphological method, embodied emissions could be reduced by 80%, and in-use losses by 68%. Total emissions depend on grid carbon. In the UK today, lifetime emissions are minimised by reducing in-use losses. In Sweden, with its largely decarbonised grid, lifetime emissions are minimised by reducing embod</w:t>
      </w:r>
    </w:p>
    <w:p>
      <w:pPr/>
      <w:r>
        <w:rPr>
          <w:b/>
        </w:rPr>
        <w:t>POSSIBLE 2026:</w:t>
      </w:r>
      <w:r>
        <w:t xml:space="preserve"> Avoiding renovictions in European cities — https://openalex.org/W7171904389</w:t>
      </w:r>
    </w:p>
    <w:p>
      <w:pPr/>
      <w:r>
        <w:rPr>
          <w:b/>
        </w:rPr>
        <w:t>Shared claim-specific concepts:</w:t>
      </w:r>
      <w:r>
        <w:t xml:space="preserve"> crisis; EU scope visible. This is a provisional connection, not an outcome finding.</w:t>
      </w:r>
    </w:p>
    <w:p>
      <w:pPr>
        <w:pStyle w:val="SourceNote"/>
      </w:pPr>
      <w:r>
        <w:rPr>
          <w:b/>
        </w:rPr>
        <w:t>Available abstract (not full text):</w:t>
      </w:r>
      <w:r>
        <w:t xml:space="preserve"> Europe faces a dual challenge: the climate crisis and a persistent housing crisis, both of which converge in the urgent need to renovate aging urban housing stock. While energy-efficient renovations are essential to meet EU carbon neutrality targets by 2050, they risk triggering “renovictions”, the displacement of vulnerable residents due to rising rents and property values. This policy study shows how these renovictions can be avoided. We summarise scientific literature and survey best practices and cautionary tales from three cities across Europe: Amsterdam, Athens, and Paris. These are three large capitals, with historic centres protected by heritage status, and facing the pressure of (over)tourism. We recommend that tenants should not pay for renovations, and identify alternative sources of funding for different types of housing. The overall principle is that any money entering the housing sector should remain in the housing sector. Our recommendations are intended for policymakers at the local and European level. Local administrations should learn from each other, replicating successful policies like one-stop-shops to accompany renovations. The EU should use the policy levers that it already has to coordinate and facilitate policies at local level, namely by simplifying existing funding options or setting up publicly backed loan guarantees.Incremental, locally adapted poli</w:t>
      </w:r>
    </w:p>
    <w:p>
      <w:pPr/>
      <w:r>
        <w:rPr>
          <w:b/>
        </w:rPr>
        <w:t>POSSIBLE 2025:</w:t>
      </w:r>
      <w:r>
        <w:t xml:space="preserve"> What Motivates Companies to Take the Decision to Decarbonise? — https://doi.org/10.3390/en18143780</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Already more than 140 countries consider or have pledged to reach net-zero emission targets by 2050 or earlier and the share of global emissions falling into an emission pricing scheme has steeply increased over the past three years. Even where there are no direct implications for industry (yet), there is a series of subtle pressure points driving an increasing number of companies across the globe to work towards climate neutrality and pledging ambitious emission reduction goals. This article sheds light on the pressure points, the subtle triggers, the underlying considerations as well as the hoped-for benefits for industrial companies from achieving net-zero emissions. The observations and ideas presented in this paper are derived from quantitative data obtained via the Energy Efficiency Index of German Industry (EEI) and qualitative data. Not only societal, work force, supply chain and investor expectations play a large role, but also many strategic considerations which have the potential to make the company more resilient and profitable, particularly in time of crisis. Those companies that do not move towards decarbonisation, on the other hand, may face a costly late-mover disadvantage. This piece uncovers subtle interconnections, helping stakeholders from industry and beyond to grasp opportunities and challenges ahead.</w:t>
      </w:r>
    </w:p>
    <w:p>
      <w:pPr/>
      <w:r>
        <w:rPr>
          <w:b/>
        </w:rPr>
        <w:t>POSSIBLE 2025:</w:t>
      </w:r>
      <w:r>
        <w:t xml:space="preserve"> Polycrisis patterns: applying system archetypes to crisis interactions — https://doi.org/10.1017/sus.2025.21</w:t>
      </w:r>
    </w:p>
    <w:p>
      <w:pPr/>
      <w:r>
        <w:rPr>
          <w:b/>
        </w:rPr>
        <w:t>Shared claim-specific concepts:</w:t>
      </w:r>
      <w:r>
        <w:t xml:space="preserve"> interactions, crisis, ways; EU scope not established. This is a provisional connection, not an outcome finding.</w:t>
      </w:r>
    </w:p>
    <w:p>
      <w:pPr>
        <w:pStyle w:val="SourceNote"/>
      </w:pPr>
      <w:r>
        <w:rPr>
          <w:b/>
        </w:rPr>
        <w:t>Available abstract (not full text):</w:t>
      </w:r>
      <w:r>
        <w:t xml:space="preserve"> Abstract Non-technical summary: The world is facing multiple interconnected crises, from climate change and economic instability to social inequalities and geopolitical tensions. These crises do not occur in isolation; instead, they interact, reinforce each other, and create unexpected ripple effects – forming what is known as a polycrisis. Traditional ways of analysing problems often fail to grasp these interdependencies, making it difficult to find effective responses. We draw on system archetypes to describe and exemplify three polycrisis patterns. These provide a structured way to analyse how multiple crises unfold and interact, as well as insights into how to navigate such complexity. Technical summary: The concept of a polycrisis describes the complex interconnections between global issues, which can lead to unexpected emergent behaviours and the possible convergence of undesirable impacts. Understanding these dynamics is crucial for anticipating compounded effects and for identifying leverage points for effective intervention. We propose that system archetypes – generic structures in system dynamics that capture recurring patterns of behaviour – can serve as a useful analytical tool to study polycrises. Specifically, we reinterpret three key system archetypes in this context: Converging Constraints (based on the Limits to Growth system archetype), Deepening Divides (base</w:t>
      </w:r>
    </w:p>
    <w:p>
      <w:pPr/>
      <w:r>
        <w:rPr>
          <w:b/>
        </w:rPr>
        <w:t>POSSIBLE 2025:</w:t>
      </w:r>
      <w:r>
        <w:t xml:space="preserve"> Decarbonising last-mile deliveries: When the national strategy fails to meet local needs and expectations — https://doi.org/10.1016/j.tra.2025.104435</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 The paper explores challenges and priorities of 35 local authorities and 25 councillors in England for decarbonising last-mile deliveries. • Lack of clarity in governance roles and low prioritisation of freight in local politics are key barriers to decarbonising last-mile deliveries. • The paper emphasises the value of co-design workshops for collaboratively developing and testing place-based decarbonisation solution. • Urban-Rural divide: different delivery challenges, suggesting e-cargobikes for urban areas and smaller electric vehicles for rural settings. • Foster collaboration, clarify governance, prioritise freight in politics, and promote consumer behaviour change for net-zero local freight. This paper explores views and perceptions of 35 local authorities towards potential solutions to decarbonise last-mile deliveries in England and presents their perspectives towards potential challenges and drivers to their implementation. The methodological approach is based on co-design and participatory methods to enable local authorities with different knowledge and expertise to produce, through back-casting, a series of specific actions that can support the implementation of effective measures to decarbonise last-mile deliveries. Results were presented to and stress-tested with 25 councillors, to understand to what extent sustainable transport policies for last-mile deliveries m</w:t>
      </w:r>
    </w:p>
    <w:p>
      <w:pPr/>
      <w:r>
        <w:rPr>
          <w:b/>
        </w:rPr>
        <w:t>POSSIBLE 2024:</w:t>
      </w:r>
      <w:r>
        <w:t xml:space="preserve"> Synthetic Fuels for Decarbonising UK Rural Transport — https://doi.org/10.3390/encyclopedia4040101</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Decarbonising transport is a crucial element of the UK’s strategy to achieve net-zero carbon emissions by 2050, as the transport sector is currently the largest contributor to the UK’s greenhouse gas emissions. Rural communities face distinct challenges in this effort due to their reliance on internal combustion engines (ICEs) across vehicles and machinery essential for daily life, including farming equipment and private transport. While the upcoming ban on new petrol and diesel vehicles paves the way for the adoption of Electric Vehicles (EVs), this solution may not fully address the unique needs of rural areas where infrastructure limitations and specific mobility requirements pose significant barriers. In this context, synthetic fuels, produced using renewable energy sources, offer a potential alternative. These fuels can be used directly in existing internal combustion engines without requiring major modifications and have the added benefit of reducing overall greenhouse gas emissions by capturing CO2 during production. This entry explores the potential advantages of adopting synthetic fuels, particularly in rural areas, and examines how community-based buying cooperatives could support their wider use through bulk purchasing, cost reduction, and community empowerment.</w:t>
      </w:r>
    </w:p>
    <w:p>
      <w:pPr>
        <w:pStyle w:val="Heading2"/>
      </w:pPr>
      <w:r>
        <w:t>603. EUROPEAN UNION STRATEGIC AUTONOMY IN THE CONTEXT OF THE CONFERENCE ON THE FUTURE OF EUROPE</w:t>
      </w:r>
    </w:p>
    <w:p>
      <w:pPr>
        <w:pStyle w:val="SourceNote"/>
      </w:pPr>
      <w:r>
        <w:rPr>
          <w:b/>
        </w:rPr>
        <w:t>Original source (2021):</w:t>
      </w:r>
      <w:r>
        <w:t xml:space="preserve"> https://doi.org/10.61801/auoc-sp.2021.04</w:t>
      </w:r>
    </w:p>
    <w:p>
      <w:pPr/>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POSSIBLE 2026:</w:t>
      </w:r>
      <w:r>
        <w:t xml:space="preserve"> The European Commission’s Commitment to Increasing the Social Legitimacy of the European Green Deal Strategy — https://doi.org/10.33067/se.1.2026.17</w:t>
      </w:r>
    </w:p>
    <w:p>
      <w:pPr/>
      <w:r>
        <w:rPr>
          <w:b/>
        </w:rPr>
        <w:t>Shared claim-specific concepts:</w:t>
      </w:r>
      <w:r>
        <w:t xml:space="preserve"> main, goal, strategic, concept, reasons, limited; EU scope visible. This is a provisional connection, not an outcome finding.</w:t>
      </w:r>
    </w:p>
    <w:p>
      <w:pPr>
        <w:pStyle w:val="SourceNote"/>
      </w:pPr>
      <w:r>
        <w:rPr>
          <w:b/>
        </w:rPr>
        <w:t>Available abstract (not full text):</w:t>
      </w:r>
      <w:r>
        <w:t xml:space="preserve"> The main goal of this paper is to explain the activities undertaken by the European Commission (EC), as a key political actor in the EU, to increase the social legitimacy of the European Green Deal (EGD) strategy among Europeans. The EGD, as a long-term strategy for the EU’s development until 2050, constitutes an economic and environmental project with a clear political and identity dimension. The authors argue that its aim is to build a new vision of a united Europe based on the values of sustainable development and climate neutrality. The analysis is based on the concept of social legitimacy and the theory of actor-centred constructivism, with a particular emphasis on the role of the EC as an entity that creates norms, narratives, and policy instruments. This article identifies the main reasons for the low level of social legitimacy of the EGD, which include concerns about the costs of transformation, the uneven distribution of its socio-economic effects, a lack of trust in public institutions, and limited transparency in communication. The empirical section discusses the instruments used by the EC to strengthen the legitimacy of the EGD, particularly the redistributive and investment mechanisms such as the Just Transition Fund and the Social Climate Fund, as well as the withdrawal from the most controversial sectoral reforms. The conclusions indicate that this strategy is se</w:t>
      </w:r>
    </w:p>
    <w:p>
      <w:pPr/>
      <w:r>
        <w:rPr>
          <w:b/>
        </w:rPr>
        <w:t>POSSIBLE 2026:</w:t>
      </w:r>
      <w:r>
        <w:t xml:space="preserve"> Customs strategy of Ukraine as a tool for achieving sustainable development goals — https://doi.org/10.26565/2786-4995-2026-1-15</w:t>
      </w:r>
    </w:p>
    <w:p>
      <w:pPr/>
      <w:r>
        <w:rPr>
          <w:b/>
        </w:rPr>
        <w:t>Shared claim-specific concepts:</w:t>
      </w:r>
      <w:r>
        <w:t xml:space="preserve"> main, strategic, limited; EU scope visible. This is a provisional connection, not an outcome finding.</w:t>
      </w:r>
    </w:p>
    <w:p>
      <w:pPr>
        <w:pStyle w:val="SourceNote"/>
      </w:pPr>
      <w:r>
        <w:rPr>
          <w:b/>
        </w:rPr>
        <w:t>Available abstract (not full text):</w:t>
      </w:r>
      <w:r>
        <w:t xml:space="preserve"> The article examines the customs strategy of Ukraine as a component of state economic policy and a tool for achieving the Sustainable Development Goals. The object of the study is the customs system of Ukraine in the unity of three key elements: customs taxation, customs administration and the system of customs authorities, which are formed and transformed in the context of military challenges, European integration and global economic changes. Problem statement. The main problem is the insufficient integration of the principles of sustainable development into the customs strategy of Ukraine, which in practice remains predominantly fiscally and institutionally oriented, with limited consideration of environmental, social and regional aspects. Unresolved aspects. Gaps have been identified regarding the environmental dimension of customs taxation, the implementation of circular economy principles, the assessment of the impact of customs decisions on the achievement of the SDGs, the development of environmental risk management, as well as issues of inclusiveness, gender equality and interdepartmental coordination. Purpose of the article. The aim is to scientifically substantiate the role of Ukraine's customs strategy in achieving the Sustainable Development Goals and to identify areas for its improvement, taking into account the provisions of the National Revenue Strategy until 203</w:t>
      </w:r>
    </w:p>
    <w:p>
      <w:pPr/>
      <w:r>
        <w:rPr>
          <w:b/>
        </w:rPr>
        <w:t>POSSIBLE 2026:</w:t>
      </w:r>
      <w:r>
        <w:t xml:space="preserve"> European strategic antinomy — https://doi.org/10.1016/j.polgeo.2026.103616</w:t>
      </w:r>
    </w:p>
    <w:p>
      <w:pPr/>
      <w:r>
        <w:rPr>
          <w:b/>
        </w:rPr>
        <w:t>Shared claim-specific concepts:</w:t>
      </w:r>
      <w:r>
        <w:t xml:space="preserve"> strategic, autonomy, concept, focused, matters, much;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European Strategic Autonomy and France — https://doi.org/10.36250/01328_11</w:t>
      </w:r>
    </w:p>
    <w:p>
      <w:pPr/>
      <w:r>
        <w:rPr>
          <w:b/>
        </w:rPr>
        <w:t>Shared claim-specific concepts:</w:t>
      </w:r>
      <w:r>
        <w:t xml:space="preserve"> main, strategic, autonomy, concept, said, security;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r>
        <w:rPr>
          <w:b/>
        </w:rPr>
        <w:t>POSSIBLE 2026:</w:t>
      </w:r>
      <w:r>
        <w:t xml:space="preserve"> A Pan-European Economic Space with the European Community at Its Core: The EC’s Goals, Actions and Achievements in Pan-European Fora in the 1970s — https://doi.org/10.1017/s096077732510146x</w:t>
      </w:r>
    </w:p>
    <w:p>
      <w:pPr/>
      <w:r>
        <w:rPr>
          <w:b/>
        </w:rPr>
        <w:t>Shared claim-specific concepts:</w:t>
      </w:r>
      <w:r>
        <w:t xml:space="preserve"> light, shaping, question, security; EU scope visible. This is a provisional connection, not an outcome finding.</w:t>
      </w:r>
    </w:p>
    <w:p>
      <w:pPr>
        <w:pStyle w:val="SourceNote"/>
      </w:pPr>
      <w:r>
        <w:rPr>
          <w:b/>
        </w:rPr>
        <w:t>Available abstract (not full text):</w:t>
      </w:r>
      <w:r>
        <w:t xml:space="preserve"> As East–West détente flourished in the early 1970s, discussions on pan-European economic trade and cooperation revived. Yet an ‘EC question’ soon arose as socialist countries saw the European Community as an expanding protectionist entity that hampered pan-European trade and insisted on denying it recognition, let least a role in it. This article argues that, facing this predicament, the EC endeavoured to assert itself in the continent through a careful action aimed at becoming embedded in pan-European economic cooperation and shaping its features. It explores the EC’s tactics to gain its own place and weight in the two major fora of East–West discussions on the matter in the 1970s – the United Nations Economic Commission for Europe (UNECE) and the Conference on Security and Cooperation in Europe (CSCE) – and shows its contribution to defining the agenda and proposals on trade and economic cooperation. In investigating the EC’s manoeuvres and the people instrumental in these efforts, the article reveals the EC’s collaboration with the UNECE Secretariat, sheds new light to the socialist states’ evolving policy towards the Community and provides an unprecedented study into UNECE’s life in the 1970s and its connection with the Helsinki process. By weaving these aspects together, this article characterises the EC as one of the key makers of pan-European cooperation decades before t</w:t>
      </w:r>
    </w:p>
    <w:p>
      <w:pPr/>
      <w:r>
        <w:rPr>
          <w:b/>
        </w:rPr>
        <w:t>POSSIBLE 2026:</w:t>
      </w:r>
      <w:r>
        <w:t xml:space="preserve"> Sustainable growth through strategic change: Women directors on European automotive boards and carbon performance — https://doi.org/10.22495/cgsrv10i3p14</w:t>
      </w:r>
    </w:p>
    <w:p>
      <w:pPr/>
      <w:r>
        <w:rPr>
          <w:b/>
        </w:rPr>
        <w:t>Shared claim-specific concepts:</w:t>
      </w:r>
      <w:r>
        <w:t xml:space="preserve"> main, achieve, strategic, limited; EU scope visible. This is a provisional connection, not an outcome finding.</w:t>
      </w:r>
    </w:p>
    <w:p>
      <w:pPr>
        <w:pStyle w:val="SourceNote"/>
      </w:pPr>
      <w:r>
        <w:rPr>
          <w:b/>
        </w:rPr>
        <w:t>Available abstract (not full text):</w:t>
      </w:r>
      <w:r>
        <w:t xml:space="preserve"> The gender diversity of corporate boards and other sustainability initiatives are topics of debate in today’s business landscape, especially in Europe. While the main theme of corporate sustainability is to achieve a balance between social, environmental, and economic goals, empirical research in carbon-intensive industries remains limited. Against this backdrop, this study examines the influence of board gender diversity of European automotive firms on their emissions-based carbon performance. Drawing on gender socialization and resource dependency theories, this study adopts a dynamic two-stage system generalized method of moments (GMM) model to analyze longitudinal data from 49 publicly listed firms during 2016–2023. The findings reveal a positive, though marginally significant link between board gender diversity and emissions-based carbon performance. Focusing on the automotive industry and employing a distinct emissions-based metric, this study addresses inconsistencies in past literature and emphasizes that the governance-carbon performance relationship is contingent on methodology and industry contexts. Overall, the finding contributes to the growing literature on governance and environmental sustainability and tentatively supports European legislative initiatives promoting women’s representation on boards. This study recommends increasing women’s participation on automo</w:t>
      </w:r>
    </w:p>
    <w:p>
      <w:pPr/>
      <w:r>
        <w:rPr>
          <w:b/>
        </w:rPr>
        <w:t>POSSIBLE 2026:</w:t>
      </w:r>
      <w:r>
        <w:t xml:space="preserve"> Competitive Intelligence in Renewable Energy Systems: A Strategic Framework for Achieving Sustainable Development Goal 7 — https://doi.org/10.37497/eaglesustainable.v16i.654</w:t>
      </w:r>
    </w:p>
    <w:p>
      <w:pPr/>
      <w:r>
        <w:rPr>
          <w:b/>
        </w:rPr>
        <w:t>Shared claim-specific concepts:</w:t>
      </w:r>
      <w:r>
        <w:t xml:space="preserve"> main, goal, strategic; EU scope not established. This is a provisional connection, not an outcome finding.</w:t>
      </w:r>
    </w:p>
    <w:p>
      <w:pPr>
        <w:pStyle w:val="SourceNote"/>
      </w:pPr>
      <w:r>
        <w:rPr>
          <w:b/>
        </w:rPr>
        <w:t>Available abstract (not full text):</w:t>
      </w:r>
      <w:r>
        <w:t xml:space="preserve"> Purpose: To develop and validate a competitive intelligence framework that transforms renewable energy data into strategic decision-making tools for achieving Sustainable Development Goal 7 and creating sustainable competitive advantage. Methodology/approach: The study follows the full competitive intelligence cycle and applies statistical analysis, content analysis, and econometric modeling (linear regression) to secondary data. Elasticity and correlation coefficients were calculated. Originality/Relevance: The research introduces a novel competitive intelligence conceptual model that links raw renewable energy data directly to actionable intelligence, integrating smart grids, synchronization standards, and AI as strategic tools. Key findings: Renewable energy significantly reduces CO₂ emissions and stimulates GDP growth, with differentiated elasticities by source (hydropower: 3.3758; solar: 0.2431). Main barriers remain high investment costs, infrastructure deficits, and regulatory constraints. Theoretical/methodological contributions: The study proposes a replicable CI framework and evidence-based recommendations for policy and investment prioritization, advancing the integration of Competitive Intelligence into sustainable energy transition.</w:t>
      </w:r>
    </w:p>
    <w:p>
      <w:pPr/>
      <w:r>
        <w:rPr>
          <w:b/>
        </w:rPr>
        <w:t>POSSIBLE 2026:</w:t>
      </w:r>
      <w:r>
        <w:t xml:space="preserve"> European Strategic Autonomy and Hungary — https://doi.org/10.36250/01328_00</w:t>
      </w:r>
    </w:p>
    <w:p>
      <w:pPr/>
      <w:r>
        <w:rPr>
          <w:b/>
        </w:rPr>
        <w:t>Shared claim-specific concepts:</w:t>
      </w:r>
      <w:r>
        <w:t xml:space="preserve"> strategic, autonomy, concept, security; EU scope visible. This is a provisional connection, not an outcome finding.</w:t>
      </w:r>
    </w:p>
    <w:p>
      <w:pPr>
        <w:pStyle w:val="SourceNote"/>
      </w:pPr>
      <w:r>
        <w:rPr>
          <w:b/>
        </w:rPr>
        <w:t>Available abstract (not full text):</w:t>
      </w:r>
      <w:r>
        <w:t xml:space="preserve"> The issue of European sovereignty, nowadays rather called European strategic autonomy, has been marked by controversy both in the academic and political community. This book is intended to contribute to a clearer understanding of the concept by describing its evolution and analysing its content. The authors of the studies in the volume examine the factors which may underpin and reinforce, or, on the contrary, weaken the idea of the strategic autonomy of the European Union. From this perspective, specific topics are placed under scrutiny: the operation of the European Peace Facility, European defence industry ties and defence innovation, as well as policy areas which may enhance the pace of the development of European strategic autonomy: energy policy, space strategy, digital sovereignty. The final part of the volume investigates how leading powers of the European Union, France, Germany and Italy, and a regional power of East Central Europe, Poland, relate to the construction of the strategic autonomy of the Union. Finally, our homeland’s, Hungary’s viewpoint and efforts are discussed. We recommend the overview provided by the book to students and researchers of EU affairs and international security and defence policy.</w:t>
      </w:r>
    </w:p>
    <w:p>
      <w:pPr/>
      <w:r>
        <w:rPr>
          <w:b/>
        </w:rPr>
        <w:t>POSSIBLE 2026:</w:t>
      </w:r>
      <w:r>
        <w:t xml:space="preserve"> Resilience – An Asset of European Strategic Autonomy — https://openalex.org/W7213735215</w:t>
      </w:r>
    </w:p>
    <w:p>
      <w:pPr/>
      <w:r>
        <w:rPr>
          <w:b/>
        </w:rPr>
        <w:t>Shared claim-specific concepts:</w:t>
      </w:r>
      <w:r>
        <w:t xml:space="preserve"> main, strategic, autonomy, concept, cannot, only; EU scope visible. This is a provisional connection, not an outcome finding.</w:t>
      </w:r>
    </w:p>
    <w:p>
      <w:pPr>
        <w:pStyle w:val="SourceNote"/>
      </w:pPr>
      <w:r>
        <w:rPr>
          <w:b/>
        </w:rPr>
        <w:t>Available abstract (not full text):</w:t>
      </w:r>
      <w:r>
        <w:t xml:space="preserve"> The introduction of r esilience to the EU's for eign policy discourse Resilience is a very versatile concept, which was utilised in different contexts with different meanings over time.Its connection with strategic autonomy was made recently, when European strategic documents started to use the two concepts next to each other.However, the concept of resilience appeared in the European Union's (EU) strategic thinking as early as 2012, it was used with a narrow focus on food security (Tocci 2020: 177).Only the European Union's Global Strategy (EUGS) of 2016 elevated it to one of the main interwoven motifs in the text.Resilience thus became one of the main ideas around which the EU's external action revolves (Wagner-A nholt 2016: 414-415).Besides its external aspects, the concept was set to be applied internally as well in protecting democracies and critical infrastructure within the Union, for instance (European External Action Service 2016: 15-22).The concept became part of the everyday vocabulary of the EU, but mainly because of its versatility it is difficult to grasp what resilience means in practice.As it is a highly adaptable concept, it raises questions regarding its implementation.The "how"-s in this field can affect how European strategic autonomy can be put into practice.The EU had been very vague on resilience to preserve its appeal in all of the domains it wishes to u</w:t>
      </w:r>
    </w:p>
    <w:p>
      <w:pPr/>
      <w:r>
        <w:rPr>
          <w:b/>
        </w:rPr>
        <w:t>POSSIBLE 2026:</w:t>
      </w:r>
      <w:r>
        <w:t xml:space="preserve"> Using Social Media as a Strategic Tool for Achieving Long-Term Goals in Cypriot SME Hotels — https://doi.org/10.34190/ecsm.13.1.4560</w:t>
      </w:r>
    </w:p>
    <w:p>
      <w:pPr/>
      <w:r>
        <w:rPr>
          <w:b/>
        </w:rPr>
        <w:t>Shared claim-specific concepts:</w:t>
      </w:r>
      <w:r>
        <w:t xml:space="preserve"> achieve, strategic, light; EU scope visible. This is a provisional connection, not an outcome finding.</w:t>
      </w:r>
    </w:p>
    <w:p>
      <w:pPr>
        <w:pStyle w:val="SourceNote"/>
      </w:pPr>
      <w:r>
        <w:rPr>
          <w:b/>
        </w:rPr>
        <w:t>Available abstract (not full text):</w:t>
      </w:r>
      <w:r>
        <w:t xml:space="preserve"> The present empirical study examines to which extended level Cypriot hotels utilize social media as a strategic tool to mainly engage customers and build a robust brand. Undoubtedly, the ongoing digitalization of the hospitality industry in many EU countries places social media platforms as essential instruments of strategic management and competitive advantage with the relevant enterprises of the hotel sector implementing and integrating social media strategies into their operational and marketing frameworks as well. In this light, the aim of this research is to assess the level of the aforementioned strategic integration towards SME hotels in Cyprus. Empirically, a qualitative approach was adopted by collecting data through semi-structured interviews with ten owners/managing directors of such hotels across Cyprus in order to detect their views and experiences on the use of social media specifically for brand development, partnership establishment, customer engagement and service innovation. Findings indicated the crucial role of social media in establishing robust brand endeavors whilst it is evident that they are recognized by the interviewees as a strategic asset to achieve broader business goals, not just a promotional tool. However, the level of strategic integration varies across the concrete enterprises, depending mostly on the organization size, leadership mindset, and</w:t>
      </w:r>
    </w:p>
    <w:p>
      <w:pPr/>
      <w:r>
        <w:rPr>
          <w:b/>
        </w:rPr>
        <w:t>POSSIBLE 2026:</w:t>
      </w:r>
      <w:r>
        <w:t xml:space="preserve"> CHANGES IN THE EUROPEAN IDEOLOGICAL SPACE IN UKRAINIAN AND EUROPEAN ACADEMIC DISCOURSE — https://doi.org/10.17721/2308-135x.2026.82.33-42</w:t>
      </w:r>
    </w:p>
    <w:p>
      <w:pPr/>
      <w:r>
        <w:rPr>
          <w:b/>
        </w:rPr>
        <w:t>Shared claim-specific concepts:</w:t>
      </w:r>
      <w:r>
        <w:t xml:space="preserve"> main, goal, why; EU scope visible. This is a provisional connection, not an outcome finding.</w:t>
      </w:r>
    </w:p>
    <w:p>
      <w:pPr>
        <w:pStyle w:val="SourceNote"/>
      </w:pPr>
      <w:r>
        <w:rPr>
          <w:b/>
        </w:rPr>
        <w:t>Available abstract (not full text):</w:t>
      </w:r>
      <w:r>
        <w:t xml:space="preserve"> Goal. The article aims to summarise recent academic research on changes in electoral behaviour and ideological orientations in European Union countries. It compares Western and Ukrainian research agendas and highlights the importance of spatial differences in voting. Methods. The paper is an analytical literature review drawing on political science, sociology, political economy, and political geography. A comparative approach is used to identify key topics and typical explanations of electoral change. The reviewed studies are grouped by the main drivers they emphasise: institutional, economic, socio-cultural, or place-based factors. The spatial dimension is discussed through research on regional differences, the urban–rural divide, local decline, and uneven development. Results. The review indicates that mainstream centre-left and centre-right parties have been losing support, while populist and Eurosceptic parties - especially on the right - have gained strength in many EU countries. Political science accounts often link these trends to party-system changes, coalition patterns, new political conflicts, and the impact of European integration. Economic approaches focus more on crises, inequality, expectations, and subjective well-being, often stressing the role of political trust. Socio-cultural research highlights education, generational change, migration, and value conflicts a</w:t>
      </w:r>
    </w:p>
    <w:p>
      <w:pPr/>
      <w:r>
        <w:rPr>
          <w:b/>
        </w:rPr>
        <w:t>POSSIBLE 2026:</w:t>
      </w:r>
      <w:r>
        <w:t xml:space="preserve"> Institutional Change and Path Dependence in the European Energy Transition under the Goal of Carbon Neutrality — https://doi.org/10.54254/2754-1169/2026.ld32020</w:t>
      </w:r>
    </w:p>
    <w:p>
      <w:pPr/>
      <w:r>
        <w:rPr>
          <w:b/>
        </w:rPr>
        <w:t>Shared claim-specific concepts:</w:t>
      </w:r>
      <w:r>
        <w:t xml:space="preserve"> main, goal, achieve, strategic; EU scope visible. This is a provisional connection, not an outcome finding.</w:t>
      </w:r>
    </w:p>
    <w:p>
      <w:pPr>
        <w:pStyle w:val="SourceNote"/>
      </w:pPr>
      <w:r>
        <w:rPr>
          <w:b/>
        </w:rPr>
        <w:t>Available abstract (not full text):</w:t>
      </w:r>
      <w:r>
        <w:t xml:space="preserve"> Against the backdrop of intensifying global climate change and frequent climate-related disasters, carbon neutrality has become a common goal worldwide. The European Green Deal, initiated by the European Union (EU), sets forth a strategic objective to achieve carbon neutrality by 2050. It seeks to change the energy system through three key strategies: promoting renewable energy, increasing energy efficiency, and ramping up investment in green technologies. However, the energy crisis sparked by the Russia-Ukraine conflict, along with slow progress in renewable energy adoption, has highlighted the institutional obstacles and path-dependent issues within Europe's energy transition. The differing energy policies of member states, technical challenges, and political dependencies have all hindered the EU's progress toward its carbon neutrality goals. Thus, identifying effective approaches to break through these constraints has become the linchpin for advancing the green transition. Based on a review of policy documents issued by the EU and its member states, along with relevant academic literature, this paper analyzes the institutional changes and path-dependent issues encountered during the implementation of the European Green Deal, drawing on EU energy statistics. The results reveal that legal frameworks, capital allocation mechanisms, and social mobilization are the key drivers of</w:t>
      </w:r>
    </w:p>
    <w:p>
      <w:pPr>
        <w:pStyle w:val="Heading2"/>
      </w:pPr>
      <w:r>
        <w:t>604. Electricity Spot Market Design 2030-2050</w:t>
      </w:r>
    </w:p>
    <w:p>
      <w:pPr>
        <w:pStyle w:val="SourceNote"/>
      </w:pPr>
      <w:r>
        <w:rPr>
          <w:b/>
        </w:rPr>
        <w:t>Original source (2021):</w:t>
      </w:r>
      <w:r>
        <w:t xml:space="preserve"> https://doi.org/10.24406/fit-n-621457</w:t>
      </w:r>
    </w:p>
    <w:p>
      <w:pPr/>
      <w:r>
        <w:t>Original wording (abstract; indexed_source_text_not_full_document_verified): The German government plans that even before the year 2050, all electricity generated and consumed in Germany should be greenhouse gas neutral [1].</w:t>
      </w:r>
    </w:p>
    <w:p>
      <w:pPr/>
      <w:r>
        <w:rPr>
          <w:b/>
        </w:rPr>
        <w:t>POSSIBLE 2026:</w:t>
      </w:r>
      <w:r>
        <w:t xml:space="preserve"> German Election Study, 1994 (Politbarometer East) — https://doi.org/10.3886/icpsr34722</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East surveys for 1994. Interviews were conducted with German citizens living in areas that were part of the former East Germany. Questions focused on a wide range of political issues, including respondents' opinions of German political parties and politicians, both before and after the German Federal Parliamentary election of 1994. These topics were covered in all of the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preference for voting by absentee ballot versus voting in the polling station. - certainty and time of personal vote decision. - attitude toward a one-party government of CDU/CSU (Christlich Demokratischen Union Deutschlands or Democratic </w:t>
      </w:r>
    </w:p>
    <w:p>
      <w:pPr/>
      <w:r>
        <w:rPr>
          <w:b/>
        </w:rPr>
        <w:t>POSSIBLE 2026:</w:t>
      </w:r>
      <w:r>
        <w:t xml:space="preserve"> Spatial Planning and Building Control in Germany — https://doi.org/10.4324/9781315201153</w:t>
      </w:r>
    </w:p>
    <w:p>
      <w:pPr/>
      <w:r>
        <w:rPr>
          <w:b/>
        </w:rPr>
        <w:t>Shared claim-specific concepts:</w:t>
      </w:r>
      <w:r>
        <w:t xml:space="preserve"> german, plans, germany; EU scope visible. This is a provisional connection, not an outcome finding.</w:t>
      </w:r>
    </w:p>
    <w:p>
      <w:pPr>
        <w:pStyle w:val="SourceNote"/>
      </w:pPr>
      <w:r>
        <w:rPr>
          <w:b/>
        </w:rPr>
        <w:t>Available abstract (not full text):</w:t>
      </w:r>
      <w:r>
        <w:t xml:space="preserve"> This book guides readers to a better understanding of the German planning system and its responses to the critical challenges of 21st-century spatial planning, such as patterns of shrinkage and growth with ongoing economic structural change, demographic change and environmental challenges – particularly climate change. It explores the legal framework and offers in-depth insights into the content, process and implementation of comprehensive spatial plans. It also features good-practice urban development projects, incorporating compact city principles, mixed-use, sustainable mobility and water-sensitive development. The German planning system is unique in terms of local planning sovereignty and rich in innovation due to its balanced federal structure and competition between the best spatial planning concepts. It is purposefully designed as a learning system that integrates systematic research, planning practice and further development of the legal framework in order to foster the innovation of good ideas for planning solutions and provide the necessary tools to turn them into built reality. This book is written for an international readership, providing the basis for the comparison of different planning systems to identify the most efficacious solutions for sustainable urban development. It will be of use to international students, scholars and practitioners of urban planning loo</w:t>
      </w:r>
    </w:p>
    <w:p>
      <w:pPr/>
      <w:r>
        <w:rPr>
          <w:b/>
        </w:rPr>
        <w:t>POSSIBLE 2026:</w:t>
      </w:r>
      <w:r>
        <w:t xml:space="preserve"> Nazis Unwelcome! The Campaign against German Migration — https://doi.org/10.4324/9781003711445-6</w:t>
      </w:r>
    </w:p>
    <w:p>
      <w:pPr/>
      <w:r>
        <w:rPr>
          <w:b/>
        </w:rPr>
        <w:t>Shared claim-specific concepts:</w:t>
      </w:r>
      <w:r>
        <w:t xml:space="preserve"> german, government, all, germany; EU scope visible. This is a provisional connection, not an outcome finding.</w:t>
      </w:r>
    </w:p>
    <w:p>
      <w:pPr>
        <w:pStyle w:val="SourceNote"/>
      </w:pPr>
      <w:r>
        <w:rPr>
          <w:b/>
        </w:rPr>
        <w:t>Available abstract (not full text):</w:t>
      </w:r>
      <w:r>
        <w:t xml:space="preserve"> In the aftermath of the war, Germans living in Eastern Europe, known as Volksdeutsche (ethnic Germans), were expelled from those countries, leading to over two million refugees in West Germany, creating a refugee crisis. As part of its policy to increase the Australian population, the Australian government, beginning with the Labor Party but finalised by the Liberal Party, decided to sponsor this non-Jewish, refugee German migration to Australia. An agreement was signed with the German government in 1950 and in all, around 90,000 Germans arrived in Australia between 1950 and 1965. When the Australian Jewish community learnt of the planned policy of sponsoring the Volksdeutsche , they were extremely concerned that these non-Jewish German refugees would lead to an increase of antisemitism in Australia. This chapter discusses these developments, the various tactics of the Executive Council of Australian Jewry and its efforts to influence key politicians. This campaign failed, illustrating that when the aims of the community did not align with government policy, their advocacy was not successful. The dissention about the issue within the Jewish community contributed to this failure.</w:t>
      </w:r>
    </w:p>
    <w:p>
      <w:pPr/>
      <w:r>
        <w:rPr>
          <w:b/>
        </w:rPr>
        <w:t>POSSIBLE 2026:</w:t>
      </w:r>
      <w:r>
        <w:t xml:space="preserve"> German Election Study, 1994 (Politbarometer West) — https://doi.org/10.3886/icpsr34716</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West surveys for 1994. Interviews were conducted with German citizens living in areas that were part of the former West Germany. Questions focused on a wide range of political issues, including respondents' opinions of German political parties and politicians, both before and after the German Federal Parliamentary election of 1994. A few topics were covered in all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 preference for voting by absentee ballot versus voting in the polling station. - certainty and time of personal vote decision. - attitude toward a one-party government of CDU/CSU (Christlich Demokratischen Union Deutschlands or Democratic Chris</w:t>
      </w:r>
    </w:p>
    <w:p>
      <w:pPr/>
      <w:r>
        <w:rPr>
          <w:b/>
        </w:rPr>
        <w:t>POSSIBLE 2026:</w:t>
      </w:r>
      <w:r>
        <w:t xml:space="preserve"> Analyzing hobby-gardeners' purchase intentions for peat-reduced potting soils in Germany, UK and USA – An extended theory of planned behavior approach — https://doi.org/10.1016/j.clrc.2026.100507</w:t>
      </w:r>
    </w:p>
    <w:p>
      <w:pPr/>
      <w:r>
        <w:rPr>
          <w:b/>
        </w:rPr>
        <w:t>Shared claim-specific concepts:</w:t>
      </w:r>
      <w:r>
        <w:t xml:space="preserve"> germany, greenhouse; EU scope visible. This is a provisional connection, not an outcome finding.</w:t>
      </w:r>
    </w:p>
    <w:p>
      <w:pPr>
        <w:pStyle w:val="SourceNote"/>
      </w:pPr>
      <w:r>
        <w:rPr>
          <w:b/>
        </w:rPr>
        <w:t>Available abstract (not full text):</w:t>
      </w:r>
      <w:r>
        <w:t xml:space="preserve"> Peat is an important raw material for high-quality potting soils in horticulture. Since this use is associated with the release of greenhouse gases, governments, especially in Europe, are striving to reduce the proportion of peat in potting soils. As consumer reactions are hardly analyzed in this field, we investigate the purchase intention for peat-reduced potting soils in Germany, the UK, and the US using an extended framework of the theory of planned behavior (TPB). The results show a limited power of the classical TPB model parameters in explaining the differences between the three analyzed countries. Concerning the extended framework, variables related to the situation at the point of sale show the strongest influence on the purchase intention. Based on these results, we derive recommendations for marketing activities for peat-reduced potting soils to increase gardeners’ interest in such products.</w:t>
      </w:r>
    </w:p>
    <w:p>
      <w:pPr/>
      <w:r>
        <w:rPr>
          <w:b/>
        </w:rPr>
        <w:t>POSSIBLE 2026:</w:t>
      </w:r>
      <w:r>
        <w:t xml:space="preserve"> The German Energiewende: A Green Deal Template or Planned Failure? — https://doi.org/10.1007/978-3-032-15512-2_7</w:t>
      </w:r>
    </w:p>
    <w:p>
      <w:pPr/>
      <w:r>
        <w:rPr>
          <w:b/>
        </w:rPr>
        <w:t>Shared claim-specific concepts:</w:t>
      </w:r>
      <w:r>
        <w:t xml:space="preserve"> german, even, all, electricity, germany, gas; EU scope visible. This is a provisional connection, not an outcome finding.</w:t>
      </w:r>
    </w:p>
    <w:p>
      <w:pPr>
        <w:pStyle w:val="SourceNote"/>
      </w:pPr>
      <w:r>
        <w:rPr>
          <w:b/>
        </w:rPr>
        <w:t>Available abstract (not full text):</w:t>
      </w:r>
      <w:r>
        <w:t xml:space="preserve"> The highly proactive policy of developing renewable energies that Germany implemented from the beginning of the 2000s has been taken as a model to follow to achieve the energy transition by substituting renewable energies for fossil fuels. The increase in the production of renewable energies has offset the sharp drop in production from nuclear and coal-fired power stations. This apparent success of the Energiewende partly inspired the Green Deal aimed at decarbonizing the European economy by 2050, by replacing fossil fuels with renewable energies. Germany has also set itself very ambitious targets for the development of renewable energies and makes it possible to achieve carbon neutrality by 2045. However, achieving such goals in the foreseen time frame is likely to prove particularly difficult, as several major obstacles have been greatly underestimated. In the absence of sufficient energy storage capacity, it is then necessary to build even larger capacity of intermittent renewable energy. But even in the hypothesis of the production of an energy vector allowing storage such as hydrogen, it would be necessary to build large renewable capacity. The challenge to be met is all the greater since electricity represents only 20% of the country’s final energy consumption. The rest, corresponding mainly to the production of fuels and residential heating and industrial and tertiary ac</w:t>
      </w:r>
    </w:p>
    <w:p>
      <w:pPr/>
      <w:r>
        <w:rPr>
          <w:b/>
        </w:rPr>
        <w:t>POSSIBLE 2025:</w:t>
      </w:r>
      <w:r>
        <w:t xml:space="preserve"> Urban Nature Plans: Strategic Tool for Integrated Biodiversity and Climate Planning in German Cities — https://doi.org/10.2148/benv.51.4.569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pPr/>
      <w:r>
        <w:rPr>
          <w:b/>
        </w:rPr>
        <w:t>POSSIBLE 2025:</w:t>
      </w:r>
      <w:r>
        <w:t xml:space="preserve"> The Impact of the Russian-Ukrainian War on Europe and the German Leadership — https://doi.org/10.35757/stp.2025.53.3.02</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pPr/>
      <w:r>
        <w:rPr>
          <w:b/>
        </w:rPr>
        <w:t>POSSIBLE 2025:</w:t>
      </w:r>
      <w:r>
        <w:t xml:space="preserve"> Political knowledge and perceptions of minority governments in Europe — https://doi.org/10.1017/s147567652510025x</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Minority governments are common across parliamentary systems, and a large body of literature has examined their stability and performance. Meanwhile, we know very little about how voters perceive this government type and whether they understand its political implications. We survey voters in Denmark, Germany, and Sweden, three European countries with varying degrees of exposure to minority governments, about their knowledge and perceptions of minority governments. We find that voters have knowledge levels comparable to those about the role of political parties, and that this is independent of the respective prevalence of minority governments in each country. Informed voters express stronger preferences for majority governments. However, minority governments are associated with specific positive representational traits, specifically with the impression that such governments listen more to the demands of all voters, and general perceptions are stronger for knowledgeable voters. The findings have implications for how elites can formulate arguments in favour or against minority governments that may resonate with voters.</w:t>
      </w:r>
    </w:p>
    <w:p>
      <w:pPr/>
      <w:r>
        <w:rPr>
          <w:b/>
        </w:rPr>
        <w:t>POSSIBLE 2025:</w:t>
      </w:r>
      <w:r>
        <w:t xml:space="preserve"> German response to the pandemic crisis — https://doi.org/10.4324/9781003634003-23</w:t>
      </w:r>
    </w:p>
    <w:p>
      <w:pPr/>
      <w:r>
        <w:rPr>
          <w:b/>
        </w:rPr>
        <w:t>Shared claim-specific concepts:</w:t>
      </w:r>
      <w:r>
        <w:t xml:space="preserve"> german, plans, generated, germany; EU scope visible. This is a provisional connection, not an outcome finding.</w:t>
      </w:r>
    </w:p>
    <w:p>
      <w:pPr>
        <w:pStyle w:val="SourceNote"/>
      </w:pPr>
      <w:r>
        <w:rPr>
          <w:b/>
        </w:rPr>
        <w:t>Available abstract (not full text):</w:t>
      </w:r>
      <w:r>
        <w:t xml:space="preserve"> As a federal state, Germany is structurally different from the other countries discussed in this book, namely the Visegrad Group countries. This chapter discusses the municipal self-government system in Germany, the impact of the Covid-19 pandemic, and the mechanisms and results of post-Covid-19 recovery using the example of selected city-regions: Berlin, Bremen, and Hamburg. The research question is: how has the pandemic affected the city-states and what mechanisms have been put in place there? The Covid-19 pandemic has also generated various discussions related to the functioning of cities, forcing them to update their strategies and plans and implement new initiatives. German city-states implemented new instruments or adapted existing solutions to current needs to ensure sustainability. The chapter discusses both state and federally funded programs as well as the programs funded by the European Union. The chapter is based on official data and information published by city-states, institutions, and organizations. The analysis allows for a comprehensive illustration of the response of municipal self-governments in Germany to the pandemic and post-pandemic crisis.</w:t>
      </w:r>
    </w:p>
    <w:p>
      <w:pPr/>
      <w:r>
        <w:rPr>
          <w:b/>
        </w:rPr>
        <w:t>POSSIBLE 2025:</w:t>
      </w:r>
      <w:r>
        <w:t xml:space="preserve"> Is the Brandmauer ("firewall") breaking from below? Party cooperation with the "Alternative for Germany (AfD)" in all German local government councils (2019-2024) — https://openalex.org/W4414697330</w:t>
      </w:r>
    </w:p>
    <w:p>
      <w:pPr/>
      <w:r>
        <w:rPr>
          <w:b/>
        </w:rPr>
        <w:t>Shared claim-specific concepts:</w:t>
      </w:r>
      <w:r>
        <w:t xml:space="preserve"> german, government, even, all, germany; EU scope visible. This is a provisional connection, not an outcome finding.</w:t>
      </w:r>
    </w:p>
    <w:p>
      <w:pPr>
        <w:pStyle w:val="SourceNote"/>
      </w:pPr>
      <w:r>
        <w:rPr>
          <w:b/>
        </w:rPr>
        <w:t>Available abstract (not full text):</w:t>
      </w:r>
      <w:r>
        <w:t xml:space="preserve"> January 2025, for the first time in the postwar history of Germany's national parliament, a mainstream political party (the Christian Democratic Union) relied on the support of the Alternative for Germany (AfD) to pass a motion. This prompted intense public debate as many Germans worried that this cooperation was a harbinger of possibly still more cooperation to come. Against this backdrop, our study examines the state of the so-called "firewall" - the self-commitment of established parties to not cooperate with the AfD - in Germany at the district level. To do so, we analyzed more than 11,000 meetings of councils at the district level across all federal states from mid-2019 to mid-2024. Our analysis shows that in this period no cooperation with the AfD took place in approximately 81.2% of cases where cooperation was possible. While regional differences across Germany can be observed, on average there was no significant difference in levels of cooperation between eastern and western German districts. Even in western German districts, the firewall has not strictly been upheld everywhere. However, larger differences do become apparent when comparing rural and urban districts. Eastern German rural districts, in particular, are at the forefront of cooperation with the AfD, whereas in western German districts, there is no significant urban-rural divide. From a party-political perspe</w:t>
      </w:r>
    </w:p>
    <w:p>
      <w:pPr/>
      <w:r>
        <w:rPr>
          <w:b/>
        </w:rPr>
        <w:t>POSSIBLE 2025:</w:t>
      </w:r>
      <w:r>
        <w:t xml:space="preserve"> Solar energy on all suitable roof areas? Homeowners’ acceptance of government subsidies and smart energy services in Germany — https://doi.org/10.1186/s13705-025-00547-7</w:t>
      </w:r>
    </w:p>
    <w:p>
      <w:pPr/>
      <w:r>
        <w:rPr>
          <w:b/>
        </w:rPr>
        <w:t>Shared claim-specific concepts:</w:t>
      </w:r>
      <w:r>
        <w:t xml:space="preserve"> german, government, all, germany; EU scope visible. This is a provisional connection, not an outcome finding.</w:t>
      </w:r>
    </w:p>
    <w:p>
      <w:pPr>
        <w:pStyle w:val="SourceNote"/>
      </w:pPr>
      <w:r>
        <w:rPr>
          <w:b/>
        </w:rPr>
        <w:t>Available abstract (not full text):</w:t>
      </w:r>
      <w:r>
        <w:t xml:space="preserve"> Abstract Background Photovoltaic (PV) systems are nowadays a central pillar in the expansion of renewable energy in Germany. Nevertheless, further significant growth in renewable energy will be needed in the future to meet the national emission reduction targets set by the German government. Homeowners play a crucial role in the expansion of PV capacity. In a discrete choice experiment, we empirically examine the impact of a large number of dimensions on homeowners’ PV adoption, including attributes that have received less attention in the literature so far, such as the included (smart energy) services, government subsidies, and forms of financing. Results Our results show that increasing levels of smart energy services for PV systems increase respondents’ valuation of smart energy services, while increasing the access rights of the contractual partner has a negative impact on the valuation. The latter negative effect is mitigated by an element of co-determination. Furthermore, our results point to the importance of government subsidies as a measure to increase PV adoption. Participants preferred one-time (or continuous) payments over continuous (or one-time) payments when government grants amounted to 40% (or 10%) of the investment cost; they were indifferent between both forms when subsidies amounted to 20% of the investment cost. Homeowners clearly preferred loan financing t</w:t>
      </w:r>
    </w:p>
    <w:p>
      <w:pPr>
        <w:pStyle w:val="Heading2"/>
      </w:pPr>
      <w:r>
        <w:t>605. Energy Efficiency Vision 2050: How will new societal trends influence future energy demand in the European countries?</w:t>
      </w:r>
    </w:p>
    <w:p>
      <w:pPr>
        <w:pStyle w:val="SourceNote"/>
      </w:pPr>
      <w:r>
        <w:rPr>
          <w:b/>
        </w:rPr>
        <w:t>Original source (2021):</w:t>
      </w:r>
      <w:r>
        <w:t xml:space="preserve"> https://doi.org/10.1016/j.enpol.2021.112216</w:t>
      </w:r>
    </w:p>
    <w:p>
      <w:pPr/>
      <w:r>
        <w:t>Original wording (abstract; indexed_source_text_not_full_document_verified): While in the “Worst Case” scenario, they could increase final energy demand by 40%. Based on these, four energy demand scenarios were developed for 2050.</w:t>
      </w:r>
    </w:p>
    <w:p>
      <w:pPr/>
      <w:r>
        <w:rPr>
          <w:b/>
        </w:rPr>
        <w:t>POSSIBLE 2026:</w:t>
      </w:r>
      <w:r>
        <w:t xml:space="preserve"> European Energy Performance of Buildings Directive and Cultural Heritage — https://openalex.org/W7126308985</w:t>
      </w:r>
    </w:p>
    <w:p>
      <w:pPr/>
      <w:r>
        <w:rPr>
          <w:b/>
        </w:rPr>
        <w:t>Shared claim-specific concepts:</w:t>
      </w:r>
      <w:r>
        <w:t xml:space="preserve"> case, they, energy;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2025:</w:t>
      </w:r>
      <w:r>
        <w:t xml:space="preserve"> The (worst) laws of the land: the concept of legislative basket cases, legislative backsliding and public administration in Central-Eastern Europe — https://doi.org/10.1080/01442872.2025.2501741</w:t>
      </w:r>
    </w:p>
    <w:p>
      <w:pPr/>
      <w:r>
        <w:rPr>
          <w:b/>
        </w:rPr>
        <w:t>Shared claim-specific concepts:</w:t>
      </w:r>
      <w:r>
        <w:t xml:space="preserve"> worst, they, four; EU scope visible. This is a provisional connection, not an outcome finding.</w:t>
      </w:r>
    </w:p>
    <w:p>
      <w:pPr>
        <w:pStyle w:val="SourceNote"/>
      </w:pPr>
      <w:r>
        <w:rPr>
          <w:b/>
        </w:rPr>
        <w:t>Available abstract (not full text):</w:t>
      </w:r>
      <w:r>
        <w:t xml:space="preserve">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pPr/>
      <w:r>
        <w:rPr>
          <w:b/>
        </w:rPr>
        <w:t>POSSIBLE 2025:</w:t>
      </w:r>
      <w:r>
        <w:t xml:space="preserve"> Envisioning a European Digital Building Logbook to Promote Energy Renovation: Development Approach and Case Study — https://doi.org/10.1088/1755-1315/1546/1/012074</w:t>
      </w:r>
    </w:p>
    <w:p>
      <w:pPr/>
      <w:r>
        <w:rPr>
          <w:b/>
        </w:rPr>
        <w:t>Shared claim-specific concepts:</w:t>
      </w:r>
      <w:r>
        <w:t xml:space="preserve"> case, energy, based, developed; EU scope visible. This is a provisional connection, not an outcome finding.</w:t>
      </w:r>
    </w:p>
    <w:p>
      <w:pPr>
        <w:pStyle w:val="SourceNote"/>
      </w:pPr>
      <w:r>
        <w:rPr>
          <w:b/>
        </w:rPr>
        <w:t>Available abstract (not full text):</w:t>
      </w:r>
      <w:r>
        <w:t xml:space="preserve"> Abstract The Digital Building Logbook (DBL) is defined in the recast of the Energy Performance of Buildings Directive (EPBD) as a common repository for all relevant building data. While the directive does not specify the exact features or structure of this tool, it is clear that its implementation will be required in the near future. For this reason, various research groups are currently working on the development of a common DBL model that can be applied across all Member States. This paper presents the approach undertaken to propose a DBL model focused on promoting the energy renovation of national building stocks. The methodology involves analysing existing initiatives, identifying the essential data fields that the model should include, and evaluating potential data sources to populate the model. As a result, a logical data model is developed and tested using a case study based on a real building located in Spain. Through the realisation of this case study, the consistency of the proposed model architecture is demonstrated, as well as its ability to fulfil the intended function of promoting energy renovation.</w:t>
      </w:r>
    </w:p>
    <w:p>
      <w:pPr/>
      <w:r>
        <w:rPr>
          <w:b/>
        </w:rPr>
        <w:t>POSSIBLE 2025:</w:t>
      </w:r>
      <w:r>
        <w:t xml:space="preserve"> Quality of Consumed Energy as a Key Element in the Development of Processes of Energy Transformation in the European Union Countries — https://doi.org/10.3390/en18030460</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process of energy transformation is one of the crucial elements of the process of improvement of the quality of consumed energy. The aim of the research is to assess the European Union countries in terms of the quality of their consumed energy and the speed of adaptation of this aspect of the energy transformation process. We assess the quality of consumed energy by means of the synthetic measure obtained by means of the dynamic version of the COmplex PRoportional ASsessment (COPRAS) method. We compare the countries with the dynamics of the energy transformation process by means of the dynamic time warping method and the hierarchical clustering. Obtained results indicate the best countries with respect to the quality of consumed energy were Malta, Austria, and Germany, and the worst ones—Poland, Czechia, and Slovakia. The process of energy transformation was evolving in the right direction—the quality of consumed energy increased. This increase was the fastest in Malta, Luxembourg, and Poland. The direction for future research is extending the set of variables to also consider other aspects of the energy transformation.</w:t>
      </w:r>
    </w:p>
    <w:p>
      <w:pPr/>
      <w:r>
        <w:rPr>
          <w:b/>
        </w:rPr>
        <w:t>POSSIBLE 2025:</w:t>
      </w:r>
      <w:r>
        <w:t xml:space="preserve"> Electrification, flexibility or both? Emerging trends in European energy policy — https://doi.org/10.1016/j.enpol.2025.114725</w:t>
      </w:r>
    </w:p>
    <w:p>
      <w:pPr/>
      <w:r>
        <w:rPr>
          <w:b/>
        </w:rPr>
        <w:t>Shared claim-specific concepts:</w:t>
      </w:r>
      <w:r>
        <w:t xml:space="preserve"> energy, four; EU scope visible. This is a provisional connection, not an outcome finding.</w:t>
      </w:r>
    </w:p>
    <w:p>
      <w:pPr>
        <w:pStyle w:val="SourceNote"/>
      </w:pPr>
      <w:r>
        <w:rPr>
          <w:b/>
        </w:rPr>
        <w:t>Available abstract (not full text):</w:t>
      </w:r>
      <w:r>
        <w:t xml:space="preserve"> In Europe, low-carbon electrification is emerging as an overarching policy strategy to reduce greenhouse gas emissions . However, increasing shares of variable renewables and the rising electricity demand from sector coupling technologies such as electric vehicles or heat pumps make balancing electricity supply and demand more difficult. Demand-side flexibility could address this challenge, but several regulatory barriers and policy shortcomings remain. As technologies diffuse, open questions remain about whether and how policy support for low-carbon electrification addresses these technologies’ flexible operation in addition to their deployment. In this context, we examine policies that support the diffusion of novel technologies and those that, separately or in combination, support demand-side flexibility. Over a timespan of 9 years (2016–2024), our analysis covers four technologies across six jurisdictions: electric vehicles, heat pumps, hydrogen, and new industrial loads in Austria, France, Germany, Italy, Switzerland, and the European Union . We find that technology diffusion policies are increasingly combined with flexibility policies. At the same time, policy objectives and the number and types of policies vary significantly across countries. This points to different transition pathways depending, for example, on national electricity system characteristics and flexibilit</w:t>
      </w:r>
    </w:p>
    <w:p>
      <w:pPr/>
      <w:r>
        <w:rPr>
          <w:b/>
        </w:rPr>
        <w:t>POSSIBLE 2024:</w:t>
      </w:r>
      <w:r>
        <w:t xml:space="preserve"> A new approach for national-scale Building Energy Models based on Energy Performance Certificates in European countries: The case of Spain — https://doi.org/10.1016/j.heliyon.2024.e25473</w:t>
      </w:r>
    </w:p>
    <w:p>
      <w:pPr/>
      <w:r>
        <w:rPr>
          <w:b/>
        </w:rPr>
        <w:t>Shared claim-specific concepts:</w:t>
      </w:r>
      <w:r>
        <w:t xml:space="preserve"> case, energy, based, four; EU scope visible. This is a provisional connection, not an outcome finding.</w:t>
      </w:r>
    </w:p>
    <w:p>
      <w:pPr>
        <w:pStyle w:val="SourceNote"/>
      </w:pPr>
      <w:r>
        <w:rPr>
          <w:b/>
        </w:rPr>
        <w:t>Available abstract (not full text):</w:t>
      </w:r>
      <w:r>
        <w:t xml:space="preserve"> Urban Building Energy Models (UBEMs) are useful instruments to know the energy consumption of building stocks at urban and national levels. UBEMs can be classified into different types and subtypes. The current detailed physics-based bottom-up UBEMs at a national scale play a crucial role in assessing the energy efficiency of national building stocks and defining improvement strategies. These models heavily rely on archetypes and energy simulations, demanding significant computational resources. We propose here a new type of national-scale detailed physics-based UBEM based on Energy Performance Certificates (EPCs), and other open big data, which has the advantage that it can be automatically updated, in a short time, and with standard computer means. In this paper, we define the methodology to build this new type of national-scale EPC-based UBEM. We have checked that the model for the case of Spain can be automatically generated and updated in less than 6 h with a standard computer, and it generates results that match official data in more than 98 % for four indicators. The generated model contains information about 10,939,801 buildings in Spain, out of which 1,202,708 have EPCs. The model allows us to map and analyse the buildings in the country by integrating multiple variables of different nature, such as geographical (Autonomous Community, municipality, type of municipality</w:t>
      </w:r>
    </w:p>
    <w:p>
      <w:pPr/>
      <w:r>
        <w:rPr>
          <w:b/>
        </w:rPr>
        <w:t>POSSIBLE 2024:</w:t>
      </w:r>
      <w:r>
        <w:t xml:space="preserve"> Ranking the Barriers to the Energy Upgrading of Buildings Using the Best-Worst Method — https://doi.org/10.3390/su162210143</w:t>
      </w:r>
    </w:p>
    <w:p>
      <w:pPr/>
      <w:r>
        <w:rPr>
          <w:b/>
        </w:rPr>
        <w:t>Shared claim-specific concepts:</w:t>
      </w:r>
      <w:r>
        <w:t xml:space="preserve"> energy, based; EU scope visible. This is a provisional connection, not an outcome finding.</w:t>
      </w:r>
    </w:p>
    <w:p>
      <w:pPr>
        <w:pStyle w:val="SourceNote"/>
      </w:pPr>
      <w:r>
        <w:rPr>
          <w:b/>
        </w:rPr>
        <w:t>Available abstract (not full text):</w:t>
      </w:r>
      <w:r>
        <w:t xml:space="preserve"> The global need to reduce energy demand has led European governments to accelerate their endeavors to achieve their targets regarding nearly zero-energy buildings. Despite the implementation of funding initiatives for the energy upgrading of buildings in EU member states and other European countries, research has shown that the absorption rates of the offered funds remain low. This research aims to assess the significance of the barriers to improving the energy efficiency of Greece’s building stock. This is achieved by ranking the identified barriers using the best-worst method (BWM). The innovation provided by this study is that the data obtained are based on the experience of three categories of stakeholders, including professionals in the field, i.e., engineers and skilled workers, and homeowners. The results show that all three groups are discouraged from performing the energy upgrading of buildings due to economic barriers but also technological barriers related to a lack of training in the use of and slow development of related new technologies.</w:t>
      </w:r>
    </w:p>
    <w:p>
      <w:pPr/>
      <w:r>
        <w:rPr>
          <w:b/>
        </w:rPr>
        <w:t>POSSIBLE 2024:</w:t>
      </w:r>
      <w:r>
        <w:t xml:space="preserve"> A Case Study on Electric Vehicles as Nationwide Battery Storage to Meet Slovenia’s Final Energy Consumption with Solar Energy — https://doi.org/10.3390/en17112733</w:t>
      </w:r>
    </w:p>
    <w:p>
      <w:pPr/>
      <w:r>
        <w:rPr>
          <w:b/>
        </w:rPr>
        <w:t>Shared claim-specific concepts:</w:t>
      </w:r>
      <w:r>
        <w:t xml:space="preserve"> case, final, energy, based; EU scope visible. This is a provisional connection, not an outcome finding.</w:t>
      </w:r>
    </w:p>
    <w:p>
      <w:pPr>
        <w:pStyle w:val="SourceNote"/>
      </w:pPr>
      <w:r>
        <w:rPr>
          <w:b/>
        </w:rPr>
        <w:t>Available abstract (not full text):</w:t>
      </w:r>
      <w:r>
        <w:t xml:space="preserve"> Despite the global importance of solar energy, its variability requires energy storage to balance production during peak and off-peak periods. Moreover, the transport sector is undergoing a global transition from internal combustion engines to electric vehicles. Since vehicles are idle 95% of the time, electric vehicle batteries, when connected to a grid, can effectively regulate intermittent photovoltaics using vehicle-to-grid technology. This conceptual study investigates the feasibility of a nationwide energy infrastructure that relies solely on solar energy, replacing other electricity sources, such as solid fuels, petroleum products, and natural gas, and utilizes electric vehicles as the sole battery energy storage system. This study aims to demonstrate the significant potential and benefits of such collaboration. The theoretical study combines historical data, assumptions, and conditions to build a simulation model that is modelled similarly as in previous conceptual studies of nationwide energy systems based solely on photovoltaics and electric vehicles, referenced in this article. In Slovenia, the total surface size suitable for the installation of photovoltaic systems is estimated to be 280 km2. The calculations show that a surface size of 217 km2 for photovoltaic systems can produce enough energy to cover Slovenia’s entire energy demand, Slovenia’s final energy consum</w:t>
      </w:r>
    </w:p>
    <w:p>
      <w:pPr/>
      <w:r>
        <w:rPr>
          <w:b/>
        </w:rPr>
        <w:t>POSSIBLE 2024:</w:t>
      </w:r>
      <w:r>
        <w:t xml:space="preserve"> Allergens grouping names on packaging: Are the substances similar enough to ensure safety? The worst case scenarios question this — https://doi.org/10.1111/ics.12979</w:t>
      </w:r>
    </w:p>
    <w:p>
      <w:pPr/>
      <w:r>
        <w:rPr>
          <w:b/>
        </w:rPr>
        <w:t>Shared claim-specific concepts:</w:t>
      </w:r>
      <w:r>
        <w:t xml:space="preserve"> worst, case, based; EU scope visible. This is a provisional connection, not an outcome finding.</w:t>
      </w:r>
    </w:p>
    <w:p>
      <w:pPr>
        <w:pStyle w:val="SourceNote"/>
      </w:pPr>
      <w:r>
        <w:rPr>
          <w:b/>
        </w:rPr>
        <w:t>Available abstract (not full text):</w:t>
      </w:r>
      <w:r>
        <w:t xml:space="preserve"> OBJECTIVE: European Commission Regulation (EU) n°2023/1545 introduced the concept of grouping names in the cosmetics sector in July 2023. These groups bring together allergenic substances with the same level of skin sensitization. Their purpose is to lighten the list of ingredients on cosmetic packaging, by grouping together substances deemed to be similar under the same name. As this classification is based on a single toxic effect - skin sensitization - the present study aims to analyse the relevance of these groupings with regard to other toxic effects of substances in the same group. METHODS: This study was carried out by consulting an available database, various reports from 5 committees, 2 books and 5 articles in order to complete the toxicological profile of each substance. Then, in order to highlight any discrepancies within the classification, the worst cases were identified. For this purpose, the data for each substance in a group were compared, and in the event of greater criticality for a toxic effect, this was qualified as a worst case. In addition, similar toxic effects between several substances within the same group were also recorded. The aim of this additional research was to validate the definition of the grouping name and the similarities between substances in the same group. RESULTS: From the 17 grouping names, 5 presented worst cases. Two groups had 2 wors</w:t>
      </w:r>
    </w:p>
    <w:p>
      <w:pPr/>
      <w:r>
        <w:rPr>
          <w:b/>
        </w:rPr>
        <w:t>POSSIBLE 2024:</w:t>
      </w:r>
      <w:r>
        <w:t xml:space="preserve"> Sampling for Beyond-Worst-Case Online Ranking — https://doi.org/10.1609/aaai.v38i18.30051</w:t>
      </w:r>
    </w:p>
    <w:p>
      <w:pPr/>
      <w:r>
        <w:rPr>
          <w:b/>
        </w:rPr>
        <w:t>Shared claim-specific concepts:</w:t>
      </w:r>
      <w:r>
        <w:t xml:space="preserve"> worst, case, based; EU scope not established. This is a provisional connection, not an outcome finding.</w:t>
      </w:r>
    </w:p>
    <w:p>
      <w:pPr>
        <w:pStyle w:val="SourceNote"/>
      </w:pPr>
      <w:r>
        <w:rPr>
          <w:b/>
        </w:rPr>
        <w:t>Available abstract (not full text):</w:t>
      </w:r>
      <w:r>
        <w:t xml:space="preserve"> The feedback arc set problem is one of the most fundamental and well-studied ranking problems where n objects are to be ordered based on their pairwise comparison. The problem enjoys several efficient approximation algorithms in the offline setting. Unfortunately, online there are strong lower bounds on the competitive ratio establishing that no algorithm can perform well in the worst case. This paper introduces a new beyond-worst-case model for online feedback arc set. In the model, a sample of the input is given to the algorithm offline before the remaining instance is revealed online. This models the case in practice where yesterday's data is available and is similar to today's online instance. This sample is drawn from a known distribution which may not be uniform. We design an online algorithm with strong theoretical guarantees. The algorithm has a small constant competitive ratio when the sample is uniform---if not, we show we can recover the same result by adding a provably minimal sample. Empirical results validate the theory and show that such algorithms can be used on temporal data to obtain strong results.</w:t>
      </w:r>
    </w:p>
    <w:p>
      <w:pPr/>
      <w:r>
        <w:rPr>
          <w:b/>
        </w:rPr>
        <w:t>POSSIBLE 2024:</w:t>
      </w:r>
      <w:r>
        <w:t xml:space="preserve"> Forecasting Energy Poverty in European Countries: The Effect of Increasing Energy Commodities Prices — https://doi.org/10.3390/en17051224</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impact of the global COVID-19 pandemic has been devastating in many countries, increasing household energy poverty. Lockdown measures have brought the EU economies into recession phases and forced people to stay confined to their homes, aggravating these issues. From the second half of 2021, when the worst seemed behind us, a new threat has appeared threatening economic recovery: the inflationary process in energy prices. This paper aims to verify the effects on energy poverty in European countries following the economic crisis generated by COVID-19 and the current inflationary scenario due to the increase in energy commodity prices through dynamic factor models, estimating the time it will take for energy poverty to return to levels before the shocks that occurred over the past two years. The outcomes show that the overall rise in energy prices (in particular gas) that unexpectedly affected European countries modifies the forecast scenarios, delaying, at best, the first improvements, initially expected as early as 2021, until after 2022.</w:t>
      </w:r>
    </w:p>
    <w:p>
      <w:pPr/>
      <w:r>
        <w:rPr>
          <w:b/>
        </w:rPr>
        <w:t>POSSIBLE 2024:</w:t>
      </w:r>
      <w:r>
        <w:t xml:space="preserve"> Energy Efficiency and Latency Optimization for IoT URLLC and mMTC Use Cases — https://doi.org/10.1109/access.2024.3364349</w:t>
      </w:r>
    </w:p>
    <w:p>
      <w:pPr/>
      <w:r>
        <w:rPr>
          <w:b/>
        </w:rPr>
        <w:t>Shared claim-specific concepts:</w:t>
      </w:r>
      <w:r>
        <w:t xml:space="preserve"> worst, energy, based; EU scope not established. This is a provisional connection, not an outcome finding.</w:t>
      </w:r>
    </w:p>
    <w:p>
      <w:pPr>
        <w:pStyle w:val="SourceNote"/>
      </w:pPr>
      <w:r>
        <w:rPr>
          <w:b/>
        </w:rPr>
        <w:t>Available abstract (not full text):</w:t>
      </w:r>
      <w:r>
        <w:t xml:space="preserve"> The Internet of Things (IoT) is an essential part of 5G, Beyond-5G (B5G), and 6G systems; it has several applications in two of the principal 5G use cases, namely ultra-reliable low-latency communications (URLLC) and massive machine-type communications (mMTC), and in their successors within B5G and 6G: extreme ultra-reliable low-latency communication (eURLLC) and ultra-massive machine-type communication (umMTC). IoT systems, which are characterized by narrow bandwidths, have stringent requirements owing to the specific nature of their applications and use cases. The purpose of this study is to investigate and jointly optimize the energy efficiency (EE) and latency through resource allocation for IoT cellular systems. With regard to the contributions, in this study we investigated the optimization of EE in narrowband IoT systems, compared resource unit configurations (RUCs), jointly formulated the optimization of EE and latency, and introduced a suboptimal but efficient algorithm. More precisely, as the EE performance of various resource unit configurations has not been exhaustively investigated in the current state of the art, we analyzed and compared the EE of RUCs. The results show vast differences in performance between RUCs. For example, in terms of EE, the best RUC has an EE more than 80 times higher than the worst, which illustrates the importance of this investigation. W</w:t>
      </w:r>
    </w:p>
    <w:p>
      <w:pPr>
        <w:pStyle w:val="Heading2"/>
      </w:pPr>
      <w:r>
        <w:t>606. Energy Portfolio of the Eastern Poland Macroregion in the European Union</w:t>
      </w:r>
    </w:p>
    <w:p>
      <w:pPr>
        <w:pStyle w:val="SourceNote"/>
      </w:pPr>
      <w:r>
        <w:rPr>
          <w:b/>
        </w:rPr>
        <w:t>Original source (2021):</w:t>
      </w:r>
      <w:r>
        <w:t xml:space="preserve"> https://doi.org/10.3390/en14248426</w:t>
      </w:r>
    </w:p>
    <w:p>
      <w:pPr/>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POSSIBLE 2026:</w:t>
      </w:r>
      <w:r>
        <w:t xml:space="preserve"> The predictors of party group bargaining success in the European Parliament — https://doi.org/10.1177/14651165261423104</w:t>
      </w:r>
    </w:p>
    <w:p>
      <w:pPr/>
      <w:r>
        <w:rPr>
          <w:b/>
        </w:rPr>
        <w:t>Shared claim-specific concepts:</w:t>
      </w:r>
      <w:r>
        <w:t xml:space="preserve"> positions, within, article; EU scope visible. This is a provisional connection, not an outcome finding.</w:t>
      </w:r>
    </w:p>
    <w:p>
      <w:pPr>
        <w:pStyle w:val="SourceNote"/>
      </w:pPr>
      <w:r>
        <w:rPr>
          <w:b/>
        </w:rPr>
        <w:t>Available abstract (not full text):</w:t>
      </w:r>
      <w:r>
        <w:t xml:space="preserve"> This article examines the predictors of European Party Groups’ bargaining success in internal negotiations within the European Parliament. It evaluates theories relating to pivotality in the policy space, agenda-setting power, strategic anticipation of interinstitutional bargaining, and internal group cohesion. Understanding these mechanisms is crucial because parliamentary agreements structure trilogue negotiations, ultimately affecting the European Union's legislative outcomes. Drawing on an original interview-based dataset covering 31 legislative proposals in the 9th Parliament (2019–2024), the study directly measures party group preferences and compares them to the positions adopted in parliamentary opinions. The findings show that mandates tend to follow the grand coalition median rather than the body's median as a whole, rapporteurs systematically benefit their groups, and internal cohesion unexpectedly reduces bargaining success. The negative impact of proximity to the Council suggests strategic positioning for trilogues, whereas alignment with the Commission and non-lead committee rapporteurships shows little effect. Together, the results provide a systematic account of bargaining in the modern European Parliament, offering a platform for future research.</w:t>
      </w:r>
    </w:p>
    <w:p>
      <w:pPr/>
      <w:r>
        <w:rPr>
          <w:b/>
        </w:rPr>
        <w:t>POSSIBLE 2026:</w:t>
      </w:r>
      <w:r>
        <w:t xml:space="preserve"> Within‐Day Variations in Infant Body Position Predict Caregiver Speech Input — https://doi.org/10.1111/desc.70120</w:t>
      </w:r>
    </w:p>
    <w:p>
      <w:pPr/>
      <w:r>
        <w:rPr>
          <w:b/>
        </w:rPr>
        <w:t>Shared claim-specific concepts:</w:t>
      </w:r>
      <w:r>
        <w:t xml:space="preserve"> predicted, positions, within; EU scope not established. This is a provisional connection, not an outcome finding.</w:t>
      </w:r>
    </w:p>
    <w:p>
      <w:pPr>
        <w:pStyle w:val="SourceNote"/>
      </w:pPr>
      <w:r>
        <w:rPr>
          <w:b/>
        </w:rPr>
        <w:t>Available abstract (not full text):</w:t>
      </w:r>
      <w:r>
        <w:t xml:space="preserve"> Infants' time spent in different body positions varies substantially within a day: lying supine on their backs, crawling or playing while prone on their bellies, sitting on the floor or in seating devices, standing or walking upright on two feet, and held by an adult. Infants may spend long periods in one position, such as sitting in a highchair, followed by periods of switching positions (e.g., prone and upright), such as during play. Speech input has been linked with infants' placement and motor development. Here, we extend past work to ask whether adults speak more frequently depending on infants' time spent in different body positions throughout the day. We gathered home recordings from 64 infants in two age groups, 4-7 months and 11-14 months, using movement sensors to measure body position and a LENA audio recorder to estimate adult word count. Data were analyzed in 10-min bins throughout the day to determine whether within-day differences in infants' time spent in each position were associated with the frequency of adult's speech. Indeed, increased time spent supine and prone predicted fewer adult words, whereas increased time sitting and held predicted increases in word count. Upright was age dependent, with more time spent upright predicting an increase in word count for younger infants, but a decrease for older infants. These findings reveal the importance of consider</w:t>
      </w:r>
    </w:p>
    <w:p>
      <w:pPr/>
      <w:r>
        <w:rPr>
          <w:b/>
        </w:rPr>
        <w:t>POSSIBLE 2026:</w:t>
      </w:r>
      <w:r>
        <w:t xml:space="preserve"> Exploring European Memory of the 1897 Lattimer Massacre with Predictive AI — https://doi.org/10.1007/s10761-026-00818-9</w:t>
      </w:r>
    </w:p>
    <w:p>
      <w:pPr/>
      <w:r>
        <w:rPr>
          <w:b/>
        </w:rPr>
        <w:t>Shared claim-specific concepts:</w:t>
      </w:r>
      <w:r>
        <w:t xml:space="preserve"> following, sources, conditions; EU scope visible. This is a provisional connection, not an outcome finding.</w:t>
      </w:r>
    </w:p>
    <w:p>
      <w:pPr>
        <w:pStyle w:val="SourceNote"/>
      </w:pPr>
      <w:r>
        <w:rPr>
          <w:b/>
        </w:rPr>
        <w:t>Available abstract (not full text):</w:t>
      </w:r>
      <w:r>
        <w:t xml:space="preserve"> Abstract Some historical archaeologists work in places colonized by countries whose language is other than that spoken by the researcher. Many of these projects have not consulted the relevant foreign-language literature, which could provide additional context for interpreting their findings. Predictive AI offers the unique advantage of rapidly accessing, translating, and synthesizing foreign language sources that may otherwise remain inaccessible due to language barriers. The following is an example of a little known international labor tragedy that occurred in northeastern Pennsylvania in 1897, when immigrant coal miners went on strike for better pay and working conditions. At least 19 men were killed and 38 wounded, and most of the victims were citizens of the Austro-Hungarian Empire. Much of the incident and its aftermath have been reconstructed using English-language newspapers, court records, and oral histories. Due to language barriers, scholars have not examined how the victims' home countries recorded and perceived the incident. Using predictive AI enables researchers to create workable translations of these perspectives with a level of speed and scale previously unattainable, broadening the historical context of this incident. This approach provides an example for others whose work spans international boundaries and languages.</w:t>
      </w:r>
    </w:p>
    <w:p>
      <w:pPr/>
      <w:r>
        <w:rPr>
          <w:b/>
        </w:rPr>
        <w:t>POSSIBLE 2026:</w:t>
      </w:r>
      <w:r>
        <w:t xml:space="preserve"> Source code for "How Much EEG Is Needed for Deep Learning with Convolutional Neural Networks? Predicting the Benefit from Additional Data" — https://doi.org/10.5281/zenodo.18403059</w:t>
      </w:r>
    </w:p>
    <w:p>
      <w:pPr/>
      <w:r>
        <w:rPr>
          <w:b/>
        </w:rPr>
        <w:t>Shared claim-specific concepts:</w:t>
      </w:r>
      <w:r>
        <w:t xml:space="preserve"> following, sources, within; EU scope visible. This is a provisional connection, not an outcome finding.</w:t>
      </w:r>
    </w:p>
    <w:p>
      <w:pPr>
        <w:pStyle w:val="SourceNote"/>
      </w:pPr>
      <w:r>
        <w:rPr>
          <w:b/>
        </w:rPr>
        <w:t>Available abstract (not full text):</w:t>
      </w:r>
      <w:r>
        <w:t xml:space="preserve"> This source code enables the reproduction of all results in the paper, including the generation of training data subsets, the fitting of different learning curve models, and the prediction for larger datasets. For details about the method, please refer to the following publication: Seibel et al. (2026) How Much EEG Is Needed for Deep Learning with Convolutional Neural Networks? Predicting the Benefit from Additional Data. Journal of Neural Engineering, https://doi.org/10.1088/1741-2552/ae453d When using the code or the data, please cite the corresponding paper. Thank you. Acknowledgments and Funding Sources The research was supported by the Free State of Thuringia grant ThiMEDOP (2018 IZN 0004) with funds from the European Union (EFRE), the German Federal Ministry of Education and Research (BMBF) grants AVATAR and AVATAR-Transfer (16KISA024 and 16KIS2583, funded by the European Union - NextGenerationEU), by the Carl Zeiss Stiftung under the CZS Breakthroughs programme within the ”PollenNet” project (Grant number: P2022-08-006), and the German Academic Exchange Service (DAAD PPP 57599925).</w:t>
      </w:r>
    </w:p>
    <w:p>
      <w:pPr/>
      <w:r>
        <w:rPr>
          <w:b/>
        </w:rPr>
        <w:t>POSSIBLE 2026:</w:t>
      </w:r>
      <w:r>
        <w:t xml:space="preserve"> Identifying Extreme European Parties’ Ideological Positioning Across Countries — https://doi.org/10.1080/2330443x.2026.2662903</w:t>
      </w:r>
    </w:p>
    <w:p>
      <w:pPr/>
      <w:r>
        <w:rPr>
          <w:b/>
        </w:rPr>
        <w:t>Shared claim-specific concepts:</w:t>
      </w:r>
      <w:r>
        <w:t xml:space="preserve"> positions, identify; EU scope visible. This is a provisional connection, not an outcome finding.</w:t>
      </w:r>
    </w:p>
    <w:p>
      <w:pPr>
        <w:pStyle w:val="SourceNote"/>
      </w:pPr>
      <w:r>
        <w:rPr>
          <w:b/>
        </w:rPr>
        <w:t>Available abstract (not full text):</w:t>
      </w:r>
      <w:r>
        <w:t xml:space="preserve"> Understanding ideological positioning is essential for analyzing party systems and electoral competition in Europe. This paper uses the data from the 2024 wave of the Chapel Hill Expert Survey (CHES 2024) to investigate European political parties with two objectives: (i) identifying ideological extremes and (ii) examining cross-country patterns in party positioning. We employ Archetypoid Analysis (ADA), a novel statistical method that detects representative ideological extremes in multivariate data. Focusing on general left-right, economic, and sociocultural orientations, and specific policy areas such as immigration, redistribution, and climate change, we map the European ideological space and identify parties that occupy its edges. We then analyze how party positions relative to ideological archetypoids relate to stances on key political issues and EU policies, and how these relationships vary across European countries. In detail, we assess the influence of party agreement with political issues and EU policies on their proximity to left, center, or right positions and, using linear mixed-effects models, we also account for cross-country variation. This approach allows us to evaluate whether observed patterns are consistent across national contexts or differ significantly between countries. The findings also carry policy relevance by clarifying which ideological configurations</w:t>
      </w:r>
    </w:p>
    <w:p>
      <w:pPr/>
      <w:r>
        <w:rPr>
          <w:b/>
        </w:rPr>
        <w:t>POSSIBLE 2026:</w:t>
      </w:r>
      <w:r>
        <w:t xml:space="preserve"> When ideology meets geopolitics: party positions towards Russia in EU member states — https://openalex.org/W7165091424</w:t>
      </w:r>
    </w:p>
    <w:p>
      <w:pPr/>
      <w:r>
        <w:rPr>
          <w:b/>
        </w:rPr>
        <w:t>Shared claim-specific concepts:</w:t>
      </w:r>
      <w:r>
        <w:t xml:space="preserve"> following, positions, within, energy, conditions; EU scope visible. This is a provisional connection, not an outcome finding.</w:t>
      </w:r>
    </w:p>
    <w:p>
      <w:pPr>
        <w:pStyle w:val="SourceNote"/>
      </w:pPr>
      <w:r>
        <w:rPr>
          <w:b/>
        </w:rPr>
        <w:t>Available abstract (not full text):</w:t>
      </w:r>
      <w:r>
        <w:t xml:space="preserve"> Russia’s full-scale invasion of Ukraine transformed the European Union’s relationship with Russia into a central issue of foreign and security policy. Although the EU and its member states moved broadly toward containment, disagreement over how European countries should approach Russia has persisted within national party systems. This thesis examines whether parties’ preferred strategic approaches toward Russia are structured by party-level ideology, country-level geopolitical vulnerability, and their interaction. Party preferences are conceptualized along an engagement-containment spectrum, ranging from cooperation with Russia to countering Russian aggression. The study uses the 2024 Chapel Hill Expert Survey and analyses 236 parties across 26 EU member states through multilevel linear models. The findings show that most variation occurs within countries, although country-level differences remain meaningful. At the party level, position on European integration is the strongest and most robust predictor: the more Eurosceptic parties are relative to their domestic competitors, the more likely they are to prefer a more engagement-oriented approach toward Russia. At the country level, geographical exposure to Russia is associated with a more containment-oriented baseline, especially in countries bordering Russia. Distance to Russia also conditions ideological structuring: the diff</w:t>
      </w:r>
    </w:p>
    <w:p>
      <w:pPr/>
      <w:r>
        <w:rPr>
          <w:b/>
        </w:rPr>
        <w:t>POSSIBLE 2025:</w:t>
      </w:r>
      <w:r>
        <w:t xml:space="preserve"> Surgical Success and Predictive Factors for Residual Stones Following Supine Percutaneous Nephrolithotomy in the Galdakao-Modified Valdivia Position — https://doi.org/10.4274/mmj.galenos.2025.59265</w:t>
      </w:r>
    </w:p>
    <w:p>
      <w:pPr/>
      <w:r>
        <w:rPr>
          <w:b/>
        </w:rPr>
        <w:t>Shared claim-specific concepts:</w:t>
      </w:r>
      <w:r>
        <w:t xml:space="preserve"> predicted, following, identify; EU scope not established. This is a provisional connection, not an outcome finding.</w:t>
      </w:r>
    </w:p>
    <w:p>
      <w:pPr>
        <w:pStyle w:val="SourceNote"/>
      </w:pPr>
      <w:r>
        <w:rPr>
          <w:b/>
        </w:rPr>
        <w:t>Available abstract (not full text):</w:t>
      </w:r>
      <w:r>
        <w:t xml:space="preserve"> Objective: Supine percutaneous nephrolithotomy (sPCNL) is widely accepted as a safe and effective treatment for kidney stones. This study aims to assess surgical outcomes and identify predictive factors for residual fragments following sPCNL in the Galdakao-modified Valdivia position (GMV-sPCNL). Methods: We retrospectively evaluated the clinical data of patients undergoing GMV-sPCNL. The primary outcomes were the stone-free rate (SFR) and the complication rate. Demographic, radiologic, and perioperative parameters were also compared between patients with and without residual stones. Results: 195 patients [Male:127 (65.1%); Female: 68 (34.9%)] were included. The mean age was 48.6±15.6 years; the mean body mass index (BMI) was 27.4±5 kg/m2. The overall SFR was 83.1%. Residual stones were associated with greater stone burden (number, size, surface area, and volume), longer operative time, and longer hospitalization (p&lt;0.05). Gender, age, BMI, stone laterality, and density were not significantly associated with SFR. The receiver operating characteristic analysis showed that having more than two stones, a stone size ≥26 mm, or a stone volume ≥2639.8 mm3 significantly predicted residual fragments. Stone volume demonstrated the best predictive performance, with sensitivity and specificity of 81.8% and 61.0%, respectively. GMV-sPCNL was associated with a low overall complication rate:</w:t>
      </w:r>
    </w:p>
    <w:p>
      <w:pPr/>
      <w:r>
        <w:rPr>
          <w:b/>
        </w:rPr>
        <w:t>POSSIBLE 2025:</w:t>
      </w:r>
      <w:r>
        <w:t xml:space="preserve"> The Propensity of European Grayling to Migrate Is Determined by Individual Characteristics — https://doi.org/10.1111/eff.70032</w:t>
      </w:r>
    </w:p>
    <w:p>
      <w:pPr/>
      <w:r>
        <w:rPr>
          <w:b/>
        </w:rPr>
        <w:t>Shared claim-specific concepts:</w:t>
      </w:r>
      <w:r>
        <w:t xml:space="preserve"> following, positions, within; EU scope visible. This is a provisional connection, not an outcome finding.</w:t>
      </w:r>
    </w:p>
    <w:p>
      <w:pPr>
        <w:pStyle w:val="SourceNote"/>
      </w:pPr>
      <w:r>
        <w:rPr>
          <w:b/>
        </w:rPr>
        <w:t>Available abstract (not full text):</w:t>
      </w:r>
      <w:r>
        <w:t xml:space="preserve"> ABSTRACT Migrations are characterised as adaptive mechanisms aimed at improving the fitness of an individual. Hence, the propensity to migrate can be analysed by considering body size and movement activity when individuals search for available resources. We studied the relationships among individual traits, movement activity and migration of the European grayling Thymallus thymallus (Linnaeus 1758) in a native riverine environment during a one‐year‐long field study. We observed the diel movement activity of 37 individuals along the longitudinal profile of the river using radio tags with temperature sensors. The propensity to migrate differed among the tagged individuals. The fish that maintained positions over the entire annual period and whose dispersal did not exceed 2 km from their original positions were considered a stationary group. The fish migrating downstream from their summer positions to wintering positions and returning to their original positions the following year were considered a migratory group. Long‐distance downstream migrations to wintering positions mostly started in early autumn, and the fish reached the farthest positions, up to 30 km apart, in December and January. Upstream migration started at the end of February and was most intensive in March and April. The highest upstream positions were reached by the graylings in summer. These findings demonstrate </w:t>
      </w:r>
    </w:p>
    <w:p>
      <w:pPr/>
      <w:r>
        <w:rPr>
          <w:b/>
        </w:rPr>
        <w:t>POSSIBLE 2025:</w:t>
      </w:r>
      <w:r>
        <w:t xml:space="preserve"> First insights into soil fauna mapping across Europe using data from multiple data sources for three different taxa — https://doi.org/10.1016/j.apsoil.2025.106588</w:t>
      </w:r>
    </w:p>
    <w:p>
      <w:pPr/>
      <w:r>
        <w:rPr>
          <w:b/>
        </w:rPr>
        <w:t>Shared claim-specific concepts:</w:t>
      </w:r>
      <w:r>
        <w:t xml:space="preserve"> sources, eastern, evolution, need; EU scope visible. This is a provisional connection, not an outcome finding.</w:t>
      </w:r>
    </w:p>
    <w:p>
      <w:pPr>
        <w:pStyle w:val="SourceNote"/>
      </w:pPr>
      <w:r>
        <w:rPr>
          <w:b/>
        </w:rPr>
        <w:t>Available abstract (not full text):</w:t>
      </w:r>
      <w:r>
        <w:t xml:space="preserve"> Soil fauna is one of the most important components of the soil ecosystem. It is highly diverse and abundant, supporting essential ecosystem services. However, its use in management decisions has been limited by now. This is partly a result of missing data and knowledge for large-scale mapping and application. In this study, our objective was to shed light on these aspects by mapping the spatial distribution of representative groups of macro- and mesofauna. Specifically, we used publicly available data for Earthworms, Millipedes, and Springtails and mapped their abundance, richness, and diversity across Europe. We applied machine learning techniques to understand the spatial configuration of these soil fauna taxa as influenced by topography, climate, vegetation, land use, and soil properties. Springtail abundance ranged from 1000 to 15,000 individuals per m 2 , while rarefied species richness ranged from 2 to 7 species per sample, with higher values in mountainous regions compared to plains. Earthworm abundance ranged from 20 to 300 individuals per m 2 , while richness ranged from 2 to 6 species, with higher values in Scandinavia compared to central and eastern Europe. Millipede abundance ranged from 20 to 400 individuals per m 2 , while species richness ranged from 1 to 6 species, with the highest values in central Europe and the lowest in northern Europe. Although the three ta</w:t>
      </w:r>
    </w:p>
    <w:p>
      <w:pPr/>
      <w:r>
        <w:rPr>
          <w:b/>
        </w:rPr>
        <w:t>POSSIBLE 2025:</w:t>
      </w:r>
      <w:r>
        <w:t xml:space="preserve"> Enemy Behind the Gates? Predicted Climate Change and Land‐Use Intensification Likely Speed Up C4 Grass Invasions in Europe — https://doi.org/10.1111/jvs.70023</w:t>
      </w:r>
    </w:p>
    <w:p>
      <w:pPr/>
      <w:r>
        <w:rPr>
          <w:b/>
        </w:rPr>
        <w:t>Shared claim-specific concepts:</w:t>
      </w:r>
      <w:r>
        <w:t xml:space="preserve"> predicted, aim, identify; EU scope visible. This is a provisional connection, not an outcome finding.</w:t>
      </w:r>
    </w:p>
    <w:p>
      <w:pPr>
        <w:pStyle w:val="SourceNote"/>
      </w:pPr>
      <w:r>
        <w:rPr>
          <w:b/>
        </w:rPr>
        <w:t>Available abstract (not full text):</w:t>
      </w:r>
      <w:r>
        <w:t xml:space="preserve"> ABSTRACT Aims Climate change is expected to bolster opportunities for alien species' establishment and spread. In Europe, alien C4 grass species have the potential to benefit from a changing climate, being better adapted to higher temperatures and heat stress. Our aim was to compile an up‐to‐date inventory of alien C4 grass species in Europe, to find information about their distribution and country‐ and region‐wise statuses, to identify the most widespread and high‐risk species, and the most invaded habitat types, and to draw the temporal trends of their European establishment. Location Europe. Methods We used the standard systematic literature review methodology to identify relevant publications and online plant distribution databases to get an up‐to‐date list of alien C4 grass species in Europe. We aimed also to gather information on (1) their current country‐ and region‐wise distribution; (2) alien status in each country (casual, naturalised, invasive); (3) the most widespread and high‐risk species; (4) native climatic zones and habitat preferences of each species in European countries; and (5) temporal distribution patterns of the identified species. Results We detected 133 alien C4 grass species across Europe, with the highest number of species in western European countries (103 species) and the lowest in northern Europe (69 species), with considerable overlap amongst regi</w:t>
      </w:r>
    </w:p>
    <w:p>
      <w:pPr/>
      <w:r>
        <w:rPr>
          <w:b/>
        </w:rPr>
        <w:t>POSSIBLE 2025:</w:t>
      </w:r>
      <w:r>
        <w:t xml:space="preserve"> The Role of the European Investment Bank in Financing Renewable Energy Sources in Selected European Union Countries — https://doi.org/10.3390/en18236173</w:t>
      </w:r>
    </w:p>
    <w:p>
      <w:pPr/>
      <w:r>
        <w:rPr>
          <w:b/>
        </w:rPr>
        <w:t>Shared claim-specific concepts:</w:t>
      </w:r>
      <w:r>
        <w:t xml:space="preserve"> sources, energy, aim, identify; EU scope visible. This is a provisional connection, not an outcome finding.</w:t>
      </w:r>
    </w:p>
    <w:p>
      <w:pPr>
        <w:pStyle w:val="SourceNote"/>
      </w:pPr>
      <w:r>
        <w:rPr>
          <w:b/>
        </w:rPr>
        <w:t>Available abstract (not full text):</w:t>
      </w:r>
      <w:r>
        <w:t xml:space="preserve"> In the area of the European Union (EU) energy policy, among the entities involved in the process of financing investments in renewable energy sources (RESs), the European Investment Bank (EIB) plays a particularly important role. Therefore, the aim of the research was to identify the relationship between the EIB’s financing of RES projects and the level of energy transition, measured by the share of RES in gross final energy consumption (RE). The goal was achieved using quantitative methods and a two-way fixed-effects panel model FE (country and year), based on data from EIB, Eurostat, World Bank, OECD, EDGAR, and Our World in Data for 2012–2023. As a result of the research, it was determined that the scale of EIB financing alone does not translate into short-term growth of the RE in the examined sample (EU countries). Indeed, the effectiveness of funding depends on the regulatory and institutional context; the grid’s ability to absorb new capacities (throughput, storage, demand flexibility); and from the time horizon (delayed materialization of effects). Increasing the efficiency of converting euros into RE percentage points requires better targeting (power + grid), simplification of procedures and good financial assembly with the right allocation of risks.</w:t>
      </w:r>
    </w:p>
    <w:p>
      <w:pPr/>
      <w:r>
        <w:rPr>
          <w:b/>
        </w:rPr>
        <w:t>POSSIBLE 2025:</w:t>
      </w:r>
      <w:r>
        <w:t xml:space="preserve"> Prevalence of Glaucoma in Europe and Projections to 2050 — https://doi.org/10.1016/j.ophtha.2025.06.002</w:t>
      </w:r>
    </w:p>
    <w:p>
      <w:pPr/>
      <w:r>
        <w:rPr>
          <w:b/>
        </w:rPr>
        <w:t>Shared claim-specific concepts:</w:t>
      </w:r>
      <w:r>
        <w:t xml:space="preserve"> within, article, conditions;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pStyle w:val="Heading2"/>
      </w:pPr>
      <w:r>
        <w:t>607. Energy transition scenarios: What policies, societal attitudes, and technology developments will realize the EU Green Deal?</w:t>
      </w:r>
    </w:p>
    <w:p>
      <w:pPr>
        <w:pStyle w:val="SourceNote"/>
      </w:pPr>
      <w:r>
        <w:rPr>
          <w:b/>
        </w:rPr>
        <w:t>Original source (2021):</w:t>
      </w:r>
      <w:r>
        <w:t xml:space="preserve"> https://doi.org/10.1016/j.energy.2021.122067</w:t>
      </w:r>
    </w:p>
    <w:p>
      <w:pPr/>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POSSIBLE 2026:</w:t>
      </w:r>
      <w:r>
        <w:t xml:space="preserve"> Complementary pathways and community sponsorship in Europe: benefits, challenges and policy recommendations — https://doi.org/10.1080/17448689.2026.2704516</w:t>
      </w:r>
    </w:p>
    <w:p>
      <w:pPr/>
      <w:r>
        <w:rPr>
          <w:b/>
        </w:rPr>
        <w:t>Shared claim-specific concepts:</w:t>
      </w:r>
      <w:r>
        <w:t xml:space="preserve"> pathways, high; EU scope visible. This is a provisional connection, not an outcome finding.</w:t>
      </w:r>
    </w:p>
    <w:p>
      <w:pPr>
        <w:pStyle w:val="SourceNote"/>
      </w:pPr>
      <w:r>
        <w:rPr>
          <w:b/>
        </w:rPr>
        <w:t>Available abstract (not full text):</w:t>
      </w:r>
      <w:r>
        <w:t xml:space="preserve">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Analyzing Well-Being Models: Their Evolution, Limitations, and Future Pathways — https://openalex.org/W7220250897</w:t>
      </w:r>
    </w:p>
    <w:p>
      <w:pPr/>
      <w:r>
        <w:rPr>
          <w:b/>
        </w:rPr>
        <w:t>Shared claim-specific concepts:</w:t>
      </w:r>
      <w:r>
        <w:t xml:space="preserve"> analyzing, pathways, original; EU scope not established. This is a provisional connection, not an outcome finding.</w:t>
      </w:r>
    </w:p>
    <w:p>
      <w:pPr>
        <w:pStyle w:val="SourceNote"/>
      </w:pPr>
      <w:r>
        <w:rPr>
          <w:b/>
        </w:rPr>
        <w:t>Available abstract (not full text):</w:t>
      </w:r>
      <w:r>
        <w:t xml:space="preserve"> This article critically examines the evolution, limitations, and future trajectories of well-being models from antiquity to contemporary discourse. Employing interdisciplinary synthesis and comparative analysis, the study traces well-being conceptualizations from Aristotelian eudaimonia and hedonic traditions through Enlightenment utilitarianism to modern frameworks including Ryff's Psychological Well-Being, Seligman's PERMA model, Self-Determination Theory, and ecological models. A central argument advanced is that dominant Western paradigms exhibit systematic biases—individualism, cultural reductionism, measurement fetishism, and commercial appropriation—that undermine their universal applicability. The article provides an original, mandatory deep analysis of the Islamic well-being paradigm grounded in Falāḥ, sakīnah, tazkiyah al-nafs, and Maqāṣid al-Sharīʿah, incorporating Qur'anic textual evidence and classical scholarship from Al-Ghazālī, Ibn Khaldūn, Shāh Walīullāh, and Ibn Taymiyyah. Methodological critiques address Western-centrism, digital-age mental health challenges, inequality, and ethical concerns surrounding happiness commodification. Future pathways propose holistic, cross-cultural, spiritually integrated models and policy frameworks for sustainable well-being. The article concludes with original theoretical contributions synthesizing Eastern and Western epistemo</w:t>
      </w:r>
    </w:p>
    <w:p>
      <w:pPr/>
      <w:r>
        <w:rPr>
          <w:b/>
        </w:rPr>
        <w:t>POSSIBLE 2026:</w:t>
      </w:r>
      <w:r>
        <w:t xml:space="preserve"> Navigating ideological pathways: an interactive predispositions model of pro-immigration attitudes in Europe — https://doi.org/10.1057/s41295-026-00479-2</w:t>
      </w:r>
    </w:p>
    <w:p>
      <w:pPr/>
      <w:r>
        <w:rPr>
          <w:b/>
        </w:rPr>
        <w:t>Shared claim-specific concepts:</w:t>
      </w:r>
      <w:r>
        <w:t xml:space="preserve"> pathways, set; EU scope visible. This is a provisional connection, not an outcome finding.</w:t>
      </w:r>
    </w:p>
    <w:p>
      <w:pPr>
        <w:pStyle w:val="SourceNote"/>
      </w:pPr>
      <w:r>
        <w:rPr>
          <w:b/>
        </w:rPr>
        <w:t>Available abstract (not full text):</w:t>
      </w:r>
      <w:r>
        <w:t xml:space="preserve"> Abstract What motivates people to hold liberal or conservative policy preferences? Following an interactive interpretation of the dual process model of ideology, we examine how Europeans’ value-based predispositions interact to predict their immigration-policy preferences. We conduct three sets of analyses. First, we establish whether there is an association between predispositions and immigration preferences in all countries in the first ten rounds of the European Social Survey. Second, we investigate whether the patterns we observe in the first two sets of analyses carry over to a set of immigration-policy preferences asked about in rounds 1, 4, 7, and 8. In line with previous research, we find that more accepting and open immigration-policy preferences require both altruistic and libertarian predispositions. However, more restrictive and exclusive immigration-policy preferences can result from either an egoistic (vs. altruistic) predisposition or an authoritarian (vs. libertarian) predisposition, with egoistic predispositions exerting the strongest impact.</w:t>
      </w:r>
    </w:p>
    <w:p>
      <w:pPr/>
      <w:r>
        <w:rPr>
          <w:b/>
        </w:rPr>
        <w:t>POSSIBLE 2026:</w:t>
      </w:r>
      <w:r>
        <w:t xml:space="preserve"> Impact Pathways of the European Union's Technological Sovereignty Strategy on China–EU Digital Diplomatic Interactions — https://doi.org/10.23977/jsoce.2026.080211</w:t>
      </w:r>
    </w:p>
    <w:p>
      <w:pPr/>
      <w:r>
        <w:rPr>
          <w:b/>
        </w:rPr>
        <w:t>Shared claim-specific concepts:</w:t>
      </w:r>
      <w:r>
        <w:t xml:space="preserve"> analyzing, four, pathways, rapid; EU scope visible. This is a provisional connection, not an outcome finding.</w:t>
      </w:r>
    </w:p>
    <w:p>
      <w:pPr>
        <w:pStyle w:val="SourceNote"/>
      </w:pPr>
      <w:r>
        <w:rPr>
          <w:b/>
        </w:rPr>
        <w:t>Available abstract (not full text):</w:t>
      </w:r>
      <w:r>
        <w:t xml:space="preserve"> With the rapid development of digital technology and the intensification of global technological competition, technological sovereignty has gradually become an important component of the EU's digital strategy and profoundly influenced the digital diplomacy interaction mode between China and Europe. This article takes the EU's technology sovereignty strategy as the research object, focusing on its connotation evolution, policy system, and strategic characteristics, analyzing the interaction status of China EU digital diplomacy in the fields of digital governance, data flow, technology standards, and platform governance. It further explains the role path of the EU's technology sovereignty strategy in influencing China EU digital diplomacy interaction from four dimensions: rule output, technology standard reshaping, security narrative, and cooperation space rebalancing. The aim is to provide theoretical references for deepening China EU digital cooperation, improving digital governance coordination mechanisms, and promoting the development of the global digital governance system.</w:t>
      </w:r>
    </w:p>
    <w:p>
      <w:pPr/>
      <w:r>
        <w:rPr>
          <w:b/>
        </w:rPr>
        <w:t>POSSIBLE 2026:</w:t>
      </w:r>
      <w:r>
        <w:t xml:space="preserve"> Developmental Factors and Economic Clusters: Analyzing the Pathways to GDP Growth Across Global Economies — https://doi.org/10.70917/ijcisim-2026-3296</w:t>
      </w:r>
    </w:p>
    <w:p>
      <w:pPr/>
      <w:r>
        <w:rPr>
          <w:b/>
        </w:rPr>
        <w:t>Shared claim-specific concepts:</w:t>
      </w:r>
      <w:r>
        <w:t xml:space="preserve"> analyzing, four, pathways; EU scope not established. This is a provisional connection, not an outcome finding.</w:t>
      </w:r>
    </w:p>
    <w:p>
      <w:pPr>
        <w:pStyle w:val="SourceNote"/>
      </w:pPr>
      <w:r>
        <w:rPr>
          <w:b/>
        </w:rPr>
        <w:t>Available abstract (not full text):</w:t>
      </w:r>
      <w:r>
        <w:t xml:space="preserve"> This study investigates the developmental characteristics of global economies by analyzing the similarities and differences among countries based on key developmental factors. Utilizing secondary data from the Global Competitiveness Report 2020, cluster analysis was performed to group 37 countries into four distinct clusters. These clusters represent emerging, developed, transitional, and economic powerhouse economies, each distinguished by distinct developmental priorities and challenges. Multiple regression and moderation analyses were employed to explore the relationship between GDP and developmental factors such as governance, infrastructure, education, financial incentives, and public-private collaboration. The results reveal that financial incentives and public-private collaboration significantly influence GDP, underscoring their critical role in economic growth. However, moderation analysis suggests that the effect of developmental factors on GDP is not significantly influenced by economic clusters. These insights offer valuable guidance for policymakers and stakeholders in designing targeted interventions to promote sustainable and inclusive growth globally.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pathways, decarbonization;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2026:</w:t>
      </w:r>
      <w:r>
        <w:t xml:space="preserve"> Confidentiality at the Crossroads: Legal and Psychological Perspectives on Privacy and Ethics — https://doi.org/10.26855/sa.2026.03.002</w:t>
      </w:r>
    </w:p>
    <w:p>
      <w:pPr/>
      <w:r>
        <w:rPr>
          <w:b/>
        </w:rPr>
        <w:t>Shared claim-specific concepts:</w:t>
      </w:r>
      <w:r>
        <w:t xml:space="preserve"> crossroads, makers; EU scope not established. This is a provisional connection, not an outcome finding.</w:t>
      </w:r>
    </w:p>
    <w:p>
      <w:pPr>
        <w:pStyle w:val="SourceNote"/>
      </w:pPr>
      <w:r>
        <w:rPr>
          <w:b/>
        </w:rPr>
        <w:t>Available abstract (not full text):</w:t>
      </w:r>
      <w:r>
        <w:t xml:space="preserve"> This study explores the ethical and legal aspects of maintaining and violating confidentiality and privacy. The study employed the systematic literature review (SLR) approach. The authors searched for articles from relevant databases such as PsycINFO, Scopus, Web of Science, and Google Scholar. Suitable studies were selected through the application of established inclusion and exclusion criteria. In the end, 15 studies published between 2015 and 2025 were included in the final review. The findings of the review show that although confidentiality is regarded as a fundamental rule of professional conduct, it is far from absolute. The research portrays it as a negotiated practice under pressures of conflicting sorts. The emerging themes include legal and ethical dilemmas of law in confidentiality, trust, and professional duty, technological issues and cyber confidentiality, system and institutional defects, and confidentiality within sensory spaces. The study concludes that professionals continue to find it difficult to handle confidentiality and privacy within the dictates of law and ethics. However, researchers have barely explored how professionals conduct themselves or their practices when they find themselves in this conflicting situation. The study concludes that the main task for researchers, practitioners, and policy makers is how to reconcile law, ethics, and professional</w:t>
      </w:r>
    </w:p>
    <w:p>
      <w:pPr/>
      <w:r>
        <w:rPr>
          <w:b/>
        </w:rPr>
        <w:t>POSSIBLE 2026:</w:t>
      </w:r>
      <w:r>
        <w:t xml:space="preserve"> Industrial Policy and Technology Linkages: Conceptualizing China’s Approach — https://openalex.org/W7159562737</w:t>
      </w:r>
    </w:p>
    <w:p>
      <w:pPr/>
      <w:r>
        <w:rPr>
          <w:b/>
        </w:rPr>
        <w:t>Shared claim-specific concepts:</w:t>
      </w:r>
      <w:r>
        <w:t xml:space="preserve"> shaped, industry; EU scope not established. This is a provisional connection, not an outcome finding.</w:t>
      </w:r>
    </w:p>
    <w:p>
      <w:pPr>
        <w:pStyle w:val="SourceNote"/>
      </w:pPr>
      <w:r>
        <w:rPr>
          <w:b/>
        </w:rPr>
        <w:t>Available abstract (not full text):</w:t>
      </w:r>
      <w:r>
        <w:t xml:space="preserve"> China presents a compelling case for the study of industrial policy, but its conceptual foun-dations remain underexplored in the academic literature. In this article we propose a schematic framework to analyze China’s industrial policy. Based on a systematic review of Chinese-language sources, we show how industrial policies in China concentrate on technology linkages between different industry types that the government defines. Future industries are high-tech fields of strategic importance with immature markets. Once scientific advances in these fields lead to commercially viable products, future industries become emerging industries. The development of emerging industries is shaped by China’s large base of traditional industries. Firms in traditional industries adopt emerging high-tech, which allows them to upgrade and to expand their international competitiveness. In turn, traditional industries provide an initial market for firms in emerging industries, helping them to scale up and shaping the trajectory of the underly-ing technologies. By concentrating state support on the linkages between these industry types, industrial policies in China aim to accelerate mutually reinforcing cycles of scientific innovation, technology commercialization, and technology diffusion. Implementation schemes grant favored firms preferential access to state-controlled production factors, but al</w:t>
      </w:r>
    </w:p>
    <w:p>
      <w:pPr/>
      <w:r>
        <w:rPr>
          <w:b/>
        </w:rPr>
        <w:t>POSSIBLE 2026:</w:t>
      </w:r>
      <w:r>
        <w:t xml:space="preserve"> IMACLIM-China-MORE: A hybrid model for analyzing greenhouse gases neutrality pathways — https://doi.org/10.26599/ecm.2026.9400032</w:t>
      </w:r>
    </w:p>
    <w:p>
      <w:pPr/>
      <w:r>
        <w:rPr>
          <w:b/>
        </w:rPr>
        <w:t>Shared claim-specific concepts:</w:t>
      </w:r>
      <w:r>
        <w:t xml:space="preserve"> analyzing, pathways; EU scope not established. This is a provisional connection, not an outcome finding.</w:t>
      </w:r>
    </w:p>
    <w:p>
      <w:pPr>
        <w:pStyle w:val="SourceNote"/>
      </w:pPr>
      <w:r>
        <w:rPr>
          <w:b/>
        </w:rPr>
        <w:t>Available abstract (not full text):</w:t>
      </w:r>
      <w:r>
        <w:t xml:space="preserve"> Designing effective carbon-neutrality policy for China requires models that capture interactions between technology-oriented energy transitions and economy-wide responses. However, most assessments use either bottom-up energy models or top-down computable general equilibrium (CGE) models in isolation, which limits pathway insights. We develop IMACLIM–China-MORE, an iteratively coupled hybrid model that links the TIMES-based China-MORE 2.0 energy-system optimization model with IMACLIM-CHN, a single-region, 18-sector CGE model. The two models exchange prices, energy-service demands, activity levels, and abatement schedules under harmonized accounts, and the coverage extends from CO2 to methane, nitrous oxide, and fluorinated gases. We apply the framework to three scenarios: Current Policies, CO2 Neutrality, and Greenhouse Gas (GHG) Neutrality. Under CO2 Neutrality, the power and industrial sectors deliver the largest near-term reductions, but about 1.5 GtCO2e non-CO2 emissions remain in 2060. Under GHG Neutrality, net-zero CO2 is achieved by around 2055 and non-CO2 emissions fall to about 0.8 GtCO2e in 2060, which would need to be offset by carbon-removal options. The additional macroeconomic costs of moving from CO2 to GHG neutrality are moderate overall, although the agriculture and food sectors face relatively larger impacts, and investment in the energy system increases by ab</w:t>
      </w:r>
    </w:p>
    <w:p>
      <w:pPr/>
      <w:r>
        <w:rPr>
          <w:b/>
        </w:rPr>
        <w:t>POSSIBLE 2026:</w:t>
      </w:r>
      <w:r>
        <w:t xml:space="preserve"> Cognitive Symbiosis at a Crossroads: Artificial Intelligence Between the Nootransition and Consumption Simulacra — https://doi.org/10.37930/2782-6465-2026-5-1-52-75</w:t>
      </w:r>
    </w:p>
    <w:p>
      <w:pPr/>
      <w:r>
        <w:rPr>
          <w:b/>
        </w:rPr>
        <w:t>Shared claim-specific concepts:</w:t>
      </w:r>
      <w:r>
        <w:t xml:space="preserve"> crossroads, present, industry; EU scope not established. This is a provisional connection, not an outcome finding.</w:t>
      </w:r>
    </w:p>
    <w:p>
      <w:pPr>
        <w:pStyle w:val="SourceNote"/>
      </w:pPr>
      <w:r>
        <w:rPr>
          <w:b/>
        </w:rPr>
        <w:t>Available abstract (not full text):</w:t>
      </w:r>
      <w:r>
        <w:t xml:space="preserve"> The machine is already embedded in our everyday life: it intercepts attention at the point of entry, forms a response at the point of output, and lays a path precisely where the human being is only beginning to choose the direction of movement. The practical question has shifted – no longer “how accurate is the algorithm,” but in whose interests it is calibrated and whose needs it quietly elevates into a norm of life. This article examines AI as a point of historical bifurcation: one trajectory unfolds toward the nootransition – the liberation of the human being from routine labor for the sake of knowledge, creativity, and solidary creation – while the other encloses society within the loop of simulation rent, in the algorithmic production of desires before the want has had time to pass the test of reason. At the semantic core of our article lies cognitive symbiosis, by which we understand the coupling of human judgment, machine inference, and social meaning-making, capable of acting either as an amplifier of reason or as a mechanism of hidden dependence – as imperceptible as a finely calibrated regulator. Drawing on S. D. Bodrunov’s theory of noonomy, the present article interprets AI as a “test” of social maturity: whether society can withstand the trial of a culture of wants, preserve its industrial subjectivity, and prove capable of solidary, rather than rent-based, appropr</w:t>
      </w:r>
    </w:p>
    <w:p>
      <w:pPr/>
      <w:r>
        <w:rPr>
          <w:b/>
        </w:rPr>
        <w:t>POSSIBLE 2026:</w:t>
      </w:r>
      <w:r>
        <w:t xml:space="preserve"> Discipline at a Crossroads: The Rise and Reform of Student Indiscipline in Ghanaian Senior High Schools — https://doi.org/10.4236/jss.2026.144006</w:t>
      </w:r>
    </w:p>
    <w:p>
      <w:pPr/>
      <w:r>
        <w:rPr>
          <w:b/>
        </w:rPr>
        <w:t>Shared claim-specific concepts:</w:t>
      </w:r>
      <w:r>
        <w:t xml:space="preserve"> crossroads, high; EU scope not established. This is a provisional connection, not an outcome finding.</w:t>
      </w:r>
    </w:p>
    <w:p>
      <w:pPr>
        <w:pStyle w:val="SourceNote"/>
      </w:pPr>
      <w:r>
        <w:rPr>
          <w:b/>
        </w:rPr>
        <w:t>Available abstract (not full text):</w:t>
      </w:r>
      <w:r>
        <w:t xml:space="preserve"> This study evaluates increasing indiscipline in senior high schools in Ghana, investigating its socio-ecological drivers, policy gaps, and academic impacts. The major contributors are peer influence, poor teacher-student relationships, and weak parental supervision. The findings also reveal that bullying, truancy, and academic dishonesty are connected to overcrowded classrooms, inadequate counselling, and socioeconomic pressures. It compares the post-corporal punishment disciplinary gap with restorative justice. The study recommends setting up a National Positive Discipline Policy, a student-staff discipline committee, community-parent partnerships, and training teachers in trauma-informed approaches. It underscores the need for a collaborative, non-punitive approach to align school rules with youth realities.</w:t>
      </w:r>
    </w:p>
    <w:p>
      <w:pPr>
        <w:pStyle w:val="Heading2"/>
      </w:pPr>
      <w:r>
        <w:t>608. European carbon storage resource requirements of climate change mitigation targets</w:t>
      </w:r>
    </w:p>
    <w:p>
      <w:pPr>
        <w:pStyle w:val="SourceNote"/>
      </w:pPr>
      <w:r>
        <w:rPr>
          <w:b/>
        </w:rPr>
        <w:t>Original source (2021):</w:t>
      </w:r>
      <w:r>
        <w:t xml:space="preserve"> https://doi.org/10.1016/j.ijggc.2021.103568</w:t>
      </w:r>
    </w:p>
    <w:p>
      <w:pPr/>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POSSIBLE 2026:</w:t>
      </w:r>
      <w:r>
        <w:t xml:space="preserve"> Climate Impact of Optimizing ATM and ATC Procedures for Mitigating CO2 and Non-CO2 Emissions — https://doi.org/10.3390/cli14020040</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 comprehensive multidisciplinary review of recent advances in aviation emissions modeling methodologies and mitigation strategies through optimized in-flight operational procedures, and how they could be considered in evaluating their climatic impact is presented. With reference to the Terminal Maneuvering Area (TMA), the article critically examines current and emerging strategies, particularly those enabled by GNSS-based capabilities and Performance-Based Navigation (PBN), to enhance aircraft efficiency and reduce fuel consumption and associated chemical emissions. The study also explores the state-of-the-art methodologies for modeling both CO2 and non-CO2 emissions and addresses the problem of contrails formation, highlighting the main relevant aspects that can be useful for the definition of future mitigation strategies. Furthermore, it analyzes evolving optimization techniques aimed at real-time 4D trajectory planning able to consider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2026:</w:t>
      </w:r>
      <w:r>
        <w:t xml:space="preserve"> Can a wealth tax reduce CO2 emissions in Europe? — https://doi.org/10.1016/j.ecolecon.2026.109231</w:t>
      </w:r>
    </w:p>
    <w:p>
      <w:pPr/>
      <w:r>
        <w:rPr>
          <w:b/>
        </w:rPr>
        <w:t>Shared claim-specific concepts:</w:t>
      </w:r>
      <w:r>
        <w:t xml:space="preserve"> climate, mitigation, co2, rates;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Climate plan for municipality of Utsjoki — https://openalex.org/W7152954980</w:t>
      </w:r>
    </w:p>
    <w:p>
      <w:pPr/>
      <w:r>
        <w:rPr>
          <w:b/>
        </w:rPr>
        <w:t>Shared claim-specific concepts:</w:t>
      </w:r>
      <w:r>
        <w:t xml:space="preserve"> climate, mitigation, targets; EU scope visible. This is a provisional connection, not an outcome finding.</w:t>
      </w:r>
    </w:p>
    <w:p>
      <w:pPr>
        <w:pStyle w:val="SourceNote"/>
      </w:pPr>
      <w:r>
        <w:rPr>
          <w:b/>
        </w:rPr>
        <w:t>Available abstract (not full text):</w:t>
      </w:r>
      <w:r>
        <w:t xml:space="preserve"> This thesis developed a climate plan for the municipality of Utsjoki in northern Finland. The objective was to support the local climate mitigation work by analysing the municipality’s greenhouse gas emissions, defining emission reduction targets, identifying mitigation measures that reflect the conditions of a small Arctic municipality and setting up a monitoring plan for the climate mitigation work. The work responds to the growing need for climate planning in small rural municipalities, where resources for climate action are often limited but climate change impacts are increasingly visible. The thesis applied an action research approach where the research process combined quantitative emissions data analysis with qualitative research methods to strengthen local ownership of climate action. A workshop and a climate survey targeted at residents were used for generating ideas for emission reduction measures and for engaging the community in climate work. Climate scenarios were utilized to assess the feasibility of different emissions reduction targets. The thesis demonstrates that small municipalities are often dependent on national and EU-level legislation and regulation to achieve emission reductions. However, locally relevant climate mitigation actions can still be advanced through participatory approaches and by building local partnerships and networks that support the impl</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The DLR CO2-equivalent estimator FlightClim v1.0: an easy-to-use estimation of per flight CO2 and non-CO2 climate effects — https://doi.org/10.5194/gmd-19-3551-2026</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As aviation’s contribution to anthropogenic climate change is increasing, the sector aims at reducing its climate effect in accordance with international agreements. The strong and variable non-CO2 effects are complex, making reliable Climate effect quantification a necessary first step. To support this, we develop the easy-to-use first-order climate effect estimator for single flights FlightClim v1.0. The tool estimates the flight-specific climate effect with a simplified calculation model, without requiring detailed information on exact routing, amount of fuel burn, or weather conditions. For this purpose, we first analyze a global flight dataset containing detailed trajectories, associated flight emissions, and climate responses. Similar flights are grouped into clusters, and regression formulas are derived to estimate the Average Temperature Response over 100 years (ATR100) for CO2 and non-CO2 effects. To prevent abrupt changes at cluster boundaries, we apply linear smoothing as postprocessing. Second, we compare a Multiple and Symbolic Regression approach, which differ in effort and complexity but offer similar estimation quality. The choice of method depends on the specific application. Both methods are designed for climate footprint assessments due to their simplicity though not suitable for policy measures. Emission trading or monitoring and reporting systems instead re</w:t>
      </w:r>
    </w:p>
    <w:p>
      <w:pPr/>
      <w:r>
        <w:rPr>
          <w:b/>
        </w:rPr>
        <w:t>POSSIBLE 2026:</w:t>
      </w:r>
      <w:r>
        <w:t xml:space="preserve"> Energy and CO2 Footprint of Climate Model Intercomparison Projects — https://doi.org/10.48550/arxiv.2608.23509</w:t>
      </w:r>
    </w:p>
    <w:p>
      <w:pPr/>
      <w:r>
        <w:rPr>
          <w:b/>
        </w:rPr>
        <w:t>Shared claim-specific concepts:</w:t>
      </w:r>
      <w:r>
        <w:t xml:space="preserve"> climate, co2, reported, use; EU scope not established. This is a provisional connection, not an outcome finding.</w:t>
      </w:r>
    </w:p>
    <w:p>
      <w:pPr>
        <w:pStyle w:val="SourceNote"/>
      </w:pPr>
      <w:r>
        <w:rPr>
          <w:b/>
        </w:rPr>
        <w:t>Available abstract (not full text):</w:t>
      </w:r>
      <w:r>
        <w:t xml:space="preserve"> Earth System Models (ESMs) rely heavily on High-Performance Computing (HPC) resources to simulate global climate. As these models evolve, their computational demands continue to grow, driven by three factors: (1) finer spatial grid resolutions, (2) the integration of complex biogeochemical processes (e.g., atmospheric chemistry, interactive vegetation, land use, and ice sheets), and (3) larger climate ensembles to manage uncertainty. Historically, growth in peak computing performance (FLOP/s) has outpaced improvements in energy efficiency (FLOP/Watt), increasing total HPC power consumption. Despite the central role of Model Intercomparison Projects (MIPs) in climate research, quantifying their computational and environmental costs has received limited systematic attention. This paper examines the evolution of climate model carbon accounting from voluntary post-hoc estimation in the Coupled Model Intercomparison Project phase 6 (CMIP6) to standardized accounting under the newly established CMIP7 Task Team on Energy Consumption. Using high-resolution Destination Earth simulations on MareNostrum 5, we empirically evaluate how different accounting boundaries (operational, active-only, and embodied carbon) impact reported energy, carbon emissions, and financial costs. Finally, we outline key methodological considerations for standardizing energy and carbon accounting for Model Inter</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climate, mitigation, reported, rates, use, rate;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Climate Change in the European Union Research Framework Programmes: projects on climate change from FP5 to Horizon — https://doi.org/10.18712/nsd-nsd3473-v2</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projects on climate change from FP5 to Horizon — https://doi.org/10.18712/nsd-nsd3473-v1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Local Authorities participating in projects on climate change from FP5 to Horizon Europe — https://doi.org/10.18712/nsd-nsd3474-v1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gathers local authorities participating in research projects addressing climate change funded under the European Union's research programmes between January 1998 and February 2026. This data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New ensemble of regional climate projections for Europe — https://doi.org/10.5281/zenodo.20340839</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Operationalising the Climate Change Action Plan of the European Central Bank — https://doi.org/10.1017/9781009450423.013</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The chapter analyses how the climate change action plan developed by the European Central Bank (ECB) as part of its monetary policy strategy review in 2020-2021 is aligned with the ECB’s mandate set out in the Treaty on the Functioning of the European Union and the Treaty on European Union. The Treaties require the ECB to integrate climate change considerations into its monetary policy and to contribute to the EU’s objectives regarding climate change, as established by Regulation (EU) 2021/1119, the European Climate Law. However, there are also legal limits on the action the ECB can take in this field. The chapter examines the key measures proposed as part of the plan from a legal perspective, including measures related to macroeconomic forecasts and models, the collection of statistical information for climate change risk analysis, the enhancement of risk assessment capabilities, asset purchase programmes, and possible changes to the collateral framework. It also considers the questions regarding the ECB’s democratic legitimacy and accountability that arise in this context.</w:t>
      </w:r>
    </w:p>
    <w:p>
      <w:pPr>
        <w:pStyle w:val="Heading2"/>
      </w:pPr>
      <w:r>
        <w:t>609. European cephalopods distribution under climate-change scenarios</w:t>
      </w:r>
    </w:p>
    <w:p>
      <w:pPr>
        <w:pStyle w:val="SourceNote"/>
      </w:pPr>
      <w:r>
        <w:rPr>
          <w:b/>
        </w:rPr>
        <w:t>Original source (2021):</w:t>
      </w:r>
      <w:r>
        <w:t xml:space="preserve"> https://doi.org/10.1038/s41598-021-83457-w</w:t>
      </w:r>
    </w:p>
    <w:p>
      <w:pPr/>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POSSIBLE 2026:</w:t>
      </w:r>
      <w:r>
        <w:t xml:space="preserve"> A new investigation of the Permian Leman Sandstone Formation: suitability for underground hydrogen storage in the Rough field, Southern North Sea, UK — https://doi.org/10.1144/geoenergy2025-035</w:t>
      </w:r>
    </w:p>
    <w:p>
      <w:pPr/>
      <w:r>
        <w:rPr>
          <w:b/>
        </w:rPr>
        <w:t>Shared claim-specific concepts:</w:t>
      </w:r>
      <w:r>
        <w:t xml:space="preserve"> suitability, north, despite, importance; EU scope not established. This is a provisional connection, not an outcome finding.</w:t>
      </w:r>
    </w:p>
    <w:p>
      <w:pPr>
        <w:pStyle w:val="SourceNote"/>
      </w:pPr>
      <w:r>
        <w:rPr>
          <w:b/>
        </w:rPr>
        <w:t>Available abstract (not full text):</w:t>
      </w:r>
      <w:r>
        <w:t xml:space="preserve"> The Rough field in the Southern Permian Basin was originally a producing gas field, later repurposed for natural gas storage and now a target to be the largest hydrogen storage site in the UK. Despite this, few past studies have investigated the facies and mineralogy present in the sandstone reservoir, which is imperative to ascertain its suitability for hydrogen storage. We present new petrographic and facies characterizations of the Permian Leman Sandstone Formation, using core from the Rough field. Our detailed analyses include core logging, SEM-EDX and XRD analyses. This research provides a new reservoir characterization and introduces novel reservoir facies classifications supported by detailed petrography. We identify four facies associations – aeolian, fluvial, sheetflood and floodplain – and find that each facies within the reservoir possesses different minerology. Certain minerals within these facies have the potential to react with hydrogen in some way, causing the potential production of hydrogen sulfide, dissolution and reprecipitation of carbonate minerals and clay mineral transformations. These reactions are dependent on mineralogy and abundance, which varies throughout the mixed heterogeneous facies. After evaluating the petrography and potential mineral reactions, we conclude that the Rough field has potential to be a suitable hydrogen storage site, but there is</w:t>
      </w:r>
    </w:p>
    <w:p>
      <w:pPr/>
      <w:r>
        <w:rPr>
          <w:b/>
        </w:rPr>
        <w:t>POSSIBLE 2026:</w:t>
      </w:r>
      <w:r>
        <w:t xml:space="preserve"> Developments in the European parasitoid community of Dryocosmus kuriphilus — https://doi.org/10.64898/2026.09.01.748543</w:t>
      </w:r>
    </w:p>
    <w:p>
      <w:pPr/>
      <w:r>
        <w:rPr>
          <w:b/>
        </w:rPr>
        <w:t>Shared claim-specific concepts:</w:t>
      </w:r>
      <w:r>
        <w:t xml:space="preserve"> rapidly, increasing, species, major, important, ecological; EU scope visible. This is a provisional connection, not an outcome finding.</w:t>
      </w:r>
    </w:p>
    <w:p>
      <w:pPr>
        <w:pStyle w:val="SourceNote"/>
      </w:pPr>
      <w:r>
        <w:rPr>
          <w:b/>
        </w:rPr>
        <w:t>Available abstract (not full text):</w:t>
      </w:r>
      <w:r>
        <w:t xml:space="preserve"> Abstract The invasive gallwasp Dryocosmus kuriphilus was first detected in Italy in 2002, although likely to have initially arrived in the late 90s. Its ability to utilise sweet chestnut species non-native to its original Chinese range has allowed it to spread rapidly, and throughout Europe via European sweet chestnut Castanea sativa . Given the severity of its impact on C. sativa crop production, particularly in Mediterranean countries, previous studies have aimed to assess damage levels caused by D. kuriphilus, the efficacy of and potential non-target effects of the introduced biocontrol agent Torymus sinensis, and the possibility of regulation by native parasitoids. As yet a broad overview and analytical synthesis of these native parasitoid communities are absent. This review focuses on important aspects of the D. kuriphilus invasion. In particular, the invasion history and currently known distribution of D. kuriphilus , and several aspects of its associated parasitoid community. For native species to plausibly supress D. kuriphilus , we might expect rates of parasitoid attack to increase with establishment time as native populations adapt to exploit the new resource, and this is a key focus of the review. We answer the following questions: 1) What is the distribution of D. kuriphilus in Europe, and has D. kuriphilus fully utilised the available niche space within its 20+ ye</w:t>
      </w:r>
    </w:p>
    <w:p>
      <w:pPr/>
      <w:r>
        <w:rPr>
          <w:b/>
        </w:rPr>
        <w:t>POSSIBLE 2026:</w:t>
      </w:r>
      <w:r>
        <w:t xml:space="preserve"> Climate-driven expansion of climatic suitability for Phlebotomus mascittii at its northern distribution margin in Western Europe under future socioeconomic scenarios — https://doi.org/10.1016/j.actatropica.2026.108315</w:t>
      </w:r>
    </w:p>
    <w:p>
      <w:pPr/>
      <w:r>
        <w:rPr>
          <w:b/>
        </w:rPr>
        <w:t>Shared claim-specific concepts:</w:t>
      </w:r>
      <w:r>
        <w:t xml:space="preserve"> increasing, suitability, all, species; EU scope visible. This is a provisional connection, not an outcome finding.</w:t>
      </w:r>
    </w:p>
    <w:p>
      <w:pPr>
        <w:pStyle w:val="SourceNote"/>
      </w:pPr>
      <w:r>
        <w:rPr>
          <w:b/>
        </w:rPr>
        <w:t>Available abstract (not full text):</w:t>
      </w:r>
      <w:r>
        <w:t xml:space="preserve"> Climate change is expected to drive the northward expansion of phlebotomine sand flies in Europe, increasing the potential for transmission of vector-borne pathogens such as Leishmania infantum. This study assessed the historical baseline and future climatic suitability for Phlebotomus mascittii, the northernmost distributed sand fly species in Europe, across Western Europe. A mixed-effects logistic regression model was developed using summer climatic variables and land cover data, based on standardised field surveys conducted in 2023-2024 across France, Germany, Luxembourg, Belgium, and the Netherlands. The model was applied to project future suitability under three Shared Socioeconomic Pathways (SSP2-4.5, SSP3-7.0, SSP5-8.5) for the periods 2041-2060 and 2081-2100. Results indicate an increase of 20-30 percentage points in predicted climatic suitability relative to the historical baseline across Luxembourg, Belgium, western Germany, and the southern Netherlands by 2041-2060 under all SSP scenarios. By 2081-2100, this expansion intensifies, reaching projected average increases in climatic suitability across the study area of approximately 28 percentage points under SSP2-4.5, 45 percentage points under SSP3-7.0, and 57 percentage points under SSP5-8.5, with the largest increases occurring in the northernmost regions. The model showed moderate discrimination (AUC = 0.74, 95% CI:</w:t>
      </w:r>
    </w:p>
    <w:p>
      <w:pPr/>
      <w:r>
        <w:rPr>
          <w:b/>
        </w:rPr>
        <w:t>POSSIBLE 2026:</w:t>
      </w:r>
      <w:r>
        <w:t xml:space="preserve"> Biosecurity in Sheep and Goat Farming: A Rapid Review of Farmers’ Attitudes, Barriers and Drivers in the Global North — https://doi.org/10.2903/sp.efsa.2026.en-10373</w:t>
      </w:r>
    </w:p>
    <w:p>
      <w:pPr/>
      <w:r>
        <w:rPr>
          <w:b/>
        </w:rPr>
        <w:t>Shared claim-specific concepts:</w:t>
      </w:r>
      <w:r>
        <w:t xml:space="preserve"> environmental, north, important, importance, literature; EU scope visible. This is a provisional connection, not an outcome finding.</w:t>
      </w:r>
    </w:p>
    <w:p>
      <w:pPr>
        <w:pStyle w:val="SourceNote"/>
      </w:pPr>
      <w:r>
        <w:rPr>
          <w:b/>
        </w:rPr>
        <w:t>Available abstract (not full text):</w:t>
      </w:r>
      <w:r>
        <w:t xml:space="preserve"> Abstract A rapid literature review was carried out to explore small ruminant farmers’ practices and attitudes relating to biosecurity. The review focused on sheep and goat farming in the Global North (Europe, North America, Australia and New Zealand). The literature explored farmers’ attitudes to biosecurity, barriers and drivers to biosecurity uptake, attitudes towards biosecurity governance, information sources on biosecurity, perceptions of the effectiveness of measures and general considerations on the limitations and conclusions of studies. Two literature searches were carried out, and a total of 39 papers were reviewed. The literature was predominantly focused on sheep, with only 6 papers including goats. The majority of papers originated from the UK (23 papers) and Australia (6 papers). Surveys was the most commonly used method followed by interviews. In relation to attitudes towards biosecurity, farmers stated they generally felt confident in managing animal health on their farm. The most significant barriers emerged as economic cost, time and practicality. Lack of knowledge on biosecurity was identified, though this was not generally attributed to a lack of available information. The translation of knowledge into a change in practice is complex, meaning practices may not change based on new information alone. In relation to drivers, the importance of farmer‐vet interac</w:t>
      </w:r>
    </w:p>
    <w:p>
      <w:pPr/>
      <w:r>
        <w:rPr>
          <w:b/>
        </w:rPr>
        <w:t>POSSIBLE 2026:</w:t>
      </w:r>
      <w:r>
        <w:t xml:space="preserve"> Landscape Suitability for Red Spruce ( Picea rubens ) Establishment in Virginia — https://doi.org/10.1155/ijfr/8774976</w:t>
      </w:r>
    </w:p>
    <w:p>
      <w:pPr/>
      <w:r>
        <w:rPr>
          <w:b/>
        </w:rPr>
        <w:t>Shared claim-specific concepts:</w:t>
      </w:r>
      <w:r>
        <w:t xml:space="preserve"> increasing, environmental, suitability, north, species, ecological; EU scope visible. This is a provisional connection, not an outcome finding.</w:t>
      </w:r>
    </w:p>
    <w:p>
      <w:pPr>
        <w:pStyle w:val="SourceNote"/>
      </w:pPr>
      <w:r>
        <w:rPr>
          <w:b/>
        </w:rPr>
        <w:t>Available abstract (not full text):</w:t>
      </w:r>
      <w:r>
        <w:t xml:space="preserve"> Relative to surrounding states in the Central and Southern Appalachian Mountains, the area of high‐elevation red spruce ( Picea rubens ) in Virginia is limited. Initial landscape‐wide reductions occurred during the Hypsithermal period following the last glacial period in North America, then further contraction occurred during European settlement with widespread forest clearing and wildfire events at the turn of the 20 th century. Restoration and/or establishment of red spruce forests is a current focus among managers in the region to increase habitat for numerous rare, threatened, and endangered species, to promote landscape diversity and resiliency, and to increase carbon sequestration. Currently, we estimate there are approximately 3980 ha of forest stands either dominated by red spruce, Fraser fir ( Abies fraseri ), or mixed red spruce–northern hardwoods in Virginia. We examined environmental conditions of extant red spruce forests and northern hardwood forests where red spruce could plausibly grow to create a resource selection suitability function to identify areas within the species’ potential Virginia range suitable for reestablishment. Consistent with our expectations, we observed that suitability rises with increasing elevation, decreasing (sheltered) landform index, and decreasing soil pH. Our model‐based estimates predict that there is approximately 140,309 ha where </w:t>
      </w:r>
    </w:p>
    <w:p>
      <w:pPr/>
      <w:r>
        <w:rPr>
          <w:b/>
        </w:rPr>
        <w:t>POSSIBLE 2026:</w:t>
      </w:r>
      <w:r>
        <w:t xml:space="preserve"> A systematic review and multidimensional framework for solar farm site suitability — https://doi.org/10.1016/j.egyr.2026.109613</w:t>
      </w:r>
    </w:p>
    <w:p>
      <w:pPr/>
      <w:r>
        <w:rPr>
          <w:b/>
        </w:rPr>
        <w:t>Shared claim-specific concepts:</w:t>
      </w:r>
      <w:r>
        <w:t xml:space="preserve"> environmental, suitability, addresses; EU scope not established. This is a provisional connection, not an outcome finding.</w:t>
      </w:r>
    </w:p>
    <w:p>
      <w:pPr>
        <w:pStyle w:val="SourceNote"/>
      </w:pPr>
      <w:r>
        <w:rPr>
          <w:b/>
        </w:rPr>
        <w:t>Available abstract (not full text):</w:t>
      </w:r>
      <w:r>
        <w:t xml:space="preserve"> The rapid expansion of solar photovoltaic energy requires efficient, multidimensional site-selection strategies to ensure long-term sustainability and investment efficiency. Selecting optimal locations for utility-scale solar PV farms is a critical part of energy system planning. However, existing reviews often focus on isolated dimensions, failing to provide a comprehensive synthesis of technical, economic, environmental, and social factors together. This study addresses this gap by conducting a systematic review integrating the SALSA framework with the PSALSAR methodology, screening 523 peer-reviewed publications, and synthesizing 103 high-impact studies from 2015 to 2025. The analysis identifies 11 key sub-factors across four pillars (technical, economic, environmental, and social) and introduces a three-phase decision logic (exclusionary screening, technical-economic optimization, and socio-climatic validation). Quantitative synthesis highlights a significant shift toward GIS-MCDM approaches and provides a frequency analysis of regional criteria. This integrated model provides a structured roadmap for developers and policymakers to align localized site selection with grid stability and national renewable energy targets.</w:t>
      </w:r>
    </w:p>
    <w:p>
      <w:pPr/>
      <w:r>
        <w:rPr>
          <w:b/>
        </w:rPr>
        <w:t>POSSIBLE 2026:</w:t>
      </w:r>
      <w:r>
        <w:t xml:space="preserve"> Spatial–Temporal Evolution and Driving Mechanism of Territorial Space Conflicts in Rapid Urbanization Areas from the Perspective of Suitability: An Empirical Study of Jinan City, China — https://doi.org/10.3390/land15010191</w:t>
      </w:r>
    </w:p>
    <w:p>
      <w:pPr/>
      <w:r>
        <w:rPr>
          <w:b/>
        </w:rPr>
        <w:t>Shared claim-specific concepts:</w:t>
      </w:r>
      <w:r>
        <w:t xml:space="preserve"> suitability, ecological, central; EU scope not established. This is a provisional connection, not an outcome finding.</w:t>
      </w:r>
    </w:p>
    <w:p>
      <w:pPr>
        <w:pStyle w:val="SourceNote"/>
      </w:pPr>
      <w:r>
        <w:rPr>
          <w:b/>
        </w:rPr>
        <w:t>Available abstract (not full text):</w:t>
      </w:r>
      <w:r>
        <w:t xml:space="preserve"> The precise identification of territorial space conflicts (TSCs) and their driving mechanisms is key to enhancing spatial security governance. Taking Jinan City as a case study, this research evaluates territorial space suitability across production, living, and ecological dimensions, proposes an empirical TSC identification model, and employs GeoDetector to analyze spatiotemporal evolution patterns and driving mechanisms. The results indicated that (1) from 2000 to 2020, significant spatial heterogeneity characterized the suitability of production–living–ecological spaces in Jinan City. High suitability zones of production and living space expanded in the northern plain along the Yellow River and central piedmont plain, respectively, while those of ecological space contracted in the southern mountainous and hilly areas. (2) Significant spatiotemporal variations in territorial space conflicts (TSCs) were observed in Jinan City over the past two decades. Intense conflicts dominated production–living and production–ecological space interactions, while moderate conflicts were prevalent in living–ecological and production–living–ecological space interactions. Production–living space conflict zones expanded, living–ecological space conflict zones contracted, and production–ecological and production–living–ecological space conflict zones showed consistent expansion trends. (3) The sp</w:t>
      </w:r>
    </w:p>
    <w:p>
      <w:pPr/>
      <w:r>
        <w:rPr>
          <w:b/>
        </w:rPr>
        <w:t>POSSIBLE 2026:</w:t>
      </w:r>
      <w:r>
        <w:t xml:space="preserve"> Online Gambling In Europe: Prevalence, Risk and Regulatory Challenges In The Digital Era — https://doi.org/10.35198/01-2026-001-0004</w:t>
      </w:r>
    </w:p>
    <w:p>
      <w:pPr/>
      <w:r>
        <w:rPr>
          <w:b/>
        </w:rPr>
        <w:t>Shared claim-specific concepts:</w:t>
      </w:r>
      <w:r>
        <w:t xml:space="preserve"> rapidly, increasing, central; EU scope visible. This is a provisional connection, not an outcome finding.</w:t>
      </w:r>
    </w:p>
    <w:p>
      <w:pPr>
        <w:pStyle w:val="SourceNote"/>
      </w:pPr>
      <w:r>
        <w:rPr>
          <w:b/>
        </w:rPr>
        <w:t>Available abstract (not full text):</w:t>
      </w:r>
      <w:r>
        <w:t xml:space="preserve"> INTRODUCTION: Digital transformation and market liberalisation have intensified the growth of online gambling and related risks, underscoring the need for targeted research, regulation, and prevention.This study synthesises evidence on the prevalence, regional differences, and effectiveness of digital regulatory measures.METHODS: This study was designed as a comprehensive secondary analysis and systematic review of available empirical data on online gambling in Europe, focusing on prevalence, risk behaviours, and regulatory policies.RESULTS: Online gambling in Europe is rising, especially among young people and men.Apparent regional differences exist: Western and Northern Europe show higher participation, while Central and Eastern Europe show more dynamic growth.Adolescent exposure is increasing.Regulatory models that combine state restrictions with mandatory data sharing appear more effective than voluntary approaches.CONCLUSIONS: Online gambling in Europe is rapidly expanding and constitutes a serious public health concern, requiring a coherent, evidence-based, and ethically responsible policy that protects vulnerable populations.</w:t>
      </w:r>
    </w:p>
    <w:p>
      <w:pPr/>
      <w:r>
        <w:rPr>
          <w:b/>
        </w:rPr>
        <w:t>POSSIBLE 2026:</w:t>
      </w:r>
      <w:r>
        <w:t xml:space="preserve"> The rare and the common: habitat suitability and niche segregation of Anopheles algeriensis (Theobald, 1903) and Anopheles claviger s.s. (Meigen, 1804) in North-German peatlands is shaped by distinct landscape–weather interactions — https://doi.org/10.1186/s13071-026-07612-w</w:t>
      </w:r>
    </w:p>
    <w:p>
      <w:pPr/>
      <w:r>
        <w:rPr>
          <w:b/>
        </w:rPr>
        <w:t>Shared claim-specific concepts:</w:t>
      </w:r>
      <w:r>
        <w:t xml:space="preserve"> suitability, species, despite, ecological; EU scope visible. This is a provisional connection, not an outcome finding.</w:t>
      </w:r>
    </w:p>
    <w:p>
      <w:pPr>
        <w:pStyle w:val="SourceNote"/>
      </w:pPr>
      <w:r>
        <w:rPr>
          <w:b/>
        </w:rPr>
        <w:t>Available abstract (not full text):</w:t>
      </w:r>
      <w:r>
        <w:t xml:space="preserve"> BACKGROUND: Peatland rewetting is a cost-effective strategy for climate change mitigation and biodiversity conservation, yet its potential to alter mosquito species composition and abundance carries implications for public and veterinary health. Anopheles algeriensis and Anopheles claviger s.s. are broadly distributed across European wetlands, including peatlands, but despite their vector potential, their specific ecological niches and responses to rewetting remain poorly understood. METHODS: Adult mosquitoes were sampled biweekly across two consecutive seasons at 15 sites within a fen peatland landscape in North-East Germany and identified morphologically. Anopheline specimens outside the Anopheles maculipennis complex underwent further molecular identification. Sampling sites were grouped into three habitat types, wet peatlands, drained peatlands, and settlements, based on key peatland characteristics. Subsequently, generalised linear mixed models were used to assess species-specific responses to habitat type and their interactions with relevant weather variables. RESULTS: A total of 278 An. algeriensis individuals were collected, with significantly higher abundances observed in wet peatlands than in other habitat types. Mean temperature and mean relative humidity were positively correlated with abundance. The former independent of habitat types, the latter was modulated by t</w:t>
      </w:r>
    </w:p>
    <w:p>
      <w:pPr/>
      <w:r>
        <w:rPr>
          <w:b/>
        </w:rPr>
        <w:t>POSSIBLE 2026:</w:t>
      </w:r>
      <w:r>
        <w:t xml:space="preserve"> Spatial resilience and population replacement in Europe during MIS 3: a comparative study of Neanderthals and H. sapiens — https://doi.org/10.1016/j.quascirev.2026.109850</w:t>
      </w:r>
    </w:p>
    <w:p>
      <w:pPr/>
      <w:r>
        <w:rPr>
          <w:b/>
        </w:rPr>
        <w:t>Shared claim-specific concepts:</w:t>
      </w:r>
      <w:r>
        <w:t xml:space="preserve"> suitability, species, despite; EU scope visible. This is a provisional connection, not an outcome finding.</w:t>
      </w:r>
    </w:p>
    <w:p>
      <w:pPr>
        <w:pStyle w:val="SourceNote"/>
      </w:pPr>
      <w:r>
        <w:rPr>
          <w:b/>
        </w:rPr>
        <w:t>Available abstract (not full text):</w:t>
      </w:r>
      <w:r>
        <w:t xml:space="preserve"> Homo sapiens dispersed out of Africa several times during the Late Pleistocene. The most recent dispersal event, which began around 60,000 years ago, resulted in the permanent establishment of Sapiens populations in Europe, followed by the disappearance of Neanderthals from the archaeological record. Various hypotheses suggest that the process of population replacement in Europe was influenced by climate change, habitat dynamics, demographic processes, and/or competitive exclusion. To test these hypotheses, we use habitat suitability modeling and GIS tools to predict the optimal distribution of Neanderthal and Aurignacian populations in Europe during stadial and interstadial events of Marine Isotope Stage 3 (MIS 3) and reconstruct their regional networks. The models show that while relatively more suitable habitat was available for Homo sapiens under interstadial conditions, both groups were affected by climate change resulting in shifts in the location of optimal regions and concomitant changes in the social networks that connected them. Our analysis indicates that optimally suitable habitat persisted across the potential ranges of both species despite climate change. Climate stress alone is not indicated as a cause of Neanderthal's extinction, therefore. Several “core” regions are identified that could have sustained a pattern of demographic resilience, allowing populations t</w:t>
      </w:r>
    </w:p>
    <w:p>
      <w:pPr/>
      <w:r>
        <w:rPr>
          <w:b/>
        </w:rPr>
        <w:t>POSSIBLE 2026:</w:t>
      </w:r>
      <w:r>
        <w:t xml:space="preserve"> Evaluating non-lethal tissue suitability for telomere length measurement in the Japanese eel — https://doi.org/10.64898/2026.05.09.723945</w:t>
      </w:r>
    </w:p>
    <w:p>
      <w:pPr/>
      <w:r>
        <w:rPr>
          <w:b/>
        </w:rPr>
        <w:t>Shared claim-specific concepts:</w:t>
      </w:r>
      <w:r>
        <w:t xml:space="preserve"> environmental, suitability, all, species, ecological; EU scope not established. This is a provisional connection, not an outcome finding.</w:t>
      </w:r>
    </w:p>
    <w:p>
      <w:pPr>
        <w:pStyle w:val="SourceNote"/>
      </w:pPr>
      <w:r>
        <w:rPr>
          <w:b/>
        </w:rPr>
        <w:t>Available abstract (not full text):</w:t>
      </w:r>
      <w:r>
        <w:t xml:space="preserve"> Abstract Telomere length (TL) is increasingly used in ecology as a biomarker of individual quality and environmental stress, yet research on non-model species with complex life histories remains limited. Because TL varies among tissues and across ages in a species-specific manner, identifying non-lethal tissues that reliably reflect whole-organism telomere dynamics is essential for longitudinal telomere studies in the field. This study aimed to evaluate tissue-specific TL in Japanese eel ( Anguilla japonica ), an endangered catadromous fish. We first mapped the chromosomal distribution of telomeric sequences using fluorescent in situ hybridization (FISH), the first application of this method in this species. We then tested whether muscle and caudal fin, which can be sampled easily and non-lethally, can serve as suitable proxy tissues for TL measurements in wild individuals. Relative telomere length (RTL) was quantified by qPCR in blood, brain, caudal fin, gonads, heart, liver, and muscle. FISH analysis confirmed telomeric repeats at all chromosomal ends, with only weak interstitial signals on three chromosomal pairs unlikely to affect qPCR-based estimates. A generalized additive mixed model and Wilcoxon’s signed-rank tests revealed significant inter-tissue differences: RTL was shortest in the brain and muscle and longest in liver, blood and caudal fin. Muscle and caudal fin RTL</w:t>
      </w:r>
    </w:p>
    <w:p>
      <w:pPr/>
      <w:r>
        <w:rPr>
          <w:b/>
        </w:rPr>
        <w:t>POSSIBLE 2026:</w:t>
      </w:r>
      <w:r>
        <w:t xml:space="preserve"> Just another white-striped mosquito? A scoping review and group discussion synthesis on Aedes koreicus in Europe — https://doi.org/10.1016/j.actatropica.2026.108302</w:t>
      </w:r>
    </w:p>
    <w:p>
      <w:pPr/>
      <w:r>
        <w:rPr>
          <w:b/>
        </w:rPr>
        <w:t>Shared claim-specific concepts:</w:t>
      </w:r>
      <w:r>
        <w:t xml:space="preserve"> all, species, despite, ecological, literature; EU scope visible. This is a provisional connection, not an outcome finding.</w:t>
      </w:r>
    </w:p>
    <w:p>
      <w:pPr>
        <w:pStyle w:val="SourceNote"/>
      </w:pPr>
      <w:r>
        <w:rPr>
          <w:b/>
        </w:rPr>
        <w:t>Available abstract (not full text):</w:t>
      </w:r>
      <w:r>
        <w:t xml:space="preserve"> Among the several Asian Aedes species that have established in Europe over recent decades, Aedes koreicus has received comparatively little research attention since its first detection in Belgium in 2008, despite its remarkable ability to colonise montane and peri‑alpine localities at elevations beyond the reach of its congener Aedes albopictus. Nearly two decades after its European detection, a systematic synthesis of the available evidence and a structured assessment of research and operational priorities are overdue. This paper presents the results of a scoping review of the scientific literature on Ae. koreicus combined with the outcomes of a multidisciplinary expert workshop held in Trento, Italy, in February 2026, which brought together 41 researchers and practitioners from six European countries with expertise in mosquito surveillance, medical entomology, genomics, ecological modelling and public health practice. Through the literature search we obtained a total of 334 articles, of which 91 were eventually included, all published after 2011. Most of the studies were carried out within Europe, focusing mostly on mosquito surveillance. Building upon the scoping review, the workshop identified key priorities for advancing knowledge and operational responses to Ae. koreicus, including strengthened surveillance in montane and lowland areas, improved characterisation of its ve</w:t>
      </w:r>
    </w:p>
    <w:p>
      <w:pPr>
        <w:pStyle w:val="Heading2"/>
      </w:pPr>
      <w:r>
        <w:t>610. Fiscal foresighting: analysis of researches</w:t>
      </w:r>
    </w:p>
    <w:p>
      <w:pPr>
        <w:pStyle w:val="SourceNote"/>
      </w:pPr>
      <w:r>
        <w:rPr>
          <w:b/>
        </w:rPr>
        <w:t>Original source (2021):</w:t>
      </w:r>
      <w:r>
        <w:t xml:space="preserve"> https://doi.org/10.15407/econindustry2021.02.071</w:t>
      </w:r>
    </w:p>
    <w:p>
      <w:pPr/>
      <w:r>
        <w:t>Original wording (abstract; indexed_source_text_not_full_document_verified):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POSSIBLE 2026:</w:t>
      </w:r>
      <w:r>
        <w:t xml:space="preserve"> Theoretical Framework for Analysing Regional Economic Governance: A Comparative Study of African Blocs — https://doi.org/10.5281/zenodo.18934399</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https://doi.org/10.5281/zenodo.18935050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https://doi.org/10.5281/zenodo.18936851</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national, identify, significant;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Essays on fiscal policy — https://doi.org/10.82444/warw.33725077</w:t>
      </w:r>
    </w:p>
    <w:p>
      <w:pPr/>
      <w:r>
        <w:rPr>
          <w:b/>
        </w:rPr>
        <w:t>Shared claim-specific concepts:</w:t>
      </w:r>
      <w:r>
        <w:t xml:space="preserve"> fiscal, based; EU scope visible. This is a provisional connection, not an outcome finding.</w:t>
      </w:r>
    </w:p>
    <w:p>
      <w:pPr>
        <w:pStyle w:val="SourceNote"/>
      </w:pPr>
      <w:r>
        <w:rPr>
          <w:b/>
        </w:rPr>
        <w:t>Available abstract (not full text):</w:t>
      </w:r>
      <w:r>
        <w:t xml:space="preserve"> High levels of either public debt or wealth inequality are detrimental to social and economic stability. At a time when reducing public debt and decreasing wealth inequality have become important policy priorities, the question arises about whether these two goals stand in con ict. With this in mind, Chapter 1 assesses the effects of public debt on wealth inequality based on an analytically tractable model of heterogeneous agents. Its scope, in particular, is to investigate whether a reduction of public debt or of budget deficits in general might amplify or not the levels of wealth inequality. In answering this question, we explore a novel channel where, for example, a reduction in budget deficits amplifies wealth inequality due to the change in factor prices, and in particular that of interest rates. Therefore, and besides that our research is the first to explore this type of question, our main contribution is that we show how a change in public debt can affect wealth inequality in an implicit way through the change in factor incomes - that is, the general equilibrium effects. In Chapter 2, on the other hand, we study the design of policies within an endogenous growth model of incomplete markets and partial commitment. Markets are incomplete in two dimensions, the government cannot insure itself from the presence of aggregate risk, and the accumulation of human capital is sub</w:t>
      </w:r>
    </w:p>
    <w:p>
      <w:pPr/>
      <w:r>
        <w:rPr>
          <w:b/>
        </w:rPr>
        <w:t>POSSIBLE 2026:</w:t>
      </w:r>
      <w:r>
        <w:t xml:space="preserve"> Unveiling the Theoretical Framework — https://doi.org/10.4324/9781003727927-2</w:t>
      </w:r>
    </w:p>
    <w:p>
      <w:pPr/>
      <w:r>
        <w:rPr>
          <w:b/>
        </w:rPr>
        <w:t>Shared claim-specific concepts:</w:t>
      </w:r>
      <w:r>
        <w:t xml:space="preserve"> objective, theoretical, fiscal; EU scope not established. This is a provisional connection, not an outcome finding.</w:t>
      </w:r>
    </w:p>
    <w:p>
      <w:pPr>
        <w:pStyle w:val="SourceNote"/>
      </w:pPr>
      <w:r>
        <w:rPr>
          <w:b/>
        </w:rPr>
        <w:t>Available abstract (not full text):</w:t>
      </w:r>
      <w:r>
        <w:t xml:space="preserve"> The chapter outlines the theoretical framework for examining the resource mobilisation in Union Parishads (UPs) through theories and concepts. At the onset of the chapter, the authors exposed how the theoretical framework helps in understanding the dynamics of the resource. The five theories mentioned in the chapter include Resource Dependency Theory, Fiscal Decentralisation Theory, Institutional Theory, Governance and the Accountability Framework, and Local Economic Development Theory. The chapter clarifies and specifies the key concepts of local government, resource mobilisation, challenges, and opportunities. Resource mobilisation is the dependent variable indicated by revenue generation, service delivery capacity, and partnership building. The effect of the independent variables – financial autonomy, revenue generation capacity, governance and accountability mechanisms, and intergovernmental relations – on the dependent variable is assessed. The provision of an analytical framework in order to synthesise these theories and concepts would enhance the understanding of resource mobilisation. This framework provides a perspective towards the objective of the study, which would help understand the way UPs deal with their financial and governance issues. As such, this chapter lays the groundwork for the empirical analyses in subsequent chapters.</w:t>
      </w:r>
    </w:p>
    <w:p>
      <w:pPr/>
      <w:r>
        <w:rPr>
          <w:b/>
        </w:rPr>
        <w:t>POSSIBLE 2026:</w:t>
      </w:r>
      <w:r>
        <w:t xml:space="preserve"> Strategic foresight provides insight into the resilience of climate-neutral farming transitions in a volatile world — https://doi.org/10.1038/s44264-026-00185-2</w:t>
      </w:r>
    </w:p>
    <w:p>
      <w:pPr/>
      <w:r>
        <w:rPr>
          <w:b/>
        </w:rPr>
        <w:t>Shared claim-specific concepts:</w:t>
      </w:r>
      <w:r>
        <w:t xml:space="preserve"> foresight, long-term, indicators; EU scope visible. This is a provisional connection, not an outcome finding.</w:t>
      </w:r>
    </w:p>
    <w:p>
      <w:pPr>
        <w:pStyle w:val="SourceNote"/>
      </w:pPr>
      <w:r>
        <w:rPr>
          <w:b/>
        </w:rPr>
        <w:t>Available abstract (not full text):</w:t>
      </w:r>
      <w:r>
        <w:t xml:space="preserve"> Farmers manage almost 5 billion hectares of land globally, deliver food security and underpin cultural and economic life in rural areas. Farming policies typically prioritise stability and incremental change to mitigate risk. Yet scientific evidence points to a need for transformative change across the land sector to effectively tackle the climate and biodiversity crises. Meanwhile, climate and geopolitical volatility underscore the need for resilient farm systems. Reconciling multifaceted objectives within long-term strategic policymaking for farming and land use is a major challenge, requiring multi-dimensional evidence. Using Ireland's land sector as an example, we employ strategic foresight combined with quantitative back-casting to explore alternative climate-neutral farming pathways under different future contexts. Bioeconomy and protein diversification pathways score better across sustainability, resilience and risk indicators compared with business as usual (BAU) under uncertain futures represented by shared socioeconomic pathways. These findings help to situate the important, tangible risks associated with climate-neutral transitions against multifaceted risks facing farming stakeholders under BAU.</w:t>
      </w:r>
    </w:p>
    <w:p>
      <w:pPr/>
      <w:r>
        <w:rPr>
          <w:b/>
        </w:rPr>
        <w:t>POSSIBLE 2026:</w:t>
      </w:r>
      <w:r>
        <w:t xml:space="preserve"> After the pandemic: Optimal fiscal policies for Slovenia — https://doi.org/10.1007/s10663-026-09691-5</w:t>
      </w:r>
    </w:p>
    <w:p>
      <w:pPr/>
      <w:r>
        <w:rPr>
          <w:b/>
        </w:rPr>
        <w:t>Shared claim-specific concepts:</w:t>
      </w:r>
      <w:r>
        <w:t xml:space="preserve"> objective, fiscal, both; EU scope visible. This is a provisional connection, not an outcome finding.</w:t>
      </w:r>
    </w:p>
    <w:p>
      <w:pPr>
        <w:pStyle w:val="SourceNote"/>
      </w:pPr>
      <w:r>
        <w:rPr>
          <w:b/>
        </w:rPr>
        <w:t>Available abstract (not full text):</w:t>
      </w:r>
      <w:r>
        <w:t xml:space="preserve"> Abstract This paper derives implementable medium-run fiscal instrument paths for Slovenia, a small Euro-Area economy, in response to plausible transitory external shocks. We combine the macroeconometric model SLOPOL12 with a stochastic optimal-control framework in which the objective function is operationalized from a survey of Slovenian policy makers’ macroeconomic priorities. Approximately optimal policies are computed using the OPTCON algorithm in relation to a baseline forecast and alternative shock scenarios. The results highlight a systematic trade-off between stabilizing output and employment and maintaining fiscal sustainability in terms of the deficit and public debt. Across scenarios, instruments that influence both the demand side and potential output, most notably direct taxes and public investment in physical and human capital (including R&amp;D-related spending), are optimal for cyclical stabilization while instruments with predominantly demand-side or budgetary effects, such as VAT, government consumption, and residual revenues, primarily assigned to budgetary consolidation. The qualitative patterns are robust across shocks and clarify how differential instrument effectiveness shapes the optimal timing and composition of policy adjustment under explicit constraints and stated policy objectives.</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both, system;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Four Cases of Foresight and Futures Thinking in Public Universities Under the Discourse of University Disruption — https://doi.org/10.1057/s41307-026-00472-0</w:t>
      </w:r>
    </w:p>
    <w:p>
      <w:pPr/>
      <w:r>
        <w:rPr>
          <w:b/>
        </w:rPr>
        <w:t>Shared claim-specific concepts:</w:t>
      </w:r>
      <w:r>
        <w:t xml:space="preserve"> aspects, foresight, long-term, significant; EU scope not established. This is a provisional connection, not an outcome finding.</w:t>
      </w:r>
    </w:p>
    <w:p>
      <w:pPr>
        <w:pStyle w:val="SourceNote"/>
      </w:pPr>
      <w:r>
        <w:rPr>
          <w:b/>
        </w:rPr>
        <w:t>Available abstract (not full text):</w:t>
      </w:r>
      <w:r>
        <w:t xml:space="preserve"> Abstract The operating environment of higher education in the twenty-first century is undergoing rapid change. Public universities are in an imagination crisis, searching for alternative roles in the knowledge-based economy. To find the right actions at the right time, many universities have begun to incorporate foresight into their strategic thinking processes. This study investigates foresight practices in public universities through the lens of futures research, an interdisciplinary field concerned with the systematic study of possible, probable, and preferable futures. It begins by addressing key environmental tensions that shape the strategic challenges faced by public universities today, exploring how foresight and futures thinking contribute to the strategic capacity of these institutions, and reflecting on what can be learned from current foresight practices in public universities. Our findings suggest that foresight approaches are of significant assistance to public universities in identifying alternative futures, preparing for environmental changes, and capitalising on market-driven opportunities. Nevertheless, university foresight remains conservative and reinforces the traditional roles of universities in education and research. We recommend pursuing participatory and continuous foresight to capture novel potentials and stretching the temporal aspects of strategic t</w:t>
      </w:r>
    </w:p>
    <w:p>
      <w:pPr/>
      <w:r>
        <w:rPr>
          <w:b/>
        </w:rPr>
        <w:t>POSSIBLE 2026:</w:t>
      </w:r>
      <w:r>
        <w:t xml:space="preserve"> THEORETICAL AND PRACTICAL ASPECTS OF QUALIFYING PICKPOCKETING: ANALYSIS OF THE OBJECTIVE AND SUBJECTIVE ELEMENTS — https://doi.org/10.5281/zenodo.18723249</w:t>
      </w:r>
    </w:p>
    <w:p>
      <w:pPr/>
      <w:r>
        <w:rPr>
          <w:b/>
        </w:rPr>
        <w:t>Shared claim-specific concepts:</w:t>
      </w:r>
      <w:r>
        <w:t xml:space="preserve"> objective, theoretical, aspects; EU scope not established. This is a provisional connection, not an outcome finding.</w:t>
      </w:r>
    </w:p>
    <w:p>
      <w:pPr>
        <w:pStyle w:val="SourceNote"/>
      </w:pPr>
      <w:r>
        <w:rPr>
          <w:b/>
        </w:rPr>
        <w:t>Available abstract (not full text):</w:t>
      </w:r>
      <w:r>
        <w:t xml:space="preserve"> The article addresses complex issues in qualifying pickpocketing. It argues for the priority of the subjective criterion when assessing the "secrecy" of the act. It examines the transformation of a secretly initiated act into robbery or assault. The analysis establishes that the crime is completed upon the "real possibility" to dispose of the property, and the "empty pocket" scenario ("attempt on an unfit object") must be qualified as an attempt. It is also substantiated that the subjective side is characterized only by direct intent and a mandatory mercenary motive; without this motive (e.g., revenge), the act cannot be qualified as pickpocketing.</w:t>
      </w:r>
    </w:p>
    <w:p>
      <w:pPr/>
      <w:r>
        <w:rPr>
          <w:b/>
        </w:rPr>
        <w:t>POSSIBLE 2026:</w:t>
      </w:r>
      <w:r>
        <w:t xml:space="preserve"> THE ROLE OF FOREIGN EXPERIENCE IN ANALYSING THE THEORETICAL FOUNDATIONS OF THE AUDIT OF FINANCIAL LIABILITIES — https://doi.org/10.5281/zenodo.20449604</w:t>
      </w:r>
    </w:p>
    <w:p>
      <w:pPr/>
      <w:r>
        <w:rPr>
          <w:b/>
        </w:rPr>
        <w:t>Shared claim-specific concepts:</w:t>
      </w:r>
      <w:r>
        <w:t xml:space="preserve"> theoretical, foreign, experience; EU scope not established. This is a provisional connection, not an outcome finding.</w:t>
      </w:r>
    </w:p>
    <w:p>
      <w:pPr>
        <w:pStyle w:val="SourceNote"/>
      </w:pPr>
      <w:r>
        <w:rPr>
          <w:b/>
        </w:rPr>
        <w:t>Available abstract (not full text):</w:t>
      </w:r>
      <w:r>
        <w:t xml:space="preserve"> This article examines the theoretical and methodological foundations of the audit of financial liabilities and therole of foreign experience in advancing them. Unlike the audit of assets, which is dominated by the risk of overstatementand the existence assertion, the audit of liabilities is governed by the risk of understatement or omission; the completenessassertion is therefore central and calls for procedures aimed at the search for unrecorded liabilities. Drawing on theInternational Standards on Auditing (ISA 315, 330, 500, 501, 505), the International Financial Reporting Standards (IAS32, IFRS 9, IAS 37) and the approaches of the Anglo-American and CIS audit schools, the study offers recommendationsfor adapting risk-based methodology, external-confirmation practice and the audit of estimated liabilities to nationalconditions.</w:t>
      </w:r>
    </w:p>
    <w:p>
      <w:pPr>
        <w:pStyle w:val="Heading2"/>
      </w:pPr>
      <w:r>
        <w:t>611. Five transition pathways to renewable energy futures—scenarios from a Delphi study on key drivers and policy options</w:t>
      </w:r>
    </w:p>
    <w:p>
      <w:pPr>
        <w:pStyle w:val="SourceNote"/>
      </w:pPr>
      <w:r>
        <w:rPr>
          <w:b/>
        </w:rPr>
        <w:t>Original source (2021):</w:t>
      </w:r>
      <w:r>
        <w:t xml:space="preserve"> https://doi.org/10.1186/s40309-021-00185-0</w:t>
      </w:r>
    </w:p>
    <w:p>
      <w:pPr/>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POSSIBLE 2026:</w:t>
      </w:r>
      <w:r>
        <w:t xml:space="preserve"> Framing the Climate Crisis in European Media: A Comparative Study of Five Major News Outlets — https://doi.org/10.5281/zenodo.22795894</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study examines how five major national news outlets in EU member states framed climate change between 2022 and 2025, a period shaped by Russia’s invasion of Ukraine, implementation of the European Green Deal, and growing political contestation over the pace of the green transition. Drawing on Entman’s framing theory, comparative media-systems research, and critical discourse analysis (CDA), it analyses a purposive corpus of 112 articles from Der Spiegel, Le Monde, La Repubblica, Gazeta Wyborcza, and El País. Each article was assigned one primary frame and, where applicable, one secondary frame. Across the corpus, national sovereignty was the most frequent primary frame (39 of 112 articles), although patterns varied substantially by outlet: Gazeta Wyborcza was distinctive for its emphasis on just transition, while El País was the only outlet in which scientific urgency was the leading primary frame. The article introduces the Energy Security Bridge-Delay Framework, which distinguishes energy-security discourse that accelerates decarbonisation (Bridge), temporarily accommodates fossil-fuel use within a defined transition pathway (Transitional), or justifies indefinite postponement (Delay). A 21-article CDA sub-sample examines these categories in greater depth. The findings indicate that energy-security discourse is not inherently supportive of or hostile to climate transitio</w:t>
      </w:r>
    </w:p>
    <w:p>
      <w:pPr/>
      <w:r>
        <w:rPr>
          <w:b/>
        </w:rPr>
        <w:t>POSSIBLE 2026:</w:t>
      </w:r>
      <w:r>
        <w:t xml:space="preserve"> Socio-technical Imaginaries and Citizen Engagement in the Energy Transition: Perspectives from Five Renewable Energy Community Ecosystems in the European Union — https://doi.org/10.6093/2723-9608/12365</w:t>
      </w:r>
    </w:p>
    <w:p>
      <w:pPr/>
      <w:r>
        <w:rPr>
          <w:b/>
        </w:rPr>
        <w:t>Shared claim-specific concepts:</w:t>
      </w:r>
      <w:r>
        <w:t xml:space="preserve"> five, energy; EU scope visible. This is a provisional connection, not an outcome finding.</w:t>
      </w:r>
    </w:p>
    <w:p>
      <w:pPr>
        <w:pStyle w:val="SourceNote"/>
      </w:pPr>
      <w:r>
        <w:rPr>
          <w:b/>
        </w:rPr>
        <w:t>Available abstract (not full text):</w:t>
      </w:r>
      <w:r>
        <w:t xml:space="preserve"> Renewable Energy Communities (RECs) are key to EU energy transitions, but their development depends not only on technical or economic factors, but also on local sociotechnical imaginaries. Based on five case studies, this research shows how visions of justice, participation, and territory shape RECs, highlighting the need for context-sensitive policies.</w:t>
      </w:r>
    </w:p>
    <w:p>
      <w:pPr/>
      <w:r>
        <w:rPr>
          <w:b/>
        </w:rPr>
        <w:t>POSSIBLE 2026:</w:t>
      </w:r>
      <w:r>
        <w:t xml:space="preserve"> Historical trajectories of democratic innovations in Finland — https://doi.org/10.1017/s1682098325100040</w:t>
      </w:r>
    </w:p>
    <w:p>
      <w:pPr/>
      <w:r>
        <w:rPr>
          <w:b/>
        </w:rPr>
        <w:t>Shared claim-specific concepts:</w:t>
      </w:r>
      <w:r>
        <w:t xml:space="preserve"> article, five, finland; EU scope visible. This is a provisional connection, not an outcome finding.</w:t>
      </w:r>
    </w:p>
    <w:p>
      <w:pPr>
        <w:pStyle w:val="SourceNote"/>
      </w:pPr>
      <w:r>
        <w:rPr>
          <w:b/>
        </w:rPr>
        <w:t>Available abstract (not full text):</w:t>
      </w:r>
      <w:r>
        <w:t xml:space="preserve"> Abstract Democratic innovations have gained popularity in Finland, especially during the last 15 years, at the national and subnational level. However, research on Finnish democratic innovations is still fragmented, focusing on isolated methods, case studies, and experiments. Our article aims to provide a first comprehensive outlook of the diffusion of democratic innovations in Finland. From the 1980s onwards, we identify five legislative milestones that illustrate the gradual institutionalisation of various innovations. Furthermore, we trace the historical roots of three sets of innovations – direct democratic instruments, participatory budgeting, and deliberative mini-publics – and describe their scope and patterns of dissemination. Our inspection shows that democratic innovations have created truly novel channels for citizen influence, but their impact varies greatly. While policymakers still have doubts of citizens’ competences, our analysis suggests a growing role for democratic innovations in Finnish politics, supported by their institutionalisation as well as pragmatic adaptation.</w:t>
      </w:r>
    </w:p>
    <w:p>
      <w:pPr/>
      <w:r>
        <w:rPr>
          <w:b/>
        </w:rPr>
        <w:t>POSSIBLE 2026:</w:t>
      </w:r>
      <w:r>
        <w:t xml:space="preserve"> Social Exclusion of Unmarried Women : A Phenomenological Study of the Experience of Five Nigerian Pentecostal Women in Finland — https://openalex.org/W7164977298</w:t>
      </w:r>
    </w:p>
    <w:p>
      <w:pPr/>
      <w:r>
        <w:rPr>
          <w:b/>
        </w:rPr>
        <w:t>Shared claim-specific concepts:</w:t>
      </w:r>
      <w:r>
        <w:t xml:space="preserve"> five, finland, therefore; EU scope visible. This is a provisional connection, not an outcome finding.</w:t>
      </w:r>
    </w:p>
    <w:p>
      <w:pPr>
        <w:pStyle w:val="SourceNote"/>
      </w:pPr>
      <w:r>
        <w:rPr>
          <w:b/>
        </w:rPr>
        <w:t>Available abstract (not full text):</w:t>
      </w:r>
      <w:r>
        <w:t xml:space="preserve"> This study examines the social exclusion of unmarried Nigerian Pentecostal women residing in Finland, with a focus on how humour functions as a channel for exclusion within church community. Despite an improving body of literature on social exclusion and gender, the intersection of marital status as it relates to religious identity remains underexplored. This study addresses that gap by asking: what role does humour play in the exclusion of unmarried women in the Pentecostal church, and how do these women experience humour from various church contexts, and what effect does it have on their social and emotional well-being? A qualitative research design was adopted, combining semi-structured individual interviews and a focus group interview with five Nigerian Pentecostal women living in Finland. Data were analysed using thematic analysis, generating themes across stigma, social segregation, power dynamics, and emotional impact. The study is theoretically grounded in Ruth Levitas' multidimensional framework of social exclusion, complemented by Erving Goffman's stigma theory and the concept of relational social exclusion. Findings reveal that while all five participants acknowledged experiencing exclusion through indirect humour — including jokes directed at unmarried women from the pulpit and within church fellowship settings — they identified segregation from married women's acti</w:t>
      </w:r>
    </w:p>
    <w:p>
      <w:pPr/>
      <w:r>
        <w:rPr>
          <w:b/>
        </w:rPr>
        <w:t>POSSIBLE 2026:</w:t>
      </w:r>
      <w:r>
        <w:t xml:space="preserve"> Closing the Coordination Gap: A Policy Architecture for the European Energy Transition — https://doi.org/10.5281/zenodo.19984616</w:t>
      </w:r>
    </w:p>
    <w:p>
      <w:pPr/>
      <w:r>
        <w:rPr>
          <w:b/>
        </w:rPr>
        <w:t>Shared claim-specific concepts:</w:t>
      </w:r>
      <w:r>
        <w:t xml:space="preserve"> article, energy, presented; EU scope visible. This is a provisional connection, not an outcome finding.</w:t>
      </w:r>
    </w:p>
    <w:p>
      <w:pPr>
        <w:pStyle w:val="SourceNote"/>
      </w:pPr>
      <w:r>
        <w:rPr>
          <w:b/>
        </w:rPr>
        <w:t>Available abstract (not full text):</w:t>
      </w:r>
      <w:r>
        <w:t xml:space="preserve"> How to Use This Work This research is structured as a layered system for policy application: Entry Point (Immediate Policy Relevance)Closing the Coordination Gaphttps://zenodo.org/records/19984617→ Defines the timing mismatch (2028–2032 window) and provides EU-aligned implementation mechanisms (TESP, PESEC, ERC). System Foundation (Transition Dynamics)Rapid Energy Transition Framework (RETF)https://zenodo.org/records/19812288→ Models coordinated deployment, pre-transition stress, and physical stabilisation layers (including geothermal infrastructure). Economic &amp; Social Stabilisation LayerEngagement Credit Economy (ECE)https://zenodo.org/records/19843494→ Provides a participation-based mechanism to maintain demand, coordination capacity, and social continuity during transition. Together, these layers define a unified approach linking system dynamics, infrastructure deployment, and economic participation. This record presents an EU-facing policy architecture addressing a central but under-recognised constraint in the European energy transition: the coordination gap between demand evolution and infrastructure deployment timelines. Across EU Member States, electrification of transport, heating, and industry is accelerating demand on a three-to-five-year cycle, while generation and transmission infrastructure typically require ten to fifteen years to plan, permit, and deliver. The r</w:t>
      </w:r>
    </w:p>
    <w:p>
      <w:pPr/>
      <w:r>
        <w:rPr>
          <w:b/>
        </w:rPr>
        <w:t>POSSIBLE 2026:</w:t>
      </w:r>
      <w:r>
        <w:t xml:space="preserve"> Energy diplomacy: cooperation between Kazakhstan and the European Union in the field of energy transformation — https://doi.org/10.1080/23745118.2026.2734585</w:t>
      </w:r>
    </w:p>
    <w:p>
      <w:pPr/>
      <w:r>
        <w:rPr>
          <w:b/>
        </w:rPr>
        <w:t>Shared claim-specific concepts:</w:t>
      </w:r>
      <w:r>
        <w:t xml:space="preserve"> article, energy; EU scope visible. This is a provisional connection, not an outcome finding.</w:t>
      </w:r>
    </w:p>
    <w:p>
      <w:pPr>
        <w:pStyle w:val="SourceNote"/>
      </w:pPr>
      <w:r>
        <w:rPr>
          <w:b/>
        </w:rPr>
        <w:t>Available abstract (not full text):</w:t>
      </w:r>
      <w:r>
        <w:t xml:space="preserve"> The energy transition of the European Union after 2022 has taken on a new geopolitical significance, in which energy ceases to be an exclusively economic or climate issue, but becomes part of strategic autonomy and foreign policy action. This shift fundamentally changes the nature of EU energy diplomacy, the aim of which is no longer merely to secure energy supplies, but to deepen security interactions and promote the EU’s influence and regulatory framework through cooperation with external partners. This article examines the potential for energy cooperation between the two blocs – the European Union and Kazakhstan. The aim of the article is to analyse how the European Union’s energy diplomacy is being implemented in Kazakhstan and to assess their level of cooperation in the energy sector. The results of the article suggest that the European Union, through regulatory dialogue and strategic partnerships, is supporting Kazakhstan’s gradual regulatory convergence in the areas of environmental regulation, decarbonization and renewable energy. The analysis shows that the extent of convergence remains selective and is largely limited by Kazakhstan’s geopolitical ties with Russia and China.</w:t>
      </w:r>
    </w:p>
    <w:p>
      <w:pPr/>
      <w:r>
        <w:rPr>
          <w:b/>
        </w:rPr>
        <w:t>POSSIBLE 2026:</w:t>
      </w:r>
      <w:r>
        <w:t xml:space="preserve"> Introducing Hydrogen to the European Energy Market — https://doi.org/10.4324/9781003669654-6</w:t>
      </w:r>
    </w:p>
    <w:p>
      <w:pPr/>
      <w:r>
        <w:rPr>
          <w:b/>
        </w:rPr>
        <w:t>Shared claim-specific concepts:</w:t>
      </w:r>
      <w:r>
        <w:t xml:space="preserve"> energy, until, therefore; EU scope visible. This is a provisional connection, not an outcome finding.</w:t>
      </w:r>
    </w:p>
    <w:p>
      <w:pPr>
        <w:pStyle w:val="SourceNote"/>
      </w:pPr>
      <w:r>
        <w:rPr>
          <w:b/>
        </w:rPr>
        <w:t>Available abstract (not full text):</w:t>
      </w:r>
      <w:r>
        <w:t xml:space="preserve"> To facilitate the achievement of the ambitious green hydrogen targets as adopted by the EU, support for the hydrogen uptake is granted through various mechanisms. Producing renewable hydrogen – as the EU hydrogen policy envisages – is currently more expensive than producing hydrogen from fossil fuels or producing energy from fossil fuels. Therefore, hydrogen projects currently require governmental support to bridge the cost gap until the hydrogen economy takes off to the extent that economies of scale and technological advancements reduce costs. At the EU level, the legislative framework seeks to initiate the hydrogen economy take-off by setting targets for renewable hydrogen that are designed to create necessary demand for the markets to spur investments, whereas the EU Hydrogen Bank serves as the main financing mechanism. In addition to these EU level measures, the State aid framework provides the rules for Member State market intervention. This chapter examines the various mechanisms employed in the EU to support green hydrogen. It provides an overview of the current mechanisms and analyses the existing regulatory framework within which such support can be granted in the EU.</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therefore;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The Church as a vehicle of Inclusion : A Case Study of Five International Students’ Engagement with the Salvation Army in Turku, Finland. — https://openalex.org/W7164459531</w:t>
      </w:r>
    </w:p>
    <w:p>
      <w:pPr/>
      <w:r>
        <w:rPr>
          <w:b/>
        </w:rPr>
        <w:t>Shared claim-specific concepts:</w:t>
      </w:r>
      <w:r>
        <w:t xml:space="preserve"> five, finland, important; EU scope visible. This is a provisional connection, not an outcome finding.</w:t>
      </w:r>
    </w:p>
    <w:p>
      <w:pPr>
        <w:pStyle w:val="SourceNote"/>
      </w:pPr>
      <w:r>
        <w:rPr>
          <w:b/>
        </w:rPr>
        <w:t>Available abstract (not full text):</w:t>
      </w:r>
      <w:r>
        <w:t xml:space="preserve"> As an international student who experienced challenges during the first days of arrival in Finland, I became interested in exploring other experiences of other international students and the support structure available for them. There are of course elements of an operationally functional welfare state in Finland, but international students still face significant disadvantages, both in terms of integration into the host society, language, cultural, and social network issues. The aim of this research is to explore social exclusion from an international students' point of view in Turku, Finland, and to also focus on how the Salvation Army (Pelastusarmeija) Turku Corps can facilitate social inclusion. This is a qualitative phenomenological research involving semi structured interviews with five international students who have had contact with the Salvation Army (Pelastusarmeja) in Turku. The data was analyzed using thematic analysis, which identified six themes - language challenges; loneliness; cultural differences and social norm adjustment; the Salvation Army as a place of belonging; the church as a support system; and the Salvation Army as a means of integration. Based on the results of this research it is identified that barriers in language, emotional isolation, adapting to new cultural norms, are the reasons that lead to the international students' social exclusion. The Salv</w:t>
      </w:r>
    </w:p>
    <w:p>
      <w:pPr/>
      <w:r>
        <w:rPr>
          <w:b/>
        </w:rPr>
        <w:t>POSSIBLE 2026:</w:t>
      </w:r>
      <w:r>
        <w:t xml:space="preserve"> Hydrogen integration into the European energy system — https://doi.org/10.36253/979-12-215-1013-3.04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2025:</w:t>
      </w:r>
      <w:r>
        <w:t xml:space="preserve"> Five models and ten predictors for energy costs on farms in the European Union — https://doi.org/10.1515/opag-2025-0441</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pPr/>
      <w:r>
        <w:rPr>
          <w:b/>
        </w:rPr>
        <w:t>POSSIBLE 2025:</w:t>
      </w:r>
      <w:r>
        <w:t xml:space="preserve"> Assessing stringency: A survey experiment of energy saving policies across five EU countries — https://doi.org/10.1177/09520767251359126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pPr>
        <w:pStyle w:val="Heading2"/>
      </w:pPr>
      <w:r>
        <w:t>612. Foresight as a tool of public administration in the field of science, technology and innovation</w:t>
      </w:r>
    </w:p>
    <w:p>
      <w:pPr>
        <w:pStyle w:val="SourceNote"/>
      </w:pPr>
      <w:r>
        <w:rPr>
          <w:b/>
        </w:rPr>
        <w:t>Original source (2021):</w:t>
      </w:r>
      <w:r>
        <w:t xml:space="preserve"> https://doi.org/10.23939/eem2021.01.090</w:t>
      </w:r>
    </w:p>
    <w:p>
      <w:pPr/>
      <w:r>
        <w:t>Original wording (abstract; indexed_source_text_not_full_document_verified):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POSSIBLE 2026:</w:t>
      </w:r>
      <w:r>
        <w:t xml:space="preserve"> The role of individual characteristics in risk perception in fruit-growing — https://doi.org/10.22620/sciworks.2025.03.011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Given the increasing exposure to risks in agriculture, it was important to analyse the range of determinants affecting the risk management process. The presented study of risk management in fruit growing focused on the potential role of farmers’ individual demographic factors – gender, age, years of experience and educational status – as potentially influential determinants in decision-making process. A survey with 86 representatives from the Plovdiv region took place in 2024 to collect contemporary data and analyse in detail individual perceptions and possible directions in managing various types of risks. The accessed information suggested significant differences in the perceptions of risk depending on the individual characteristics of every participant. More specifically, female fruit growers were considerably more sensitive to risk than their male counterparts. Research findings also showed that the improvement of the educational status of farmers coincided with an increasing interest in risk management. The role of education was quite significant since it enhanced one’s awareness regarding the existing threats, as well as the pro-active application of difference managerial solutions in practice. Moreover, findings suggested that individual age could also foster risk management, but the effect was limited to the middle-aged participants only. In contrast, the duration of in</w:t>
      </w:r>
    </w:p>
    <w:p>
      <w:pPr/>
      <w:r>
        <w:rPr>
          <w:b/>
        </w:rPr>
        <w:t>POSSIBLE 2026:</w:t>
      </w:r>
      <w:r>
        <w:t xml:space="preserve"> THE ROLE OF STRATEGIC FORESIGHT IN FINANCIAL DECISIONS IN BANKS — https://openalex.org/W7220265426</w:t>
      </w:r>
    </w:p>
    <w:p>
      <w:pPr/>
      <w:r>
        <w:rPr>
          <w:b/>
        </w:rPr>
        <w:t>Shared claim-specific concepts:</w:t>
      </w:r>
      <w:r>
        <w:t xml:space="preserve"> given, growing, role, foresight, challenges; EU scope not established. This is a provisional connection, not an outcome finding.</w:t>
      </w:r>
    </w:p>
    <w:p>
      <w:pPr>
        <w:pStyle w:val="SourceNote"/>
      </w:pPr>
      <w:r>
        <w:rPr>
          <w:b/>
        </w:rPr>
        <w:t>Available abstract (not full text):</w:t>
      </w:r>
      <w:r>
        <w:t xml:space="preserve"> This research aims to study the growing role of strategic foresight in improving the quality of financial decisions within public and private institutions, given the rapidly evolving and increasingly uncertain economic environments. Institutions are facing financial challenges related to sudden market changes, resource volatility, and intensifying global competition. This necessitates the use of foresight tools and methods capable of supporting financial decision-makers in understanding future trends and evaluating potential paths. The research addresses the concept of strategic foresight as a systematic process that aims to analyze the future by leveraging data, indicators, and weak signals to develop a future vision that aids in long-term financial planning.</w:t>
      </w:r>
    </w:p>
    <w:p>
      <w:pPr/>
      <w:r>
        <w:rPr>
          <w:b/>
        </w:rPr>
        <w:t>POSSIBLE 2026:</w:t>
      </w:r>
      <w:r>
        <w:t xml:space="preserve"> Strategic Technology Foresight Certification Assessment — https://doi.org/10.17605/osf.io/tc796</w:t>
      </w:r>
    </w:p>
    <w:p>
      <w:pPr/>
      <w:r>
        <w:rPr>
          <w:b/>
        </w:rPr>
        <w:t>Shared claim-specific concepts:</w:t>
      </w:r>
      <w:r>
        <w:t xml:space="preserve"> given, growing, technological, foresight, era, approach; EU scope not established. This is a provisional connection, not an outcome finding.</w:t>
      </w:r>
    </w:p>
    <w:p>
      <w:pPr>
        <w:pStyle w:val="SourceNote"/>
      </w:pPr>
      <w:r>
        <w:rPr>
          <w:b/>
        </w:rPr>
        <w:t>Available abstract (not full text):</w:t>
      </w:r>
      <w:r>
        <w:t xml:space="preserve"> In an era defined by exponential technological advancement, the capacity to anticipate, interpret, and strategically respond to future developments has become a defining attribute of organizational success. Yoesoep Edhie Rachmad (YER), reflected in the formulation of this framework in 2022, it became increasingly evident that traditional models of planning and decision-making are no longer sufficient to address the complexity and uncertainty of the contemporary technological landscape. The emergence of disruptive innovations, coupled with accelerating cycles of change, demands a new paradigm one that integrates foresight, strategy, and adaptive capability into a cohesive system of leadership and governance. The Strategic Technology Foresight Certification Assessment is conceived as a response to this paradigm shift. It is not merely an evaluative instrument but a comprehensive framework designed to cultivate and measure the competencies required for navigating an uncertain technological future. At its core, this assessment seeks to redefine foresight as a strategic capability one that transcends predictive analytics and extends into the realms of visioning, sense-making, and transformative decision-making. Technology foresight has traditionally been associated with forecasting trends and identifying emerging innovations. While these functions remain important, they represent on</w:t>
      </w:r>
    </w:p>
    <w:p>
      <w:pPr/>
      <w:r>
        <w:rPr>
          <w:b/>
        </w:rPr>
        <w:t>POSSIBLE 2026:</w:t>
      </w:r>
      <w:r>
        <w:t xml:space="preserve"> The next episode for narrative foresight — https://doi.org/10.1016/j.futures.2026.103876</w:t>
      </w:r>
    </w:p>
    <w:p>
      <w:pPr/>
      <w:r>
        <w:rPr>
          <w:b/>
        </w:rPr>
        <w:t>Shared claim-specific concepts:</w:t>
      </w:r>
      <w:r>
        <w:t xml:space="preserve"> foresight, ways,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Drones – Weapon Systems with a Growing Role in Military Conflict — https://doi.org/10.55535/rmt.2025.3.03</w:t>
      </w:r>
    </w:p>
    <w:p>
      <w:pPr/>
      <w:r>
        <w:rPr>
          <w:b/>
        </w:rPr>
        <w:t>Shared claim-specific concepts:</w:t>
      </w:r>
      <w:r>
        <w:t xml:space="preserve"> growing, role, technological, challenges, ukraine; EU scope not established. This is a provisional connection, not an outcome finding.</w:t>
      </w:r>
    </w:p>
    <w:p>
      <w:pPr>
        <w:pStyle w:val="SourceNote"/>
      </w:pPr>
      <w:r>
        <w:rPr>
          <w:b/>
        </w:rPr>
        <w:t>Available abstract (not full text):</w:t>
      </w:r>
      <w:r>
        <w:t xml:space="preserve"> To strengthen national security, promote national interests, achieve or maintain technological superiority, and keep up with competitors, most states are increasingly focusing on developing effective and efficient military technologies. Drones are reshaping the way warfare is conducted in all domains. Recent conflicts, including the wars in Ukraine and in the Middle East, have been characterized by the use of drones on an unprecedented scale, making a relevant contribution to achieving success on the battlefield, which has triggered the race to develop cost-effective interceptors/drones against drones. The evolution of drones has gone, in a relatively short time, through several phases, moving from the target drone to the space- operating drone. The lessons of war have generated questions regarding the possibility of replacing traditional weapons by drones, their classification as a type of weapon, as well as challenges regarding their reliability, potential advantages and disadvantages. Drones have proven effective in operations and environments where other types of technology are difficult to use. The primary motivation for drone using – getting soldiers out of harm’s way – has been recognized during this period. Amid rising geopolitical tensions, technological advances in drones and artificial intelligence continue to reshape warfare and transform the battlefield.</w:t>
      </w:r>
    </w:p>
    <w:p>
      <w:pPr/>
      <w:r>
        <w:rPr>
          <w:b/>
        </w:rPr>
        <w:t>POSSIBLE 2026:</w:t>
      </w:r>
      <w:r>
        <w:t xml:space="preserve"> Growing futures: The Role of Agri-Entrepreneurship in rural transformation — https://doi.org/10.55248/gengpi.07.0126.0122</w:t>
      </w:r>
    </w:p>
    <w:p>
      <w:pPr/>
      <w:r>
        <w:rPr>
          <w:b/>
        </w:rPr>
        <w:t>Shared claim-specific concepts:</w:t>
      </w:r>
      <w:r>
        <w:t xml:space="preserve"> growing, role, technological, challenges, approach, innovation; EU scope not established. This is a provisional connection, not an outcome finding.</w:t>
      </w:r>
    </w:p>
    <w:p>
      <w:pPr>
        <w:pStyle w:val="SourceNote"/>
      </w:pPr>
      <w:r>
        <w:rPr>
          <w:b/>
        </w:rPr>
        <w:t>Available abstract (not full text):</w:t>
      </w:r>
      <w:r>
        <w:t xml:space="preserve"> Agriculture has long been the backbone of rural economies, but modern challenges such as climate change, market fluctuations, and technological disruption demand innovative solutions.Agricultural entrepreneurship, or agripreneurship, integrates innovation, technology, and business strategies to create profitable and sustainable ventures in farming and allied sectors.This approach not only enhances productivity and generates employment but also drives structural changes in rural economies by promoting value addition, strengthening infrastructure, and fostering a supportive ecosystem.Skilled and tech-savvy agripreneurs improve market access, encourage sustainable practices, and enhance resilience against environmental and economic uncertainties.Overall, agripreneurship acts as a catalyst for inclusive growth, sustainable development, and long-term rural transformation.</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foresight, rapid, challenges,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Generative artificial intelligence for managerial foresight — https://doi.org/10.1016/j.futures.2026.103831</w:t>
      </w:r>
    </w:p>
    <w:p>
      <w:pPr/>
      <w:r>
        <w:rPr>
          <w:b/>
        </w:rPr>
        <w:t>Shared claim-specific concepts:</w:t>
      </w:r>
      <w:r>
        <w:t xml:space="preserve"> foresight, tool, innovation;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Future of Counseling: Foresights of Guidance Practitioners — https://doi.org/10.47772/ijriss.2026.100500538</w:t>
      </w:r>
    </w:p>
    <w:p>
      <w:pPr/>
      <w:r>
        <w:rPr>
          <w:b/>
        </w:rPr>
        <w:t>Shared claim-specific concepts:</w:t>
      </w:r>
      <w:r>
        <w:t xml:space="preserve"> role, technological, approach, innovation;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2026:</w:t>
      </w:r>
      <w:r>
        <w:t xml:space="preserve"> The Growing Threat of Mobile Scams and the Role of Telecommunication Operators in Protecting Users — https://openalex.org/W7169484157</w:t>
      </w:r>
    </w:p>
    <w:p>
      <w:pPr/>
      <w:r>
        <w:rPr>
          <w:b/>
        </w:rPr>
        <w:t>Shared claim-specific concepts:</w:t>
      </w:r>
      <w:r>
        <w:t xml:space="preserve"> given, growing, role, technological, rapid, approach; EU scope not established. This is a provisional connection, not an outcome finding.</w:t>
      </w:r>
    </w:p>
    <w:p>
      <w:pPr>
        <w:pStyle w:val="SourceNote"/>
      </w:pPr>
      <w:r>
        <w:rPr>
          <w:b/>
        </w:rPr>
        <w:t>Available abstract (not full text):</w:t>
      </w:r>
      <w:r>
        <w:t xml:space="preserve"> The rapid evolution of mobile communication technologies has significantly improved global connectivity while simultaneously expanding the attack surface for cybercriminals. Mobile networks have become primary targets for fraudulent activities, including voice phishing (vishing), SMS phishing (smishing), caller ID spoofing, and social engineering attacks that exploit users through voice calls, text messages, and over-the-top (OTT) communication platforms. This paper examines the increasing prevalence of mobile scams and analyzes the strategic role of telecommunication operators in preventing, detecting, and mitigating such threats. It provides an overview of modern mobile network architecture, emphasizing the interaction between radio access networks, core network components, operational support systems, and value-added services that enable security monitoring and threat intelligence. Furthermore, the study discusses how advanced technologies, including artificial intelligence, real-time traffic analytics, anomaly detection, and collaborative threat intelligence, enhance the capability of operators to identify suspicious activities before they reach end users. Particular attention is given to the importance of regulatory compliance, inter-operator cooperation, and user awareness as complementary elements of an effective cybersecurity strategy. The findings highlight that protec</w:t>
      </w:r>
    </w:p>
    <w:p>
      <w:pPr/>
      <w:r>
        <w:rPr>
          <w:b/>
        </w:rPr>
        <w:t>POSSIBLE 2026:</w:t>
      </w:r>
      <w:r>
        <w:t xml:space="preserve"> GREENHOUSE PRODUCTION - THE DRIVER OF THE DEVELOPMENT OF VEGETABLE GROWING — https://doi.org/10.33305/269-151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The article explores greenhouse production as a source for the development of vegetable growing. The relevance of the topic is related to ensuring the sustainable development of the national economy. In order to achieve the rationale for the need for accelerated development of vegetable growing for a stable year-round supply of veg-etables to the population and ensuring food security and independence of the country, the fol-lowing tasks were set and solved: namely, the content and criteria of food security and inde-pendence of the country are disclosed, world trends in the development of vegetable growing are considered and the role of closed soil vegetable growing is shown, An assessment of the development of vegetable growing in the CHR was given and trends were identified, the role of closed-ground vegetable production in the development of vegetable growing was substan-tiated, and key areas of innovative spatial development of vegetable growing were developed. The main trend in the development of vegetable growing in Russia is the transition from sea-sonal to year-round production due to the development of protected soil vegetable growing. State support for vegetable growing is a significant measure, since in conditions of high vola-tility it allows you to avoid disasters, namely, concessional lending, compensation for engi-neering infrastructure, subsidies for energy effic</w:t>
      </w:r>
    </w:p>
    <w:p>
      <w:pPr/>
      <w:r>
        <w:rPr>
          <w:b/>
        </w:rPr>
        <w:t>POSSIBLE 2026:</w:t>
      </w:r>
      <w:r>
        <w:t xml:space="preserve"> The role of group composition in collaborative foresight — https://doi.org/10.1016/j.techfore.2026.124836</w:t>
      </w:r>
    </w:p>
    <w:p>
      <w:pPr/>
      <w:r>
        <w:rPr>
          <w:b/>
        </w:rPr>
        <w:t>Shared claim-specific concepts:</w:t>
      </w:r>
      <w:r>
        <w:t xml:space="preserve"> role, foresight; EU scope not established. This is a provisional connection, not an outcome finding.</w:t>
      </w:r>
    </w:p>
    <w:p>
      <w:pPr>
        <w:pStyle w:val="SourceNote"/>
      </w:pPr>
      <w:r>
        <w:rPr>
          <w:b/>
        </w:rPr>
        <w:t>Available abstract (not full text):</w:t>
      </w:r>
      <w:r>
        <w:t xml:space="preserve"> In fast-changing, complex environments where uncertainty abounds, collaborative foresight is increasingly advocated as a means of navigating these conditions – but under what circumstances do its promised benefits materialize? We investigate when collaborative foresight – foresight conducted jointly by two or more organizations – delivers its promised benefits by examining how group composition shapes collective cognition and the ability to challenge dominant mental models and beliefs inherited from past experiences. Our systematic literature review shows limited rigorous theory development on how the composition (in terms of homogeneity versus heterogeneity) of the group of individuals representing the organizations involved affects collaborative foresight processes. It also shows that much of the literature treats diversity as a uniform construct. We propose a conceptual framework that highlights how the deliberate configuration of heterogeneity and homogeneity across attributes gives rise to distinct cognitive dynamics, with both enabling and constraining effects on collective cognition. In doing so, it advances the understanding of these relationships and provides a conceptual foundation for systematically reflecting on and identifying context-specific group compositions for collaborative foresight processes. Moreover, the review shows how these cognitive dynamics shape the</w:t>
      </w:r>
    </w:p>
    <w:p>
      <w:pPr>
        <w:pStyle w:val="Heading2"/>
      </w:pPr>
      <w:r>
        <w:t>613. Future Low-Carbon Transport Scenarios: Practice Theory-Based Visioning for Backcasting Studies</w:t>
      </w:r>
    </w:p>
    <w:p>
      <w:pPr>
        <w:pStyle w:val="SourceNote"/>
      </w:pPr>
      <w:r>
        <w:rPr>
          <w:b/>
        </w:rPr>
        <w:t>Original source (2021):</w:t>
      </w:r>
      <w:r>
        <w:t xml:space="preserve"> https://doi.org/10.3390/su14010074</w:t>
      </w:r>
    </w:p>
    <w:p>
      <w:pPr/>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POSSIBLE 2026:</w:t>
      </w:r>
      <w:r>
        <w:t xml:space="preserve"> Imaginaries of European Technology Frontrunners : Towards the Silicon Valley Vision or the European Dream? — https://openalex.org/W7204372713</w:t>
      </w:r>
    </w:p>
    <w:p>
      <w:pPr/>
      <w:r>
        <w:rPr>
          <w:b/>
        </w:rPr>
        <w:t>Shared claim-specific concepts:</w:t>
      </w:r>
      <w:r>
        <w:t xml:space="preserve"> exercise, different, three, alternative, technology, over; EU scope visible. This is a provisional connection, not an outcome finding.</w:t>
      </w:r>
    </w:p>
    <w:p>
      <w:pPr>
        <w:pStyle w:val="SourceNote"/>
      </w:pPr>
      <w:r>
        <w:rPr>
          <w:b/>
        </w:rPr>
        <w:t>Available abstract (not full text):</w:t>
      </w:r>
      <w:r>
        <w:t xml:space="preserve">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four, focus;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Exercise Physiology — https://openalex.org/W7207012056</w:t>
      </w:r>
    </w:p>
    <w:p>
      <w:pPr/>
      <w:r>
        <w:rPr>
          <w:b/>
        </w:rPr>
        <w:t>Shared claim-specific concepts:</w:t>
      </w:r>
      <w:r>
        <w:t xml:space="preserve"> exercise, different, technology; EU scope not established. This is a provisional connection, not an outcome finding.</w:t>
      </w:r>
    </w:p>
    <w:p>
      <w:pPr>
        <w:pStyle w:val="SourceNote"/>
      </w:pPr>
      <w:r>
        <w:rPr>
          <w:b/>
        </w:rPr>
        <w:t>Available abstract (not full text):</w:t>
      </w:r>
      <w:r>
        <w:t xml:space="preserve"> This book, Exercise Physiology - Bridging Health, Training Performance and Technology , seeks to bring together diverse fields of knowledge in a modern, interdisciplinary framework. Throughout its chapters, exercise physiology reveals how the body responds to and adapts to physical exertion, and what types of performance result from these adaptations in both practical and evolutionary contexts. Technology is assumed to be a mediating and enhancing element, enabling more effective interventions and decisions with more precise information. The result is an integrated, up-to-date look at human body movement, capable of inspiring professionals, students, and researchers to rethink sport and health from an innovative, connected perspective. This book presents itself as an indispensable read for anyone who wants to understand the interconnections among training, sport, health, and human performance. These chapters reveal, in an engaging way, knowledge of real results across different practice contexts as a driving strength that optimizes interventions and transforms decision-making. The reader finds here an integrated and inspiring vision, inviting exploration of something current in science, training, and innovation.</w:t>
      </w:r>
    </w:p>
    <w:p>
      <w:pPr/>
      <w:r>
        <w:rPr>
          <w:b/>
        </w:rPr>
        <w:t>POSSIBLE 2026:</w:t>
      </w:r>
      <w:r>
        <w:t xml:space="preserve"> Beyond Euroscepticism: radical left and right ‘visions of Europe’ across party and protest arenas — https://doi.org/10.1080/13501763.2026.2651556</w:t>
      </w:r>
    </w:p>
    <w:p>
      <w:pPr/>
      <w:r>
        <w:rPr>
          <w:b/>
        </w:rPr>
        <w:t>Shared claim-specific concepts:</w:t>
      </w:r>
      <w:r>
        <w:t xml:space="preserve"> different, focus, over; EU scope visible. This is a provisional connection, not an outcome finding.</w:t>
      </w:r>
    </w:p>
    <w:p>
      <w:pPr>
        <w:pStyle w:val="SourceNote"/>
      </w:pPr>
      <w:r>
        <w:rPr>
          <w:b/>
        </w:rPr>
        <w:t>Available abstract (not full text):</w:t>
      </w:r>
      <w:r>
        <w:t xml:space="preserve"> This article makes a case for reassessing what counts as pro- or anti-European identity. Over the past decade, the rise of radical right mobilisations has prompted many progressive social movement organisations and parties within the EU to anchor their activism in a defence of ‘Europe’ and in resistance to nationalist retrenchment - even while maintaining strong critiques of specific EU policies. At the same time, actors on the radical right also and increasingly claim a European identity, though one rooted in a markedly different and exclusionary understanding of what ‘Europe’ represents. The present study bridges party politics Europeanisation literature with work from the field of social movement studies to find a common conceptual framework that can capture the competing visions of this European identity. We construct a multi-level (across actor type, including political parties, social movements and individual activists), cross-country comparative case study that draws on focus groups, semi-structured interviews, party manifestos, movement campaign documents as well as online and offline publications to show how visions of Europe across party politics and the protest arena are symbolically constructed and utilised in response to the evolving dynamics of European politics and across political, cultural and economic dimensions.</w:t>
      </w:r>
    </w:p>
    <w:p>
      <w:pPr/>
      <w:r>
        <w:rPr>
          <w:b/>
        </w:rPr>
        <w:t>POSSIBLE 2026:</w:t>
      </w:r>
      <w:r>
        <w:t xml:space="preserve"> Planning for Hope and Hope for Planning? Reflections on a New European Spatial Vision in Times of Polycrisis — https://doi.org/10.5281/zenodo.23312679</w:t>
      </w:r>
    </w:p>
    <w:p>
      <w:pPr/>
      <w:r>
        <w:rPr>
          <w:b/>
        </w:rPr>
        <w:t>Shared claim-specific concepts:</w:t>
      </w:r>
      <w:r>
        <w:t xml:space="preserve"> visioning, three, need; EU scope visible. This is a provisional connection, not an outcome finding.</w:t>
      </w:r>
    </w:p>
    <w:p>
      <w:pPr>
        <w:pStyle w:val="SourceNote"/>
      </w:pPr>
      <w:r>
        <w:rPr>
          <w:b/>
        </w:rPr>
        <w:t>Available abstract (not full text):</w:t>
      </w:r>
      <w:r>
        <w:t xml:space="preserve"> Three decades after the European Spatial Development Perspective (ESDP), discussions are once again emerging regarding the need for a shared spatial vision. Yet the political and societal context differs fundamentally from the optimism that surrounded the original ESDP in the 90s. Geopolitical tensions, climate change and broader polycrisis conditions have challenged long-term visioning and strengthened more reactive approaches to policymaking. Drawing inspiration from discussions at the World Planning Schools Congress 2026 roundtable on a new European spatial vision, this debate article asks whether planning can and should still be understood as a discipline of hope. It argues that hope should not be equated with naïve optimism but understood as a practical commitment to collective action under uncertainty. Revisiting the legacy of the ESDP and briefly discussing industrial transformation through the example of cross-border cooperation in the Kvarken region, the commentary contends that planning remains vital precisely because contemporary challenges are deeply spatial in nature. Rather than providing certainty, planning can help sustain collective agency, build shared territorial imaginaries and facilitate dialogue across sectors, scales and borders in uncertain times.</w:t>
      </w:r>
    </w:p>
    <w:p>
      <w:pPr/>
      <w:r>
        <w:rPr>
          <w:b/>
        </w:rPr>
        <w:t>POSSIBLE 2026:</w:t>
      </w:r>
      <w:r>
        <w:t xml:space="preserve"> Living worlds for net zero: Sensory and embodied visioning in transition management — https://doi.org/10.1016/j.futures.2026.103884</w:t>
      </w:r>
    </w:p>
    <w:p>
      <w:pPr/>
      <w:r>
        <w:rPr>
          <w:b/>
        </w:rPr>
        <w:t>Shared claim-specific concepts:</w:t>
      </w:r>
      <w:r>
        <w:t xml:space="preserve"> visioning, four, alternative; EU scope not established. This is a provisional connection, not an outcome finding.</w:t>
      </w:r>
    </w:p>
    <w:p>
      <w:pPr>
        <w:pStyle w:val="SourceNote"/>
      </w:pPr>
      <w:r>
        <w:rPr>
          <w:b/>
        </w:rPr>
        <w:t>Available abstract (not full text):</w:t>
      </w:r>
      <w:r>
        <w:t xml:space="preserve"> This paper examines how Transition Management (TM) visioning can be reconfigured to more explicitly engage with everyday experience, materiality, and embodied forms of sense-making in sustainability transitions. While participatory approaches to visioning increasingly incorporate immersive and material practices, TM visioning continues to privilege abstract, system-level imaginaries and offers limited guidance for integrating lived, place-based experience. Drawing on an empirical illustration from the Net Zero Precincts project in Melbourne, Australia, we mobilise practices from design anthropology (DA) and participatory design (PD) to reconfigure TM visioning. Guided walking tours and hands-on material world-building activities supported the co-creation of ten terrarium-based “Living Worlds” that articulate alternative net zero futures grounded in everyday life and place. We develop five guiding principles: situatedness, embodied experience, material speculation, plural imaginaries, and reflexive governance. These principles structure this approach to TM visioning and serve as analytical lenses for interpreting the process. A comparative analysis contrasts the Living Worlds with four TM-derived frames developed from earlier frontrunner interviews, showing how this reconfigured approach pluralises and grounds future imaginaries while retaining TM’s transformative orientation. T</w:t>
      </w:r>
    </w:p>
    <w:p>
      <w:pPr/>
      <w:r>
        <w:rPr>
          <w:b/>
        </w:rPr>
        <w:t>POSSIBLE 2026:</w:t>
      </w:r>
      <w:r>
        <w:t xml:space="preserve"> So Close, but Different: Uncovering the Different Determinants of Eco-Innovation in Central Europe — https://doi.org/10.3917/e.jie.pr2.0210</w:t>
      </w:r>
    </w:p>
    <w:p>
      <w:pPr/>
      <w:r>
        <w:rPr>
          <w:b/>
        </w:rPr>
        <w:t>Shared claim-specific concepts:</w:t>
      </w:r>
      <w:r>
        <w:t xml:space="preserve"> different, focus, reducing; EU scope visible. This is a provisional connection, not an outcome finding.</w:t>
      </w:r>
    </w:p>
    <w:p>
      <w:pPr>
        <w:pStyle w:val="SourceNote"/>
      </w:pPr>
      <w:r>
        <w:rPr>
          <w:b/>
        </w:rPr>
        <w:t>Available abstract (not full text):</w:t>
      </w:r>
      <w:r>
        <w:t xml:space="preserve"> Central European countries face lower environmental awareness, reflected in the limited number of studies on eco-innovation in this area. This study contributes to research on environmental innovation in the Czech Republic and Slovakia, which have been among the major European polluters in the past. In contrast to previous studies, we focus on indicators such as energy management, waste minimisation and recycling, and air pollution control measures. The results show that despite the geographical and historical proximity of the Czech Republic and Slovakia, environmental innovation is influenced by different determinants in different areas. In the Czech Republic, the presence of a manager responsible for the environment and climate change was confirmed as a key determinant of firms’ environmental initiatives. In Czech and Slovak firms, environmental regulations trigger environmental innovation, specifically those measures focused on reducing emissions, directly impacting public health and environmental protection. At the same time the Environmental and CO2 Emission goals are an incentive for eco-innovation in the Czech Republic and Slovakia. This paper serves several practical implications, both for policymakers and practitioners. First, we suggest introducing tax incentives or low-interest loan programmes that could encourage businesses to invest in renewable energy and improve </w:t>
      </w:r>
    </w:p>
    <w:p>
      <w:pPr/>
      <w:r>
        <w:rPr>
          <w:b/>
        </w:rPr>
        <w:t>POSSIBLE 2026:</w:t>
      </w:r>
      <w:r>
        <w:t xml:space="preserve"> The effect of pelvic floor muscle exercise, progressive muscle relaxation exercise, and their combined application on comfort in women with stress urinary incontinence: a four-arm randomized controlled trial — https://doi.org/10.3389/fmed.2026.1967374</w:t>
      </w:r>
    </w:p>
    <w:p>
      <w:pPr/>
      <w:r>
        <w:rPr>
          <w:b/>
        </w:rPr>
        <w:t>Shared claim-specific concepts:</w:t>
      </w:r>
      <w:r>
        <w:t xml:space="preserve"> exercise, over, longer; EU scope not established. This is a provisional connection, not an outcome finding.</w:t>
      </w:r>
    </w:p>
    <w:p>
      <w:pPr>
        <w:pStyle w:val="SourceNote"/>
      </w:pPr>
      <w:r>
        <w:rPr>
          <w:b/>
        </w:rPr>
        <w:t>Available abstract (not full text):</w:t>
      </w:r>
      <w:r>
        <w:t xml:space="preserve"> Background Stress urinary incontinence (SUI) negatively affects women's physical, psychological, and social well-being and reduces comfort. Although pelvic floor muscle exercise (PFME) is the first-line conservative treatment, the additional contribution of progressive muscle relaxation exercise (PMR) to patient comfort remains unclear. This study aimed to evaluate the effects of PFME, PMR, and their combined application on comfort levels in women with SUI. Methods This four-arm randomized controlled trial included 80 women diagnosed with SUI who were randomly assigned to the PFME group ( n = 20), PMR group ( n = 20), PFME + PMR group ( n = 20), or control group ( n = 20). Data were collected using a Descriptive Information Form and the Urinary Incontinence Frequency and Comfort Questionnaire (UIFCQ). Participants in the intervention groups performed the assigned exercise program for six weeks. Comfort was assessed at baseline and at Weeks 2, 4, and 6 through telephone interviews. Data were analyzed using descriptive statistics and mixed-design analysis of variance (Mixed ANOVA). A p -value of &lt;0.05 was considered statistically significant. Results Baseline comfort scores did not differ significantly among the groups ( p &gt; 0.05). Significant effects of time and the group×time interaction were observed ( p &lt; 0.001). Participants in the PFME group demonstrated significant improve</w:t>
      </w:r>
    </w:p>
    <w:p>
      <w:pPr/>
      <w:r>
        <w:rPr>
          <w:b/>
        </w:rPr>
        <w:t>POSSIBLE 2026:</w:t>
      </w:r>
      <w:r>
        <w:t xml:space="preserve"> Expectations, Visions and Imaginaries — https://doi.org/10.1017/9781009437318.018</w:t>
      </w:r>
    </w:p>
    <w:p>
      <w:pPr/>
      <w:r>
        <w:rPr>
          <w:b/>
        </w:rPr>
        <w:t>Shared claim-specific concepts:</w:t>
      </w:r>
      <w:r>
        <w:t xml:space="preserve"> different, technology; EU scope not established. This is a provisional connection, not an outcome finding.</w:t>
      </w:r>
    </w:p>
    <w:p>
      <w:pPr>
        <w:pStyle w:val="SourceNote"/>
      </w:pPr>
      <w:r>
        <w:rPr>
          <w:b/>
        </w:rPr>
        <w:t>Available abstract (not full text):</w:t>
      </w:r>
      <w:r>
        <w:t xml:space="preserve"> This chapter discusses the role of visions, expectations, and socio-technical imaginaries in shaping sustainability transitions. Imagining futures different from current socio-technical regimes is essential for legitimizing and mobilizing niche technologies and driving system change. More recently, mission-oriented and transformative innovation policies have emphasised envisioning and collective expectations in defining and implementing long-term goals. The chapter introduces the historical development of these concepts within sustainability transition studies, including transition management, strategic niche management, and technological innovation systems. It presents and compares various anticipatory practices and techniques for exploring and shaping transition dynamics. ‘Futuring methods’ such as scenario development, technology foresight, roadmapping, and modelling are not just neutral tools but shape political problems and solutions. The chapter concludes by illustrating the influence of visions, expectations, and imaginaries in the historical evolution of hydrogen futures and highlighting key research trends.</w:t>
      </w:r>
    </w:p>
    <w:p>
      <w:pPr/>
      <w:r>
        <w:rPr>
          <w:b/>
        </w:rPr>
        <w:t>POSSIBLE 2025:</w:t>
      </w:r>
      <w:r>
        <w:t xml:space="preserve"> Envisioning nature-positive futures for Europe: inspiring transformative change at the biodiversity nexus — https://doi.org/10.1080/26395916.2025.2561107</w:t>
      </w:r>
    </w:p>
    <w:p>
      <w:pPr/>
      <w:r>
        <w:rPr>
          <w:b/>
        </w:rPr>
        <w:t>Shared claim-specific concepts:</w:t>
      </w:r>
      <w:r>
        <w:t xml:space="preserve"> visioning, different, three; EU scope visible. This is a provisional connection, not an outcome finding.</w:t>
      </w:r>
    </w:p>
    <w:p>
      <w:pPr>
        <w:pStyle w:val="SourceNote"/>
      </w:pPr>
      <w:r>
        <w:rPr>
          <w:b/>
        </w:rPr>
        <w:t>Available abstract (not full text):</w:t>
      </w:r>
      <w:r>
        <w:t xml:space="preserve">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pPr/>
      <w:r>
        <w:rPr>
          <w:b/>
        </w:rPr>
        <w:t>POSSIBLE 2025:</w:t>
      </w:r>
      <w:r>
        <w:t xml:space="preserve"> Envisioning Health Data Space 2040. Insights and Outcomes from the First VELES Visioning Pilot Workshop — https://doi.org/10.5281/zenodo.17989653</w:t>
      </w:r>
    </w:p>
    <w:p>
      <w:pPr/>
      <w:r>
        <w:rPr>
          <w:b/>
        </w:rPr>
        <w:t>Shared claim-specific concepts:</w:t>
      </w:r>
      <w:r>
        <w:t xml:space="preserve"> visioning, exercise; EU scope visible. This is a provisional connection, not an outcome finding.</w:t>
      </w:r>
    </w:p>
    <w:p>
      <w:pPr>
        <w:pStyle w:val="SourceNote"/>
      </w:pPr>
      <w:r>
        <w:rPr>
          <w:b/>
        </w:rPr>
        <w:t>Available abstract (not full text):</w:t>
      </w:r>
      <w:r>
        <w:t xml:space="preserve">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pPr/>
      <w:r>
        <w:rPr>
          <w:b/>
        </w:rPr>
        <w:t>POSSIBLE 2025:</w:t>
      </w:r>
      <w:r>
        <w:t xml:space="preserve"> From Reaction to Foresight: EUPHA’s vision for health security in Europe — https://doi.org/10.1093/eurpub/ckaf071</w:t>
      </w:r>
    </w:p>
    <w:p>
      <w:pPr/>
      <w:r>
        <w:rPr>
          <w:b/>
        </w:rPr>
        <w:t>Shared claim-specific concepts:</w:t>
      </w:r>
      <w:r>
        <w:t xml:space="preserve"> different, local, over;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pStyle w:val="Heading2"/>
      </w:pPr>
      <w:r>
        <w:t>614. Future Precipitation Scenarios over Italy</w:t>
      </w:r>
    </w:p>
    <w:p>
      <w:pPr>
        <w:pStyle w:val="SourceNote"/>
      </w:pPr>
      <w:r>
        <w:rPr>
          <w:b/>
        </w:rPr>
        <w:t>Original source (2021):</w:t>
      </w:r>
      <w:r>
        <w:t xml:space="preserve"> https://doi.org/10.3390/w13101335</w:t>
      </w:r>
    </w:p>
    <w:p>
      <w:pPr/>
      <w:r>
        <w:t>Original wording (abstract; indexed_source_text_not_full_document_verified):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POSSIBLE 2026:</w:t>
      </w:r>
      <w:r>
        <w:t xml:space="preserve"> Groundwater Storage Changes within Europe: A Constrained Bayesian Integration of GRACE(-FO) Data into the W3RA Model — https://doi.org/10.6084/m9.figshare.31073527</w:t>
      </w:r>
    </w:p>
    <w:p>
      <w:pPr/>
      <w:r>
        <w:rPr>
          <w:b/>
        </w:rPr>
        <w:t>Shared claim-specific concepts:</w:t>
      </w:r>
      <w:r>
        <w:t xml:space="preserve"> after, climate; EU scope visible. This is a provisional connection, not an outcome finding.</w:t>
      </w:r>
    </w:p>
    <w:p>
      <w:pPr>
        <w:pStyle w:val="SourceNote"/>
      </w:pPr>
      <w:r>
        <w:rPr>
          <w:b/>
        </w:rPr>
        <w:t>Available abstract (not full text):</w:t>
      </w:r>
      <w:r>
        <w:t xml:space="preserve"> his dataset provides monthly estimates of groundwater storage change (GWS) across Europe at an effective spatial resolution of approximately 10 km, generated using an extended Constrained Bayesian (ConBay) data integration framework.The ConBay framework integrates satellite gravimetric observations from GRACE (2003–2017) and GRACE-FO (2018–present) with outputs from the W3RA hydrological model, while additionally constraining surface soil moisture states using independent observations from the ESA Climate Change Initiative (ESA CCI) soil moisture product (v09.1). This multi-source constraint improves the physical consistency between modeled and observed terrestrial water storage components and reduces equifinality in groundwater partitioning.To ensure spectral consistency, W3RA total water storage fields are transformed into the spectral domain and filtered using GRACE-consistent operators prior to assimilation. After Bayesian updating, residual components are reintroduced to enable physically coherent spatial downscaling of terrestrial water storage changes. ESA CCI soil moisture observations are incorporated as an independent constraint on surface soil moisture variability, improving consistency between surface and subsurface water storage dynamics.The resulting GWS estimates preserve the large-scale information content of GRACE while resolving sub-basin to regional-scale gro</w:t>
      </w:r>
    </w:p>
    <w:p>
      <w:pPr/>
      <w:r>
        <w:rPr>
          <w:b/>
        </w:rPr>
        <w:t>POSSIBLE 2026:</w:t>
      </w:r>
      <w:r>
        <w:t xml:space="preserve"> European Ground Motion Service: GNSS model 2015-2025 (vector), Europe, 2-yearly, Oct. 2026 — https://doi.org/10.2909/836a384f-bcd1-4da3-9ed8-ac2f1f292c55</w:t>
      </w:r>
    </w:p>
    <w:p>
      <w:pPr/>
      <w:r>
        <w:rPr>
          <w:b/>
        </w:rPr>
        <w:t>Shared claim-specific concepts:</w:t>
      </w:r>
      <w:r>
        <w:t xml:space="preserve"> after, filtering, values; EU scope visible. This is a provisional connection, not an outcome finding.</w:t>
      </w:r>
    </w:p>
    <w:p>
      <w:pPr>
        <w:pStyle w:val="SourceNote"/>
      </w:pPr>
      <w:r>
        <w:rPr>
          <w:b/>
        </w:rPr>
        <w:t>Available abstract (not full text):</w:t>
      </w:r>
      <w:r>
        <w:t xml:space="preserve"> The European Ground Motion Service (EGMS) is a component of the Copernicus Land Monitoring Service. EGMS provides consistent, regular, standardised, harmonised and reliable information regarding natural and anthropogenic ground motion phenomena over the Copernicus Participating States and across national borders, with millimetre accuracy. This layer is produced based on GNSS data from various sources, with the EUREF Densification network as the main entry point. After filtering and quality control, a total of ~4700 stations are used to generate the GNSS model that contains average velocities in east, north and up directions displayed on a 50-km grid. The grid dimension is determined by the optimal distance between these GNSS stations. The GNSS model is distributed to users in a single comma-separated values file. Each cell of the model is associated to a value of vertical and horizontal velocity. The product covers the Copernicus Participating States (except for DROMs), United Kingdom and Turkey.</w:t>
      </w:r>
    </w:p>
    <w:p>
      <w:pPr/>
      <w:r>
        <w:rPr>
          <w:b/>
        </w:rPr>
        <w:t>POSSIBLE 2026:</w:t>
      </w:r>
      <w:r>
        <w:t xml:space="preserve"> OAT Europe dataset — https://doi.org/10.5281/zenodo.23470443</w:t>
      </w:r>
    </w:p>
    <w:p>
      <w:pPr/>
      <w:r>
        <w:rPr>
          <w:b/>
        </w:rPr>
        <w:t>Shared claim-specific concepts:</w:t>
      </w:r>
      <w:r>
        <w:t xml:space="preserve"> after, climate, mean, values, computed, made; EU scope visible. This is a provisional connection, not an outcome finding.</w:t>
      </w:r>
    </w:p>
    <w:p>
      <w:pPr>
        <w:pStyle w:val="SourceNote"/>
      </w:pPr>
      <w:r>
        <w:rPr>
          <w:b/>
        </w:rPr>
        <w:t>Available abstract (not full text):</w:t>
      </w:r>
      <w:r>
        <w:t xml:space="preserve"> The Europe dataset of the paper "Observation Assimilation Transformer: Probabilistic Weather Analysis from Sparse Station Observations". It contains ERA5 surface fields, static fields and hourly station observations for Europe. The code is at https://github.com/SwissDataScienceCenter/observation_assimilation_transformer. Files `era5-europe-mars-n320-2019-2024-1h-v1.zarr.tar`: ERA5 surface fields (anemoi-datasets zarr format). `europe-static.zarr.tar`: elevation and distance to the coast. `hourly_2019_2025_temp_prcp_wspd_wpgt_rhum.parquet`: hourly station observations from Meteostat. `station_quality.parquet`: quality scores for each station. `SHA256SUMS`: the SHA-256 checksum of each file. The paths are the paths after the unpack. Download and check the files with the script of the code repository: &gt;&gt;&gt; python -m scripts.download_artifacts --what data --dest . The script unpacks the files into `data/` and checks each file against `SHA256SUMS`. ERA5 surface fields Source: ERA5 and ERA5.1 on the reduced Gaussian grid N320, from the ECMWF MARS archive (class `ea`, stream `oper`, surface level). `2t`, `10u`, `10v` and `tcc` are hourly analyses (type `an`). `tp` comes from the short-range forecasts (type `fc`, step 1 h). It is the accumulation over the hour. Variables: `2t` (2 m temperature, K), `10u` and `10v` (10 m wind components, m/s), `tcc` (total cloud cover, fraction 0 to 1), </w:t>
      </w:r>
    </w:p>
    <w:p>
      <w:pPr/>
      <w:r>
        <w:rPr>
          <w:b/>
        </w:rPr>
        <w:t>POSSIBLE 2026:</w:t>
      </w:r>
      <w:r>
        <w:t xml:space="preserve"> High-resolution modelling of organic aerosol over Europe: exploring spatial and temporal variability and drivers — https://doi.org/10.1016/j.envint.2026.110143</w:t>
      </w:r>
    </w:p>
    <w:p>
      <w:pPr/>
      <w:r>
        <w:rPr>
          <w:b/>
        </w:rPr>
        <w:t>Shared claim-specific concepts:</w:t>
      </w:r>
      <w:r>
        <w:t xml:space="preserve"> current, climate, mean, long-term; EU scope visible. This is a provisional connection, not an outcome finding.</w:t>
      </w:r>
    </w:p>
    <w:p>
      <w:pPr>
        <w:pStyle w:val="SourceNote"/>
      </w:pPr>
      <w:r>
        <w:rPr>
          <w:b/>
        </w:rPr>
        <w:t>Available abstract (not full text):</w:t>
      </w:r>
      <w:r>
        <w:t xml:space="preserve"> Organic aerosol (OA) is a major component of atmospheric particulate matter (PM), affecting both human health and climate. However, high-resolution estimates of OA exposure needed for exposure analysis remain scarce. Here, we integrate a chemical transport model (CAMx) with a random forest (RF) machine learning approach to bias-correct and downscale daily OA concentrations across Europe. CAMx OA simulations at ∼15 km resolution show moderate agreement with observations (r = 0.55). By combining these outputs with high-resolution land-use data and training the RF model on ∼48,000 daily OA measurements from 137 sites, prediction accuracy improved (r = 0.65), with ∼l5% reduction in root mean square error. The resulting maps provide European daily OA concentrations at ∼250 m resolution for alternate years from 2011 to 2019. The model captures key spatial features, including elevated OA in the Po Valley, Southeastern, and Central Europe, as well as intracity variations due to local hotspots. Seasonal analysis reveals higher concentrations in winter, while long-term trends indicate a general decline in OA levels. Exposure estimates show that half of the European population experiences OA levels above 3 µg/m 3 , and ∼50 million people are exposed to more than 5 µg/m 3 , which is the current guideline level recommended by the world health organization for total PM 2.5 . These high-resol</w:t>
      </w:r>
    </w:p>
    <w:p>
      <w:pPr/>
      <w:r>
        <w:rPr>
          <w:b/>
        </w:rPr>
        <w:t>POSSIBLE 2026:</w:t>
      </w:r>
      <w:r>
        <w:t xml:space="preserve"> Early establishment acts as a selective filter shaping climate-associated genomic variation in European beech — https://doi.org/10.64898/2026.09.02.748467</w:t>
      </w:r>
    </w:p>
    <w:p>
      <w:pPr/>
      <w:r>
        <w:rPr>
          <w:b/>
        </w:rPr>
        <w:t>Shared claim-specific concepts:</w:t>
      </w:r>
      <w:r>
        <w:t xml:space="preserve"> filtering, current, climate, period; EU scope visible. This is a provisional connection, not an outcome finding.</w:t>
      </w:r>
    </w:p>
    <w:p>
      <w:pPr>
        <w:pStyle w:val="SourceNote"/>
      </w:pPr>
      <w:r>
        <w:rPr>
          <w:b/>
        </w:rPr>
        <w:t>Available abstract (not full text):</w:t>
      </w:r>
      <w:r>
        <w:t xml:space="preserve"> Abstract Climate change is increasing drought and heat stress in European forests, raising concerns about the capacity of long-lived tree species to respond to rapidly changing environmental conditions. While local adaptation has been documented in many forest trees, it remains unclear whether newly established seedlings, which form the forests of the future, are able to persist and adapt to these new climatic conditions. Here, we investigated genomic differences between naturally regenerated seedlings and trees of European beech ( Fagus sylvatica ) across the three regions of the German Biodiversity Exploratories using low-coverage whole-genome sequencing (∼5x) of 1,032 individuals. Population structure was primarily driven by geographic region, whereas genetic diversity was similar across life stages. Despite this genome-wide similarity, we detected allele frequency shifts between trees and seedlings, concentrated in narrow genomic windows. These shifts were strongest in surviving seedlings, suggesting that environmental filtering during early establishment may contribute to shaping the genetic composition of regenerating populations. The strongest signals were observed within the Swabian Alb, where sampled seedlings were 2-years old and had experienced a longer period of potential filtering prior to sampling. Genotype–environment association analyses identified loci associat</w:t>
      </w:r>
    </w:p>
    <w:p>
      <w:pPr/>
      <w:r>
        <w:rPr>
          <w:b/>
        </w:rPr>
        <w:t>POSSIBLE 2026:</w:t>
      </w:r>
      <w:r>
        <w:t xml:space="preserve"> Modelling monthly Boundary Layer Height maps combining radiosonde, satellite, and reanalysis over Europe — https://doi.org/10.5194/amt-19-5697-2026</w:t>
      </w:r>
    </w:p>
    <w:p>
      <w:pPr/>
      <w:r>
        <w:rPr>
          <w:b/>
        </w:rPr>
        <w:t>Shared claim-specific concepts:</w:t>
      </w:r>
      <w:r>
        <w:t xml:space="preserve"> limited, mean, values, period; EU scope visible. This is a provisional connection, not an outcome finding.</w:t>
      </w:r>
    </w:p>
    <w:p>
      <w:pPr>
        <w:pStyle w:val="SourceNote"/>
      </w:pPr>
      <w:r>
        <w:rPr>
          <w:b/>
        </w:rPr>
        <w:t>Available abstract (not full text):</w:t>
      </w:r>
      <w:r>
        <w:t xml:space="preserve"> Abstract. The height of the planetary boundary layer directly influences local and regional climatic phenomena, making its study and estimation of vital importance for environmental sciences. The main objective of this work was to create a gridded map of planetary boundary layer height across the European continent, with a spatial resolution of 25 km and monthly mean values at two synoptic hours (12:00 and 00:00 UTC). We implemented the regression kriging method by combining various data sources, including observations, climatic and topographic variables, and reanalysis data (ERA5), and different regression methods (linear, random forest, and gradient boosting) for the 2010–2020 period. In both UTC hours, combining reanalysis and topographic covariates with random forest regression provided the best performance. Then, we compared our seasonal predictions with reanalysis data and found a consistently higher spatio-temporal accuracy than that of the ERA5 reanalysis. For example, at 12:00 UTC, spatial variability in winter showed RMSE values ≤ 100 m, compared with ≥ 200 m for ERA5, while temporal variability in summer reached RMSE values ≤ 250 m, versus ≥ 300 m for ERA5. At 00:00 UTC, spatial variability in autumn achieved RMSE values ≤ 36 m, whereas ERA5 exhibited RMSE values ≥ 130 m. The methodology was applied to a case study over Germany at a daily resolution. We obtained an a</w:t>
      </w:r>
    </w:p>
    <w:p>
      <w:pPr/>
      <w:r>
        <w:rPr>
          <w:b/>
        </w:rPr>
        <w:t>POSSIBLE 2026:</w:t>
      </w:r>
      <w:r>
        <w:t xml:space="preserve"> Filtering and Smoothing in State-Space Models with Multiple Regimes — https://doi.org/10.1080/07350015.2026.2656466</w:t>
      </w:r>
    </w:p>
    <w:p>
      <w:pPr/>
      <w:r>
        <w:rPr>
          <w:b/>
        </w:rPr>
        <w:t>Shared claim-specific concepts:</w:t>
      </w:r>
      <w:r>
        <w:t xml:space="preserve"> after, filtering, those; EU scope not established. This is a provisional connection, not an outcome finding.</w:t>
      </w:r>
    </w:p>
    <w:p>
      <w:pPr>
        <w:pStyle w:val="SourceNote"/>
      </w:pPr>
      <w:r>
        <w:rPr>
          <w:b/>
        </w:rPr>
        <w:t>Available abstract (not full text):</w:t>
      </w:r>
      <w:r>
        <w:t xml:space="preserve"> This paper improves Bayesian filtering techniques in regime-switching state-space models and develops a novel recursion-based smoother for latent variables. The smoother is computationally stable, adaptable to different filters, and easy to implement. We assess its performance in a New Keynesian DSGE model pairing it with three practical filters: the Generalized Pseudo-Bayesian filters of order one (GPB1) and two (GPB2, often referred to as the Kim or Kim–Nelson filter in applied economics), and the Interacting Multiple Model filter (IMM), common in engineering literature but rarely used in economics. The simulation results show that the IMM filter is about three times faster and at least as accurate as the GPB2 filter, while our smoother further reduces errors by approximately 25%. Applied to U.S. data from 1947 to 2023, the IMM filter–smoother pair uncovers important monetary policy regime shifts, including those after COVID-19. This demonstrates the practical relevance of the proposed routines for macroeconomic analysis.</w:t>
      </w:r>
    </w:p>
    <w:p>
      <w:pPr/>
      <w:r>
        <w:rPr>
          <w:b/>
        </w:rPr>
        <w:t>POSSIBLE 2026:</w:t>
      </w:r>
      <w:r>
        <w:t xml:space="preserve"> High-dimensional partial linear model with trend filtering — https://doi.org/10.1214/26-ejs2522</w:t>
      </w:r>
    </w:p>
    <w:p>
      <w:pPr/>
      <w:r>
        <w:rPr>
          <w:b/>
        </w:rPr>
        <w:t>Shared claim-specific concepts:</w:t>
      </w:r>
      <w:r>
        <w:t xml:space="preserve"> filtering, those; EU scope not established. This is a provisional connection, not an outcome finding.</w:t>
      </w:r>
    </w:p>
    <w:p>
      <w:pPr>
        <w:pStyle w:val="SourceNote"/>
      </w:pPr>
      <w:r>
        <w:rPr>
          <w:b/>
        </w:rPr>
        <w:t>Available abstract (not full text):</w:t>
      </w:r>
      <w:r>
        <w:t xml:space="preserve"> Understanding the links between diet, metabolic changes, and health outcomes is a key focus in nutritional science and broader biological research. Analyzing relationships, such as those between ultra-processed food (UPF) intake and metabolites, offers insights into potential biomarkers for diet-related diseases and public health applications. However, these analyses are challenging due to high-dimensional data structures and complex, often nonlinear associations between covariates and health outcomes. Traditional linear models and conventional nonparametric methods often lack the flexibility to accurately capture such complexities in biological data. To address these challenges, we propose a high-dimensional partial linear regression model that captures both linear and nonlinear effects, combining the interpretability of linear models with the adaptability of nonparametric approaches. Our model leverages trend filtering to handle local smoothness variations effectively and achieves minimax optimal rates, making it suitable for complex biological datasets. We apply this model to data from the Interactive Diet and Activity Tracking in AARP (IDATA) Study, demonstrating its utility in identifying biomarkers associated with UPF intake and illustrating its potential for broader applications in dietary, metabolic, and health-related research.</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after, limited, long-term;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Thirty Years of Agricultural Landscape Simplification in Europe: A Multi-Scale Assessment Using CORINE Land Cover and GAM Models — https://doi.org/10.3390/land15081370</w:t>
      </w:r>
    </w:p>
    <w:p>
      <w:pPr/>
      <w:r>
        <w:rPr>
          <w:b/>
        </w:rPr>
        <w:t>Shared claim-specific concepts:</w:t>
      </w:r>
      <w:r>
        <w:t xml:space="preserve"> after, long-term; EU scope visible. This is a provisional connection, not an outcome finding.</w:t>
      </w:r>
    </w:p>
    <w:p>
      <w:pPr>
        <w:pStyle w:val="SourceNote"/>
      </w:pPr>
      <w:r>
        <w:rPr>
          <w:b/>
        </w:rPr>
        <w:t>Available abstract (not full text):</w:t>
      </w:r>
      <w:r>
        <w:t xml:space="preserve"> Understanding long-term changes in agricultural landscapes is essential for assessing the sustainability of land-use systems and guiding agro-environmental policy. This study analyzes three decades of landscape simplification and natural habitat complexity (1990–2018) across three spatial scales—Europe, Spain, and Extremadura—using CORINE Land Cover data and generalized additive models (GAMs). Four agricultural systems were examined: total agriculture, vineyards, olive groves, and rice fields. For each year and region, 1000 randomly selected 1 km buffers were used to quantify the proportions of focal crops and natural habitat as indicators of landscape simplification and complexity, respectively. Results showed that landscape simplification was widespread and statistically significant across most agricultural systems, particularly in Spanish vineyards (p = 3.02 × 10−5) and rice fields (p = 3.74 × 10−5). Temporal analyses indicated declining simplification trends in Europe and Spain (approximately −1.5%), whereas Extremadura exhibited increasing simplification (+1.5%) and a decline in landscape complexity after 2006. Landscape complexity showed fewer significant trends, with Europe and Spain displaying slight increases over time, whereas Extremadura shifted from initial complexity gains to a decline after 2006, indicating pressures from irrigation expansion and crop intensificat</w:t>
      </w:r>
    </w:p>
    <w:p>
      <w:pPr/>
      <w:r>
        <w:rPr>
          <w:b/>
        </w:rPr>
        <w:t>POSSIBLE 2025:</w:t>
      </w:r>
      <w:r>
        <w:t xml:space="preserve"> PICO: Reconstructing 3D People In Contact with Objects — https://doi.org/10.1109/cvpr52734.2025.00173</w:t>
      </w:r>
    </w:p>
    <w:p>
      <w:pPr/>
      <w:r>
        <w:rPr>
          <w:b/>
        </w:rPr>
        <w:t>Shared claim-specific concepts:</w:t>
      </w:r>
      <w:r>
        <w:t xml:space="preserve"> limited, reconstructing; EU scope not established. This is a provisional connection, not an outcome finding.</w:t>
      </w:r>
    </w:p>
    <w:p>
      <w:pPr>
        <w:pStyle w:val="SourceNote"/>
      </w:pPr>
      <w:r>
        <w:rPr>
          <w:b/>
        </w:rPr>
        <w:t>Available abstract (not full text):</w:t>
      </w:r>
      <w:r>
        <w:t xml:space="preserve"> Recovering 3D Human-Object Interaction (HOI) from single images is challenging due to depth ambiguities, occlusions, and the huge variation in object shape and appearance. Thus, past work requires controlled settings such as known object shapes and contacts, and tackles only limited object classes. Instead, we need methods that generalize to natural images and novel object classes. We tackle this in two main ways: (1) We collect PICO-db, a new dataset of natural images uniquely paired with dense 3D contact correspondences on both body and object meshes. To this end, we use images from the recent DAMON dataset that are paired with annotated contacts, but only on a canonical 3D body. In contrast, we seek contact labels on both the body and the object. To infer these, given an image, we retrieve an appropriate 3D object mesh from a database by leveraging vision foundation models. Then, we project DAMON’s body contact patches onto the object via a novel method needing only 2 clicks per patch. This minimal human input establishes rich contact correspondences between bodies and objects. (2) We exploit our new dataset in a novel render-and-compare fitting method, called PICO-fit, to recover 3D body and object meshes in interaction. PICO-fit infers contact for the SMPL-X body, retrieves a likely 3D object mesh and contact from PICO-db for that object, and uses the contact to iterativel</w:t>
      </w:r>
    </w:p>
    <w:p>
      <w:pPr/>
      <w:r>
        <w:rPr>
          <w:b/>
        </w:rPr>
        <w:t>POSSIBLE 2025:</w:t>
      </w:r>
      <w:r>
        <w:t xml:space="preserve"> An Adaptive Hierarchical Ensemble Kalman Filter with Reduced Basis Models — https://doi.org/10.1137/24m1653690</w:t>
      </w:r>
    </w:p>
    <w:p>
      <w:pPr/>
      <w:r>
        <w:rPr>
          <w:b/>
        </w:rPr>
        <w:t>Shared claim-specific concepts:</w:t>
      </w:r>
      <w:r>
        <w:t xml:space="preserve"> limited, ensemble; EU scope not established. This is a provisional connection, not an outcome finding.</w:t>
      </w:r>
    </w:p>
    <w:p>
      <w:pPr>
        <w:pStyle w:val="SourceNote"/>
      </w:pPr>
      <w:r>
        <w:rPr>
          <w:b/>
        </w:rPr>
        <w:t>Available abstract (not full text):</w:t>
      </w:r>
      <w:r>
        <w:t xml:space="preserve"> Abstract. The use of reduced order modeling techniques in combination with ensemble-based methods for estimating the state of systems described by nonlinear partial differential equations has been of great interest in recent years in the data assimilation community. Methods such as the multifidelity ensemble Kalman filter and the multilevel ensemble Kalman filter are recognized as state-of-the-art techniques. However, in many cases, the construction of low-fidelity models in an offline stage, before solving the data assimilation problem, prevents them from being both accurate and computationally efficient. In our work, we investigate the use of adaptive reduced basis techniques in which the approximation space is modified online by combining information extracted from a limited number of full order solutions and information extracted from reduced models trained at previous time steps. This allows us to simultaneously ensure good accuracy and low cost for the employed models and thus improve the performance of the multifidelity and multilevel methods.</w:t>
      </w:r>
    </w:p>
    <w:p>
      <w:pPr>
        <w:pStyle w:val="Heading2"/>
      </w:pPr>
      <w:r>
        <w:t>615. Future Projections of Heat Mortality Risk for Major European Cities</w:t>
      </w:r>
    </w:p>
    <w:p>
      <w:pPr>
        <w:pStyle w:val="SourceNote"/>
      </w:pPr>
      <w:r>
        <w:rPr>
          <w:b/>
        </w:rPr>
        <w:t>Original source (2021):</w:t>
      </w:r>
      <w:r>
        <w:t xml:space="preserve"> https://doi.org/10.1175/wcas-d-20-0142.1</w:t>
      </w:r>
    </w:p>
    <w:p>
      <w:pPr/>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POSSIBLE 2026:</w:t>
      </w:r>
      <w:r>
        <w:t xml:space="preserve"> Trends in mortality and disability from ischaemic stroke in Europe, 1990-2023 — https://doi.org/10.1093/esj/aakag082</w:t>
      </w:r>
    </w:p>
    <w:p>
      <w:pPr/>
      <w:r>
        <w:rPr>
          <w:b/>
        </w:rPr>
        <w:t>Shared claim-specific concepts:</w:t>
      </w:r>
      <w:r>
        <w:t xml:space="preserve"> average, mortality, all, countries; EU scope visible. This is a provisional connection, not an outcome finding.</w:t>
      </w:r>
    </w:p>
    <w:p>
      <w:pPr>
        <w:pStyle w:val="SourceNote"/>
      </w:pPr>
      <w:r>
        <w:rPr>
          <w:b/>
        </w:rPr>
        <w:t>Available abstract (not full text):</w:t>
      </w:r>
      <w:r>
        <w:t xml:space="preserve">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pPr/>
      <w:r>
        <w:rPr>
          <w:b/>
        </w:rPr>
        <w:t>POSSIBLE 2026:</w:t>
      </w:r>
      <w:r>
        <w:t xml:space="preserve"> Drought tolerance and mortality risk of European beech — https://doi.org/10.1016/j.agrformet.2026.111541</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pPr/>
      <w:r>
        <w:rPr>
          <w:b/>
        </w:rPr>
        <w:t>POSSIBLE 2026:</w:t>
      </w:r>
      <w:r>
        <w:t xml:space="preserve"> Drought tolerance and mortality risk of European beech — https://doi.org/10.16904/envidat.805</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pPr/>
      <w:r>
        <w:rPr>
          <w:b/>
        </w:rPr>
        <w:t>POSSIBLE 2026:</w:t>
      </w:r>
      <w:r>
        <w:t xml:space="preserve"> The impact of heat and cold on mortality and life expectancy in Europe, 2015–2024 — https://doi.org/10.1016/j.ehb.2026.101607</w:t>
      </w:r>
    </w:p>
    <w:p>
      <w:pPr/>
      <w:r>
        <w:rPr>
          <w:b/>
        </w:rPr>
        <w:t>Shared claim-specific concepts:</w:t>
      </w:r>
      <w:r>
        <w:t xml:space="preserve"> average, indicate, mortality, countries, increase, heat; EU scope visible. This is a provisional connection, not an outcome finding.</w:t>
      </w:r>
    </w:p>
    <w:p>
      <w:pPr>
        <w:pStyle w:val="SourceNote"/>
      </w:pPr>
      <w:r>
        <w:rPr>
          <w:b/>
        </w:rPr>
        <w:t>Available abstract (not full text):</w:t>
      </w:r>
      <w:r>
        <w:t xml:space="preserve">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pPr/>
      <w:r>
        <w:rPr>
          <w:b/>
        </w:rPr>
        <w:t>POSSIBLE 2026:</w:t>
      </w:r>
      <w:r>
        <w:t xml:space="preserve"> Electric Vehicle Fleet Penetration and Air Pollution Mortality in Europe — https://doi.org/10.32388/vkflrm</w:t>
      </w:r>
    </w:p>
    <w:p>
      <w:pPr/>
      <w:r>
        <w:rPr>
          <w:b/>
        </w:rPr>
        <w:t>Shared claim-specific concepts:</w:t>
      </w:r>
      <w:r>
        <w:t xml:space="preserve"> mortality, high, all, countries, significant;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REPLY TO: “Daylight Saving Time and Mortality—Proceed with Caution “in response to “Daylight saving time affects European mortality patterns” by Levy et al — https://doi.org/10.1038/s41467-026-72704-1</w:t>
      </w:r>
    </w:p>
    <w:p>
      <w:pPr/>
      <w:r>
        <w:rPr>
          <w:b/>
        </w:rPr>
        <w:t>Shared claim-specific concepts:</w:t>
      </w:r>
      <w:r>
        <w:t xml:space="preserve"> average, mortality, countries; EU scope visible. This is a provisional connection, not an outcome finding.</w:t>
      </w:r>
    </w:p>
    <w:p>
      <w:pPr>
        <w:pStyle w:val="SourceNote"/>
      </w:pPr>
      <w:r>
        <w:rPr>
          <w:b/>
        </w:rPr>
        <w:t>Available abstract (not full text):</w:t>
      </w:r>
      <w:r>
        <w:t xml:space="preserve"> In their comments, Klerman et al. cast a doubt on the quality of the regression model we used and its interpretation. Nevertheless, we are thankful for their comments, as they help us provide more detailed explanations. Here, we discuss the reasons they put forward to explain the apparent discrepancy between Fig. 1 and the model’s results. Fig. 1 The alternative text for this image may have been generated using AI. Full size image Unadjusted average daily death rate/100,000 observed in 16 European countries (1998–2012) around spring DST change, by years.</w:t>
      </w:r>
    </w:p>
    <w:p>
      <w:pPr/>
      <w:r>
        <w:rPr>
          <w:b/>
        </w:rPr>
        <w:t>POSSIBLE 2026:</w:t>
      </w:r>
      <w:r>
        <w:t xml:space="preserve"> Frailty and Socioeconomic Development in the European Region—Associations with Mortality in Middle-Aged and Older Adults — https://doi.org/10.3390/ijerph23030307</w:t>
      </w:r>
    </w:p>
    <w:p>
      <w:pPr/>
      <w:r>
        <w:rPr>
          <w:b/>
        </w:rPr>
        <w:t>Shared claim-specific concepts:</w:t>
      </w:r>
      <w:r>
        <w:t xml:space="preserve"> mortality, countries, significant; EU scope visible. This is a provisional connection, not an outcome finding.</w:t>
      </w:r>
    </w:p>
    <w:p>
      <w:pPr>
        <w:pStyle w:val="SourceNote"/>
      </w:pPr>
      <w:r>
        <w:rPr>
          <w:b/>
        </w:rPr>
        <w:t>Available abstract (not full text):</w:t>
      </w:r>
      <w:r>
        <w:t xml:space="preserve"> The Sociodemographic Index (SDI) captures a country's or region's relative socioeconomic development and has been linked to age-related disease burden and life expectancy. Frailty is a multidimensional geriatric syndrome associated with adverse health outcomes and mortality. This study examined the relationship between country-level SDI, frailty prevalence, and mortality across Europe. We conducted a secondary analysis of community-dwelling adults aged 50 years and older from 12 countries participating in the Survey of Health, Ageing and Retirement in Europe (SHARE). Frailty status and SDI were assessed at Wave 2 (2007), with mortality follow-up at Wave 4 (2011). Countries were categorised into lower- and higher-SDI groups using the median as a cut-off. Frailty was measured using a 70-item frailty index (FI ≥ 0.25) and a modified Fried frailty phenotype (FP ≥ 3 criteria). Frailty prevalence varied substantially by country and assessment method, ranging from 7 to 40% using the FI and 4-21% using the FP. Prevalence was lowest in Switzerland and highest in Poland and was strongly correlated with national SDI scores (r ≥ 0.8). After adjustment for age and sex, lower SDI was independently associated with higher odds of frailty using both frailty measures. Although mortality was lower in higher-SDI countries, this association was not statistically significant after adjusting for age,</w:t>
      </w:r>
    </w:p>
    <w:p>
      <w:pPr/>
      <w:r>
        <w:rPr>
          <w:b/>
        </w:rPr>
        <w:t>POSSIBLE 2026:</w:t>
      </w:r>
      <w:r>
        <w:t xml:space="preserve"> How heat exposure is defined matters: evidence from multi-metric mortality estimates across Europe — https://doi.org/10.1186/s12940-026-01349-w</w:t>
      </w:r>
    </w:p>
    <w:p>
      <w:pPr/>
      <w:r>
        <w:rPr>
          <w:b/>
        </w:rPr>
        <w:t>Shared claim-specific concepts:</w:t>
      </w:r>
      <w:r>
        <w:t xml:space="preserve"> average, mortality, all, heat; EU scope visible. This is a provisional connection, not an outcome finding.</w:t>
      </w:r>
    </w:p>
    <w:p>
      <w:pPr>
        <w:pStyle w:val="SourceNote"/>
      </w:pPr>
      <w:r>
        <w:rPr>
          <w:b/>
        </w:rPr>
        <w:t>Available abstract (not full text):</w:t>
      </w:r>
      <w:r>
        <w:t xml:space="preserve"> Extreme heat is an escalating health threat, particularly as Europe warms faster than the global average. However, mortality estimates depend on how heat exposure is measured, because different metrics can capture different dimensions of heat, including intensity, duration, acclimatisation and combined thermal stress. We examined how alternative heat metrics influence estimates of heat-related mortality across five European sites representing diverse climate conditions: Heraklion (Greece), Bologna (Italy), Geneva (Switzerland), Augsburg (Germany) and Oulu (Finland). Using harmonised daily mortality and climate data for 2020–2023, we applied distributed lag non-linear models to estimate heat-mortality associations. Mortality data were population-based for all sites except Augsburg, where hospital-based mortality data were used. Continuous exposure-response functions were modelled for air temperature, UTCI and WBGT across the full observed exposure range. Binary heatwave indicators, including EHF, WSDI and percentile-based definitions, were analysed separately under the same framework. Results are presented first as cumulative relative risks (RRs) and then as attributable mortality burdens. RRs indicated stronger heat-mortality associations in Heraklion and Bologna, moderate associations in Geneva, and non-significant associations in Oulu or in the hospital-based Augsburg data. A</w:t>
      </w:r>
    </w:p>
    <w:p>
      <w:pPr/>
      <w:r>
        <w:rPr>
          <w:b/>
        </w:rPr>
        <w:t>POSSIBLE 2026:</w:t>
      </w:r>
      <w:r>
        <w:t xml:space="preserve"> Threefold Land‐Use Forcing Intensifies Twofold Warming of Urban Europe — https://doi.org/10.1029/2026jd046541</w:t>
      </w:r>
    </w:p>
    <w:p>
      <w:pPr/>
      <w:r>
        <w:rPr>
          <w:b/>
        </w:rPr>
        <w:t>Shared claim-specific concepts:</w:t>
      </w:r>
      <w:r>
        <w:t xml:space="preserve"> average, indicate, almost, twice, rcp8, compared; EU scope visible. This is a provisional connection, not an outcome finding.</w:t>
      </w:r>
    </w:p>
    <w:p>
      <w:pPr>
        <w:pStyle w:val="SourceNote"/>
      </w:pPr>
      <w:r>
        <w:rPr>
          <w:b/>
        </w:rPr>
        <w:t>Available abstract (not full text):</w:t>
      </w:r>
      <w:r>
        <w:t xml:space="preserve"> Abstract Europe is warming much faster than the global average, yet the relative contributions of individual anthropogenic drivers to its urban warming remain uncertain. Using CMIP5 single‐forcing simulations and observations from HadCRUT5 data set, we determine the influence of greenhouse gases (GHGs), aerosols from anthropogenic sources (Aaer), together with change in land‐use (LU) forcing on urban Europe's rising surface air temperature (SAT) since 1850. The local Europe Amplification Factor (EAF), the ratio of regional to global SAT trends, reveals that LU forcing has intensified nearly threefold relative to the global mean since the industrial era, driving urban European warming almost twice the global rate. LU forcing exhibits the strongest amplification compared with GHG forcing , highlighting the critical role of surface modifications in accelerating regional urban warming. Future projections under RCP6.0 and RCP8.5 indicate persistent EAF values exceeding 2.0 over densely populated regions, underscoring the need for integrated emission‐ and land‐management strategies to mitigate urban Europe's amplified warming.</w:t>
      </w:r>
    </w:p>
    <w:p>
      <w:pPr/>
      <w:r>
        <w:rPr>
          <w:b/>
        </w:rPr>
        <w:t>POSSIBLE 2026:</w:t>
      </w:r>
      <w:r>
        <w:t xml:space="preserve"> Projected excess mortality from PM 2.5 exposure in Europe under future climate and sociodemographic pathways — https://doi.org/10.1088/2752-5309/ae868a</w:t>
      </w:r>
    </w:p>
    <w:p>
      <w:pPr/>
      <w:r>
        <w:rPr>
          <w:b/>
        </w:rPr>
        <w:t>Shared claim-specific concepts:</w:t>
      </w:r>
      <w:r>
        <w:t xml:space="preserve"> mortality, almost, all, three, suggest, significant; EU scope visible. This is a provisional connection, not an outcome finding.</w:t>
      </w:r>
    </w:p>
    <w:p>
      <w:pPr>
        <w:pStyle w:val="SourceNote"/>
      </w:pPr>
      <w:r>
        <w:rPr>
          <w:b/>
        </w:rPr>
        <w:t>Available abstract (not full text):</w:t>
      </w:r>
      <w:r>
        <w:t xml:space="preserve"> Abstract Fine particulate matter (PM 2.5 ) is a major human health risk factor. Despite significant efforts to reduce air pollution in Europe the aging population, urbanization, and climate change, demand an assessment of potential impacts of future pollution trends. The interactions of climate change and PM 2.5 pollution, and their effects on adverse health outcomes require a comprehensive approach to effectively address these environmental and public health challenges and link them with future scenarios. In this study, we use three shared socio-economic pathways (SSPs) to examine potential changes in societal, demographic, and economic trends over the century in combination with three future radiative forcing trajectories. We use three scenarios: the SSP1-2.6, SSP2-4.5, and SSP5-8.5. We examine the consequences of these pathways on population exposure to PM 2.5 in the coming decades, focusing on the years 2030, 2040, 2050 and 2100. The study evaluates excess mortality across various health outcomes, such as cardiovascular and respiratory diseases, using novel relative risk functions and public health data. We find that air pollution in Europe will continue to decline over the coming decades across all scenarios. The projected excess mortality attributable to PM 2.5 exposure varies by region, future pathway, and period, and is mainly driven by the projected demographic changes</w:t>
      </w:r>
    </w:p>
    <w:p>
      <w:pPr/>
      <w:r>
        <w:rPr>
          <w:b/>
        </w:rPr>
        <w:t>POSSIBLE 2026:</w:t>
      </w:r>
      <w:r>
        <w:t xml:space="preserve"> Emergence time of CO2-forced European summer climate trends — https://doi.org/10.1038/s41598-026-44761-5</w:t>
      </w:r>
    </w:p>
    <w:p>
      <w:pPr/>
      <w:r>
        <w:rPr>
          <w:b/>
        </w:rPr>
        <w:t>Shared claim-specific concepts:</w:t>
      </w:r>
      <w:r>
        <w:t xml:space="preserve"> compared, significant, increase; EU scope visible. This is a provisional connection, not an outcome finding.</w:t>
      </w:r>
    </w:p>
    <w:p>
      <w:pPr>
        <w:pStyle w:val="SourceNote"/>
      </w:pPr>
      <w:r>
        <w:rPr>
          <w:b/>
        </w:rPr>
        <w:t>Available abstract (not full text):</w:t>
      </w:r>
      <w:r>
        <w:t xml:space="preserve"> This study investigates the time of emergence (ToE) of European summer climate trends in a warming world. We use a large ensemble of simulations performed with the Kiel Climate Model, in which atmospheric CO2 levels increase by 1% per year starting from pre-industrial concentration. The ToE for near-surface temperature, soil moisture, and the hydrological cycle highlights a relatively fast (20–40 years) emergence of near-surface temperature trends, while precipitation trends remain within the range of natural variability until the end of the 140-year-long simulation when CO2 levels quadruple. Soil moisture trends emerge after approximately 30 years in parts of the Mediterranean region, whereas in Western and Central Europe, they only emerge in the west after about 70 years when CO2 concentrations have doubled. Although many CO2-forced climate trends are not emerging over Europe, a comparison of 5,000 pre-industrial and 3,000 4xCO2 summers reveals statistically significant differences in the distribution of these summer variables: we find that the 1% driest summers are projected to be more extreme in a warmer 4xCO2 climate compared to the pre-industrial climate. This can have major implications for agriculture, as water shortages may become more severe during these extreme summers.</w:t>
      </w:r>
    </w:p>
    <w:p>
      <w:pPr/>
      <w:r>
        <w:rPr>
          <w:b/>
        </w:rPr>
        <w:t>POSSIBLE 2025:</w:t>
      </w:r>
      <w:r>
        <w:t xml:space="preserve"> Association between Wealth and Mortality in the United States and Europe — https://doi.org/10.1056/nejmsa2408259</w:t>
      </w:r>
    </w:p>
    <w:p>
      <w:pPr/>
      <w:r>
        <w:rPr>
          <w:b/>
        </w:rPr>
        <w:t>Shared claim-specific concepts:</w:t>
      </w:r>
      <w:r>
        <w:t xml:space="preserve"> mortality, all, countries; EU scope visible. This is a provisional connection, not an outcome finding.</w:t>
      </w:r>
    </w:p>
    <w:p>
      <w:pPr>
        <w:pStyle w:val="SourceNote"/>
      </w:pPr>
      <w:r>
        <w:rPr>
          <w:b/>
        </w:rPr>
        <w:t>Available abstract (not full text):</w:t>
      </w:r>
      <w:r>
        <w:t xml:space="preserve">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pPr>
        <w:pStyle w:val="Heading2"/>
      </w:pPr>
      <w:r>
        <w:t>616. Future export markets of industrial wood construction – A qualitative backcasting study</w:t>
      </w:r>
    </w:p>
    <w:p>
      <w:pPr>
        <w:pStyle w:val="SourceNote"/>
      </w:pPr>
      <w:r>
        <w:rPr>
          <w:b/>
        </w:rPr>
        <w:t>Original source (2021):</w:t>
      </w:r>
      <w:r>
        <w:t xml:space="preserve"> https://doi.org/10.1016/j.forpol.2021.102480</w:t>
      </w:r>
    </w:p>
    <w:p>
      <w:pPr/>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POSSIBLE 2026:</w:t>
      </w:r>
      <w:r>
        <w:t xml:space="preserve"> Promising policy practices in PC-IC in LTC Person-Centred Integrated Long-Term Care for older adults in Europe — https://doi.org/10.5334/ijic.icic26505</w:t>
      </w:r>
    </w:p>
    <w:p>
      <w:pPr/>
      <w:r>
        <w:rPr>
          <w:b/>
        </w:rPr>
        <w:t>Shared claim-specific concepts:</w:t>
      </w:r>
      <w:r>
        <w:t xml:space="preserve"> aim, identify, promising, pathways, current; EU scope visible. This is a provisional connection, not an outcome finding.</w:t>
      </w:r>
    </w:p>
    <w:p>
      <w:pPr>
        <w:pStyle w:val="SourceNote"/>
      </w:pPr>
      <w:r>
        <w:rPr>
          <w:b/>
        </w:rPr>
        <w:t>Available abstract (not full text):</w:t>
      </w:r>
      <w:r>
        <w:t xml:space="preserve">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pPr/>
      <w:r>
        <w:rPr>
          <w:b/>
        </w:rPr>
        <w:t>POSSIBLE 2026:</w:t>
      </w:r>
      <w:r>
        <w:t xml:space="preserve"> Identifying directions for improving the regulation of the circulation of high-technology innovations in the European Union — https://doi.org/10.15587/1729-4061.2026.362257</w:t>
      </w:r>
    </w:p>
    <w:p>
      <w:pPr/>
      <w:r>
        <w:rPr>
          <w:b/>
        </w:rPr>
        <w:t>Shared claim-specific concepts:</w:t>
      </w:r>
      <w:r>
        <w:t xml:space="preserve"> promising, applied, well, current; EU scope visible. This is a provisional connection, not an outcome finding.</w:t>
      </w:r>
    </w:p>
    <w:p>
      <w:pPr>
        <w:pStyle w:val="SourceNote"/>
      </w:pPr>
      <w:r>
        <w:rPr>
          <w:b/>
        </w:rPr>
        <w:t>Available abstract (not full text):</w:t>
      </w:r>
      <w:r>
        <w:t xml:space="preserve">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pPr/>
      <w:r>
        <w:rPr>
          <w:b/>
        </w:rPr>
        <w:t>POSSIBLE 2026:</w:t>
      </w:r>
      <w:r>
        <w:t xml:space="preserve"> Selecting Promising Soil Quality Indicators for Monitoring Soil Management Effects Based on 10 European Long‐Term Field Experiments — https://doi.org/10.1002/jpln.70068</w:t>
      </w:r>
    </w:p>
    <w:p>
      <w:pPr/>
      <w:r>
        <w:rPr>
          <w:b/>
        </w:rPr>
        <w:t>Shared claim-specific concepts:</w:t>
      </w:r>
      <w:r>
        <w:t xml:space="preserve"> aim, identify, promising, well, current; EU scope visible. This is a provisional connection, not an outcome finding.</w:t>
      </w:r>
    </w:p>
    <w:p>
      <w:pPr>
        <w:pStyle w:val="SourceNote"/>
      </w:pPr>
      <w:r>
        <w:rPr>
          <w:b/>
        </w:rPr>
        <w:t>Available abstract (not full text):</w:t>
      </w:r>
      <w:r>
        <w:t xml:space="preserve">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pPr/>
      <w:r>
        <w:rPr>
          <w:b/>
        </w:rPr>
        <w:t>POSSIBLE 2026:</w:t>
      </w:r>
      <w:r>
        <w:t xml:space="preserve"> Market analysis for Superhood Oy's European expansion — https://openalex.org/W7162354352</w:t>
      </w:r>
    </w:p>
    <w:p>
      <w:pPr/>
      <w:r>
        <w:rPr>
          <w:b/>
        </w:rPr>
        <w:t>Shared claim-specific concepts:</w:t>
      </w:r>
      <w:r>
        <w:t xml:space="preserve"> aim, identify, finland, qualitative;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Establishing a Jewellery Business in the Finnish Market — https://openalex.org/W7162177384</w:t>
      </w:r>
    </w:p>
    <w:p>
      <w:pPr/>
      <w:r>
        <w:rPr>
          <w:b/>
        </w:rPr>
        <w:t>Shared claim-specific concepts:</w:t>
      </w:r>
      <w:r>
        <w:t xml:space="preserve"> aim, identify, qualitative; EU scope not established. This is a provisional connection, not an outcome finding.</w:t>
      </w:r>
    </w:p>
    <w:p>
      <w:pPr>
        <w:pStyle w:val="SourceNote"/>
      </w:pPr>
      <w:r>
        <w:rPr>
          <w:b/>
        </w:rPr>
        <w:t>Available abstract (not full text):</w:t>
      </w:r>
      <w:r>
        <w:t xml:space="preserve"> This study examines the entry of a semi-fine jewellery business into the finished goods market, focusing on the opportunities, challenges, and strategic considerations involved in launching a competitive product. The aim of the study was to assess the viability of a business idea and to identify the most effective market approach for attracting target consumers while maintaining product quality and brand value. A qualitative approach was used, combining market research, competitor analysis, and customer preference assessment. The data were gathered through secondary research on jewellery market trends, analysis of consumer behaviour, and evaluation of pricing, product design, and branding strategies used by similar businesses. The findings were then interpreted to determine market demand, customer expectations, and positioning opportunities for the brand. The results indicate that there is strong potential for semi-fine jewellery in the finished-goods market, especially among consumers seeking affordable yet stylish and durable accessories. The study also found that successful entry depends on distinctive designs, competitive pricing, and strong online visibility. Overall, the research concludes that a semi-fine jewellery business can establish a sustainable presence in the market if it aligns product offerings with consumer preferences and implements a clear market entry strat</w:t>
      </w:r>
    </w:p>
    <w:p>
      <w:pPr/>
      <w:r>
        <w:rPr>
          <w:b/>
        </w:rPr>
        <w:t>POSSIBLE 2026:</w:t>
      </w:r>
      <w:r>
        <w:t xml:space="preserve"> Regulatory Barriers to Market Entry: The Impact of EU and Finnish Cosmetic Regulations on Importing Japanese Cosmetics into Finland — https://openalex.org/W7162165616</w:t>
      </w:r>
    </w:p>
    <w:p>
      <w:pPr/>
      <w:r>
        <w:rPr>
          <w:b/>
        </w:rPr>
        <w:t>Shared claim-specific concepts:</w:t>
      </w:r>
      <w:r>
        <w:t xml:space="preserve"> identify, finland, qualitative, method, applied; EU scope visible. This is a provisional connection, not an outcome finding.</w:t>
      </w:r>
    </w:p>
    <w:p>
      <w:pPr>
        <w:pStyle w:val="SourceNote"/>
      </w:pPr>
      <w:r>
        <w:rPr>
          <w:b/>
        </w:rPr>
        <w:t>Available abstract (not full text):</w:t>
      </w:r>
      <w:r>
        <w:t xml:space="preserve"> The Japanese cosmetics industry has experienced increasing global popularity in recent years, reflected in its steadily expanding market value and the rising international demand. While the recent trends indicate strong international market potential for Japanese cosmetic products, the import of cosmetics from Japan into the European Union and Finland is regulated by strict legal frameworks. These regulations govern areas including product safety and compliance, documentation, ingredient restrictions, labeling requirements, and market surveillance. The differences between EU and Finnish regulations in comparison to Japanese regulations may create barriers for market entry and affect the ability of Japanese cosmetic products to enter the Finnish market. The objective of this thesis was to identify and analyze the key regulatory barriers affecting the import of Japanese cosmetics into Finland. The scope of the study was limited to regulatory differences between the EU, Finnish, and Japanese cosmetic regulatory frameworks, focusing on products manufactured in Japan that have not previously entered the EU market. The market entry barriers were considered from the perspective of the importer. The theoretical framework of the study presented the key elements of the EU, Finnish, and Japanese regulatory frameworks. The study applied a qualitative research approach and comparative analy</w:t>
      </w:r>
    </w:p>
    <w:p>
      <w:pPr/>
      <w:r>
        <w:rPr>
          <w:b/>
        </w:rPr>
        <w:t>POSSIBLE 2026:</w:t>
      </w:r>
      <w:r>
        <w:t xml:space="preserve"> Obstacles to Job Market Integration for International Students in Finland — https://openalex.org/W7198829089</w:t>
      </w:r>
    </w:p>
    <w:p>
      <w:pPr/>
      <w:r>
        <w:rPr>
          <w:b/>
        </w:rPr>
        <w:t>Shared claim-specific concepts:</w:t>
      </w:r>
      <w:r>
        <w:t xml:space="preserve"> finland, qualitative, applied, well; EU scope visible. This is a provisional connection, not an outcome finding.</w:t>
      </w:r>
    </w:p>
    <w:p>
      <w:pPr>
        <w:pStyle w:val="SourceNote"/>
      </w:pPr>
      <w:r>
        <w:rPr>
          <w:b/>
        </w:rPr>
        <w:t>Available abstract (not full text):</w:t>
      </w:r>
      <w:r>
        <w:t xml:space="preserve"> The inclusion of international students in Finland labour market is a challenge, which is not going away even after the national campaign of attracting international talents to the country by offering English-based higher education programs. This study discusses the issue of international students and new graduates searching a job in the Finish labour market, which is considered to be an energy technology and innovation-oriented area. In spite of the fact that national strategies of Finland focus on internationalization and retention of talents, there is a gap between the desires of Finland and the fulfilment of international degree graduates in the sphere of employment. The data collected in this qualitative research paper is obtained via the use of semi-structured questionnaire with ten international students and graduates at the University of Finnish labour market and other institutions located in the area. The three theories interrelate in that the study is influenced by the following theoretical frameworks to develop: Human Capital Theory, Social Capital Theory, and Psychological Contract Theory. These models are used to an alyse the way skills, networks, expectations and perceived obligations affect the Finnish labour market employability of international students. Results indicate that the barriers to labour market integration are numerous with the Finnish language skill</w:t>
      </w:r>
    </w:p>
    <w:p>
      <w:pPr/>
      <w:r>
        <w:rPr>
          <w:b/>
        </w:rPr>
        <w:t>POSSIBLE 2026:</w:t>
      </w:r>
      <w:r>
        <w:t xml:space="preserve"> Analysts’ recommendations and abnormal returns in the Finnish Stock Market — https://openalex.org/W7198904048</w:t>
      </w:r>
    </w:p>
    <w:p>
      <w:pPr/>
      <w:r>
        <w:rPr>
          <w:b/>
        </w:rPr>
        <w:t>Shared claim-specific concepts:</w:t>
      </w:r>
      <w:r>
        <w:t xml:space="preserve"> industrial, sector; EU scope not established. This is a provisional connection, not an outcome finding.</w:t>
      </w:r>
    </w:p>
    <w:p>
      <w:pPr>
        <w:pStyle w:val="SourceNote"/>
      </w:pPr>
      <w:r>
        <w:rPr>
          <w:b/>
        </w:rPr>
        <w:t>Available abstract (not full text):</w:t>
      </w:r>
      <w:r>
        <w:t xml:space="preserve"> Stock analysts are important operators in today’s stock markets, and their ability to spot over- or underpriced stocks has been widely examined in academia. Analysts form their recommendations based on publicly available information. According to the semi-strong form of the Efficient Market Hypothesis following analysts should not yield abnormal returns. If abnormal returns still appear, it would indicate inefficiency in the markets. Most earlier studies have focused on the United States stock markets, which are often considered one of the most efficient in the world. This thesis examines whether abnormal returns are possible to achieve by a trading strategy following analysts’ recommendations in the Finnish stock markets between 2014 and 2024. In the thesis, six portfolios were built from OMX Helsinki stocks based on the analyst consensus recommendations they receive: three with favorable and three with unfavorable recommendations. The returns of portfolios were tested using the CAPM and the Fama–French five-factor model after transaction costs. In addition, eight industry portfolios were formed from four major industries to see if the analysts’ forecasting abilities are consistent across the industries. Each industry was split into a favourable and an unfavorable portfolio. Two of the three unfavorable portfolios produced significant negative abnormal returns, even after acco</w:t>
      </w:r>
    </w:p>
    <w:p>
      <w:pPr/>
      <w:r>
        <w:rPr>
          <w:b/>
        </w:rPr>
        <w:t>POSSIBLE 2026:</w:t>
      </w:r>
      <w:r>
        <w:t xml:space="preserve"> Creative Pathways to Belonging? Reviewing a Decade of Research on Socially Engaged Arts Education Initiatives for Refugees in Europe — https://doi.org/10.1007/s12134-026-01446-2</w:t>
      </w:r>
    </w:p>
    <w:p>
      <w:pPr/>
      <w:r>
        <w:rPr>
          <w:b/>
        </w:rPr>
        <w:t>Shared claim-specific concepts:</w:t>
      </w:r>
      <w:r>
        <w:t xml:space="preserve"> aim, promising, pathways; EU scope visible. This is a provisional connection, not an outcome finding.</w:t>
      </w:r>
    </w:p>
    <w:p>
      <w:pPr>
        <w:pStyle w:val="SourceNote"/>
      </w:pPr>
      <w:r>
        <w:rPr>
          <w:b/>
        </w:rPr>
        <w:t>Available abstract (not full text):</w:t>
      </w:r>
      <w:r>
        <w:t xml:space="preserve"> Abstract This article reports the findings of a review of European research literature on socially engaged arts education for refugees. Over the past decade, arts-based initiatives have emerged as promising tools for supporting refugee communities across Europe. Educational initiatives, specifically — ranging from drama and music workshops to zine-making and visual storytelling — have created spaces for expression, connection and intercultural exchange. While often modest in scale, their impact on individuals can be profound, offering participants opportunities to reclaim agency, build relationships and navigate the complexities of displacement. However, at the same time, initiatives face structural barriers, resource constraints, ethical tensions and uneven power dynamics. Drawing on a systematic review of 36 studies published between 2015 and 2025, identified in the Hub for Education for Refugees in Europe (HERE) Knowledge Base, this article explores what the research tells us about the principles, practices and outcomes of various socially engaged arts education interventions for refugees. The aim was to help us better understand their role in promoting refugees’ belonging and inclusion in a context of increasing sociopolitical division and inequality. In establishing what the decade of research tells us, the paper contributes to interdisciplinary literature and debates on e</w:t>
      </w:r>
    </w:p>
    <w:p>
      <w:pPr/>
      <w:r>
        <w:rPr>
          <w:b/>
        </w:rPr>
        <w:t>POSSIBLE 2026:</w:t>
      </w:r>
      <w:r>
        <w:t xml:space="preserve"> The Role of Nature Value Markets in Sustainable Forest Use in Finland — https://openalex.org/W7215287768</w:t>
      </w:r>
    </w:p>
    <w:p>
      <w:pPr/>
      <w:r>
        <w:rPr>
          <w:b/>
        </w:rPr>
        <w:t>Shared claim-specific concepts:</w:t>
      </w:r>
      <w:r>
        <w:t xml:space="preserve"> aim, finland, qualitative, explore; EU scope visible. This is a provisional connection, not an outcome finding.</w:t>
      </w:r>
    </w:p>
    <w:p>
      <w:pPr>
        <w:pStyle w:val="SourceNote"/>
      </w:pPr>
      <w:r>
        <w:rPr>
          <w:b/>
        </w:rPr>
        <w:t>Available abstract (not full text):</w:t>
      </w:r>
      <w:r>
        <w:t xml:space="preserve"> This master's thesis examines the potential of nature value markets to promote the sustainable use of forests in Finland.The aim of the study is to explore how market-based mechanisms for trading nature values can address key sustainability challenges related to forest use.The research is situated within forest policy studies, while also engaging with themes from forest economics.The study is based on qualitative research methods.The empirical material consists of five semistructured thematic interviews with experts working in the field of biodiversity markets.The Sisältö 1 Johdanto ....</w:t>
      </w:r>
    </w:p>
    <w:p>
      <w:pPr/>
      <w:r>
        <w:rPr>
          <w:b/>
        </w:rPr>
        <w:t>POSSIBLE 2026:</w:t>
      </w:r>
      <w:r>
        <w:t xml:space="preserve"> European Spruce Bark Beetle Damage Prevention : A comparison between Central Europe and Finland — https://openalex.org/W7149878051</w:t>
      </w:r>
    </w:p>
    <w:p>
      <w:pPr/>
      <w:r>
        <w:rPr>
          <w:b/>
        </w:rPr>
        <w:t>Shared claim-specific concepts:</w:t>
      </w:r>
      <w:r>
        <w:t xml:space="preserve"> finland, wood, sector; EU scope visible. This is a provisional connection, not an outcome finding.</w:t>
      </w:r>
    </w:p>
    <w:p>
      <w:pPr>
        <w:pStyle w:val="SourceNote"/>
      </w:pPr>
      <w:r>
        <w:rPr>
          <w:b/>
        </w:rPr>
        <w:t>Available abstract (not full text):</w:t>
      </w:r>
      <w:r>
        <w:t xml:space="preserve"> The leading forest experts recognize European spruce bark beetle (Ips typographus) as the most damaging pest of the European forestry sector for the last few decades. This beetle is specialised in feeding on old-growth Norway spruce (Picea abies) stands and has caused immense damages to the European wood processing market. Finland’s entire standing tree stock consists of roughly 30 % Norway spruce stands, many of which are at a risk of bark beetle outbreaks. The warming climate also enables bark beetles to reproduce multiple times a year, which highly increases the risk of outbreaks even in Finland. Unless the Finnish forest management adapts to these changes, it may soon face the same large scale forest damages seen in Central Europe. This thesis aims to shed light into the topic of European spruce bark beetle management, find out how the large-scale outbreaks have been handled in Central Europe, and which management methods would be applicable to the Finnish forestry sector and climate. The data was collected in form of interviews with 5 forestry experts within the forestry sector (1 from Germany, 2 from Czech Republic and 2 from Finland). The interviews were conducted in semi-structured form and thematic analysis was split in two phases. Firstly, participants from Central Europe were interviewed and the most effective bark beetle prevention management practices were listed. </w:t>
      </w:r>
    </w:p>
    <w:p>
      <w:pPr/>
      <w:r>
        <w:rPr>
          <w:b/>
        </w:rPr>
        <w:t>POSSIBLE 2026:</w:t>
      </w:r>
      <w:r>
        <w:t xml:space="preserve"> Health-related labour market outcomes among migrants and natives in Finland — https://openalex.org/W7220777438</w:t>
      </w:r>
    </w:p>
    <w:p>
      <w:pPr/>
      <w:r>
        <w:rPr>
          <w:b/>
        </w:rPr>
        <w:t>Shared claim-specific concepts:</w:t>
      </w:r>
      <w:r>
        <w:t xml:space="preserve"> finland, well; EU scope visible. This is a provisional connection, not an outcome finding.</w:t>
      </w:r>
    </w:p>
    <w:p>
      <w:pPr>
        <w:pStyle w:val="SourceNote"/>
      </w:pPr>
      <w:r>
        <w:rPr>
          <w:b/>
        </w:rPr>
        <w:t>Available abstract (not full text):</w:t>
      </w:r>
      <w:r>
        <w:t xml:space="preserve"> International migration is transforming the labour markets and social security systems of high-income countries. Net immigration drives population growth in Finland, with more than one in 10 employed individuals now being migrants. The native share in the working-age population is decreasing due to aging and low fertility rates. This makes migrants’ long-term employment prospects more crucial to the fiscal sustainability of the welfare state and to the maintenance of an adequate labour supply. When health issues cause migrants to leave the labour market early – whether through earnings losses, extended sick leave, or disability pensions – Finland loses valuable workers and sees an increase in the number of benefit recipients. This undermines the economic justification for labour migration. Although research on migrant labour market integration has extensively studied obstacles to employment – such as limited recognition of foreign qualifications, language barriers, and discrimination – the economic impacts of health shocks and indicators of work incapacity, including sickness absence and disability pensions, have also been explored in various contexts. However, research on how health affects migrants’ long-term work ability and work participation, and how occupational class determines these outcomes, remains scarce, particularly in Finland. To address these knowledge gaps, this</w:t>
      </w:r>
    </w:p>
    <w:p>
      <w:pPr>
        <w:pStyle w:val="Heading2"/>
      </w:pPr>
      <w:r>
        <w:t>617. Hydrogen in the Strategies of the European Union Member States</w:t>
      </w:r>
    </w:p>
    <w:p>
      <w:pPr>
        <w:pStyle w:val="SourceNote"/>
      </w:pPr>
      <w:r>
        <w:rPr>
          <w:b/>
        </w:rPr>
        <w:t>Original source (2021):</w:t>
      </w:r>
      <w:r>
        <w:t xml:space="preserve"> https://doi.org/10.24425/gsm.2021.138660</w:t>
      </w:r>
    </w:p>
    <w:p>
      <w:pPr/>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POSSIBLE 2026:</w:t>
      </w:r>
      <w:r>
        <w:t xml:space="preserve"> Understanding the Saudi Arabia planning permit process: a comparative analysis with European countries — https://doi.org/10.1080/09613218.2026.2651160</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 planning permit is required before starting any construction. It involves a comprehensive review by authorities to ensure compliance with planning and building regulations. In Saudi Arabia, this process plays a crucial role in regulating urban development – the urban population is growing, with consequent increased demand for housing and a rise in planning permit applications. This places significant pressure on municipal authorities to process applications, currently a relatively slow process owing to inefficiencies in traditional workflows and the labour-intensive nature of the review process. Work is underway to improve the situation, as part of Saudi Arabia’s ‘Vision 2030’, which includes objectives for digital transformation and efficient governance. This study investigates these new developments and compares the new approaches with those from several European countries, to understand similarities and differences, and in particular, identify best practices and commonalities for future processes and systems development. Document analysis and semi-structured interviews are combined to determine procedural structures, stakeholder roles and business rules, which are then embedded into an established framework to facilitate comparison. The results provide a systematic, comparable description of the planning permit process of Saudi Arabia, and derive lessons learned from the c</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Availability and restrictiveness of community treatment orders across 33 European countries — https://doi.org/10.1192/bjo.2026.12015</w:t>
      </w:r>
    </w:p>
    <w:p>
      <w:pPr/>
      <w:r>
        <w:rPr>
          <w:b/>
        </w:rPr>
        <w:t>Shared claim-specific concepts:</w:t>
      </w:r>
      <w:r>
        <w:t xml:space="preserve"> countries, become, not, only; EU scope visible. This is a provisional connection, not an outcome finding.</w:t>
      </w:r>
    </w:p>
    <w:p>
      <w:pPr>
        <w:pStyle w:val="SourceNote"/>
      </w:pPr>
      <w:r>
        <w:rPr>
          <w:b/>
        </w:rPr>
        <w:t>Available abstract (not full text):</w:t>
      </w:r>
      <w:r>
        <w:t xml:space="preserve"> Background Community treatment orders (CTOs) permit compulsory mental healthcare outside hospital. Such orders have become part of an increasing number of mental health laws, even if there is a lack of consensus on their effects, negative personal experiences, diverging ethical positions and expectations that governments should reduce or abandon coercive practices. It is therefore surprising that there is limited research describing the availability and restrictiveness of CTO legislation, and we found no comprehensive European study. Such studies could contribute to clarification of differing positions and, through that, informing further research and discussions of how to promote voluntary options in clinical practice. Aims To establish the availability of CTO legislation across Europe, and how regimes in different ways restrict the person. Method Data were collected from 33 European countries through a network of researchers and practitioners, and links to relevant legislation were provided. Results We found 13 CTO regimes across the 33 countries: two-thirds therefore managed without them. Despite some variation, most law texts specified restrictions related to legal criteria, enforcement mechanisms and safeguards. Restrictions on the person were often specified in separate tailored plans, and most regimes permitted indefinite renewals, which means that the duration of restri</w:t>
      </w:r>
    </w:p>
    <w:p>
      <w:pPr/>
      <w:r>
        <w:rPr>
          <w:b/>
        </w:rPr>
        <w:t>POSSIBLE 2026:</w:t>
      </w:r>
      <w:r>
        <w:t xml:space="preserve"> A review of expenditure, outcomes, access to oncology medicines and oncology health systems in ten European countries — https://doi.org/10.5603/ocp.110314</w:t>
      </w:r>
    </w:p>
    <w:p>
      <w:pPr/>
      <w:r>
        <w:rPr>
          <w:b/>
        </w:rPr>
        <w:t>Shared claim-specific concepts:</w:t>
      </w:r>
      <w:r>
        <w:t xml:space="preserve"> countries, plan, not, only, aimed, also; EU scope visible. This is a provisional connection, not an outcome finding.</w:t>
      </w:r>
    </w:p>
    <w:p>
      <w:pPr>
        <w:pStyle w:val="SourceNote"/>
      </w:pPr>
      <w:r>
        <w:rPr>
          <w:b/>
        </w:rPr>
        <w:t>Available abstract (not full text):</w:t>
      </w:r>
      <w:r>
        <w:t xml:space="preserve"> Introduction. Substantial variation exists across Europe in cancer outcomes, health spending, and access to oncology medicines. The study aimed to collect and compare epidemiological indicators and data on oncologi­cal care in 10 selected European countries. Material and methods. A cross-national, targeted review of oncological data was undertaken to characterize key epidemiological and healthcare profiles in Poland, Czechia, Estonia, Germany, Spain, Slovenia, Netherlands, United Kingdom, Italy, and Finland. Data on health expenditure, site-standardized relative survival, and access to medicine were drawn from international sources (OECD, ECIS, EFPIA Wait Report and IHE Report). Summary of findings. In all the countries studied, the 2 leading causes of death were lung and colorectal can­cer. Both incidence (537–690 cases per 100,000 population) and mortality rates (241–326 cases per 100,000 pop­ulation) vary substantially in the selected countries. National cancer plans incorporating most of the elements stip­ulated in Europe’s Beating Cancer Plan have been implemented in every country. Among the selected countries in 2023, spending on cancer care accounted from 4% of total healthcare spending in Finland, to 8% in Germany and Poland. Poland shows the lowest levels of cancer screening, with breast cancer screening reaching only 37% of women ( vs. 82% in Finland) and cervical can</w:t>
      </w:r>
    </w:p>
    <w:p>
      <w:pPr/>
      <w:r>
        <w:rPr>
          <w:b/>
        </w:rPr>
        <w:t>POSSIBLE 2026:</w:t>
      </w:r>
      <w:r>
        <w:t xml:space="preserve"> Energy efficiency first for homes? Public priorities, barriers and residential energy choices in six European countries — https://doi.org/10.1007/s12053-026-10478-7</w:t>
      </w:r>
    </w:p>
    <w:p>
      <w:pPr/>
      <w:r>
        <w:rPr>
          <w:b/>
        </w:rPr>
        <w:t>Shared claim-specific concepts:</w:t>
      </w:r>
      <w:r>
        <w:t xml:space="preserve"> countries, become, not, but, also, energy; EU scope visible. This is a provisional connection, not an outcome finding.</w:t>
      </w:r>
    </w:p>
    <w:p>
      <w:pPr>
        <w:pStyle w:val="SourceNote"/>
      </w:pPr>
      <w:r>
        <w:rPr>
          <w:b/>
        </w:rPr>
        <w:t>Available abstract (not full text):</w:t>
      </w:r>
      <w:r>
        <w:t xml:space="preserve"> Abstract The Energy Efficiency First (EE1st) principle has become an important element of European Union energy and climate policy, requiring energy efficiency to be considered and prioritised where it is more cost-effective or socially beneficial than supply-side alternatives. However, EE1st is primarily a top-down policy, planning and investment principle, not simply a measure of public support for energy efficiency. This article therefore examines a more focused question: how do households perceive, prioritise and evaluate residential energy measures that are relevant to the implementation context of EE1st? Drawing on a structured cross-national survey of 1,014 respondents in Germany, the United Kingdom, Poland, Italy, Denmark and Estonia, the article explores household attitudes toward selected building-related energy efficiency and decarbonisation measures, including insulation, energy-efficient windows, heating systems, heat pumps and renewable energy options. The six countries represent different institutional, welfare and energy-policy contexts, allowing for an exploratory comparison of public perceptions across diverse European settings. Findings show broad support for several residential energy measures, but also reveal important constraints. High upfront costs emerge as the most consistent barrier, while willingness to invest or tolerate disruption varies across meas</w:t>
      </w:r>
    </w:p>
    <w:p>
      <w:pPr/>
      <w:r>
        <w:rPr>
          <w:b/>
        </w:rPr>
        <w:t>POSSIBLE 2026:</w:t>
      </w:r>
      <w:r>
        <w:t xml:space="preserve"> Resource requirements and consequences of large-scale hydrogen use in Europe — https://doi.org/10.1038/s41893-026-01771-5</w:t>
      </w:r>
    </w:p>
    <w:p>
      <w:pPr/>
      <w:r>
        <w:rPr>
          <w:b/>
        </w:rPr>
        <w:t>Shared claim-specific concepts:</w:t>
      </w:r>
      <w:r>
        <w:t xml:space="preserve"> countries, become, hydrogen, production, but, areas; EU scope visible. This is a provisional connection, not an outcome finding.</w:t>
      </w:r>
    </w:p>
    <w:p>
      <w:pPr>
        <w:pStyle w:val="SourceNote"/>
      </w:pPr>
      <w:r>
        <w:rPr>
          <w:b/>
        </w:rPr>
        <w:t>Available abstract (not full text):</w:t>
      </w:r>
      <w:r>
        <w:t xml:space="preserve"> Abstract As European countries transition to fuels with lower climate change impact, distinct challenges may arise. Electrolytic hydrogen is central to planned developments in transportation and industry, but large-scale hydrogen production could have energy and environmental consequences. Here we simulate site-specific hydrogen demand distribution for Europe in 2050, to assess possible effects on local water use risks, regional electricity generation composition and cost, and total land use. Results show that around 20% of annual water use for hydrogen production is simulated to happen in areas with ‘extremely high’ projected risk of water stress, and local water stress caused by hydrogen production could become severe. Widespread electrolytic hydrogen use requires large investments in electricity generation, but the impacts on the marginal electricity cost to consumers could be small. The electricity generation system required for producing hydrogen or e-fuels would require less land than cultivating biomass for biofuels. The findings highlight the need for coordinated policy action to ensure that hydrogen deployment aligns with local water availability, regional electricity system development, land constraints and broader sustainability goals.</w:t>
      </w:r>
    </w:p>
    <w:p>
      <w:pPr/>
      <w:r>
        <w:rPr>
          <w:b/>
        </w:rPr>
        <w:t>POSSIBLE 2025:</w:t>
      </w:r>
      <w:r>
        <w:t xml:space="preserve"> How Transit Countries Become Refugee Destinations: Insights From Central and Eastern Europe — https://doi.org/10.1111/imig.70066</w:t>
      </w:r>
    </w:p>
    <w:p>
      <w:pPr/>
      <w:r>
        <w:rPr>
          <w:b/>
        </w:rPr>
        <w:t>Shared claim-specific concepts:</w:t>
      </w:r>
      <w:r>
        <w:t xml:space="preserve"> countries, become, only, also, international; EU scope visible. This is a provisional connection, not an outcome finding.</w:t>
      </w:r>
    </w:p>
    <w:p>
      <w:pPr>
        <w:pStyle w:val="SourceNote"/>
      </w:pPr>
      <w:r>
        <w:rPr>
          <w:b/>
        </w:rPr>
        <w:t>Available abstract (not full text):</w:t>
      </w:r>
      <w:r>
        <w:t xml:space="preserve">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pPr/>
      <w:r>
        <w:rPr>
          <w:b/>
        </w:rPr>
        <w:t>POSSIBLE 2025:</w:t>
      </w:r>
      <w:r>
        <w:t xml:space="preserve"> EUROPEAN GREEN PLAN – NEW DIRECTIONS OF ECONOMIC DEVELOPMENT OF THE EUROPEAN UNION — https://doi.org/10.46793/87143.26.5.021d</w:t>
      </w:r>
    </w:p>
    <w:p>
      <w:pPr/>
      <w:r>
        <w:rPr>
          <w:b/>
        </w:rPr>
        <w:t>Shared claim-specific concepts:</w:t>
      </w:r>
      <w:r>
        <w:t xml:space="preserve"> countries, plan, become, production, international, cooperation; EU scope visible. This is a provisional connection, not an outcome finding.</w:t>
      </w:r>
    </w:p>
    <w:p>
      <w:pPr>
        <w:pStyle w:val="SourceNote"/>
      </w:pPr>
      <w:r>
        <w:rPr>
          <w:b/>
        </w:rPr>
        <w:t>Available abstract (not full text):</w:t>
      </w:r>
      <w:r>
        <w:t xml:space="preserve">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pPr/>
      <w:r>
        <w:rPr>
          <w:b/>
        </w:rPr>
        <w:t>POSSIBLE 2025:</w:t>
      </w:r>
      <w:r>
        <w:t xml:space="preserve"> Adaptation to Climate Change in Coastal Countries of the European Union—An Evaluation of Plans and Strategies — https://doi.org/10.3390/app15116281</w:t>
      </w:r>
    </w:p>
    <w:p>
      <w:pPr/>
      <w:r>
        <w:rPr>
          <w:b/>
        </w:rPr>
        <w:t>Shared claim-specific concepts:</w:t>
      </w:r>
      <w:r>
        <w:t xml:space="preserve"> countries, areas, essential; EU scope visible. This is a provisional connection, not an outcome finding.</w:t>
      </w:r>
    </w:p>
    <w:p>
      <w:pPr>
        <w:pStyle w:val="SourceNote"/>
      </w:pPr>
      <w:r>
        <w:rPr>
          <w:b/>
        </w:rPr>
        <w:t>Available abstract (not full text):</w:t>
      </w:r>
      <w:r>
        <w:t xml:space="preserve">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pPr/>
      <w:r>
        <w:rPr>
          <w:b/>
        </w:rPr>
        <w:t>POSSIBLE 2025:</w:t>
      </w:r>
      <w:r>
        <w:t xml:space="preserve"> Profiling Land Use Planning: Legislative Structures in Five European Nations — https://doi.org/10.3390/land14061261</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pPr/>
      <w:r>
        <w:rPr>
          <w:b/>
        </w:rPr>
        <w:t>POSSIBLE 2025:</w:t>
      </w:r>
      <w:r>
        <w:t xml:space="preserve"> A critical analysis of national dementia plans: comparison of preventive strategies in five European countries. — https://doi.org/10.7416/ai.2025.2702</w:t>
      </w:r>
    </w:p>
    <w:p>
      <w:pPr/>
      <w:r>
        <w:rPr>
          <w:b/>
        </w:rPr>
        <w:t>Shared claim-specific concepts:</w:t>
      </w:r>
      <w:r>
        <w:t xml:space="preserve"> countries, plan, not, only, but, also; EU scope visible. This is a provisional connection, not an outcome finding.</w:t>
      </w:r>
    </w:p>
    <w:p>
      <w:pPr>
        <w:pStyle w:val="SourceNote"/>
      </w:pPr>
      <w:r>
        <w:rPr>
          <w:b/>
        </w:rPr>
        <w:t>Available abstract (not full text):</w:t>
      </w:r>
      <w:r>
        <w:t xml:space="preserve"> Background: Preventive measures can avert up to 45% of dementia cases worldwide. The aim of the study is to analyse some selected national dementia prevention strategic plans. Methods: A qualitative comparative analysis was performed between national dementia plans of the European countries with the best healthy life expectancy among the elderly. The national dementia plans of France, Ireland, Italy, Spain and Sweden were included. The consensus on priority actions and key elements of prevention policies was evaluated, according to the World Health Organization recommendations and to an analysis tool designed for evaluating chronic diseases policies. Results: All the countries emphasized the importance of prevention policies within their dementia plans and established monitoring committees. However, not all countries defined timelines for policy implementation and only Spain updated its national plan so far. The integration of dementia prevention with other chronic disease preventive campaigns is still lacking, and also a clear allocation of funds for dementia plans is absent so far. Conclusions: All countries extensively followed the World Health Organization's recommendations. However, the plans have not been updated. Thus, they do not address all the current known risk factors for dementia, preventing only a fraction of potentially preventable cases. Moreover, the need for f</w:t>
      </w:r>
    </w:p>
    <w:p>
      <w:pPr/>
      <w:r>
        <w:rPr>
          <w:b/>
        </w:rPr>
        <w:t>POSSIBLE 2025:</w:t>
      </w:r>
      <w:r>
        <w:t xml:space="preserve"> DIGITAL TRANSFORMATION OF GOVERNMENT IN THE EUROPEAN UNION COUNTRIES — https://openalex.org/W7220613609</w:t>
      </w:r>
    </w:p>
    <w:p>
      <w:pPr/>
      <w:r>
        <w:rPr>
          <w:b/>
        </w:rPr>
        <w:t>Shared claim-specific concepts:</w:t>
      </w:r>
      <w:r>
        <w:t xml:space="preserve"> countries, plan, not, only, process, but; EU scope visible. This is a provisional connection, not an outcome finding.</w:t>
      </w:r>
    </w:p>
    <w:p>
      <w:pPr>
        <w:pStyle w:val="SourceNote"/>
      </w:pPr>
      <w:r>
        <w:rPr>
          <w:b/>
        </w:rPr>
        <w:t>Available abstract (not full text):</w:t>
      </w:r>
      <w:r>
        <w:t xml:space="preserve"> The article examines trends, models, and effective practices of government digital transformation in the European Union countries. Based on the analysis of strategic documents of the European Commission – Digital Europe Programme (2021–2027), European Interoperability Framework, Data Governance Act, Interoperable Europe Act, and eGovernment Action Plan (2016–2020) – the institutional foundations for forming a unified European digital space are revealed. It is determined that the digitalization of government processes is not only a technological but also a structural factor in the modernization of public administration, ensuring efficiency, transparency, and citizen trust in authorities. A comparative analysis of the E-Government Development Index (EGDI) for 2018–2024 was conducted, revealing the leadership of Denmark, Estonia, Finland, and the Netherlands, as well as gradual progress in Central European countries. A classification of institutional models of digital governance is proposed: centralized (Estonia model), decentralized (Germany model), and mixed (Poland model), each with its own advantages and challenges. A direct correlation between the level of digitalization (EGDI) and the quality of government (QoG) has been established, indicating the impact of digital innovations on integrity and the effectiveness of state policy. Key problems are outlined – infrastructure fra</w:t>
      </w:r>
    </w:p>
    <w:p>
      <w:pPr>
        <w:pStyle w:val="Heading2"/>
      </w:pPr>
      <w:r>
        <w:t>618. Imagining the future with citizens: participatory foresight and democratic policy design in Marcoussis, France</w:t>
      </w:r>
    </w:p>
    <w:p>
      <w:pPr>
        <w:pStyle w:val="SourceNote"/>
      </w:pPr>
      <w:r>
        <w:rPr>
          <w:b/>
        </w:rPr>
        <w:t>Original source (2021):</w:t>
      </w:r>
      <w:r>
        <w:t xml:space="preserve"> https://doi.org/10.1080/25741292.2021.1930687</w:t>
      </w:r>
    </w:p>
    <w:p>
      <w:pPr/>
      <w:r>
        <w:t>Original wording (abstract; indexed_source_text_not_full_document_verified):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POSSIBLE 2026:</w:t>
      </w:r>
      <w:r>
        <w:t xml:space="preserve"> Droughts in South East Europe (SEE): current picture, tendencies and impact — https://doi.org/10.5194/nhess-26-1305-2026</w:t>
      </w:r>
    </w:p>
    <w:p>
      <w:pPr/>
      <w:r>
        <w:rPr>
          <w:b/>
        </w:rPr>
        <w:t>Shared claim-specific concepts:</w:t>
      </w:r>
      <w:r>
        <w:t xml:space="preserve"> see, challenges, only; EU scope visible. This is a provisional connection, not an outcome finding.</w:t>
      </w:r>
    </w:p>
    <w:p>
      <w:pPr>
        <w:pStyle w:val="SourceNote"/>
      </w:pPr>
      <w:r>
        <w:rPr>
          <w:b/>
        </w:rPr>
        <w:t>Available abstract (not full text):</w:t>
      </w:r>
      <w:r>
        <w:t xml:space="preserve"> Abstract. Droughts are among the major challenges facing Europe and pose a significant threat to food security on a continental scale. The shifting of climatic zones is forcing societies to adopt measures to cope with climate extremes. However, the pace of adaptation is much slower than the rate of change observed over the past decade. The most developed economies in Europe are already progressing toward implementing strategies aligned with the Sustainable Development Goals. One of the key scientific objectives is to support this adaptation by providing data-driven decision-making tools at both regional and national levels. At the same time, in some European countries, the understanding of drought remains uncertain. Even basic hazard assessments lack coherence, and methodologically sound and systematic vulnerability assessments are often entirely absent. This paper aims to uncover the drought research agenda over the past ten years for nine countries in Southeast Europe. Using a structured query in the SCOPUS database, we attempted to systematize scientific knowledge on drought exposure in the region and identify “white spots” and gaps in knowledge at both country and regional levels. Our findings show a significant increase in the number of research papers focused on various aspects of drought in these nine countries over the last decade. However, for Montenegro, Albania, Slov</w:t>
      </w:r>
    </w:p>
    <w:p>
      <w:pPr/>
      <w:r>
        <w:rPr>
          <w:b/>
        </w:rPr>
        <w:t>POSSIBLE 2026:</w:t>
      </w:r>
      <w:r>
        <w:t xml:space="preserve"> Comment of the European Copyright Society on the Request for Preliminary Ruling in Case C-250/25 (Like Company) — https://doi.org/10.1007/s40319-026-01717-6</w:t>
      </w:r>
    </w:p>
    <w:p>
      <w:pPr/>
      <w:r>
        <w:rPr>
          <w:b/>
        </w:rPr>
        <w:t>Shared claim-specific concepts:</w:t>
      </w:r>
      <w:r>
        <w:t xml:space="preserve"> preliminary, part, not, but, also, society; EU scope visible. This is a provisional connection, not an outcome finding.</w:t>
      </w:r>
    </w:p>
    <w:p>
      <w:pPr>
        <w:pStyle w:val="SourceNote"/>
      </w:pPr>
      <w:r>
        <w:rPr>
          <w:b/>
        </w:rPr>
        <w:t>Available abstract (not full text):</w:t>
      </w:r>
      <w:r>
        <w:t xml:space="preserve"> Abstract The reference in Like Company v Google (Case C-250/25) is seen as a potential landmark case, giving the EU’s highest court the opportunity to define the scope and conditions of permitted artificial intelligence (AI) training and develop an infringement test for AI outputs. The European Copyright Society (ECS) urges the Court of Justice (sitting as a Grand Chamber) to exercise caution. While the reference stems from a plausible complaint by a press publisher against the provider of an AI powered chatbot reproducing and communicating its editorial content, the implications of this problematic reference could be far-reaching. The reference is factually murky with respect to the technology and services at stake, conflating concepts of “chatbot”, “large language model”, and “search engine”. The reference fails to identify consistently the subject matter at stake, which is the press publishers’ right under Art. 15 of the Copyright in the Digital Single Market Directive (2019/790/EU, hereinafter CDSMD), not authorial works. Specifically, the reference conflates questions relating to the training phase (Questions 2 and 3) with the legal characterisation of the use of press publications by an LLM-based chatbot (Question 4 but also Question 1, referring to the right of communication to the public and the right of reproduction under Directive 2001/29/EC, hereinafter the InfoSoc D</w:t>
      </w:r>
    </w:p>
    <w:p>
      <w:pPr/>
      <w:r>
        <w:rPr>
          <w:b/>
        </w:rPr>
        <w:t>POSSIBLE 2026:</w:t>
      </w:r>
      <w:r>
        <w:t xml:space="preserve"> Assessing the conservation challenges for the European eel through the Delphi technique — https://doi.org/10.1016/j.gecco.2026.e04257</w:t>
      </w:r>
    </w:p>
    <w:p>
      <w:pPr/>
      <w:r>
        <w:rPr>
          <w:b/>
        </w:rPr>
        <w:t>Shared claim-specific concepts:</w:t>
      </w:r>
      <w:r>
        <w:t xml:space="preserve"> many, challenges, not, also, experts; EU scope visible. This is a provisional connection, not an outcome finding.</w:t>
      </w:r>
    </w:p>
    <w:p>
      <w:pPr>
        <w:pStyle w:val="SourceNote"/>
      </w:pPr>
      <w:r>
        <w:rPr>
          <w:b/>
        </w:rPr>
        <w:t>Available abstract (not full text):</w:t>
      </w:r>
      <w:r>
        <w:t xml:space="preserve"> The once abundant European eel ( Anguilla anguilla ) is currently classified as a Critically Endangered species by the International Union for Conservation of Nature. Although both the European Union (through the 2007 Eel Regulation) and its member states have implemented various conservation actions, many uncertainties remain regarding the actual and anticipated effectiveness of these measures. This study aimed to identify and prioritise the conservation and recovery measures for the European eel, using the expert-based Delphi technique. We conducted a two-round Delphi survey on eel conservation measures (these measures were derived from an extensive review of the peer-reviewed literature). The findings highlight the need for establishing a pan-European eel recruitment monitoring programme (to obtain reliable eel population estimates), restoring access to suitable inland habitats by removing migration barriers and improving habitat quality. Experts also emphasized the necessity for a more stringent silver eel escapement target and stronger enforcement of this target. While restocking of eel remains a contentious issue, a set of preconditions could render it conditionally acceptable. This study offers important insights into the areas of consensus and divergence among eel experts in the challenging field of eel conservation. We hope these results strengthen eel management decis</w:t>
      </w:r>
    </w:p>
    <w:p>
      <w:pPr/>
      <w:r>
        <w:rPr>
          <w:b/>
        </w:rPr>
        <w:t>POSSIBLE 2026:</w:t>
      </w:r>
      <w:r>
        <w:t xml:space="preserve"> Towards effective and integrated riparian wetland monitoring in Europe: challenges and opportunities — https://doi.org/10.3897/natureconservation.62.167089</w:t>
      </w:r>
    </w:p>
    <w:p>
      <w:pPr/>
      <w:r>
        <w:rPr>
          <w:b/>
        </w:rPr>
        <w:t>Shared claim-specific concepts:</w:t>
      </w:r>
      <w:r>
        <w:t xml:space="preserve"> challenges, functioning, but; EU scope visible. This is a provisional connection, not an outcome finding.</w:t>
      </w:r>
    </w:p>
    <w:p>
      <w:pPr>
        <w:pStyle w:val="SourceNote"/>
      </w:pPr>
      <w:r>
        <w:rPr>
          <w:b/>
        </w:rPr>
        <w:t>Available abstract (not full text):</w:t>
      </w:r>
      <w:r>
        <w:t xml:space="preserve"> Riparian Wetland conservation and restoration in Europe increasingly rely on nature-based solutions, yet biodiversity monitoring of their implementation remains fragmented across scales, methods and policy frameworks. This paper synthesises current approaches in wetland monitoring and proposes an integrated, adaptive framework linking long-term, system-orientated observation with short- to medium-term, intervention-focused restoration monitoring. Combining site-based surveys with standardised, multi-scale assessments enables differentiation of natural variability from human pressures, detection of tipping points in species sensitivity to climate pressures and evaluation of restoration outcomes under EU policies, such as the WFD, the Habitats and Birds Directives and the Nature Restoration Regulation. Besides conventional biodiversity monitoring, we highlight innovations that address critical monitoring gaps: artificial intelligence–supported remote sensing using satellites and unmanned aerial vehicles, sensor networks for near-real-time hydrological observations, environmental DNA metabarcoding and citizen-science approaches. Essential biodiversity variables and essential ecosystem-service variables are emphasised as integrative indicators that connect ecological integrity, ecosystem functioning and human well-being. Finally, we outline the enabling conditions for a harmonised </w:t>
      </w:r>
    </w:p>
    <w:p>
      <w:pPr/>
      <w:r>
        <w:rPr>
          <w:b/>
        </w:rPr>
        <w:t>POSSIBLE 2026:</w:t>
      </w:r>
      <w:r>
        <w:t xml:space="preserve"> Data concerns undermine AI applications for climate — https://doi.org/10.1038/s44168-026-00390-2</w:t>
      </w:r>
    </w:p>
    <w:p>
      <w:pPr/>
      <w:r>
        <w:rPr>
          <w:b/>
        </w:rPr>
        <w:t>Shared claim-specific concepts:</w:t>
      </w:r>
      <w:r>
        <w:t xml:space="preserve"> undermine, also, agency, governance; EU scope not established. This is a provisional connection, not an outcome finding.</w:t>
      </w:r>
    </w:p>
    <w:p>
      <w:pPr>
        <w:pStyle w:val="SourceNote"/>
      </w:pPr>
      <w:r>
        <w:rPr>
          <w:b/>
        </w:rPr>
        <w:t>Available abstract (not full text):</w:t>
      </w:r>
      <w:r>
        <w:t xml:space="preserve"> Abstract The global climate crisis demands innovative solutions, and artificial intelligence (AI), including large language models (LLMs), offers significant potential to improve efficiency and enable lower-carbon lifestyles. However, public concerns around data privacy may affect the use of AI-enabled, data-driven applications with potential climate benefits. Drawing on three empirical studies with a nationally representative UK sample ( N = 2078), we show that heightened awareness of AI’s data collection practices reduces willingness to engage with such technologies - especially when perceived user benefits are low. We also find that data protection behaviours and greater familiarity with AI are associated with lower perceived risk, suggesting adaptive responses rather than disengagement. These behavioural dynamics highlight the importance of transparency, user agency and the integration of human and environmental dimensions into existing AI governance frameworks. Our results illustrate how public perceptions and everyday practices influence the social acceptance of digital innovations for sustainability.</w:t>
      </w:r>
    </w:p>
    <w:p>
      <w:pPr/>
      <w:r>
        <w:rPr>
          <w:b/>
        </w:rPr>
        <w:t>POSSIBLE 2026:</w:t>
      </w:r>
      <w:r>
        <w:t xml:space="preserve"> PRELIMINARY DIAGNOSTICS OF ENVIRONMENTAL SUSTAINABILITY IN GEOGRAPHICAL INDICATIONS: CONTRIBUTIONS TOWARDS A METHODOLOGY ALIGNED WITH EUROPEAN UNION REQUIREMENTS — https://doi.org/10.66104/kx2e4735</w:t>
      </w:r>
    </w:p>
    <w:p>
      <w:pPr/>
      <w:r>
        <w:rPr>
          <w:b/>
        </w:rPr>
        <w:t>Shared claim-specific concepts:</w:t>
      </w:r>
      <w:r>
        <w:t xml:space="preserve"> preliminary, not, governance; EU scope visible. This is a provisional connection, not an outcome finding.</w:t>
      </w:r>
    </w:p>
    <w:p>
      <w:pPr>
        <w:pStyle w:val="SourceNote"/>
      </w:pPr>
      <w:r>
        <w:rPr>
          <w:b/>
        </w:rPr>
        <w:t>Available abstract (not full text):</w:t>
      </w:r>
      <w:r>
        <w:t xml:space="preserve"> This article presents a preliminary diagnosis of environmental sustainability in Brazilian Geographical Indications (GIs), aiming to propose an evaluative instrument aligned with European Union regulatory requirements. The research distinguishes three regulatory planes: (i) environmental requirements applicable to commodity chains exported to the EU, notably the EU Deforestation Regulation (EUDR – Regulation (EU) 2023/2772); (ii) EU-specific GI protection norms, such as Regulation (EU) 2024/1143; and (iii) voluntary or strategic territorial sustainability criteria. For export-oriented GIs - particularly those linked to agricultural products such as coffee, cocoa, and beef - the EUDR constitutes a concrete regulatory requirement, with obligations for traceability and proof of deforestation-free supply chains. For export-oriented GIs operating in regulated commodity chains, market experience has consistently demonstrated that EUDR compliance is a market-access condition, not merely a competitive differentiator. A qualitative and exploratory methodology was adopted, including document analysis and application of a Multicriteria Diagnostic Protocol (MDP) to five agri-food GIs, organized into five thematic axes: natural resource management, biodiversity, climate mitigation, sustainable innovation, and community participation. The findings reveal localized advances in innovation and </w:t>
      </w:r>
    </w:p>
    <w:p>
      <w:pPr/>
      <w:r>
        <w:rPr>
          <w:b/>
        </w:rPr>
        <w:t>POSSIBLE 2026:</w:t>
      </w:r>
      <w:r>
        <w:t xml:space="preserve"> Regulating AI-Driven Triage: Fundamental Rights and Compliance Challenges in the European Union — https://doi.org/10.3390/ai7030086</w:t>
      </w:r>
    </w:p>
    <w:p>
      <w:pPr/>
      <w:r>
        <w:rPr>
          <w:b/>
        </w:rPr>
        <w:t>Shared claim-specific concepts:</w:t>
      </w:r>
      <w:r>
        <w:t xml:space="preserve"> challenges, not, only, but, also; EU scope visible. This is a provisional connection, not an outcome finding.</w:t>
      </w:r>
    </w:p>
    <w:p>
      <w:pPr>
        <w:pStyle w:val="SourceNote"/>
      </w:pPr>
      <w:r>
        <w:rPr>
          <w:b/>
        </w:rPr>
        <w:t>Available abstract (not full text):</w:t>
      </w:r>
      <w:r>
        <w:t xml:space="preserve"> Emergency triage is a critical healthcare action that could be improved through the use of artificial intelligence (AI) systems, as these have been shown to achieve accuracy rates of approximately 70–90% for LLMs and AUC values ranging from 0.75 to 0.95 for common AI models. However, these systems face challenges related to the rights and interests of the individuals involved. The European Union’s normative framework, including not only data protection regulations but also the AI Act and medical device regulations, imposes conditions on the use of AI, and these are analyzed here. Our conclusions reveal that Article 22 of the General Data Protection Regulation (GDPR) makes it difficult to justify the establishment of fully automated decision-making models for triage. That accountability obligations for implementers (Fundamental Rights Impact Assessments: FRIAs) and data controllers (data protection impact assessments: DPIAs) can contribute to better design of AI-based decision-making in triage. Furthermore, with regard to the information rights set out in the GDPR, these have been complemented by the right to an explanation under Art. 86 AI Act in the use of high-risk AI systems. Unfortunately, regulation relating to general-purpose AI models may create some gaps in this framework. The implementation of AI systems for automated decision-making in triage has the potential to impr</w:t>
      </w:r>
    </w:p>
    <w:p>
      <w:pPr/>
      <w:r>
        <w:rPr>
          <w:b/>
        </w:rPr>
        <w:t>POSSIBLE 2026:</w:t>
      </w:r>
      <w:r>
        <w:t xml:space="preserve"> The conservation management of European bison requires strong evidence and careful risk assessment: A response to “Comment: Nores et al. (2024) fail in their attempt to demonstrate the inappropriateness of an eventual introduction of the European bison to Spain as a rewilding initiative” — https://doi.org/10.1111/csp2.70262</w:t>
      </w:r>
    </w:p>
    <w:p>
      <w:pPr/>
      <w:r>
        <w:rPr>
          <w:b/>
        </w:rPr>
        <w:t>Shared claim-specific concepts:</w:t>
      </w:r>
      <w:r>
        <w:t xml:space="preserve"> see, preliminary, part, many, challenges, not; EU scope visible. This is a provisional connection, not an outcome finding.</w:t>
      </w:r>
    </w:p>
    <w:p>
      <w:pPr>
        <w:pStyle w:val="SourceNote"/>
      </w:pPr>
      <w:r>
        <w:rPr>
          <w:b/>
        </w:rPr>
        <w:t>Available abstract (not full text):</w:t>
      </w:r>
      <w:r>
        <w:t xml:space="preserve"> We thank Bartolomé and colleagues for their interest in our recent article, “Rewilding through inappropriate species introduction: The case of European bison in Spain” (Nores et al., 2024). Our work critically evaluated the proposal to introduce European bison (Bison bonasus) into the Iberian Peninsula, considering ecological, biogeographical, conservation, and legal aspects. The reply by Bartolomé et al. presents alternative hypotheses but does not challenge our conclusions with new evidence. Our position relied on what the available data show and on the convergence of paleontological, ecological, climatic, and legal evidence (Nores et al., 2024). In contrast, Bartolomé and colleagues rely on hypothetical scenarios of the presence of European bison in Iberia, such as possible Holocene extinctions or preliminary sedaDNA signals (Gelabert et al., 2025), which, while intriguing, do not offer conclusive support for past presence of extant European bison in Iberia. We emphasize that a huge number of well-studied Holocene sites across Iberia—110 sites with bovine remains—have yielded no remains of European bison. This absence is meaningful, especially when considered alongside the clear presence in many of them of the steppe bison (Bison priscus) and auroch (Bos primigenius). It is difficult to conceive that European bison could have lived throughout Iberia during thousands of years</w:t>
      </w:r>
    </w:p>
    <w:p>
      <w:pPr/>
      <w:r>
        <w:rPr>
          <w:b/>
        </w:rPr>
        <w:t>POSSIBLE 2026:</w:t>
      </w:r>
      <w:r>
        <w:t xml:space="preserve"> Initial Coin Offerings and the Jurisdictional Challenges under European Union Procedural Law — https://openalex.org/W7167389297</w:t>
      </w:r>
    </w:p>
    <w:p>
      <w:pPr/>
      <w:r>
        <w:rPr>
          <w:b/>
        </w:rPr>
        <w:t>Shared claim-specific concepts:</w:t>
      </w:r>
      <w:r>
        <w:t xml:space="preserve"> challenges, but, also; EU scope visible. This is a provisional connection, not an outcome finding.</w:t>
      </w:r>
    </w:p>
    <w:p>
      <w:pPr>
        <w:pStyle w:val="SourceNote"/>
      </w:pPr>
      <w:r>
        <w:rPr>
          <w:b/>
        </w:rPr>
        <w:t>Available abstract (not full text):</w:t>
      </w:r>
      <w:r>
        <w:t xml:space="preserve"> Initial Coin Offerings (ICOs) are relatively new means to arrange crowdfunding projects powered by distributed ledger technology. ICOs generate multidimensional questions regarding jurisdiction of national courts due to them operating fully digitally on blockchains and the uncertain status of crypto-assets. Observations of jurisdictional issues and potential solutions are made by studying Regulation Brussels I bis and MiCa Regulation and related case-law. The perspective is European Union procedural law focused. The study results were achieved by conducting a qualitative study of which sources mainly consisted of legal documents and case-law but also benefitted from scholarly works. By utilizing systematic literature review and interdisciplinary research, it was possible to draw conclusions of the current legal state of ICOs. As result, it was found that MiCa Regulation may ease establishing jurisdiction in courts of Member States under certain circumstances. MiCa Regulation sets obligations to all actors on crypto-asset markets, some of which require crypto-asset providers to have a registered office in the Union and to concentrate administration in the Union. The thesis also gave an insight into two special connecting factors for jurisdiction: the place of performance of a contractual obligation and consumer contracts. With respect to the place of performance, it was found ju</w:t>
      </w:r>
    </w:p>
    <w:p>
      <w:pPr/>
      <w:r>
        <w:rPr>
          <w:b/>
        </w:rPr>
        <w:t>POSSIBLE 2026:</w:t>
      </w:r>
      <w:r>
        <w:t xml:space="preserve"> Young Activists' Communicative Practices of Resilience: The Challenge of Disinformation Toward the 2024 European Elections — https://doi.org/10.1285/i20356609v19i1p77</w:t>
      </w:r>
    </w:p>
    <w:p>
      <w:pPr/>
      <w:r>
        <w:rPr>
          <w:b/>
        </w:rPr>
        <w:t>Shared claim-specific concepts:</w:t>
      </w:r>
      <w:r>
        <w:t xml:space="preserve"> democratic, role, society, they; EU scope visible. This is a provisional connection, not an outcome finding.</w:t>
      </w:r>
    </w:p>
    <w:p>
      <w:pPr>
        <w:pStyle w:val="SourceNote"/>
      </w:pPr>
      <w:r>
        <w:rPr>
          <w:b/>
        </w:rPr>
        <w:t>Available abstract (not full text):</w:t>
      </w:r>
      <w:r>
        <w:t xml:space="preserve"> This article presents findings from a qualitative study on the communicative practices of young Italian activists during the lead-up to the 2024 European elections. Specifically, the study examines the phenomenon of disinformation and its potential to disrupt the electoral campaign, highlighting the active participation of civil society in the political process and their ability to navigate disinformation can significantly influence the strength and resilience of Europe. Semi-structured interviews were conducted with members of youth organizations, both informal and institutionalized. The results show that highly educated and civically engaged young people use digital tools and hybrid media ecosystems to promote critical, transnational debates. Resilience emerges as a relational capacity rooted in the socio-political context, where youth activism develops alternative discursive spaces to counter democratic erosion. A key insight is the educational role assumed by these activists: in response to perceived institutional shortcomings, they act as informal educators, informing and mobilizing peers. This role contributes to reinforcing democratic values and fostering a more resilient European public sphere.</w:t>
      </w:r>
    </w:p>
    <w:p>
      <w:pPr/>
      <w:r>
        <w:rPr>
          <w:b/>
        </w:rPr>
        <w:t>POSSIBLE 2025:</w:t>
      </w:r>
      <w:r>
        <w:t xml:space="preserve"> The Croatian judiciary on the path to Europeanization. Preliminary study — https://openalex.org/W7116588132</w:t>
      </w:r>
    </w:p>
    <w:p>
      <w:pPr/>
      <w:r>
        <w:rPr>
          <w:b/>
        </w:rPr>
        <w:t>Shared claim-specific concepts:</w:t>
      </w:r>
      <w:r>
        <w:t xml:space="preserve"> preliminary, challenges, only; EU scope visible. This is a provisional connection, not an outcome finding.</w:t>
      </w:r>
    </w:p>
    <w:p>
      <w:pPr>
        <w:pStyle w:val="SourceNote"/>
      </w:pPr>
      <w:r>
        <w:rPr>
          <w:b/>
        </w:rPr>
        <w:t>Available abstract (not full text):</w:t>
      </w:r>
      <w:r>
        <w:t xml:space="preserve"> The Croatian judiciary on the path to Europeanization. Preliminary study 4Croatia's path to European integration was unusual and faced numerous challenges.The first and most decisive step was the war of independence to gain autonomy.After that, the country had to deal with the serious consequences of the war, including the refugee issue, the question of abolition and amnesty, the strengthening of the rule of law, and the protection of the rights of national minorities.Only after these fundamental problems had been addressed was it possible to start the process of European integration.It is clear from all this that Croatia's accession to the EU was much more complex and difficult than that of other post-socialist states, and that it had to meet stricter requirements.The process of European integration can be divided into two distinct phases.The first stage was characterized by the struggle to establish national identity, the war for independence, and shortcomings in democracy and the rule of law.The second stage can be placed in the period following the major EU enlargement of 2004, when the accession process stalled.At that time, Croatia began accession negotiations when the European Union had already changed its attitude towards further enlargement and imposed new, stricter requirements on candidate countries.</w:t>
      </w:r>
    </w:p>
    <w:p>
      <w:pPr/>
      <w:r>
        <w:rPr>
          <w:b/>
        </w:rPr>
        <w:t>POSSIBLE 2025:</w:t>
      </w:r>
      <w:r>
        <w:t xml:space="preserve"> Continuing recovery of wolves in Europe — https://doi.org/10.1371/journal.pstr.0000158</w:t>
      </w:r>
    </w:p>
    <w:p>
      <w:pPr/>
      <w:r>
        <w:rPr>
          <w:b/>
        </w:rPr>
        <w:t>Shared claim-specific concepts:</w:t>
      </w:r>
      <w:r>
        <w:t xml:space="preserve"> challenges, role, well;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pStyle w:val="Heading2"/>
      </w:pPr>
      <w:r>
        <w:t>619. Impact of Quasi‐Idealized Future Land Cover Scenarios at High Latitudes in Complex Terrain</w:t>
      </w:r>
    </w:p>
    <w:p>
      <w:pPr>
        <w:pStyle w:val="SourceNote"/>
      </w:pPr>
      <w:r>
        <w:rPr>
          <w:b/>
        </w:rPr>
        <w:t>Original source (2021):</w:t>
      </w:r>
      <w:r>
        <w:t xml:space="preserve"> https://doi.org/10.1029/2020ef001838</w:t>
      </w:r>
    </w:p>
    <w:p>
      <w:pPr/>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weather, impacts, climate;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Human West Nile Virus infections in Europe: weather or climate? — https://doi.org/10.5194/egusphere-egu26-18547</w:t>
      </w:r>
    </w:p>
    <w:p>
      <w:pPr/>
      <w:r>
        <w:rPr>
          <w:b/>
        </w:rPr>
        <w:t>Shared claim-specific concepts:</w:t>
      </w:r>
      <w:r>
        <w:t xml:space="preserve"> weather, local, climate; EU scope visible. This is a provisional connection, not an outcome finding.</w:t>
      </w:r>
    </w:p>
    <w:p>
      <w:pPr>
        <w:pStyle w:val="SourceNote"/>
      </w:pPr>
      <w:r>
        <w:rPr>
          <w:b/>
        </w:rPr>
        <w:t>Available abstract (not full text):</w:t>
      </w:r>
      <w:r>
        <w:t xml:space="preserve">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pPr/>
      <w:r>
        <w:rPr>
          <w:b/>
        </w:rPr>
        <w:t>POSSIBLE 2026:</w:t>
      </w:r>
      <w:r>
        <w:t xml:space="preserve"> Climate change and European forests: Impacts, adaptation, and consequences for aesthetics — https://doi.org/10.26204/kluedo/13178</w:t>
      </w:r>
    </w:p>
    <w:p>
      <w:pPr/>
      <w:r>
        <w:rPr>
          <w:b/>
        </w:rPr>
        <w:t>Shared claim-specific concepts:</w:t>
      </w:r>
      <w:r>
        <w:t xml:space="preserve"> impacts, forestry, climate; EU scope visible. This is a provisional connection, not an outcome finding.</w:t>
      </w:r>
    </w:p>
    <w:p>
      <w:pPr>
        <w:pStyle w:val="SourceNote"/>
      </w:pPr>
      <w:r>
        <w:rPr>
          <w:b/>
        </w:rPr>
        <w:t>Available abstract (not full text):</w:t>
      </w:r>
      <w:r>
        <w:t xml:space="preserve"> This dissertation investigates how European forests are affected by climate change, how forest practitioners perceive and respond to these impacts, and how adaptation and reforestation strategies shape the visual aesthetics of forest landscapes. By combining biophysical evidence, qualitative practitioner insights, expert assessments, and public preference assessments, the thesis develops a comprehensive understanding of forests as socio-ecological systems under increasing climate stress. Across Europe, the 2018–2022 drought period caused widespread vitality loss, intensified pest outbreaks, and substantial tree cover decline, with Central Europe experiencing the most severe impacts. Damage patterns differed markedly among regions, yet even typically resilient or high-altitude forests showed signs of stress. Persistent effects in climatically average years highlight legacy effects of drought and heat events. These findings underline Europe’s high forest vulnerability and the need for region-specific adaptation strategies. Forest practitioners widely acknowledge drought as the dominant threat to forest health, citing its effects on mortality, regeneration, and pest susceptibility. Although there is broad consensus on the need to increase species and structural diversity for adaptation, substantial differences in preferred measures persist across practitioner groups. Economically </w:t>
      </w:r>
    </w:p>
    <w:p>
      <w:pPr/>
      <w:r>
        <w:rPr>
          <w:b/>
        </w:rPr>
        <w:t>POSSIBLE 2026:</w:t>
      </w:r>
      <w:r>
        <w:t xml:space="preserve"> Extreme weather in Europe: Determinants and economic impact — https://doi.org/10.1016/j.euroecorev.2026.105327</w:t>
      </w:r>
    </w:p>
    <w:p>
      <w:pPr/>
      <w:r>
        <w:rPr>
          <w:b/>
        </w:rPr>
        <w:t>Shared claim-specific concepts:</w:t>
      </w:r>
      <w:r>
        <w:t xml:space="preserve"> weather, climate, mitigation;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Disproportionate lifetime exposure of young people to extreme fire weather in Portugal and Europe — https://doi.org/10.5194/egusphere-egu26-14065</w:t>
      </w:r>
    </w:p>
    <w:p>
      <w:pPr/>
      <w:r>
        <w:rPr>
          <w:b/>
        </w:rPr>
        <w:t>Shared claim-specific concepts:</w:t>
      </w:r>
      <w:r>
        <w:t xml:space="preserve"> weather, different, local, climate, current, mitigation; EU scope visible. This is a provisional connection, not an outcome finding.</w:t>
      </w:r>
    </w:p>
    <w:p>
      <w:pPr>
        <w:pStyle w:val="SourceNote"/>
      </w:pPr>
      <w:r>
        <w:rPr>
          <w:b/>
        </w:rPr>
        <w:t>Available abstract (not full text):</w:t>
      </w:r>
      <w:r>
        <w:t xml:space="preserve"> Climate change is driving increased fire weather across the world: hot, dry and windy conditions lead to higher danger of fire ignition and spread and make fire suppression more difficult. With further warming, fire weather is projected to increase across the world. This means today’s children and young people will be exposed to ever more fire weather during their lifetimes. In this study, we analyze projections of extreme fire weather over Portugal and Europe from an ensemble of CMIP6 global climate model simulations previously bias-adjusted and downscaled to a 0.1º spatial resolution using ERA5-Land. We define extreme fire weather as days that exceed the 95th percentile of local fire weather index (FWI) values calculated from a 1985-2014 reference period. We then apply a lifetime exposure methodology at national and sub-national (NUTS3) spatial scales, using spatially explicit data on population density and life expectancy to estimate the exposure of different generations to extreme fire weather under different warming pathways. We use a GMT-based remapping technique and a multi-model ensemble approach to emulate fire weather projections under policy-relevant warming pathways ranging from 1.5ºC to 3.5ºC of warming in 2100. We find that young people will be disproportionately exposed to extreme fire weather compared to older generations across all warming pathways, while also </w:t>
      </w:r>
    </w:p>
    <w:p>
      <w:pPr/>
      <w:r>
        <w:rPr>
          <w:b/>
        </w:rPr>
        <w:t>POSSIBLE 2026:</w:t>
      </w:r>
      <w:r>
        <w:t xml:space="preserve"> Linking European droughts to year-round weather regimes — https://doi.org/10.5194/wcd-7-223-2026</w:t>
      </w:r>
    </w:p>
    <w:p>
      <w:pPr/>
      <w:r>
        <w:rPr>
          <w:b/>
        </w:rPr>
        <w:t>Shared claim-specific concepts:</w:t>
      </w:r>
      <w:r>
        <w:t xml:space="preserve"> weather, impacts, regional, climate; EU scope visible. This is a provisional connection, not an outcome finding.</w:t>
      </w:r>
    </w:p>
    <w:p>
      <w:pPr>
        <w:pStyle w:val="SourceNote"/>
      </w:pPr>
      <w:r>
        <w:rPr>
          <w:b/>
        </w:rPr>
        <w:t>Available abstract (not full text):</w:t>
      </w:r>
      <w:r>
        <w:t xml:space="preserve"> Abstract. European droughts have far-reaching socio-economic and ecological impacts, yet their prediction remains challenging due to the complex interplay between regional climate variability and large-scale atmospheric circulation. This study investigates how persistent North Atlantic weather regimes influence the occurrence and spatial distribution of seasonal meteorological droughts across Europe throughout the year. Using reanalysis datasets and a tailored regionalization based on drought synchronicity, we identify six coherent European sub-regions and relate drought events, defined by the standardized precipitation index (SPI3), to year-round weather regimes derived from 500 hPa geopotential height anomalies. Our analysis shows that while each weather regime exhibits distinctive and seasonally consistent precipitation patterns, only a fraction of droughts—primarily in western Europe and during winter—can be directly attributed to anomalies in regime frequency. The findings underline the partial but regionally significant role of North Atlantic circulation patterns in shaping European drought risk, highlighting opportunities and limitations for improving drought forecasts on sub-seasonal to seasonal timescales. This study emphasizes the added value of using year-round weather regimes as a unifying framework for understanding drought drivers, overcoming the constraints of pu</w:t>
      </w:r>
    </w:p>
    <w:p>
      <w:pPr/>
      <w:r>
        <w:rPr>
          <w:b/>
        </w:rPr>
        <w:t>POSSIBLE 2026:</w:t>
      </w:r>
      <w:r>
        <w:t xml:space="preserve"> Spatiotemporal patterns of surface temperature response to forest harvesting in Europe — https://doi.org/10.17169/refubium-51495</w:t>
      </w:r>
    </w:p>
    <w:p>
      <w:pPr/>
      <w:r>
        <w:rPr>
          <w:b/>
        </w:rPr>
        <w:t>Shared claim-specific concepts:</w:t>
      </w:r>
      <w:r>
        <w:t xml:space="preserve"> climate, mitigation, warming; EU scope visible. This is a provisional connection, not an outcome finding.</w:t>
      </w:r>
    </w:p>
    <w:p>
      <w:pPr>
        <w:pStyle w:val="SourceNote"/>
      </w:pPr>
      <w:r>
        <w:rPr>
          <w:b/>
        </w:rPr>
        <w:t>Available abstract (not full text):</w:t>
      </w:r>
      <w:r>
        <w:t xml:space="preserve"> European forests have been intensively managed for the provision of renewable materials and are a valuable asset for climate change mitigation, adaptation, and biodiversity conservation. Forest harvesting fundamentally alters the physical structure and composition of forests, with consequences for climate regulation services. It can impact the land surface temperature (LST) both diurnally and seasonally, but the net LST impact of historical forest harvesting activities in Europe is as yet unknown. This study integrates satellite-derived data for LSTs and forest harvesting for the period 2004–2023 to unravel spatial and temporal patterns of the surface temperature response to harvesting disturbances in Europe. We find a consistent diurnal asymmetry: harvesting induces daytime warming alongside nighttime cooling across all seasons and forest types. However, the magnitude, net effect, and temporal evolution have strong heterogeneity. Regionally, daytime warming dominates in Southern Europe (+0.075 ± 0.007 °C, mean ± standard error; +0.719 °C at the 90th percentile), peaking in the summer (+0.103 ± 0.010 °C; +0.823 °C), while Eastern Europe shows the strongest annual nighttime cooling (−0.060 ± 0.005 °C; −0.937 °C). The response is weaker in Western Europe. Seasonally, net daily cooling prevails in the spring, whereas net warming dominates in the summer. The forest composition modu</w:t>
      </w:r>
    </w:p>
    <w:p>
      <w:pPr/>
      <w:r>
        <w:rPr>
          <w:b/>
        </w:rPr>
        <w:t>POSSIBLE 2026:</w:t>
      </w:r>
      <w:r>
        <w:t xml:space="preserve"> Optimized afforestation reduces flood risk and limits water loss in Europe — https://doi.org/10.1038/s44458-026-00057-3</w:t>
      </w:r>
    </w:p>
    <w:p>
      <w:pPr/>
      <w:r>
        <w:rPr>
          <w:b/>
        </w:rPr>
        <w:t>Shared claim-specific concepts:</w:t>
      </w:r>
      <w:r>
        <w:t xml:space="preserve"> climate, afforestation, policies, mitigation, warming, mitigating; EU scope visible. This is a provisional connection, not an outcome finding.</w:t>
      </w:r>
    </w:p>
    <w:p>
      <w:pPr>
        <w:pStyle w:val="SourceNote"/>
      </w:pPr>
      <w:r>
        <w:rPr>
          <w:b/>
        </w:rPr>
        <w:t>Available abstract (not full text):</w:t>
      </w:r>
      <w:r>
        <w:t xml:space="preserve"> Abstract Afforestation is a nature-based solution with significant potential for mitigating climate change. The European Union’s Biodiversity Strategy for 2030 targets converting at least 10% of agricultural land into forest. However, large-scale afforestation can increase evapotranspiration, potentially exacerbating water scarcity. In this paper, we introduce a data-driven method to select optimal sites for afforestation to minimize negative effects on hydrology. We benchmark this optimized strategy against a non-optimized approach that increases forest cover randomly. Data-driven optimized afforestation reduces peak river discharges up to 43%, while evapotranspiration losses are 60% lower. The non-optimized strategy only reduces peak discharge marginally, and groundwater losses are up to three times higher. A +2°C warming scenario affects both strategies equally negatively. These findings emphasize that an optimized spatial distribution of afforestation can have a positive hydrological impact. Climate and land-use policies should employ optimized afforestation in planning to ensure benefits for both climate mitigation and water sustainability.</w:t>
      </w:r>
    </w:p>
    <w:p>
      <w:pPr/>
      <w:r>
        <w:rPr>
          <w:b/>
        </w:rPr>
        <w:t>POSSIBLE 2026:</w:t>
      </w:r>
      <w:r>
        <w:t xml:space="preserve"> Impacts of Land-Use–Environment Interactions on Anthropogenic and Natural Sources and Sinks of CO2 — https://doi.org/10.16993/tellus.4169</w:t>
      </w:r>
    </w:p>
    <w:p>
      <w:pPr/>
      <w:r>
        <w:rPr>
          <w:b/>
        </w:rPr>
        <w:t>Shared claim-specific concepts:</w:t>
      </w:r>
      <w:r>
        <w:t xml:space="preserve"> impacts, climate, mitigation; EU scope not established. This is a provisional connection, not an outcome finding.</w:t>
      </w:r>
    </w:p>
    <w:p>
      <w:pPr>
        <w:pStyle w:val="SourceNote"/>
      </w:pPr>
      <w:r>
        <w:rPr>
          <w:b/>
        </w:rPr>
        <w:t>Available abstract (not full text):</w:t>
      </w:r>
      <w:r>
        <w:t xml:space="preserve"> Global land use has evolved from an activity focused on providing food and fiber, with climatic impacts occurring mostly as side effects, to additionally becoming a central player in climate change mitigation. While global land-use change (LUC) historically contributed one-third to anthropogenic CO2 emissions, the land ecosystem as a whole has acted as a CO2 sink in recent decades, as environmental changes often created more favorable growth conditions. When LUC and environmental changes are considered together, however, carbon flux attribution becomes non-unique: their interaction generates non-additive fluxes that cannot be clearly separated into direct anthropogenic (LUC) and indirect anthropogenic and natural (environmental) drivers. Here we synthesize the progress in quantifying global land-use impacts on the Earth system and highlight the critical role of land-use–environment interactions, such as replaced and (re-)established sinks and sources. We show that these interaction terms are essential for understanding past land carbon dynamics and that they will increasingly shape future land-atmosphere CO2 exchange, as land-based mitigation of climate change is expected to expand and climate impacts will intensify. Addressing these challenges will require coordinated advances in model development, disturbance representation, overshoot scenario analysis, and observation-based </w:t>
      </w:r>
    </w:p>
    <w:p>
      <w:pPr/>
      <w:r>
        <w:rPr>
          <w:b/>
        </w:rPr>
        <w:t>POSSIBLE 2026:</w:t>
      </w:r>
      <w:r>
        <w:t xml:space="preserve"> Impacts of future land use and land cover changes on air quality in China — https://doi.org/10.1038/s41612-026-01420-w</w:t>
      </w:r>
    </w:p>
    <w:p>
      <w:pPr/>
      <w:r>
        <w:rPr>
          <w:b/>
        </w:rPr>
        <w:t>Shared claim-specific concepts:</w:t>
      </w:r>
      <w:r>
        <w:t xml:space="preserve"> impacts, local, climate, current, afforestation, warming; EU scope not established. This is a provisional connection, not an outcome finding.</w:t>
      </w:r>
    </w:p>
    <w:p>
      <w:pPr>
        <w:pStyle w:val="SourceNote"/>
      </w:pPr>
      <w:r>
        <w:rPr>
          <w:b/>
        </w:rPr>
        <w:t>Available abstract (not full text):</w:t>
      </w:r>
      <w:r>
        <w:t xml:space="preserve"> Land use and land cover changes (LULCCs) influence air quality via modifications in local meteorology and natural emissions, yet their future impacts and pathway contributions remain inadequately quantified. Here, we employed an online coupled meteorology–chemistry model to assess the effects of LULCCs by the mid-21st century on O 3 and PM 2.5 in China, and to disentangle the roles of meteorological influences versus biogenic volatile organic compound (BVOC) emission changes. Our results show that, with anthropogenic emissions and meteorological fields fixed at current conditions, LULCCs under SSP1-2.6 and Afforestation scenarios (characterized by forest expansion) induce a summer cooling of 0.04 °C and 0.09 °C in China but raise summertime daily maximum 8-h O 3 by 1.8 µg/m 3 and 4.7 µg/m 3 due to the dominance of BVOC-driven enhancement. Meanwhile, afforestation triggers north–south and seasonal variations in PM 2.5 changes: winter decreases in the north but increases in the south, with the pattern reversing in summer, resulting in a net national increase. Conversely, deforestation under SSP5-8.5 would cause warming but reduce BVOC emissions, slightly lowering summer O 3 (−0.8 µg/m 3 ) and winter PM 2.5 (−0.1 µg/m 3 ) across China. These findings underscore the potential importance of incorporating land-use strategies to support future integrated climate and air quality govern</w:t>
      </w:r>
    </w:p>
    <w:p>
      <w:pPr/>
      <w:r>
        <w:rPr>
          <w:b/>
        </w:rPr>
        <w:t>POSSIBLE 2026:</w:t>
      </w:r>
      <w:r>
        <w:t xml:space="preserve"> On the Effective Resolution of AI Weather Prediction Models — https://doi.org/10.1175/aies-d-25-0121.1</w:t>
      </w:r>
    </w:p>
    <w:p>
      <w:pPr/>
      <w:r>
        <w:rPr>
          <w:b/>
        </w:rPr>
        <w:t>Shared claim-specific concepts:</w:t>
      </w:r>
      <w:r>
        <w:t xml:space="preserve"> weather, investigate, different; EU scope visible. This is a provisional connection, not an outcome finding.</w:t>
      </w:r>
    </w:p>
    <w:p>
      <w:pPr>
        <w:pStyle w:val="SourceNote"/>
      </w:pPr>
      <w:r>
        <w:rPr>
          <w:b/>
        </w:rPr>
        <w:t>Available abstract (not full text):</w:t>
      </w:r>
      <w:r>
        <w:t xml:space="preserve"> Abstract In this study, we investigate the effective resolution of deterministic artificial intelligence (AI) weather prediction models. We find that an ideal, perfectly trained AI model approximately follows the mean of the forecast distribution for the range of lead times used in the loss function during training. We demonstrate the consequences and limitations of this result with forecast data from several AI models, including Aurora, Pangu, GraphCast, and GenCast, and we compare them to ensemble and deterministic forecasts from the “physics-based” model of the European Centre for Medium-Range Weather Forecasts. We further demonstrate the impact of the resolution on mean-square error scores and suggest a simple method for a fairer comparison of two models with different effective resolution.</w:t>
      </w:r>
    </w:p>
    <w:p>
      <w:pPr/>
      <w:r>
        <w:rPr>
          <w:b/>
        </w:rPr>
        <w:t>POSSIBLE 2026:</w:t>
      </w:r>
      <w:r>
        <w:t xml:space="preserve"> Megafires in Mediterranean Europe: the compound role of fire weather and drought — https://doi.org/10.1038/s44304-026-00197-5</w:t>
      </w:r>
    </w:p>
    <w:p>
      <w:pPr/>
      <w:r>
        <w:rPr>
          <w:b/>
        </w:rPr>
        <w:t>Shared claim-specific concepts:</w:t>
      </w:r>
      <w:r>
        <w:t xml:space="preserve"> weather, impacts, climate, warming; EU scope visible. This is a provisional connection, not an outcome finding.</w:t>
      </w:r>
    </w:p>
    <w:p>
      <w:pPr>
        <w:pStyle w:val="SourceNote"/>
      </w:pPr>
      <w:r>
        <w:rPr>
          <w:b/>
        </w:rPr>
        <w:t>Available abstract (not full text):</w:t>
      </w:r>
      <w:r>
        <w:t xml:space="preserve"> Abstract Large wildfires and megafires in Mediterranean Europe cause disproportionate social, ecological and economic impacts, yet the processes that allow some ignitions to grow into landscape-scale events remain poorly quantified. Here we analyse 11,403 summer wildfires across Mediterranean Europe during 2008–2022, classified into medium (30–100 ha), large (100–1000 ha), very large (1000–10,000 ha) and megafires (≥10,000 ha). Combining official fire perimeters with a high-resolution environmental and drought dataset, we quantify how fast-reacting weather and slow-reacting fuel and drought indicators jointly control transitions between fire-size classes. Very large fires are preferentially associated with anomalously hot, windy conditions acting on stressed fuels and multi-month drought, whereas the transition to megafire size is closely associated with unusually warm nights and strong winds near ignition. Using Random Forest classifiers and logistic regression, we show that these transitions are predictable from a small set of interpretable variables, including nighttime land-surface temperature, wind speed, and 3-month standardized precipitation–evapotranspiration index. Model performance indicates that up to two-thirds of megafires are correctly identified out of sample. Our results highlight that megafires in Mediterranean Europe emerge from the alignment of preconditioned</w:t>
      </w:r>
    </w:p>
    <w:p>
      <w:pPr>
        <w:pStyle w:val="Heading2"/>
      </w:pPr>
      <w:r>
        <w:t>620. Implementation of the 2030 sustainable development goals - affordable and clean energy in the European Union</w:t>
      </w:r>
    </w:p>
    <w:p>
      <w:pPr>
        <w:pStyle w:val="SourceNote"/>
      </w:pPr>
      <w:r>
        <w:rPr>
          <w:b/>
        </w:rPr>
        <w:t>Original source (2021):</w:t>
      </w:r>
      <w:r>
        <w:t xml:space="preserve"> https://doi.org/10.1088/1755-1315/906/1/012017</w:t>
      </w:r>
    </w:p>
    <w:p>
      <w:pPr/>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pPr/>
      <w:r>
        <w:rPr>
          <w:b/>
        </w:rPr>
        <w:t>POSSIBLE 2026:</w:t>
      </w:r>
      <w:r>
        <w:t xml:space="preserve"> Environmental Benefits of a Free Flight Single European Sky (SES) for Airline Operators — https://doi.org/10.2514/6.2026-4197</w:t>
      </w:r>
    </w:p>
    <w:p>
      <w:pPr/>
      <w:r>
        <w:rPr>
          <w:b/>
        </w:rPr>
        <w:t>Shared claim-specific concepts:</w:t>
      </w:r>
      <w:r>
        <w:t xml:space="preserve"> order, able, potential; EU scope visible. This is a provisional connection, not an outcome finding.</w:t>
      </w:r>
    </w:p>
    <w:p>
      <w:pPr>
        <w:pStyle w:val="SourceNote"/>
      </w:pPr>
      <w:r>
        <w:rPr>
          <w:b/>
        </w:rPr>
        <w:t>Available abstract (not full text):</w:t>
      </w:r>
      <w:r>
        <w:t xml:space="preserve"> This paper explores the benefits of a Single European Sky from an airline perspective. Standard airline flight planning software is used in the modelling and estimation of potential benefits when current constrictions are removed in order to estimate the potential benefits of being able to plan and execute point to point flight. It is concluded that substantial benefits will be accrued but that the predicted improvement needs to be assessed relative to the benefits that airlines already realise when implementing the planned flight relative to the initial starting level of expected performance. The analysis presented is limited in extrapolating from a Boeing 737 EU network, considering the en-route phase (between SID and STAR). The results presented suggest a conservative predicted benefit of circa 3% at an airline network level for a flagship carrier. Keywords: Airline flight planning, Single European Sky (SKY), Free-Flight,</w:t>
      </w:r>
    </w:p>
    <w:p>
      <w:pPr/>
      <w:r>
        <w:rPr>
          <w:b/>
        </w:rPr>
        <w:t>POSSIBLE 2026:</w:t>
      </w:r>
      <w:r>
        <w:t xml:space="preserve"> Negotiating the new world order: alternative mechanisms in geopolitical reconfiguration and the exclusion of Europe — https://doi.org/10.62486/978-9915-704-40-1.ch06</w:t>
      </w:r>
    </w:p>
    <w:p>
      <w:pPr/>
      <w:r>
        <w:rPr>
          <w:b/>
        </w:rPr>
        <w:t>Shared claim-specific concepts:</w:t>
      </w:r>
      <w:r>
        <w:t xml:space="preserve"> order, also; EU scope visible. This is a provisional connection, not an outcome finding.</w:t>
      </w:r>
    </w:p>
    <w:p>
      <w:pPr>
        <w:pStyle w:val="SourceNote"/>
      </w:pPr>
      <w:r>
        <w:rPr>
          <w:b/>
        </w:rPr>
        <w:t>Available abstract (not full text):</w:t>
      </w:r>
      <w:r>
        <w:t xml:space="preserve"> The current geopolitical reconfiguration is marked by an unprecedented phenomenon: the progressive exclusion of Europe from the strategic negotiations that define the global balance of power.This shift has become evident in recent dialogues between the United States and Russia, as well as in multilateral forums where emerging powers have gained prominence.The weakening of Europe's role not only alters the traditional dynamics of international relations, but also raises questions about the effectiveness of global governance mechanisms.In this context, alternative mechanisms for conflict resolution and political negotiation acquire central relevance.Tools such as mediation, preventive diplomacy, multilateral negotiation rounds, and framework agreements offer ways to manage tensions without resorting to armed confrontation.However, their effectiveness depends on factors such as the political will of the parties, the inclusion of key actors, and the capacity to generate mutual benefits.This paper analyzes how, in a scenario of global fragmentation, negotiation and alternative mechanisms can contribute to preserving stability and protecting human rights, even when traditionally influential actors, such as the European Union, lose space in decision-making.Recent cases are reviewed, assessing the strategies used and their impact on international security and sustainable development.Th</w:t>
      </w:r>
    </w:p>
    <w:p>
      <w:pPr/>
      <w:r>
        <w:rPr>
          <w:b/>
        </w:rPr>
        <w:t>POSSIBLE 2026:</w:t>
      </w:r>
      <w:r>
        <w:t xml:space="preserve"> Modelling of temperature-related phenomena in polymers — https://doi.org/10.1007/s00707-026-04652-2</w:t>
      </w:r>
    </w:p>
    <w:p>
      <w:pPr/>
      <w:r>
        <w:rPr>
          <w:b/>
        </w:rPr>
        <w:t>Shared claim-specific concepts:</w:t>
      </w:r>
      <w:r>
        <w:t xml:space="preserve"> phenomena, they, also; EU scope not established. This is a provisional connection, not an outcome finding.</w:t>
      </w:r>
    </w:p>
    <w:p>
      <w:pPr>
        <w:pStyle w:val="SourceNote"/>
      </w:pPr>
      <w:r>
        <w:rPr>
          <w:b/>
        </w:rPr>
        <w:t>Available abstract (not full text):</w:t>
      </w:r>
      <w:r>
        <w:t xml:space="preserve"> Abstract In comparison with metals, the characteristic temperatures at which polymers change their behaviour are significantly smaller. Temperature-related or temperature-driven phenomena in meltable thermoplastics, weakly crosslinked elastomers or highly crosslinked thermosets have their origin in physical or chemical changes on the microscale. On the macroscopic scale, the mechanical, thermal and caloric properties of polymers change. Some of these phenomena are reversible, others are irreversible. They take place when the temperature is changing due to heat supply from outside or energy dissipation caused by inelasticity and dynamic mechanical loads. As we know, growing temperature increases the mobility of the polymer molecules and changes the rates of chemical reactions. This review article addresses selected phenomena relevant for technical applications. As a reversible phenomenon, the process-dependent stiffening and softening of polymers around the glass transition is treated. Crystallisation, driven by deformation or temperature, is also a reversible phenomenon discussed in this article. Adhesives are applied in everyday life and change their material properties during curing. A phenomenon of high technical importance is ageing. Irreversible chemical ageing increases with the temperature or the environmental oxygen concentration, results from the generation of new cros</w:t>
      </w:r>
    </w:p>
    <w:p>
      <w:pPr/>
      <w:r>
        <w:rPr>
          <w:b/>
        </w:rPr>
        <w:t>POSSIBLE 2026:</w:t>
      </w:r>
      <w:r>
        <w:t xml:space="preserve"> Reconfiguring the Ideal Order: Ablation and Field Formation in the Twentieth-Century Nigerian Novel in English — https://doi.org/10.63744/bxxtneztegc5</w:t>
      </w:r>
    </w:p>
    <w:p>
      <w:pPr/>
      <w:r>
        <w:rPr>
          <w:b/>
        </w:rPr>
        <w:t>Shared claim-specific concepts:</w:t>
      </w:r>
      <w:r>
        <w:t xml:space="preserve"> order, they, also; EU scope not established. This is a provisional connection, not an outcome finding.</w:t>
      </w:r>
    </w:p>
    <w:p>
      <w:pPr>
        <w:pStyle w:val="SourceNote"/>
      </w:pPr>
      <w:r>
        <w:rPr>
          <w:b/>
        </w:rPr>
        <w:t>Available abstract (not full text):</w:t>
      </w:r>
      <w:r>
        <w:t xml:space="preserve"> Computational literary studies has developed sophisticated methods for detecting textual relationships – similarity networks, text reuse detection, semantic comparison – yet these approaches remain largely constrained to pairwise analysis. They reveal which texts resemble one another but cannot capture how individual works contribute to the collective semantic architecture of a corpus. This paper introduces a methodology that addresses this gap by shifting focus from text-to-text relationships to field formation. Treating a corpus as an integrated semantic space constructed through GloVe word embeddings, the method employs ablation testing – the systematic removal of individual texts followed by retraining – to measure each text’s structural contribution to that space. Procrustes analysis quantifies the geometric difference between full and ablated embeddings, and an iterative protocol with consistency-based exponential decay filtering distinguishes genuine semantic disruption from algorithmic noise. The resulting "disruption scores" identify texts that are structurally necessary to a corpus’s semantic field, capturing a dimension of textual significance irreducible to similarity, centrality, or explicit citation. Drawing on T.S. Eliot’s concept of the "ideal order" as a heuristic for the relational and achronological dynamics the model quantifies, the paper demonstrates the me</w:t>
      </w:r>
    </w:p>
    <w:p>
      <w:pPr/>
      <w:r>
        <w:rPr>
          <w:b/>
        </w:rPr>
        <w:t>POSSIBLE 2026:</w:t>
      </w:r>
      <w:r>
        <w:t xml:space="preserve"> Forecasting the European WEEE Collection Rate in Alignment with the SDGs: An Integrated Predictive Framework — https://doi.org/10.17700/jai.2026.17.1.787</w:t>
      </w:r>
    </w:p>
    <w:p>
      <w:pPr/>
      <w:r>
        <w:rPr>
          <w:b/>
        </w:rPr>
        <w:t>Shared claim-specific concepts:</w:t>
      </w:r>
      <w:r>
        <w:t xml:space="preserve"> forecasts, indicators; EU scope visible. This is a provisional connection, not an outcome finding.</w:t>
      </w:r>
    </w:p>
    <w:p>
      <w:pPr>
        <w:pStyle w:val="SourceNote"/>
      </w:pPr>
      <w:r>
        <w:rPr>
          <w:b/>
        </w:rPr>
        <w:t>Available abstract (not full text):</w:t>
      </w:r>
      <w:r>
        <w:t xml:space="preserve"> The management of Waste Electrical and Electronic Equipment (WEEE) remains a critical sustainability challenge across the European Union (EU). Although the WEEE Directive 2012/19/EU predates the United Nations Sustainable Development Goals (SDGs), its progressively stricter collection targets, from 45% to 65%, are closely aligned with global objectives on sustainable production and consumption. This study develops an integrated predictive framework to forecast the EU27 WEEE Collection Rate (CR) from 2022 to 2030. The framework draws on four modeling families: Statistical methods, Machine Learning (ML) algorithms, Deep Learning (DL) architectures, and selected Hybrid configurations. Data for “Waste Collected” (COL) and “Products Put on the Market” (MKT) were obtained from Eurostat, with missing values imputed through linear interpolation validated against external socioeconomic indicators. Among all models tested, Lasso and Ridge Regression achieved the most accurate forecasts for the COL and MKT datasets, respectively. Although a Hybrid model was implemented to address non-linear residual patterns, it did not outperform the standalone Lasso model, which was retained for CR estimation. The resulting forecasts reveal a consistent downward trend in the Collection Rate, remaining below the 65% target throughout the forecast horizon. This shortfall is primarily driven by an accelera</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develop, also, indicators;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Variational formulations of transport phenomena on combinatorial meshes — https://doi.org/10.1016/j.cam.2026.117738</w:t>
      </w:r>
    </w:p>
    <w:p>
      <w:pPr/>
      <w:r>
        <w:rPr>
          <w:b/>
        </w:rPr>
        <w:t>Shared claim-specific concepts:</w:t>
      </w:r>
      <w:r>
        <w:t xml:space="preserve"> phenomena, develop; EU scope not established. This is a provisional connection, not an outcome finding.</w:t>
      </w:r>
    </w:p>
    <w:p>
      <w:pPr>
        <w:pStyle w:val="SourceNote"/>
      </w:pPr>
      <w:r>
        <w:rPr>
          <w:b/>
        </w:rPr>
        <w:t>Available abstract (not full text):</w:t>
      </w:r>
      <w:r>
        <w:t xml:space="preserve"> We develop primal and mixed variational formulations of transport phenomena on cell complexes with simple polytope connectivity. This framework addresses materials with internal structures comprising components of different topological dimensions, where cells of each dimension may possess distinct physical properties. The approach, which we call Combinatorial Mesh Calculus (CMC), extends Forman’s combinatorial differential forms, previously used to formulate strong conservation laws. CMC operates directly on meshes without requiring smooth embeddings, using discrete analogues of the exterior derivative, Hodge star, and co-differential operators. Our mixed formulation leads to a block-diagonal mass-like matrix arising from inner products weighted by material coefficients, enabling efficient local elimination strategies within the mixed system. CMC differs from Discrete Exterior Calculus, which requires circumcentric duality and well-centred meshes, and from Finite Element Exterior Calculus, which constructs polynomial spaces on smooth domains. Our framework applies to general cell complexes, including curved cells and irregular meshes; nonetheless irregularity leads to worse numerical performance. The mathematical development proceeds in parallel between the smooth and discrete settings, establishing correspondences between continuous and discrete operators. Initial boundary val</w:t>
      </w:r>
    </w:p>
    <w:p>
      <w:pPr/>
      <w:r>
        <w:rPr>
          <w:b/>
        </w:rPr>
        <w:t>POSSIBLE 2025:</w:t>
      </w:r>
      <w:r>
        <w:t xml:space="preserve"> A Predictive Physics‐Aware Hybrid Reduced Order Model for Reacting Flows — https://doi.org/10.1002/nme.70058</w:t>
      </w:r>
    </w:p>
    <w:p>
      <w:pPr/>
      <w:r>
        <w:rPr>
          <w:b/>
        </w:rPr>
        <w:t>Shared claim-specific concepts:</w:t>
      </w:r>
      <w:r>
        <w:t xml:space="preserve"> order, able, predict, authors; EU scope not established. This is a provisional connection, not an outcome finding.</w:t>
      </w:r>
    </w:p>
    <w:p>
      <w:pPr>
        <w:pStyle w:val="SourceNote"/>
      </w:pPr>
      <w:r>
        <w:rPr>
          <w:b/>
        </w:rPr>
        <w:t>Available abstract (not full text):</w:t>
      </w:r>
      <w:r>
        <w:t xml:space="preserve"> ABSTRACT This article introduces an innovative methodology that merges modal decomposition, extracting physical patterns, with deep learning networks (DLNs) for forecasting reacting flows. The model is generalizable and capable of predicting complex simulations with just one training of the model, showing transfer learning capabilities. The primary objective is to optimize computational resources while maintaining accuracy on the predictions. With the combination of proper orthogonal decomposition (POD) and DLNs, our approach offers an efficient and effective solution for flow dynamics prediction. The new hybrid (POD/DLN) predictive model is designed for solving reacting flow problems. The POD block segregates temporal and spatial information, while the DLN block operates solely on the temporal domain with significantly reduced dimensionality. The POD modes contain the main flow characteristics, turning the model into a physics‐based model. This architecture leads to substantial enhancements in computational cost and memory requirements, while maintaining the precision in the predictions. Such advancements are particularly crucial for addressing the challenges posed by high‐dimensional multivariate and complex time‐series forecasting tasks. Two different deep learning architectures have been tested to predict the temporal coefficients, based on recursive (RNN) and convolutional</w:t>
      </w:r>
    </w:p>
    <w:p>
      <w:pPr/>
      <w:r>
        <w:rPr>
          <w:b/>
        </w:rPr>
        <w:t>POSSIBLE 2025:</w:t>
      </w:r>
      <w:r>
        <w:t xml:space="preserve"> The Republic of Moldova financial system adjustment to the european monetary order — https://doi.org/10.53486/mfsne2024.02</w:t>
      </w:r>
    </w:p>
    <w:p>
      <w:pPr/>
      <w:r>
        <w:rPr>
          <w:b/>
        </w:rPr>
        <w:t>Shared claim-specific concepts:</w:t>
      </w:r>
      <w:r>
        <w:t xml:space="preserve"> order, built, also, potential; EU scope visible. This is a provisional connection, not an outcome finding.</w:t>
      </w:r>
    </w:p>
    <w:p>
      <w:pPr>
        <w:pStyle w:val="SourceNote"/>
      </w:pPr>
      <w:r>
        <w:rPr>
          <w:b/>
        </w:rPr>
        <w:t>Available abstract (not full text):</w:t>
      </w:r>
      <w:r>
        <w:t xml:space="preserve"> The aspirations of the Republic of Moldova to become an EU member state send an essential message to both the national economy and the financial system; the accession process will mark the economic and financial developments of the Republic of Moldova. Also, this message reinforces the conclusion that economic - mainly financial - integration must be carefully monitored and managed but not delayed. Such a conclusion confers a severe responsibility on all participants in the Moldovan financial system. As a result, the purpose of the publication is to analyze the financial system of the Republic of Moldova from the perspective of the European monetary order to identify its non-conformities. For this purpose, a three-dimensional matrix is built, correlating the EU criteria regarding the national financial systems with those of the Republic of Moldova. As a result of the analysis, it was highlighted that the ability of the Moldovan financial sector to provide financial services largely depends on the support of financial infrastructure institutions. Therefore, infrastructure institutions are needed, which could, on the one hand, reduce risks and vulnerabilities and, on the other hand, ensure the efficient functioning of the financial system. The matrix's design not only elucidated the existing inconsistencies but also enabled the identification of potential solutions. These solutio</w:t>
      </w:r>
    </w:p>
    <w:p>
      <w:pPr/>
      <w:r>
        <w:rPr>
          <w:b/>
        </w:rPr>
        <w:t>POSSIBLE 2025:</w:t>
      </w:r>
      <w:r>
        <w:t xml:space="preserve"> HOW TO PREDICT GYMNASTICS’ RESULTS - A SIMPLE METHOD BASED ON THE 2022 EUROPEAN CHAMPIONSHIPS — https://doi.org/10.52165/sgj.17.1.35-50</w:t>
      </w:r>
    </w:p>
    <w:p>
      <w:pPr/>
      <w:r>
        <w:rPr>
          <w:b/>
        </w:rPr>
        <w:t>Shared claim-specific concepts:</w:t>
      </w:r>
      <w:r>
        <w:t xml:space="preserve"> able, predict, also; EU scope visible. This is a provisional connection, not an outcome finding.</w:t>
      </w:r>
    </w:p>
    <w:p>
      <w:pPr>
        <w:pStyle w:val="SourceNote"/>
      </w:pPr>
      <w:r>
        <w:rPr>
          <w:b/>
        </w:rPr>
        <w:t>Available abstract (not full text):</w:t>
      </w:r>
      <w:r>
        <w:t xml:space="preserve"> It is very important for coaches in charge of selection to know the competition level based on the athletes registered, as well as to assess the gymnasts’ capacity to achieve the expected performance. In international artistic gymnastics competitions, access to the all-around (C2), apparatus (C3), and team (C4) finals is determined based on the results of the qualification round (C1). A specialist who competes on only one or two apparatuses may have a chance to win medals on those apparatuses but may also be a disadvantage to the team score. Based on the nominative entries submitted by each competing nation one month prior to the 2022 European Championships held in Munich, we extracted previous individual scores from national and international competitions over a period of six months before the 2022 EC. Individual standard deviations were computed for each competing athlete, and their mean and maximal scores were used as two predictive outcomes. The individual standard deviation on still rings showed a low Q1, median, Q3, and IQR for both junior and senior MAG, while pommel horse exhibited greater variability. Among WAG athletes, those competing in junior and senior vault and floor had lower Q1, median, Q3, and IQR compared to uneven bars and balance beam. When comparing both predictions (mean and maximal values) to the scores obtained in Munich, small differences were observed</w:t>
      </w:r>
    </w:p>
    <w:p>
      <w:pPr/>
      <w:r>
        <w:rPr>
          <w:b/>
        </w:rPr>
        <w:t>POSSIBLE 2025:</w:t>
      </w:r>
      <w:r>
        <w:t xml:space="preserve"> A Comprehensive Study of Volcanic Phenomena — https://openalex.org/W7137631017</w:t>
      </w:r>
    </w:p>
    <w:p>
      <w:pPr/>
      <w:r>
        <w:rPr>
          <w:b/>
        </w:rPr>
        <w:t>Shared claim-specific concepts:</w:t>
      </w:r>
      <w:r>
        <w:t xml:space="preserve"> phenomena, also, potential; EU scope not established. This is a provisional connection, not an outcome finding.</w:t>
      </w:r>
    </w:p>
    <w:p>
      <w:pPr>
        <w:pStyle w:val="SourceNote"/>
      </w:pPr>
      <w:r>
        <w:rPr>
          <w:b/>
        </w:rPr>
        <w:t>Available abstract (not full text):</w:t>
      </w:r>
      <w:r>
        <w:t xml:space="preserve"> This book is a new addition to research works exploring the diversity of volcanic geology. This book has collected works that approach volcanic phenomena via traditional methods and highlights the significance of volcanic geology in correct and realistic volcanic reconstruction through geological mapping and material science. This important and commonly less respected area of volcanology provides the fundamental basis for understanding volcanoes. The book has attracted works that show advanced technologies and their usage in volcano science. Research subjects such as hidden volcanoes deep beneath the sea surface are common targets of complex technology-aided mapping. Geophysical methods that use approaches to locate potential eruptible magma or magmatic fluids are among the most dynamically evolving methods. As one of the ultimate goals of volcanology is to provide geology-based models that identify volcanic hazards to offer science-based approaches for volcanic hazard mitigation, this book also contains some ideas to show eruption scenarios and historical record–based approaches to understand volcanoes and how to live with them. Overall, this book is a nice collection representing the broad and colorful nature of volcano science.</w:t>
      </w:r>
    </w:p>
    <w:p>
      <w:pPr/>
      <w:r>
        <w:rPr>
          <w:b/>
        </w:rPr>
        <w:t>POSSIBLE 2025:</w:t>
      </w:r>
      <w:r>
        <w:t xml:space="preserve"> Predicting arrhythmia recurrence post-ablation in atrial fibrillation using explainable machine learning — https://doi.org/10.1038/s43856-025-01058-4</w:t>
      </w:r>
    </w:p>
    <w:p>
      <w:pPr/>
      <w:r>
        <w:rPr>
          <w:b/>
        </w:rPr>
        <w:t>Shared claim-specific concepts:</w:t>
      </w:r>
      <w:r>
        <w:t xml:space="preserve"> predict, develop, also; EU scope not established. This is a provisional connection, not an outcome finding.</w:t>
      </w:r>
    </w:p>
    <w:p>
      <w:pPr>
        <w:pStyle w:val="SourceNote"/>
      </w:pPr>
      <w:r>
        <w:rPr>
          <w:b/>
        </w:rPr>
        <w:t>Available abstract (not full text):</w:t>
      </w:r>
      <w:r>
        <w:t xml:space="preserve"> Following atrial fibrillation ablation, it is challenging to distinguish patients who will remain arrhythmia-free from those at risk for recurrence. New explainable machine learning (xML) techniques allow for systematic assessment of arrhythmia recurrence risk following catheter ablation. We aim to develop an xML algorithm that predicts recurrence and reveals key risk factors to facilitate better follow-up strategy after an ablation procedure. We reconstructed pre-and post-ablation models of the left atrium (LA) from late gadolinium enhanced magnetic resonance (LGE-MRI) for 67 patients. Patient-specific features (LGE-based measurements of pre/post-ablation arrhythmogenic substrate, LA geometry metrics, computational simulation results, and clinical risk factors) trained a random forest classifier to predict recurrent arrhythmia. We calculated each risk factor’s marginal contribution to model decision making via SHapley Additive exPlanations (SHAP). The classifier accurately predicts post-ablation arrhythmia recurrence (mean receiver operating characteristic [ROC] area under the curve [AUC]: 0.80 ± 0.04; mean precision-recall [PR] AUC: 0.82 ± 0.08). SHAP analysis reveals that of 89 features tested, the key population risk factors for recurrence are: large left atrium, low LGE-quantified post-ablation scar in the atrial floor region, and previous attempts at direct current cardio</w:t>
      </w:r>
    </w:p>
    <w:p>
      <w:pPr>
        <w:pStyle w:val="Heading2"/>
      </w:pPr>
      <w:r>
        <w:t>621. Integrated assessment of the role of bioenergy within the EU energy transition targets to 2050</w:t>
      </w:r>
    </w:p>
    <w:p>
      <w:pPr>
        <w:pStyle w:val="SourceNote"/>
      </w:pPr>
      <w:r>
        <w:rPr>
          <w:b/>
        </w:rPr>
        <w:t>Original source (2021):</w:t>
      </w:r>
      <w:r>
        <w:t xml:space="preserve"> https://doi.org/10.1111/gcbb.12908</w:t>
      </w:r>
    </w:p>
    <w:p>
      <w:pPr/>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POSSIBLE 2026:</w:t>
      </w:r>
      <w:r>
        <w:t xml:space="preserve"> Energy Transition in Brazil and the Role of Bioenergy with Carbon Capture and Storage — https://doi.org/10.4236/lce.2026.173005</w:t>
      </w:r>
    </w:p>
    <w:p>
      <w:pPr/>
      <w:r>
        <w:rPr>
          <w:b/>
        </w:rPr>
        <w:t>Shared claim-specific concepts:</w:t>
      </w:r>
      <w:r>
        <w:t xml:space="preserve"> bioenergy, provide, use, deployment; EU scope not established. This is a provisional connection, not an outcome finding.</w:t>
      </w:r>
    </w:p>
    <w:p>
      <w:pPr>
        <w:pStyle w:val="SourceNote"/>
      </w:pPr>
      <w:r>
        <w:rPr>
          <w:b/>
        </w:rPr>
        <w:t>Available abstract (not full text):</w:t>
      </w:r>
      <w:r>
        <w:t xml:space="preserve">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pPr/>
      <w:r>
        <w:rPr>
          <w:b/>
        </w:rPr>
        <w:t>POSSIBLE 2026:</w:t>
      </w:r>
      <w:r>
        <w:t xml:space="preserve"> Carbon cycle uncertainties and the role of land-use change emissions in ambitious mitigation pathways — https://doi.org/10.22541/essoar.15009904/v1</w:t>
      </w:r>
    </w:p>
    <w:p>
      <w:pPr/>
      <w:r>
        <w:rPr>
          <w:b/>
        </w:rPr>
        <w:t>Shared claim-specific concepts:</w:t>
      </w:r>
      <w:r>
        <w:t xml:space="preserve"> gtco2, mitigation, integrated, assessment, deployment; EU scope not established. This is a provisional connection, not an outcome finding.</w:t>
      </w:r>
    </w:p>
    <w:p>
      <w:pPr>
        <w:pStyle w:val="SourceNote"/>
      </w:pPr>
      <w:r>
        <w:rPr>
          <w:b/>
        </w:rPr>
        <w:t>Available abstract (not full text):</w:t>
      </w:r>
      <w:r>
        <w:t xml:space="preserve"> The carbon cycle and its sensitivity to different forcings is a major source of uncertainty in scenario assessments of Earth System Models (ESMs) on climate change. However, while the relevant carbon cycle uncertainties are often an important part of ESM assessments, they are currently poorly and inconsistently accounted for in the derivation of mitigation pathways using Integrated Assessment Models (IAMs). Here, we incorporate carbon cycle data from 9 different Dynamic Global Vegetation Models (DGVMs) into the REMIND-MAgPIE-MAGICC IAM framework, using the DGVM model diversity as the main source of uncertainty, and assess variations in scenario outcomes derived from them. We show that varying only assumptions about the carbon density potentials of vegetation types leads to important variations in the cost-effective deployment of land-based mitigation solutions. In scenarios where warming is limited to 1.7°C, cumulative landuse change emissions (2020-2050) vary from negative to substantially positive (-12 to 57 GtCO2), with a 30% variation in carbon prices, 100 Mha in forest area and a substantially different CDR mix. By calibrating the simple climate model MAGICC to reproduce the land carbon and nitrogen fluxes from these same DGVMs, we also consistently assess the uncertainty in the remaining carbon budget to limit warming to 1.7°C due to the varied responses of the carbon sin</w:t>
      </w:r>
    </w:p>
    <w:p>
      <w:pPr/>
      <w:r>
        <w:rPr>
          <w:b/>
        </w:rPr>
        <w:t>POSSIBLE 2026:</w:t>
      </w:r>
      <w:r>
        <w:t xml:space="preserve"> Biodiversity conservation policies alter the solution space of climate mitigation scenarios — https://doi.org/10.31223/x5wf80</w:t>
      </w:r>
    </w:p>
    <w:p>
      <w:pPr/>
      <w:r>
        <w:rPr>
          <w:b/>
        </w:rPr>
        <w:t>Shared claim-specific concepts:</w:t>
      </w:r>
      <w:r>
        <w:t xml:space="preserve"> bioenergy, mitigation, use; EU scope not established. This is a provisional connection, not an outcome finding.</w:t>
      </w:r>
    </w:p>
    <w:p>
      <w:pPr>
        <w:pStyle w:val="SourceNote"/>
      </w:pPr>
      <w:r>
        <w:rPr>
          <w:b/>
        </w:rPr>
        <w:t>Available abstract (not full text):</w:t>
      </w:r>
      <w:r>
        <w:t xml:space="preserve"> Conserving biodiversity while mitigating climate change is one of the defining sustainability challenges of this century. Paris-aligned mitigation pathways rely heavily on forest restoration and bioenergy with carbon capture and storage (BECCS). While forest restoration can simultaneously enhance wildlife habitat and increase carbon sequestration, large-scale biomass production for BECCS may intensify land competition and conflict with biodiversity conservation goals. Here, we use an interlinked land-use (MAgPIE), energy (MESSAGEix), and climate (MAGICC) modeling framework to explore the synergies and trade-offs between biodiversity conservation and climate mitigation. We find that sustainable bioenergy potential compatible with ambitious biodiversity conservation targets is below 100 EJ/yr, limiting late-century carbon removal through BECCS in 2 °C scenarios to less than 6 GtCO₂/yr. At the same time, ambitious biodiversity conservation can approximately double carbon sequestration in forest systems. Our results show that Paris temperature goals remain achievable under ambitious biodiversity targets and that peak temperatures are lowered as much as 0.2°C compared to Paris-aligned scenarios without biodiversity targets, although doing so requires earlier and more stringent decarbonization.</w:t>
      </w:r>
    </w:p>
    <w:p>
      <w:pPr/>
      <w:r>
        <w:rPr>
          <w:b/>
        </w:rPr>
        <w:t>POSSIBLE 2026:</w:t>
      </w:r>
      <w:r>
        <w:t xml:space="preserve"> Global Afforestation Carbon Sequestration Potential Within an Integrated Environmental Protection and Sustainable Food System Framework — https://doi.org/10.3390/land15091733</w:t>
      </w:r>
    </w:p>
    <w:p>
      <w:pPr/>
      <w:r>
        <w:rPr>
          <w:b/>
        </w:rPr>
        <w:t>Shared claim-specific concepts:</w:t>
      </w:r>
      <w:r>
        <w:t xml:space="preserve"> gtco2, mitigation, use, integrated, assessment; EU scope not established. This is a provisional connection, not an outcome finding.</w:t>
      </w:r>
    </w:p>
    <w:p>
      <w:pPr>
        <w:pStyle w:val="SourceNote"/>
      </w:pPr>
      <w:r>
        <w:rPr>
          <w:b/>
        </w:rPr>
        <w:t>Available abstract (not full text):</w:t>
      </w:r>
      <w:r>
        <w:t xml:space="preserve"> Afforestation is a high-potential and cost-effective climate change mitigation strategy, but its large-scale implementation raises sustainability concerns. It requires extensive areas of land, potentially conflicting with agriculture and impacting food security. Moreover, inappropriate forest expansion, such as the afforestation of naturally open habitats, could reduce habitats for non-forest organisms and may cause biodiversity loss. Here, we assess the global mitigation potential of afforestation by integrating environmental constraints and sustainable food system transformations within an integrated assessment model framework. Using the Asia-Pacific Integrated Model (AIM), including the AIM-Hub general equilibrium model and AIM-PLUM spatial land use allocation model, we evaluated seven scenarios incorporating biodiversity protection, soil quality enhancement, dietary shifts, food waste reduction, trade, and irrigation intensification. We found that environmental considerations reduce the maximum afforestation potential to 2.13 GtCO2 yr−1, highlighting the importance of accounting for land use trade-offs. However, sustainable food system transformations substantially recover this mitigation potential, increasing afforestation-based carbon sequestration to 5.01 GtCO2 yr−1 by 2100. Approximately 90% of this potential can be achieved at a cost below 50 USD tCO2−1. Our study emph</w:t>
      </w:r>
    </w:p>
    <w:p>
      <w:pPr/>
      <w:r>
        <w:rPr>
          <w:b/>
        </w:rPr>
        <w:t>POSSIBLE 2026:</w:t>
      </w:r>
      <w:r>
        <w:t xml:space="preserve"> Bioenergy: Energy Derived from Biomass — https://doi.org/10.1007/978-3-032-09098-0_24</w:t>
      </w:r>
    </w:p>
    <w:p>
      <w:pPr/>
      <w:r>
        <w:rPr>
          <w:b/>
        </w:rPr>
        <w:t>Shared claim-specific concepts:</w:t>
      </w:r>
      <w:r>
        <w:t xml:space="preserve"> bioenergy, integrated, feedstock; EU scope not established. This is a provisional connection, not an outcome finding.</w:t>
      </w:r>
    </w:p>
    <w:p>
      <w:pPr>
        <w:pStyle w:val="SourceNote"/>
      </w:pPr>
      <w:r>
        <w:rPr>
          <w:b/>
        </w:rPr>
        <w:t>Available abstract (not full text):</w:t>
      </w:r>
      <w:r>
        <w:t xml:space="preserve"> Abstract Biomass can be converted into various forms of bioenergy using thermal, chemical or biological processes. This chapter provides an overview of the main bioenergy pathways: combustion, gasification, pyrolysis, hydrothermal liquefaction, anaerobic digestion, fermentation and transesterification. These result in heat and power generation or biofuels. All types of biomass can be used to produce bioenergy, but they require different processing pathways. From an ethical point of view, non-edible, mostly lignocellulosic or residual/waste biomass should be the preferred feedstock. Bioenergy production can also be integrated into biorefinery processes.</w:t>
      </w:r>
    </w:p>
    <w:p>
      <w:pPr/>
      <w:r>
        <w:rPr>
          <w:b/>
        </w:rPr>
        <w:t>POSSIBLE 2026:</w:t>
      </w:r>
      <w:r>
        <w:t xml:space="preserve"> Bio-Based Carbon Capture and Utilization Opportunities in Poland: A Preliminary Assessment — https://doi.org/10.3390/en19020355</w:t>
      </w:r>
    </w:p>
    <w:p>
      <w:pPr/>
      <w:r>
        <w:rPr>
          <w:b/>
        </w:rPr>
        <w:t>Shared claim-specific concepts:</w:t>
      </w:r>
      <w:r>
        <w:t xml:space="preserve"> bioenergy, mitigation, assessment, deployment; EU scope visible. This is a provisional connection, not an outcome finding.</w:t>
      </w:r>
    </w:p>
    <w:p>
      <w:pPr>
        <w:pStyle w:val="SourceNote"/>
      </w:pPr>
      <w:r>
        <w:rPr>
          <w:b/>
        </w:rPr>
        <w:t>Available abstract (not full text):</w:t>
      </w:r>
      <w:r>
        <w:t xml:space="preserve"> Carbon capture, utilization, and storage (CCUS) play an increasingly important role in climate mitigation strategies by addressing industrial emissions and enabling pathways toward net-negative emissions. A key challenge lies in determining the pathway of captured CO2, whether through permanent geological storage or conversion into value-added products to enhance system viability. As hard-to-abate sectors and the power industry remain major sources of emissions, a comprehensive assessment of the technical, environmental, and economic performance of CCUS pathways is essential. This study evaluates bioenergy with carbon capture and storage/utilization (BECCUS) in the context of the Polish energy sector. Techno-environmental performance was assessed across three pathways: CO2 storage in saline formations, CO2 mineralization, and methanol synthesis. The results show levelized costs of 59.9 EUR/tCO2,in for storage, 109.7 EUR/tCO2,in for mineralization, and 631.1 EUR/tCO2,in for methanol production. Corresponding carbon footprints (including full chain emissions) were −936.4 kgCO2-eq/tCO2,in for storage, −460.6 kgCO2-eq/tCO2,in in for mineralization, and 3963.4 kgCO2-eq/tCO2,in for methanol synthesis. These values highlight the trade-offs between economic viability and climate performance across utilization and storage options. The analysis underscores the potential of BECCS to deliv</w:t>
      </w:r>
    </w:p>
    <w:p>
      <w:pPr/>
      <w:r>
        <w:rPr>
          <w:b/>
        </w:rPr>
        <w:t>POSSIBLE 2026:</w:t>
      </w:r>
      <w:r>
        <w:t xml:space="preserve"> Sensitivity of global land-based mitigation potential to land-use scenarios and interactions across sectors — https://doi.org/10.1007/s10584-026-04220-6</w:t>
      </w:r>
    </w:p>
    <w:p>
      <w:pPr/>
      <w:r>
        <w:rPr>
          <w:b/>
        </w:rPr>
        <w:t>Shared claim-specific concepts:</w:t>
      </w:r>
      <w:r>
        <w:t xml:space="preserve"> bioenergy, mitigation, integrated; EU scope not established. This is a provisional connection, not an outcome finding.</w:t>
      </w:r>
    </w:p>
    <w:p>
      <w:pPr>
        <w:pStyle w:val="SourceNote"/>
      </w:pPr>
      <w:r>
        <w:rPr>
          <w:b/>
        </w:rPr>
        <w:t>Available abstract (not full text):</w:t>
      </w:r>
      <w:r>
        <w:t xml:space="preserve"> Abstract Land-based climate change mitigation can help limit global warming to well below 2°C but requires balancing with food production, nature conservation, and biomaterial supply. Previous studies identified major trade-offs between these but limited the analysis to fairly few dimensions of uncertainty. Using the SuCCESs model, we quantified global total and land-based mitigation potentials, sensitivities, and interactions between 2020 and 2100 across six key dimensions, resulting in 864 scenarios with different assumptions for drivers of land utilisation: emission pricing, diets, food distribution, conservation, biomaterial demand, and wildfire activity. Mitigation options included actions across land, energy, and material systems, spanning forestation, halting deforestation, adjusting forest rotation and residue management, shifting agricultural and forestry systems, and substituting fossil fuels with bioenergy or BECCS. Limiting warming to 1.5–2°C required the agriculture, forestry, and land-use (AFOLU) sector to contribute 500–1,700 GtCO₂e of mitigation and supply 100–140 EJ of bioenergy annually. Peak AFOLU mitigation occurred under globally vegan diets combined with emission pricing that incentivised afforestation of freed pastureland. Trade-offs between forestation and biomass production remained, with SuCCESs favouring afforestation over bioenergy. Biodiversity cons</w:t>
      </w:r>
    </w:p>
    <w:p>
      <w:pPr/>
      <w:r>
        <w:rPr>
          <w:b/>
        </w:rPr>
        <w:t>POSSIBLE 2026:</w:t>
      </w:r>
      <w:r>
        <w:t xml:space="preserve"> Negative emissions technologies and practices could challenge global resource supply and environmental limits — https://doi.org/10.1038/s43247-026-03348-8</w:t>
      </w:r>
    </w:p>
    <w:p>
      <w:pPr/>
      <w:r>
        <w:rPr>
          <w:b/>
        </w:rPr>
        <w:t>Shared claim-specific concepts:</w:t>
      </w:r>
      <w:r>
        <w:t xml:space="preserve"> bioenergy, assessment; EU scope not established. This is a provisional connection, not an outcome finding.</w:t>
      </w:r>
    </w:p>
    <w:p>
      <w:pPr>
        <w:pStyle w:val="SourceNote"/>
      </w:pPr>
      <w:r>
        <w:rPr>
          <w:b/>
        </w:rPr>
        <w:t>Available abstract (not full text):</w:t>
      </w:r>
      <w:r>
        <w:t xml:space="preserve"> Abstract Meeting climate goals will most likely require large-scale carbon dioxide removal, yet its sustainability implications remain poorly understood. Here, we conduct a prospective life cycle assessment of multiple negative emissions technologies and practices, integrating mineral resource, health, and absolute sustainability indicators to quantify impacts between 2030 and 2050. Our comprehensive analysis reveals previously overlooked bottlenecks: biochar and bioenergy with carbon capture and storage could sharply raise nutrient demand, further compromising food security, while direct air carbon capture and storage and ocean liming could critically exacerbate the mining levels of key mineral resources, despite their lower collateral damage. These findings will help guide the sustainable and safe expansion of the carbon dioxide removal industry by balancing multiple risks, thereby minimizing unintended environmental and resource-related consequences.</w:t>
      </w:r>
    </w:p>
    <w:p>
      <w:pPr/>
      <w:r>
        <w:rPr>
          <w:b/>
        </w:rPr>
        <w:t>POSSIBLE 2026:</w:t>
      </w:r>
      <w:r>
        <w:t xml:space="preserve"> Role of avoided emissions scheme and estimation of contributions of electric vehicles and heat pumps to reduction in global emissions — https://doi.org/10.1080/17583004.2026.2614424</w:t>
      </w:r>
    </w:p>
    <w:p>
      <w:pPr/>
      <w:r>
        <w:rPr>
          <w:b/>
        </w:rPr>
        <w:t>Shared claim-specific concepts:</w:t>
      </w:r>
      <w:r>
        <w:t xml:space="preserve"> gtco2; EU scope not established. This is a provisional connection, not an outcome finding.</w:t>
      </w:r>
    </w:p>
    <w:p>
      <w:pPr>
        <w:pStyle w:val="SourceNote"/>
      </w:pPr>
      <w:r>
        <w:rPr>
          <w:b/>
        </w:rPr>
        <w:t>Available abstract (not full text):</w:t>
      </w:r>
      <w:r>
        <w:t xml:space="preserve"> The Scope 3 emissions of the Greenhouse Gas Protocol are widely recognized globally, and it is important to understand the emissions from an entire value chain and to elucidate the opportunities for their reduction. The Scope 3 emissions increase in association with larger deployments of products, even those that have high energy efficiency. Therefore, measuring and estimating the “avoided emissions” that correspond to the difference between global emissions from that product usage and the baseline emissions is crucial in emission reduction activities. This study used an energy systems model to estimate the potential avoided emissions in two key end-use technologies: batteries and the hot water supply and space heating technologies of heat-pumps. The global avoided emissions by 2050 are expected to be approximately 12 and 4 GtCO2, respectively, for meeting the target of restricting air temperature rise to below 1.5 °C. The ex-post assessments on measuring the avoided emissions have issues regarding the definition of the baseline emissions, but the ex-ante assessments, estimated using the energy systems model, can convey clear definition of the baseline emissions and support emission reduction activities.</w:t>
      </w:r>
    </w:p>
    <w:p>
      <w:pPr/>
      <w:r>
        <w:rPr>
          <w:b/>
        </w:rPr>
        <w:t>POSSIBLE 2026:</w:t>
      </w:r>
      <w:r>
        <w:t xml:space="preserve"> High Voltage: Financing the Path to Zero Coal — https://doi.org/10.1080/14693062.2026.2675278</w:t>
      </w:r>
    </w:p>
    <w:p>
      <w:pPr/>
      <w:r>
        <w:rPr>
          <w:b/>
        </w:rPr>
        <w:t>Shared claim-specific concepts:</w:t>
      </w:r>
      <w:r>
        <w:t xml:space="preserve"> sectoral; EU scope visible. This is a provisional connection, not an outcome finding.</w:t>
      </w:r>
    </w:p>
    <w:p>
      <w:pPr>
        <w:pStyle w:val="SourceNote"/>
      </w:pPr>
      <w:r>
        <w:rPr>
          <w:b/>
        </w:rPr>
        <w:t>Available abstract (not full text):</w:t>
      </w:r>
      <w:r>
        <w:t xml:space="preserve"> The International Energy Agency's Net Zero Emissions by 2050 Scenario requires a complete phase-out of unabated coal for electricity generation by 2030 for high-income countries, by 2040 globally. If the existing fleet of coal-fired power plants were retired at the end of its life cycle and no new plants were built, global CO2 emissions would only drop by a quarter by 2040. It will be necessary to close 70% of the capacity of the operating global fleet to reach the Net Zero Emissions scenario sectoral target for coal, aligned with the 1.5 °C goal. However, in addition to the stranded asset cost of retiring coal plants, the transition is endangered by the high cost of replacing coal power through low-carbon energy which is driven up by high financing costs, particularly in developing countries. Using plant-level data from the Global Coal Plant Tracker and a prioritization score combining technical characteristics and country-level transition readiness, we estimate the costs of early coal retirement, low-carbon replacement, financing, and operational savings under International Energy Agency scenarios. This paper demonstrates that replacing coal-fired power generation capacity by equivalent low-carbon capacities (a mix of wind, solar, hydro and nuclear) to meet the Net Zero emissions scenario would cost $8.5tn, including financing costs of $2.8tn. Yet, we also show that an exit f</w:t>
      </w:r>
    </w:p>
    <w:p>
      <w:pPr/>
      <w:r>
        <w:rPr>
          <w:b/>
        </w:rPr>
        <w:t>POSSIBLE 2026:</w:t>
      </w:r>
      <w:r>
        <w:t xml:space="preserve"> Policy Instruments for Bioenergy Development: Review, Classification, and Systematic Analysis — https://doi.org/10.3390/en19051158</w:t>
      </w:r>
    </w:p>
    <w:p>
      <w:pPr/>
      <w:r>
        <w:rPr>
          <w:b/>
        </w:rPr>
        <w:t>Shared claim-specific concepts:</w:t>
      </w:r>
      <w:r>
        <w:t xml:space="preserve"> bioenergy, provide, needed, integrated, deployment; EU scope not established. This is a provisional connection, not an outcome finding.</w:t>
      </w:r>
    </w:p>
    <w:p>
      <w:pPr>
        <w:pStyle w:val="SourceNote"/>
      </w:pPr>
      <w:r>
        <w:rPr>
          <w:b/>
        </w:rPr>
        <w:t>Available abstract (not full text):</w:t>
      </w:r>
      <w:r>
        <w:t xml:space="preserve"> Bioenergy is a cornerstone of the global energy transition and is vital to achieving ambitious climate goals such as the IEA’s Net Zero Emissions by 2050 Roadmap and the Paris Agreement. However, its deployment is still limited by high capital costs and low cost-competitiveness. Numerous studies have examined policy measures to support bioenergy development, but a comprehensive review of these policies is needed to identify effective strategies. This study presents a systematic literature review that classifies and analyzes supportive policy instruments for bioenergy promotion, filling a key gap in earlier reviews. In doing so, we present a classification framework of the supporting policies and investigate their co-occurrence, modeling methodologies, and supply chain impacts across 156 peer-reviewed articles (2015–2025). The analysis reveals that price-based instruments are the most prevalent policy mechanisms, often combined with market-based approaches creating integrated support schemes. The review and its findings could provide a benchmark for policymakers and researchers seeking to design targeted, fiscally sustainable, and effective interventions to accelerate bioenergy transition.</w:t>
      </w:r>
    </w:p>
    <w:p>
      <w:pPr/>
      <w:r>
        <w:rPr>
          <w:b/>
        </w:rPr>
        <w:t>POSSIBLE 2025:</w:t>
      </w:r>
      <w:r>
        <w:t xml:space="preserve"> The biodiversity-climate-food nexus: Illustrating challenges and solutions using the Green Shoots framework — https://doi.org/10.1016/j.oneear.2025.101455</w:t>
      </w:r>
    </w:p>
    <w:p>
      <w:pPr/>
      <w:r>
        <w:rPr>
          <w:b/>
        </w:rPr>
        <w:t>Shared claim-specific concepts:</w:t>
      </w:r>
      <w:r>
        <w:t xml:space="preserve"> bioenergy, provide, needed, integrated; EU scope not established. This is a provisional connection, not an outcome finding.</w:t>
      </w:r>
    </w:p>
    <w:p>
      <w:pPr>
        <w:pStyle w:val="SourceNote"/>
      </w:pPr>
      <w:r>
        <w:rPr>
          <w:b/>
        </w:rPr>
        <w:t>Available abstract (not full text):</w:t>
      </w:r>
      <w:r>
        <w:t xml:space="preserve">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pPr>
        <w:pStyle w:val="Heading2"/>
      </w:pPr>
      <w:r>
        <w:t>622. Is clean energy contested? Exploring which issues matter to stakeholders in the European Green Deal</w:t>
      </w:r>
    </w:p>
    <w:p>
      <w:pPr>
        <w:pStyle w:val="SourceNote"/>
      </w:pPr>
      <w:r>
        <w:rPr>
          <w:b/>
        </w:rPr>
        <w:t>Original source (2021):</w:t>
      </w:r>
      <w:r>
        <w:t xml:space="preserve"> https://doi.org/10.1016/j.erss.2021.102083</w:t>
      </w:r>
    </w:p>
    <w:p>
      <w:pPr/>
      <w:r>
        <w:t>Original wording (abstract; indexed_source_text_not_full_document_verified): The European Green Deal aims at decarbonizing the European Union’s economies by 2050.</w:t>
      </w:r>
    </w:p>
    <w:p>
      <w:pPr/>
      <w:r>
        <w:rPr>
          <w:b/>
        </w:rPr>
        <w:t>POSSIBLE 2026:</w:t>
      </w:r>
      <w:r>
        <w:t xml:space="preserve"> The European Green Deal and its impact on the economy of the European Union — https://doi.org/10.53486/dri2026.50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European Green Deal is the European Union's central framework for linking climate action with longterm economic transformation. Introduced in 2019, it sets out to reshape the EU into a climate-neutral, resource-efficient, and more resilient economy by 2050. This paper examines how that agenda affects the EU economy, with particular attention to renewable energy, industry, agriculture, the circular economy, and pollution control (Fetting, 2020). The analysis uses academic studies together with official EU documents in order to interpret the economic changes associated with the Green Deal. The literature suggests that decarbonization depends heavily on cleaner energy systems and lower-emission production models, but also on substantial capital investment and institutional adjustment across multiple sectors .Overall, the Green Deal appears to create both economic promise and policy strain. It can stimulate innovation, support new employment opportunities, and strengthen competitiveness in emerging green industries, yet it also places pressure on traditional sectors, public budgets, energy prices, and labor-market adjustment processes.</w:t>
      </w:r>
    </w:p>
    <w:p>
      <w:pPr/>
      <w:r>
        <w:rPr>
          <w:b/>
        </w:rPr>
        <w:t>POSSIBLE 2026:</w:t>
      </w:r>
      <w:r>
        <w:t xml:space="preserve"> THE EUROPEAN GREEN DEAL AND ITS IMPLICATIONS TO THE EUROPEAN UNION COOPERATION WITH VIETNAM Case Study: The climate-responsive digital circular economy as a first priority area of action — https://doi.org/10.2139/ssrn.6689058</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The European Green Deal within the Scope of European Union Project Funds: The Role of Green Marketing and Green Advertising — https://doi.org/10.58830/ozgur.pub1165.c4874</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deepening of climate change and environmental sustainability challenges at the global level has necessitated a rethinking of economic growth models and the development of policy frameworks aligned with environmental objectives. In this context, environmental sustainability has evolved into a multidimensional field that requires not only environmental policies but also the comprehensive transformation of production, consumption, and market dynamics. One of the most comprehensive institutional responses to this transformation is the European Green Deal, announced by the European Union in 2019. The European Green Deal presents an integrated transformation vision that encompasses multiple policy areas most notably energy, industry, transport, and finance with the objective of achieving a climate-neutral economy by 2050. To support this process, European Union funding instruments such as Horizon Europe, the LIFE Programme, and the Innovation Fund aim to promote the development of low-carbon technologies and the dissemination of sustainable production models. The extent to which these policy and financing instruments developed under the Green Deal can generate tangible outcomes at the market and societal levels largely depends on the effectiveness of green marketing and green advertising practices. In this regard, green advertising plays a critical role by enabling the transparen</w:t>
      </w:r>
    </w:p>
    <w:p>
      <w:pPr/>
      <w:r>
        <w:rPr>
          <w:b/>
        </w:rPr>
        <w:t>POSSIBLE 2026:</w:t>
      </w:r>
      <w:r>
        <w:t xml:space="preserve"> THE ROLE OF THE GREEN ECONOMY IN REDUCING CARBON EMISSIONS AND THE CHALLENGE IN IMPLEMENTING THE EUROPEAN GREEN DEAL — https://doi.org/10.24818/cike2025.51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study examines the role of the green economy in reducing carbon emissions and assesses the challenges related to the implementation of the European Green Deal (EGD). The main objective of this research is to analyze how green economy policies can contribute to achieving the carbon reduction objectives in the European Union and to assess the main obstacles that limit the effectiveness of the implementation of the EGD. This research uses a methodology based on econometric analysis of secondary data, focusing on key variables that help to assess the impact of green policies on CO2 emissions. The results show that the green economy, through increased investment in renewable energy and the application of sustainable economic growth models, has a direct and positive impact on reducing carbon emissions. The transition to clean energy and the use of new technologies are two key factors in this regard, which are closely linked to the green growth policy and the objectives of the Green Deal. Despite this, the implementation of the EGD faces several challenges, including economic and political disparities between EU Member States, as well as the need for sustained financial support and stronger political commitment. In conclusion, this study shows that, although the green economy has great potential to support climate objectives, sustainable progress in implementing the Green Deal re</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The Effect of the European Green Deal on American Companies Exporting to the European Union — https://doi.org/10.5281/zenodo.19654788</w:t>
      </w:r>
    </w:p>
    <w:p>
      <w:pPr/>
      <w:r>
        <w:rPr>
          <w:b/>
        </w:rPr>
        <w:t>Shared claim-specific concepts:</w:t>
      </w:r>
      <w:r>
        <w:t xml:space="preserve"> green, deal, union, economies; EU scope visible. This is a provisional connection, not an outcome finding.</w:t>
      </w:r>
    </w:p>
    <w:p>
      <w:pPr>
        <w:pStyle w:val="SourceNote"/>
      </w:pPr>
      <w:r>
        <w:rPr>
          <w:b/>
        </w:rPr>
        <w:t>Available abstract (not full text):</w:t>
      </w:r>
      <w:r>
        <w:t xml:space="preserve"> This research examines the impact of the European Green Deal (EGD) on American companies exporting to the EU. The aim is to determine to what extent current European climate policies create trade barriers for U.S. exporters. The study combines literature research with quantitative data analysis, based on figures from Eurostat and United States International Trade Commission (USITC) DataWeb. Theoretically, it shows that the EGD could lead to higher costs and adjustment pressure for U.S. companies. This is especially applicable for high-emitting sectors. However, no clear impact is visible in the trade data yet, which can be explained by the early phase of implementation. The results indicate that structural consequences are likely to become visible in the medium to long term. This underlines the need for strategic preparation by U.S. companies. Also at the same time, it highlights the importance for the EU to implement its policies carefully and to avoid creating unintended protectionist effects. Keywords: European Green Deal, U.S. exports, Trade barriers, Sustainability REFERENCES Amendola, M. (2025). Winners and losers of the EU carbon border adjustment mechanism. An intra-EU issue?. Energy Economics, 142, 108139. Bacchus, J. (2022). Using the USMCA for climate action. Brookings Institution, USMCA Forward. Bardt, H., &amp; Kolev, G. V. (2021). Trade club for climate: A climate app</w:t>
      </w:r>
    </w:p>
    <w:p>
      <w:pPr/>
      <w:r>
        <w:rPr>
          <w:b/>
        </w:rPr>
        <w:t>POSSIBLE 2026:</w:t>
      </w:r>
      <w:r>
        <w:t xml:space="preserve"> The European Union, post-Cold War, and political economy — https://doi.org/10.4337/9781035336395.00020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chapter examines the evolution of the European Union (EU) as a distinctive model of regionalism within the post-Cold War political economy. It situates European integration amid globalization and regionalized governance, highlighting the EU's ordoliberal foundations and its gradual transformation. From the single market and monetary union to the euro crisis, it traces tensions between market liberalization and social cohesion. The 2008 financial crisis exposed the limits of the ordoliberal model, prompting successive crises that reshaped the EU's governance and legitimacy. In response, initiatives such as the European Green Deal, REPowerEU, and the Economic Security Strategy mark a turn toward “green developmentalism” and “geopolitical Europe,” emphasizing industrial policy, resilience, and strategic autonomy. Yet fiscal and political constraints hinder deeper transformation. The chapter portrays an EU redefining its role in a fragmented global order while confronting the challenges of deglobalization and multipolar rivalry.</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Climate Finance and Green Innovation in the European Union: Evidence from the European Green Deal — https://openalex.org/W7212091622</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In the context of the European Green Deal, this study investigates the relationship between climate finance and green technological innovation in European Union member states during the period 2014–2022. To this end, environmental protection expenditure is used as a proxy for climate finance, while environmental patent activity is adopted as a proxy for green technological innovation. The study also examines the role of GDP per capita and research and development (R&amp;D) expenditure in shaping environmental innovation across countries. A quantitative panel data approach is applied using a balanced dataset covering 25 EU member states over nine years. Fixed Effects and Random Effects regression models are estimated, and the Hausman specification test is used to determine the preferred empirical specification. The results from the robust Fixed Effects estimation indicate that environmental expenditure, GDP per capita, and R&amp;D expenditure do not produce statistically significant effects on environmental patent activity during the study period. The findings suggest that the relationship between climate-related expenditure and green technological innovation is complex and may depend on broader institutional, technological, and policy-related factors. The study contributes to the literature on climate finance, sustainability transition, and environmental innovation within the European </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r>
        <w:rPr>
          <w:b/>
        </w:rPr>
        <w:t>POSSIBLE 2025:</w:t>
      </w:r>
      <w:r>
        <w:t xml:space="preserve"> The CAP environmental and climate aims for EU’s countries vs. European Green Deal expectations — https://doi.org/10.34659/eis.2024.90.3.819</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As a result of the European Green Deal Strategy (EGD), each EU Member State was obliged to specify own effort and aims for agriculture in formal document, i.e. national Strategic Plan for the Common Agricultural Policy (CAP) 2023-2027. The basic reference in the creation of national documents was the specificity of the country’s agriculture, as well as the possibility to undertake ambitious measures to contribute to the goals described at the European level. The aim of this paper is to analyze the EU’s Member States commitments regarding environmental and climate agricultural objectives in the broader perspective of the European Green Deal ambitions. The approach applied in the study was based on research of literature and legal documents, the European and national statement comparisons, public statistics and European Commission data analysis, which enabled the authors to conduct current and comparative analyses. The research proved the EU’s countries’ diversified engagement in environment and climate protection. Presented results indicated that the countries’ involvement in the context of EGD objectives was recognised as insufficient.</w:t>
      </w:r>
    </w:p>
    <w:p>
      <w:pPr/>
      <w:r>
        <w:rPr>
          <w:b/>
        </w:rPr>
        <w:t>POSSIBLE 2025:</w:t>
      </w:r>
      <w:r>
        <w:t xml:space="preserve"> THE EUROPEAN GREEN DEAL AND THE JUST TRANSITION IN THE EUROPEAN UNION: AIMS AND SOCIAL ASPECTS OF THE “FIT FOR 55” PACKAGE — https://doi.org/10.53373/reds.2025.67.2.0203</w:t>
      </w:r>
    </w:p>
    <w:p>
      <w:pPr/>
      <w:r>
        <w:rPr>
          <w:b/>
        </w:rPr>
        <w:t>Shared claim-specific concepts:</w:t>
      </w:r>
      <w:r>
        <w:t xml:space="preserve"> green, deal, aims, union, economies; EU scope visible. This is a provisional connection, not an outcome finding.</w:t>
      </w:r>
    </w:p>
    <w:p>
      <w:pPr>
        <w:pStyle w:val="SourceNote"/>
      </w:pPr>
      <w:r>
        <w:rPr>
          <w:b/>
        </w:rPr>
        <w:t>Available abstract (not full text):</w:t>
      </w:r>
      <w:r>
        <w:t xml:space="preserve"> The “ecological transition” has constituted a priority on the political agenda of the first European Commission under the leadership of Ursula von der Leyen, who has worked assiduously from the very first days of her mandate to steer the social market economies of EU member states towards the ambitious goal of decoupling economic growth from emissions that contribute to climate change. It’s widely known that no more than ten days after taking office, the EU executive unveiled the European “Green Deal”, a pioneering strategic plan which aims to make Europe the first climate-neutral continent by 2050. The Green Deal, which points the way to the realisation of what has been described as a true “revolution”, has identified a dense set of legislative proposals, financial instruments, programmes and action plans. This contribution will focus in particular on the “Fit for 55” package presented by the European Commission in July 2021 to implement the commitment set out in European climate legislation to reduce greenhouse gas emissions by 55% by 2030 compared to 1990 emissions. The approval of a large part of the program’s measures by the Union’s colegislators makes it one of the first concrete implementations of the Green Deal and provides an initial opportunity to assess the progress of the EU-led environmental transition process in relation to the greenhouse gas emission reduction ta</w:t>
      </w:r>
    </w:p>
    <w:p>
      <w:pPr>
        <w:pStyle w:val="Heading2"/>
      </w:pPr>
      <w:r>
        <w:t>623. Legume dreams: The contested futures of sustainable plant-based food systems in Europe</w:t>
      </w:r>
    </w:p>
    <w:p>
      <w:pPr>
        <w:pStyle w:val="SourceNote"/>
      </w:pPr>
      <w:r>
        <w:rPr>
          <w:b/>
        </w:rPr>
        <w:t>Original source (2021):</w:t>
      </w:r>
      <w:r>
        <w:t xml:space="preserve"> https://doi.org/10.1016/j.gloenvcha.2021.102321</w:t>
      </w:r>
    </w:p>
    <w:p>
      <w:pPr/>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POSSIBLE 2026:</w:t>
      </w:r>
      <w:r>
        <w:t xml:space="preserve"> The European Food Supplement Project ‐Identification of emerging risks associated with food supplements, other than vitamins and minerals — https://doi.org/10.2903/sp.efsa.2026.en-10226</w:t>
      </w:r>
    </w:p>
    <w:p>
      <w:pPr/>
      <w:r>
        <w:rPr>
          <w:b/>
        </w:rPr>
        <w:t>Shared claim-specific concepts:</w:t>
      </w:r>
      <w:r>
        <w:t xml:space="preserve"> six, food, made, possible, consumption; EU scope visible. This is a provisional connection, not an outcome finding.</w:t>
      </w:r>
    </w:p>
    <w:p>
      <w:pPr>
        <w:pStyle w:val="SourceNote"/>
      </w:pPr>
      <w:r>
        <w:rPr>
          <w:b/>
        </w:rPr>
        <w:t>Available abstract (not full text):</w:t>
      </w:r>
      <w:r>
        <w:t xml:space="preserve"> Abstract In the frame of tailor‐made activities of EFSA focal points, a community of knowledge has been created to address possible emerging risks due to the consumption of food supplements other than vitamins and minerals (hereafter referred to as “food supplements”). The scope of this project is to gather information in order to facilitate the prioritisation of substances that are likely to be regulated under Article 8 of Regulation (EC) No 1925/2006. The project was divided into two work packages: The Vigilance work package aimed at collecting alerts to identify possible emerging risks from (nutri)vigilance/monitoring systems in Europe and other accessible sources, such as Toxinfo collections or signals from Poison centres; The Plant work package was focused on the identification on the market of food supplements containing plant‐based substances that are predicted to be toxic, as outlined in the EFSA Compendium on Botanicals. The Vigilance work package identified six ingredients that are possibly sources of emerging risks: Bifidobacterium, Coleus (Plectranthus barbatus), Guggul (Commiphora mukul), Toothed clubmoss (Huperzia serrata), Black radish (Raphanus sativus L.) and Ginseng (Panax ginseng). The Plant work package pointed out three substances of concern which are widely distributed in marketed plant‐containing supplements: furfural, emodin and chrysophanol. Future data</w:t>
      </w:r>
    </w:p>
    <w:p>
      <w:pPr/>
      <w:r>
        <w:rPr>
          <w:b/>
        </w:rPr>
        <w:t>POSSIBLE 2026:</w:t>
      </w:r>
      <w:r>
        <w:t xml:space="preserve"> Rethinking food logistics outsourcing: exploring the impact of structural changes in the European supply chain environment — https://doi.org/10.1080/13675567.2026.2654011</w:t>
      </w:r>
    </w:p>
    <w:p>
      <w:pPr/>
      <w:r>
        <w:rPr>
          <w:b/>
        </w:rPr>
        <w:t>Shared claim-specific concepts:</w:t>
      </w:r>
      <w:r>
        <w:t xml:space="preserve"> six, food, production; EU scope visible. This is a provisional connection, not an outcome finding.</w:t>
      </w:r>
    </w:p>
    <w:p>
      <w:pPr>
        <w:pStyle w:val="SourceNote"/>
      </w:pPr>
      <w:r>
        <w:rPr>
          <w:b/>
        </w:rPr>
        <w:t>Available abstract (not full text):</w:t>
      </w:r>
      <w:r>
        <w:t xml:space="preserve"> European food supply chains have seen structural changes regarding cost, energy, labour, and sustainability regulations. This has forced food processors to reassess the drivers of logistics outsourcing and rethink their strategies. In this exploratory multiple-case study, we investigated six large food processors that have extensive production and logistics facilities across Europe and conducted semi-structured interviews with their C-suite and high-level supply chain executives. Guided by the decision-making framework for food logistics outsourcing by Hsiao, Van der Vorst, et al. (2010), we analysed the interview data for key drivers behind the logistics outsourcing decisions. While confirming the relevance of traditional drivers examined in literature (e.g. control over operations and food quality, closeness to core business), we identified emerging drivers and propose an extended decision-making framework. Future empirical investigations are needed to test the theoretical perspectives of those new drivers. Managerial insights are provided for both food processors and logistics service providers.</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six, but, environmental;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Managing food waste in Q-commerce: insights from a European online retailer — https://doi.org/10.1108/bfj-10-2025-1366</w:t>
      </w:r>
    </w:p>
    <w:p>
      <w:pPr/>
      <w:r>
        <w:rPr>
          <w:b/>
        </w:rPr>
        <w:t>Shared claim-specific concepts:</w:t>
      </w:r>
      <w:r>
        <w:t xml:space="preserve"> six, food, but; EU scope visible. This is a provisional connection, not an outcome finding.</w:t>
      </w:r>
    </w:p>
    <w:p>
      <w:pPr>
        <w:pStyle w:val="SourceNote"/>
      </w:pPr>
      <w:r>
        <w:rPr>
          <w:b/>
        </w:rPr>
        <w:t>Available abstract (not full text):</w:t>
      </w:r>
      <w:r>
        <w:t xml:space="preserve"> Purpose This study investigates the drivers, organisational dynamics and management practices of food waste in a quick commerce (Q-commerce) retailer in Europe. It addresses the lack of empirical research on food waste in Q-commerce, a rapidly expanding but underexplored retail model. Design/methodology/approach A single-case study was conducted at Company Q, a Q-commerce operator in Europe. A mixed-methods approach combined secondary data on waste from five stores over six months with seven semi-structured interviews across Supply Chain, Category Management and Operations. Quantitative data were analysed descriptively, while qualitative data were thematically coded using ATLAS.ti. Findings Food waste was primarily driven by inaccurate forecasting, inadequate storage and handling, poor promotional planning and short shelf lives of perishables. These drivers were amplified by Q-commerce's fast-paced model. Additional barriers included key performance indicator (KPI) misalignment across departments and technological limitations. Current measures, namely, discounting, donations and limited cross-departmental coordination, were largely reactive, while employees identified opportunities in AI forecasting, automated discounting, supplier collaboration and KPI integration. Research limitations/implications Findings are based on a single case study. Future research should adopt a multi</w:t>
      </w:r>
    </w:p>
    <w:p>
      <w:pPr/>
      <w:r>
        <w:rPr>
          <w:b/>
        </w:rPr>
        <w:t>POSSIBLE 2026:</w:t>
      </w:r>
      <w:r>
        <w:t xml:space="preserve"> Governance of Agricultural Data Spaces in the European Union: Legal and Policy Implications for the Agri-Food Sector in Spain — https://doi.org/10.3390/agriculture16101117</w:t>
      </w:r>
    </w:p>
    <w:p>
      <w:pPr/>
      <w:r>
        <w:rPr>
          <w:b/>
        </w:rPr>
        <w:t>Shared claim-specific concepts:</w:t>
      </w:r>
      <w:r>
        <w:t xml:space="preserve"> identifies, six, use, but; EU scope visible. This is a provisional connection, not an outcome finding.</w:t>
      </w:r>
    </w:p>
    <w:p>
      <w:pPr>
        <w:pStyle w:val="SourceNote"/>
      </w:pPr>
      <w:r>
        <w:rPr>
          <w:b/>
        </w:rPr>
        <w:t>Available abstract (not full text):</w:t>
      </w:r>
      <w:r>
        <w:t xml:space="preserve"> The rapid digitalisation of the agri-food sector has generated unprecedented volumes of farm and value chain data, but also highly fragmented data ecosystems and asymmetric power relations between farmers, technology providers, and public authorities. In response, the European Union has developed a comprehensive data governance architecture—including the Data Governance Act, the Data Act, the GDPR and the EU Code of Conduct on Agricultural Data Sharing—and is building a Common European Agricultural Data Space (CEADS). This article examines that governance framework and explores its implications for the agri-food sector in Spain. Through a qualitative legal policy review, we map the regulatory landscape, analyse five major European and Spanish initiatives (CEADS/AgriDataSpace, AgData, Agdatahub, RegenAg-X, and DADS), and use Spain as a national case study. A multi-level actor model (meta-governance, data originators, transformation intermediaries, and data users) structures the comparative analysis. On this basis, six design principles for responsible agri-food data spaces are identified: clarity of use cases, inclusive multi-stakeholder governance, data life cycle mapping, privacy and sovereignty by design, a fair economic model, and regulatory compliance as a trust factor. The article identifies open research questions on anonymisation of georeferenced data, data sovereignty, </w:t>
      </w:r>
    </w:p>
    <w:p>
      <w:pPr/>
      <w:r>
        <w:rPr>
          <w:b/>
        </w:rPr>
        <w:t>POSSIBLE 2026:</w:t>
      </w:r>
      <w:r>
        <w:t xml:space="preserve"> Comparative analysis of digital ecosystems for agri-food sector governance in Russia and the European Union — https://doi.org/10.31442/0235-2494-2026-0-2-10-17</w:t>
      </w:r>
    </w:p>
    <w:p>
      <w:pPr/>
      <w:r>
        <w:rPr>
          <w:b/>
        </w:rPr>
        <w:t>Shared claim-specific concepts:</w:t>
      </w:r>
      <w:r>
        <w:t xml:space="preserve"> six, food, production, but; EU scope visible. This is a provisional connection, not an outcome finding.</w:t>
      </w:r>
    </w:p>
    <w:p>
      <w:pPr>
        <w:pStyle w:val="SourceNote"/>
      </w:pPr>
      <w:r>
        <w:rPr>
          <w:b/>
        </w:rPr>
        <w:t>Available abstract (not full text):</w:t>
      </w:r>
      <w:r>
        <w:t xml:space="preserve"> The relevance of this study is driven by increasing demands for food system sustainability, the increasing role of data in climate and resource policy, and the need to reduce the administrative burden on producers by standardizing accounting and reporting frameworks. The aim of this article is to identify institutional and architectural differences between digital ecosystems for managing the agro-industrial complex in Russia and the European Union, assess their management effectiveness, and formulate principles for converging platform models. The research methods include comparative institutional analysis, a functional decomposition of digital services along the «regulation-support-monitoring-production decisions» chain, content analysis of regulatory and policy documents and public materials from operators, and the construction of an ecosystem maturity assessment matrix across six dimensions: data management, interoperability, service completeness, transaction cost reduction, risk management, and user engagement. The scientific novelty lies in the proposal of a dual-loop model of «compliance platform + production ecosystem,» which allows for a comparable assessment of centralized (Russian) and federated-network (European) logics, as well as the development of an index of the management maturity of digital ecosystems for agricultural management. The results show that the Russia</w:t>
      </w:r>
    </w:p>
    <w:p>
      <w:pPr/>
      <w:r>
        <w:rPr>
          <w:b/>
        </w:rPr>
        <w:t>POSSIBLE 2025:</w:t>
      </w:r>
      <w:r>
        <w:t xml:space="preserve"> European consumers' involvement with date labels and implications for household food waste — https://doi.org/10.1016/j.foodqual.2025.105522</w:t>
      </w:r>
    </w:p>
    <w:p>
      <w:pPr/>
      <w:r>
        <w:rPr>
          <w:b/>
        </w:rPr>
        <w:t>Shared claim-specific concepts:</w:t>
      </w:r>
      <w:r>
        <w:t xml:space="preserve"> identifies, six, food, use, but; EU scope visible. This is a provisional connection, not an outcome finding.</w:t>
      </w:r>
    </w:p>
    <w:p>
      <w:pPr>
        <w:pStyle w:val="SourceNote"/>
      </w:pPr>
      <w:r>
        <w:rPr>
          <w:b/>
        </w:rPr>
        <w:t>Available abstract (not full text):</w:t>
      </w:r>
      <w:r>
        <w:t xml:space="preserve">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pPr/>
      <w:r>
        <w:rPr>
          <w:b/>
        </w:rPr>
        <w:t>POSSIBLE 2025:</w:t>
      </w:r>
      <w:r>
        <w:t xml:space="preserve"> Emerging Trends in Active Packaging for Food: A Six-Year Review — https://doi.org/10.3390/foods14152713</w:t>
      </w:r>
    </w:p>
    <w:p>
      <w:pPr/>
      <w:r>
        <w:rPr>
          <w:b/>
        </w:rPr>
        <w:t>Shared claim-specific concepts:</w:t>
      </w:r>
      <w:r>
        <w:t xml:space="preserve"> food, use, various; EU scope not established. This is a provisional connection, not an outcome finding.</w:t>
      </w:r>
    </w:p>
    <w:p>
      <w:pPr>
        <w:pStyle w:val="SourceNote"/>
      </w:pPr>
      <w:r>
        <w:rPr>
          <w:b/>
        </w:rPr>
        <w:t>Available abstract (not full text):</w:t>
      </w:r>
      <w:r>
        <w:t xml:space="preserve"> The development of active food packaging has evolved rapidly in recent years, offering innovative solutions to enhance food preservation and safety while addressing sustainability challenges. This review compiles and analyzes recent advancements (2019-2024) in release-type active packaging, focusing on essential oils, natural extracts, and phenolic compounds as active agents. Primarily plant-derived, these compounds exhibit significant antioxidant and antimicrobial activities, extending shelf life and enhancing food quality. Technological strategies such as encapsulation and polymer blending have been increasingly adopted to overcome challenges related to volatility, solubility, and sensory impact. Integrating bio-based polymers, including chitosan, starch, and polylactic acid, further supports the development of environmentally friendly packaging systems. This review also highlights trends in compound-specific research, release mechanisms, and commercial applications, including a detailed analysis of patents and case studies across various food matrices. These developments have already been translated into practical applications, such as antimicrobial sachets for meat and essential oil-based pads for fresh produce. Moreover, by promoting the valorization of agro-industrial by-products and the use of biodegradable materials, emission-type active packaging contributes to the pri</w:t>
      </w:r>
    </w:p>
    <w:p>
      <w:pPr/>
      <w:r>
        <w:rPr>
          <w:b/>
        </w:rPr>
        <w:t>POSSIBLE 2025:</w:t>
      </w:r>
      <w:r>
        <w:t xml:space="preserve"> Advancing the Science of Avoidant/Restrictive Food Intake Disorder ( ARFID ): Six Key Questions — https://doi.org/10.1002/eat.24418</w:t>
      </w:r>
    </w:p>
    <w:p>
      <w:pPr/>
      <w:r>
        <w:rPr>
          <w:b/>
        </w:rPr>
        <w:t>Shared claim-specific concepts:</w:t>
      </w:r>
      <w:r>
        <w:t xml:space="preserve"> six, food, contexts; EU scope visible. This is a provisional connection, not an outcome finding.</w:t>
      </w:r>
    </w:p>
    <w:p>
      <w:pPr>
        <w:pStyle w:val="SourceNote"/>
      </w:pPr>
      <w:r>
        <w:rPr>
          <w:b/>
        </w:rPr>
        <w:t>Available abstract (not full text):</w:t>
      </w:r>
      <w:r>
        <w:t xml:space="preserve"> Avoidant/restrictive food intake disorder (ARFID) has rapidly emerged as a substantial focus of research and clinical attention since its introduction in the Diagnostic and Statistical Manual of Mental Disorders-Fifth Edition (DSM-5). This special issue brings together over 30 articles that answer six of the field's most compelling current research questions about ARFID. Specifically, key contributions explore: (1) whether the diagnostic criteria for ARFID should be revised; (2) how well our current self-report measures assess ARFID symptoms; (3) candidate psychological mechanisms that may maintain ARFID symptoms; (4) whether common medical comorbidities may provide clues to etiology; (5) how close we are to identifying evidence-based treatments; and (6) how cultural context may shape ARFID phenotypic presentation. A critical gap remains in understanding ARFID across diverse cultural contexts, with most research still centered in North America and Europe. Expanding global research and refining transdiagnostic and personalized treatment approaches-including combining existing interventions into a comprehensive model of stepped or adaptive care-will be essential next steps in the field. In sum, this issue reflects the rapid evolution of ARFID research and lays the groundwork for future advancements in diagnosis, treatment, and intervention.</w:t>
      </w:r>
    </w:p>
    <w:p>
      <w:pPr/>
      <w:r>
        <w:rPr>
          <w:b/>
        </w:rPr>
        <w:t>POSSIBLE 2025:</w:t>
      </w:r>
      <w:r>
        <w:t xml:space="preserve"> Using Dimensionality Reduction Methods to Explore the Social, Cultural and Geographical Reasons Behind Food Waste in the European Union — https://doi.org/10.3390/su17209315</w:t>
      </w:r>
    </w:p>
    <w:p>
      <w:pPr/>
      <w:r>
        <w:rPr>
          <w:b/>
        </w:rPr>
        <w:t>Shared claim-specific concepts:</w:t>
      </w:r>
      <w:r>
        <w:t xml:space="preserve"> identifies, six, food, environmental; EU scope visible. This is a provisional connection, not an outcome finding.</w:t>
      </w:r>
    </w:p>
    <w:p>
      <w:pPr>
        <w:pStyle w:val="SourceNote"/>
      </w:pPr>
      <w:r>
        <w:rPr>
          <w:b/>
        </w:rPr>
        <w:t>Available abstract (not full text):</w:t>
      </w:r>
      <w:r>
        <w:t xml:space="preserve"> The paper investigates disparities in food waste generation across European Union countries between 2020 and 2022, focusing on spatial and sustainability dimensions. It utilizes data for six key food waste parameters and a broad range of environmental, social and economic indicators. A combination of statistical methods, including correlation analysis, cluster analysis and Principal Component Analysis, uncovers multivariate patterns and identifies groups of countries with similar food waste characteristics and related factors. The paper highlights the temporal and spatial dynamics of food waste over the three-year period, particularly in light of the COVID-19 pandemic. While the total volume of food waste remained relatively stable across the EU, notable shifts occurred in waste sources. Household food waste peaked in 2021, likely due to increased time spent at home during pandemic-related lockdowns. Conversely, waste from retail, restaurants and food service sectors showed a consistent increase. The paper identifies non-trivial correlations between food waste and socio-economic variables, suggesting that differences in food waste generation across EU countries are influenced by a complex interplay of factors, including policy effectiveness, cultural practices, consumer behaviour and economic conditions. This comprehensive analysis of food waste patterns across EU countries and</w:t>
      </w:r>
    </w:p>
    <w:p>
      <w:pPr/>
      <w:r>
        <w:rPr>
          <w:b/>
        </w:rPr>
        <w:t>POSSIBLE 2025:</w:t>
      </w:r>
      <w:r>
        <w:t xml:space="preserve"> Phylogenetics, evolution and biogeography of four Digitaria food crop lineages across West Africa, India, and Europe — https://doi.org/10.1101/2025.03.27.645812</w:t>
      </w:r>
    </w:p>
    <w:p>
      <w:pPr/>
      <w:r>
        <w:rPr>
          <w:b/>
        </w:rPr>
        <w:t>Shared claim-specific concepts:</w:t>
      </w:r>
      <w:r>
        <w:t xml:space="preserve"> food, use, but, loss; EU scope visible. This is a provisional connection, not an outcome finding.</w:t>
      </w:r>
    </w:p>
    <w:p>
      <w:pPr>
        <w:pStyle w:val="SourceNote"/>
      </w:pPr>
      <w:r>
        <w:rPr>
          <w:b/>
        </w:rPr>
        <w:t>Available abstract (not full text):</w:t>
      </w:r>
      <w:r>
        <w:t xml:space="preserve"> Abstract Background and Aims Millet crops in the grass genus Digitaria include white and black fonio ( D. exilis and D. iburua ), raishan ( D. compacta ) and Polish millet ( D. sanguinalis ), cultivated across West Africa, India, and Europe. Fonio and raishan crops are important to supporting food security and subsistence agricultural systems in rural communities, while D. sanguinalis is no longer cultivated. These crops are resilient to challenging climates. We aim to produce an integrated study of these crops: a phylogeny of the Digitaria genus including all four food species, to identify key crop wild relatives (CWRs); time-calibrated biogeographic analysis, to investigate the history and evolution of Digitaria ; and morphological study to assess the transition between wild and domesticated species. Methods We use the Angiosperm 353 target-enrichment sequencing approach to produce maximum likelihood and coalescent model nuclear phylogenies for 46 Digitaria species, including ploidy estimations, and bayesian methods to propose an evolutionary and biogeographic history for the genus. Morphology of wild and cultivated species is investigated for spikelets and growth habits using microscopy and SEM imaging techniques. Key Results Four distinct lineages are proposed for the evolution of Digitaria crops, and close CWRs D. fuscescens , D. atrofusca , D. setigera and D. radicosa , a</w:t>
      </w:r>
    </w:p>
    <w:p>
      <w:pPr/>
      <w:r>
        <w:rPr>
          <w:b/>
        </w:rPr>
        <w:t>POSSIBLE 2025:</w:t>
      </w:r>
      <w:r>
        <w:t xml:space="preserve"> Identifying the safe operating space for food systems — https://doi.org/10.1038/s43016-025-01252-6</w:t>
      </w:r>
    </w:p>
    <w:p>
      <w:pPr/>
      <w:r>
        <w:rPr>
          <w:b/>
        </w:rPr>
        <w:t>Shared claim-specific concepts:</w:t>
      </w:r>
      <w:r>
        <w:t xml:space="preserve"> food, use, environmental, agriculture, biodiversity, greenhouse; EU scope not established. This is a provisional connection, not an outcome finding.</w:t>
      </w:r>
    </w:p>
    <w:p>
      <w:pPr>
        <w:pStyle w:val="SourceNote"/>
      </w:pPr>
      <w:r>
        <w:rPr>
          <w:b/>
        </w:rPr>
        <w:t>Available abstract (not full text):</w:t>
      </w:r>
      <w:r>
        <w:t xml:space="preserve"> Global environmental pressures from food systems threaten biodiversity and the stability of the Earth system, yet the safe operating space for food systems is unknown. Here we calculate food system boundaries as shares of planetary boundaries, proposing budgets for the food system across nine boundaries. Our results indicate that food systems are a critical driver of planetary boundary transgressions, dominating at least four transgressed boundaries (that is, biosphere integrity, land system change, freshwater change and biogeochemical flows) while strongly contributing to the transgression of two more (that is, climate change and novel entities). Moreover, global food systems are currently beyond all nine food system boundaries; moving to the safe operating space requires reducing related greenhouse gas emissions substantially, halting the conversion of intact nature to agriculture, redistributing fertilizer inputs, limiting pesticide and antibiotic use, and preserving critical freshwater flows without negatively affecting yields.</w:t>
      </w:r>
    </w:p>
    <w:p>
      <w:pPr>
        <w:pStyle w:val="Heading2"/>
      </w:pPr>
      <w:r>
        <w:t>624. Long‐term trends of Nordic power market: A review</w:t>
      </w:r>
    </w:p>
    <w:p>
      <w:pPr>
        <w:pStyle w:val="SourceNote"/>
      </w:pPr>
      <w:r>
        <w:rPr>
          <w:b/>
        </w:rPr>
        <w:t>Original source (2021):</w:t>
      </w:r>
      <w:r>
        <w:t xml:space="preserve"> https://doi.org/10.1002/wene.413</w:t>
      </w:r>
    </w:p>
    <w:p>
      <w:pPr/>
      <w:r>
        <w:t>Original wording (abstract; indexed_source_text_not_full_document_verified):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POSSIBLE 2026:</w:t>
      </w:r>
      <w:r>
        <w:t xml:space="preserve"> Oblique Impact Response of a Silicone-Rubber-Supported Steel Plate: Analytical Scaling, Explicit Finite Element Assessment, and Energy Transfer Mechanisms — https://doi.org/10.51584/ijrias.2026.11080192</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Oblique impacts are common in protective structures, mechanical stops, compliant mounts, and vibration-isolation systems; nevertheless, the influence of impact angle is often evaluated by reducing the prescribed speed rather than by resolving a constant resultant velocity into normal and tangential components. This practice confounds the physical effect of angle with a change in impact energy. The present study reformulates the response of a steel plate supported by a silicone-rubber element and struck by a rigid spherical impactor at 0°, 30°, 45°, and 60°, where the angle is measured from the plate normal. A reduced-order momentum–energy model is derived for a perfectly inelastic normal collision. The model predicts that the post-impact normal velocity, maximum support compression, and peak support force scale with cos(θ), while the energy transferred to the support scales with cos2(θ). A preliminary two-dimensional Abaqus/Explicit model is then assessed using the archived computational results. The reported peak plate displacement decreased from 148.34 mm at 0° to 36.88 mm at 60°, while the peak von Mises stress decreased from 5.398 to 3.81 MPa. The numerical displacement decreased more rapidly than the analytical cos(θ) prediction, demonstrating that a single-degree-of-freedom model cannot represent contact redistribution, tangential slip, plate flexibility, and the nonlinea</w:t>
      </w:r>
    </w:p>
    <w:p>
      <w:pPr/>
      <w:r>
        <w:rPr>
          <w:b/>
        </w:rPr>
        <w:t>POSSIBLE 2026:</w:t>
      </w:r>
      <w:r>
        <w:t xml:space="preserve"> bw_timex: A Python Package for Time-Explicit Life Cycle Assessment — https://doi.org/10.21105/joss.09621</w:t>
      </w:r>
    </w:p>
    <w:p>
      <w:pPr/>
      <w:r>
        <w:rPr>
          <w:b/>
        </w:rPr>
        <w:t>Shared claim-specific concepts:</w:t>
      </w:r>
      <w:r>
        <w:t xml:space="preserve"> impacts, technologies; EU scope not established. This is a provisional connection, not an outcome finding.</w:t>
      </w:r>
    </w:p>
    <w:p>
      <w:pPr>
        <w:pStyle w:val="SourceNote"/>
      </w:pPr>
      <w:r>
        <w:rPr>
          <w:b/>
        </w:rPr>
        <w:t>Available abstract (not full text):</w:t>
      </w:r>
      <w:r>
        <w:t xml:space="preserve"> bw_timex is a Python package for time-explicit Life Cycle Assessment (LCA).Unlike conventional LCA, time-explicit LCA allows the quantification of environmental impacts of products and processes over time, considering their temporal distribution and evolution.As such, bw_timex enables simultaneously accounting for:• the timing of processes throughout the supply chain (e.g., end-of-life treatment occurs 20 years after production), • variable and/or evolving supply chains and technologies (e.g., increasing shares of renewable electricity or higher process efficiencies in the future), and • the timing of emissions (enabling dynamic characterization).To achieve this, bw_timex uses graph traversal to convolve process-relative temporal distributions through the supply chain.From the resulting timeline of technosphere exchanges, Life Cycle Inventories (LCIs) are automatically linked across time-specific background databases.The resulting time-explicit LCI reflects the current technology status within the product system at the actual time of each process.Moreover, bw_timex preserves the timing of emissions, enabling both dynamic and static Life Cycle Impact Assessment.</w:t>
      </w:r>
    </w:p>
    <w:p>
      <w:pPr/>
      <w:r>
        <w:rPr>
          <w:b/>
        </w:rPr>
        <w:t>POSSIBLE 2026:</w:t>
      </w:r>
      <w:r>
        <w:t xml:space="preserve"> HTA and Ethical Impact Assessment―Preliminary Perspectives — https://doi.org/10.1007/978-3-032-28812-7_14</w:t>
      </w:r>
    </w:p>
    <w:p>
      <w:pPr/>
      <w:r>
        <w:rPr>
          <w:b/>
        </w:rPr>
        <w:t>Shared claim-specific concepts:</w:t>
      </w:r>
      <w:r>
        <w:t xml:space="preserve"> explicit, assessments, technologies, values; EU scope not established. This is a provisional connection, not an outcome finding.</w:t>
      </w:r>
    </w:p>
    <w:p>
      <w:pPr>
        <w:pStyle w:val="SourceNote"/>
      </w:pPr>
      <w:r>
        <w:rPr>
          <w:b/>
        </w:rPr>
        <w:t>Available abstract (not full text):</w:t>
      </w:r>
      <w:r>
        <w:t xml:space="preserve"> Abstract Health technology assessment (HTA) is defined as a multidisciplinary process the explicit methods of which determine the value of products and systems throughout the entire lifecycle. Equity, efficiency, and high-quality reflect ethical, legal, and socio-economic values and norms. Subcategories of assessments steer the discussion towards general and AI ethics. AI-driven technologies present a whole new context where facts and values challenge communities of stakeholders. Ethical impact assessment as a study scenario leads the reader to a impact framework. A case of the sleep apnea digital care pathway by Pohde is backed up by the principles of digi-HTA. The positivist way of describing a process of ethical impact assessment is of a suggestive nature. Policies, practices, processes, and products and services are in the center of ethical HTA impact assessment. Hopefully the essay will nourish future discussions on the subject-matter.</w:t>
      </w:r>
    </w:p>
    <w:p>
      <w:pPr/>
      <w:r>
        <w:rPr>
          <w:b/>
        </w:rPr>
        <w:t>POSSIBLE 2026:</w:t>
      </w:r>
      <w:r>
        <w:t xml:space="preserve"> Product Change Impact Assessment &amp; Decision Readiness — https://doi.org/10.5281/zenodo.22235247</w:t>
      </w:r>
    </w:p>
    <w:p>
      <w:pPr/>
      <w:r>
        <w:rPr>
          <w:b/>
        </w:rPr>
        <w:t>Shared claim-specific concepts:</w:t>
      </w:r>
      <w:r>
        <w:t xml:space="preserve"> explicit, assessments, impacts, decision; EU scope not established. This is a provisional connection, not an outcome finding.</w:t>
      </w:r>
    </w:p>
    <w:p>
      <w:pPr>
        <w:pStyle w:val="SourceNote"/>
      </w:pPr>
      <w:r>
        <w:rPr>
          <w:b/>
        </w:rPr>
        <w:t>Available abstract (not full text):</w:t>
      </w:r>
      <w:r>
        <w:t xml:space="preserve"> Public-safe, synthetic PLM Business Architecture reference case showing how a bounded engineering product-change problem can be translated into explicit business, information and decision semantics, deterministic readiness and routing rules, a controlled executable proof boundary, independent scenario verification and reproducible technical evidence. The architecture is the primary deliverable. The executable demonstrator is used to test whether the frozen architectural meaning can execute deterministically without semantic shortcuts. The v0.1.0 release includes a six-artefact frozen architecture authority chain, an Architecture Traceability and Assurance Pack, deterministic Scenarios A–C, committed verification evidence, a one-page executive brief, three canonical architecture diagrams, an editable ten-slide presentation, demonstration and interview walkthrough material, and independent architecture/reproducibility review records. The reference case demonstrates explicit separation of current state, Assessment Baseline, proposed-state overlay, discovered impacts, Assessments, Evidence, Decision Scope, Authorisation Eligibility, authority sufficiency and terminal Decision. This release does not claim company-specific PLM process fidelity, enterprise PLM completeness, production readiness, general arbitrary-graph impact discovery, automated engineering judgement or automated ter</w:t>
      </w:r>
    </w:p>
    <w:p>
      <w:pPr/>
      <w:r>
        <w:rPr>
          <w:b/>
        </w:rPr>
        <w:t>POSSIBLE 2026:</w:t>
      </w:r>
      <w:r>
        <w:t xml:space="preserve"> Matrix Approaches for Cumulative Impact Assessments in Decision-Making — https://doi.org/10.1177/19394071251413002</w:t>
      </w:r>
    </w:p>
    <w:p>
      <w:pPr/>
      <w:r>
        <w:rPr>
          <w:b/>
        </w:rPr>
        <w:t>Shared claim-specific concepts:</w:t>
      </w:r>
      <w:r>
        <w:t xml:space="preserve"> explicit, assessments, impacts; EU scope not established. This is a provisional connection, not an outcome finding.</w:t>
      </w:r>
    </w:p>
    <w:p>
      <w:pPr>
        <w:pStyle w:val="SourceNote"/>
      </w:pPr>
      <w:r>
        <w:rPr>
          <w:b/>
        </w:rPr>
        <w:t>Available abstract (not full text):</w:t>
      </w:r>
      <w:r>
        <w:t xml:space="preserve"> This article discusses matrix approaches for cumulative impact assessments in decision-making. Matrix approaches are described and contrasted with the more traditional, single-scoring methods, such as CalEnviroScreen and the Centers for Disease Control and Prevention's Environmental Justice Index. In doing so, the explicit advantages of matrix approaches are highlighted. In addition, this article explains how new generation tools, such as the the White House Council on Environmental Quality’s Climate and Economic Justice Screening Tool and New Jersey’s Environmental Justice Mapping, Assessment, and Protection tool are examples of matrix approaches and how these tools can be expanded beyond their current uses in order to address other decision-making contexts where cumulative impacts are a concern.</w:t>
      </w:r>
    </w:p>
    <w:p>
      <w:pPr/>
      <w:r>
        <w:rPr>
          <w:b/>
        </w:rPr>
        <w:t>POSSIBLE 2026:</w:t>
      </w:r>
      <w:r>
        <w:t xml:space="preserve"> Using Impact Assessment in Research Priority Setting: Developments at ICRISAT — https://doi.org/10.22004/ag.econ.413523</w:t>
      </w:r>
    </w:p>
    <w:p>
      <w:pPr/>
      <w:r>
        <w:rPr>
          <w:b/>
        </w:rPr>
        <w:t>Shared claim-specific concepts:</w:t>
      </w:r>
      <w:r>
        <w:t xml:space="preserve"> explicit, assessments, emerging, decision, making; EU scope not established. This is a provisional connection, not an outcome finding.</w:t>
      </w:r>
    </w:p>
    <w:p>
      <w:pPr>
        <w:pStyle w:val="SourceNote"/>
      </w:pPr>
      <w:r>
        <w:rPr>
          <w:b/>
        </w:rPr>
        <w:t>Available abstract (not full text):</w:t>
      </w:r>
      <w:r>
        <w:t xml:space="preserve"> This paper describes the ICRISAT framework for research evaluation and impact assessment (REIA) developed to support its requirements for research decision making. Linkages between impact assessment and priority setting are presented in the context of the Institute’s experience in using its emerging extensive data set on impact in validating and realigning its future research priorities. The impact studies indicate high returns to past investments in the Institute. In the process of documenting ex post impact using both primary and secondary data, it is possible to derive insights that can help better inform ex ante priority assessments. New research opportunities may be identified from information on farmers’ perceptions of binding constraints and desirable traits or management practices. Farm-level estimates as well as research documentation of key evaluation parameters - rate of adoption, adoption ceilings, research/adoption lags - indicate differences between ex ante estimates and ex post realizations. A reassessment of commodity priorities is clearly required to ensure that there are valid grounds for deviations from accumulated experience to date and that these are explicitly factored into subsequent ex ante priority assessments, along with considerations of current stock of knowledge, advances in science and changes in policy and infrastructure. Harmonization of research</w:t>
      </w:r>
    </w:p>
    <w:p>
      <w:pPr/>
      <w:r>
        <w:rPr>
          <w:b/>
        </w:rPr>
        <w:t>POSSIBLE 2026:</w:t>
      </w:r>
      <w:r>
        <w:t xml:space="preserve"> Biodiversity and climate impact assessment of a national transportation system — https://doi.org/10.5281/zenodo.21105322</w:t>
      </w:r>
    </w:p>
    <w:p>
      <w:pPr/>
      <w:r>
        <w:rPr>
          <w:b/>
        </w:rPr>
        <w:t>Shared claim-specific concepts:</w:t>
      </w:r>
      <w:r>
        <w:t xml:space="preserve"> explicit, impacts, values; EU scope not established. This is a provisional connection, not an outcome finding.</w:t>
      </w:r>
    </w:p>
    <w:p>
      <w:pPr>
        <w:pStyle w:val="SourceNote"/>
      </w:pPr>
      <w:r>
        <w:rPr>
          <w:b/>
        </w:rPr>
        <w:t>Available abstract (not full text):</w:t>
      </w:r>
      <w:r>
        <w:t xml:space="preserve"> This repository includes supplementary material for a paper by Leppilampi, V., Kotiaho, J.S, Baumeister, S., Järvinen, E &amp; El Geneidy, S. (2026). "Global biodiversity impact spillovers of national transportation systems" (Preprint). In the paper (Leppilampi et al., 2026) the biodiversity and carbon impacts of the Finnish transportation system were assessed by applying the BIOVALENT method (El Geneidy et al., 2026). LC-IMPACT (Verones et al., 2020) and ecoivent database were used for assessing the environmental impacts. R-code used for generating the impact factors is available in Zenodo (restricted access, please contact Venla Leppilampi for code requests): Peura, M., &amp; Leppilampi, V. A. (2026). Research dataset for creating impact factors for the biodiversity and climate impact assessment method BIOVALENT (1.0) [Data set]. Zenodo. https://doi.org/10.5281/zenodo.21035721 The data is not at the moment peer-reviewed. Unit The biodiversity impact of transportation system activities is measured as Biodiversity equivalent, BDe. It is based on the potentially disappeared fraction of species (PDF). BDe represents the spatially explicit potential global loss of species across terrestrial, freshwater and marine ecosystems. BDe values range from 0 to 1, where 0 indicates no risk of extinction and 1 indicates that the share of global species in the risk of extinction is 100 %. The climate</w:t>
      </w:r>
    </w:p>
    <w:p>
      <w:pPr/>
      <w:r>
        <w:rPr>
          <w:b/>
        </w:rPr>
        <w:t>POSSIBLE 2026:</w:t>
      </w:r>
      <w:r>
        <w:t xml:space="preserve"> Informal Spaces, Formal Needs: Exploring EFL Students’ Practices, Social Comparison, and Challenges in Academic Self-Assessment Through Social Media — https://doi.org/10.36348/sjet.2026.v11i07.003</w:t>
      </w:r>
    </w:p>
    <w:p>
      <w:pPr/>
      <w:r>
        <w:rPr>
          <w:b/>
        </w:rPr>
        <w:t>Shared claim-specific concepts:</w:t>
      </w:r>
      <w:r>
        <w:t xml:space="preserve"> emerging, increased; EU scope not established. This is a provisional connection, not an outcome finding.</w:t>
      </w:r>
    </w:p>
    <w:p>
      <w:pPr>
        <w:pStyle w:val="SourceNote"/>
      </w:pPr>
      <w:r>
        <w:rPr>
          <w:b/>
        </w:rPr>
        <w:t>Available abstract (not full text):</w:t>
      </w:r>
      <w:r>
        <w:t xml:space="preserve"> Social media has become deeply integrated into students’ daily lives, extending beyond social use into informal academic practices, including self-assessment. This study examines how EFL students at a university use social media to assess their own academic abilities, the extent to which they engage in academic social comparison through these platforms, and the difficulties they encounter in doing so. A mixed-methods approach was employed, using an online questionnaire comprising closed and open-ended questions administered to 133 students. Quantitative findings revealed that the majority of students used social media for academic self-assessment on a frequent basis, with YouTube and WhatsApp emerging as the most commonly used platforms. While social comparison was a common practice among students, it was not strongly associated with increased motivation or academic confidence. Qualitative findings further revealed that students primarily used social media for comprehension checks, language practice, and peer feedback, while also reporting challenges related to distraction, unreliable information, and negative social comparison. These findings suggest that social media functions as an informal, self-directed space for academic self-assessment, one that offers meaningful opportunities for reflection and feedback but also carries risks that may undermine effective learning if lef</w:t>
      </w:r>
    </w:p>
    <w:p>
      <w:pPr/>
      <w:r>
        <w:rPr>
          <w:b/>
        </w:rPr>
        <w:t>POSSIBLE 2026:</w:t>
      </w:r>
      <w:r>
        <w:t xml:space="preserve"> Exploring sensitive topics in assessment research through vignette-based interviewing — https://doi.org/10.1186/s12909-026-09891-4</w:t>
      </w:r>
    </w:p>
    <w:p>
      <w:pPr/>
      <w:r>
        <w:rPr>
          <w:b/>
        </w:rPr>
        <w:t>Shared claim-specific concepts:</w:t>
      </w:r>
      <w:r>
        <w:t xml:space="preserve"> topics, add, power; EU scope not established. This is a provisional connection, not an outcome finding.</w:t>
      </w:r>
    </w:p>
    <w:p>
      <w:pPr>
        <w:pStyle w:val="SourceNote"/>
      </w:pPr>
      <w:r>
        <w:rPr>
          <w:b/>
        </w:rPr>
        <w:t>Available abstract (not full text):</w:t>
      </w:r>
      <w:r>
        <w:t xml:space="preserve"> BACKGROUND: Assessment research often involves working with sensitive data, that can mean potential reputation risks to individuals and institutions. Additionally, eliciting emotionally charged personal experiences while protecting the psychological safety of participants can be challenging. While vignettes are increasingly being used in medical education and public health research to elicit data through the presentation of ethical dilemmas, their application to explore sensitive topics, particularly in assessment and more specifically Objective Structured Clinical Examination (OSCE) research, is new. Our research questions were: How can vignette-based interviewing be systematically developed and validated to explore sensitive topics such as test-wiseness in OSCEs? (2) What methodological and ethical value does this data elicitation approach offer for generating insights into this topic? METHODS: Using a five phases model, we have outlined our process of construction, validation, methodological alignment, and deployment of vignettes. We highlight the integration of vignettes with semi-structured interview method and the need for ongoing feedback, reflection and adaptation of vignettes. We undertook thirteen vignette-based interviews with a diverse range of participants, including medical students, graduate doctors, educators with experience in designing, assessing, and running </w:t>
      </w:r>
    </w:p>
    <w:p>
      <w:pPr/>
      <w:r>
        <w:rPr>
          <w:b/>
        </w:rPr>
        <w:t>POSSIBLE 2026:</w:t>
      </w:r>
      <w:r>
        <w:t xml:space="preserve"> Time‑explicit life cycle assessment of a lyocell dress using bw_timex with biogenic carbon accounting — https://doi.org/10.1007/s11367-026-02616-1</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Abstract Purpose Temporal issues and biogenic carbon remain important considerations in the life cycle assessment (LCA) of bio-based products. Tracking carbon fluxes over time adds valuable information on their climate impact. This study incorporates biogenic carbon to evaluate the climate impact of a wood-based textile product using the bw_timex tool, which operationalizes the application of a time-explicit LCA framework. This framework supports dynamic inventory modeling (DIM), dynamic impact assessment (DIA), and technological projections via prospective databases. Methods Three approaches were applied: Case 1 integrates DIM, DIA, technological projections, and dynamic biogenic carbon accounting. Case 2 is identical to Case 1 but excludes technological projections. Case 3 lacks dynamic elements and technological projections, while relying on static biogenic carbon accounting. A cradle-to-grave system for a lyocell dress and its underlying inventory was developed using secondary data. Annual biogenic carbon fluxes were estimated using the CARBINE forest model. The functional unit (FU) was wearing the dress 500 times. The Brightway LCA framework was used for inventory modeling and impact assessment, covering three metrics: global warming potential over 100 years (GWP100), dynamic LCA, and radiative forcing (RF). Prospective SSP2-Base databases 2025–2040 were generated using th</w:t>
      </w:r>
    </w:p>
    <w:p>
      <w:pPr/>
      <w:r>
        <w:rPr>
          <w:b/>
        </w:rPr>
        <w:t>POSSIBLE 2026:</w:t>
      </w:r>
      <w:r>
        <w:t xml:space="preserve"> Outcome- and Impact-Based Professional Assessment Frameworks — https://doi.org/10.17605/osf.io/r3uyq</w:t>
      </w:r>
    </w:p>
    <w:p>
      <w:pPr/>
      <w:r>
        <w:rPr>
          <w:b/>
        </w:rPr>
        <w:t>Shared claim-specific concepts:</w:t>
      </w:r>
      <w:r>
        <w:t xml:space="preserve"> impacts, indicators, values, power; EU scope not established. This is a provisional connection, not an outcome finding.</w:t>
      </w:r>
    </w:p>
    <w:p>
      <w:pPr>
        <w:pStyle w:val="SourceNote"/>
      </w:pPr>
      <w:r>
        <w:rPr>
          <w:b/>
        </w:rPr>
        <w:t>Available abstract (not full text):</w:t>
      </w:r>
      <w:r>
        <w:t xml:space="preserve"> The increasing demand for accountability, transparency, and social relevance in professional practice has intensified the limitations of traditional assessment models, a challenge critically addressed by Yoesoep Edhie Rachmad (YER) in this work. Conventional assessment systems have predominantly emphasized inputs, processes, or isolated competencies, often neglecting the broader outcomes and long-term impacts of professional actions. Yoesoep Edhie Rachmad (YER) argues that such approaches are no longer sufficient in an era where professional legitimacy is increasingly measured by tangible results and societal value creation. This study by Yoesoep Edhie Rachmad (YER) introduces an outcome- and impact-based assessment framework that redefines professional evaluation as a multidimensional and temporally extended process. Outcomes are conceptualized as immediate and intermediate results of professional practice, while impact refers to sustained, systemic, and societal-level changes generated over time. By distinguishing and relationally integrating these dimensions, Yoesoep Edhie Rachmad (YER) offers a framework capable of capturing both short-term effectiveness and long-term significance. The proposed framework developed by Yoesoep Edhie Rachmad (YER) integrates quantitative indicators, qualitative evidence, and contextual interpretation into a coherent assessment architecture. Ra</w:t>
      </w:r>
    </w:p>
    <w:p>
      <w:pPr/>
      <w:r>
        <w:rPr>
          <w:b/>
        </w:rPr>
        <w:t>POSSIBLE 2026:</w:t>
      </w:r>
      <w:r>
        <w:t xml:space="preserve"> Recognizing Mental Health Impacts in Climate Change Assessments — https://doi.org/10.5194/egusphere-egu26-19663</w:t>
      </w:r>
    </w:p>
    <w:p>
      <w:pPr/>
      <w:r>
        <w:rPr>
          <w:b/>
        </w:rPr>
        <w:t>Shared claim-specific concepts:</w:t>
      </w:r>
      <w:r>
        <w:t xml:space="preserve"> assessments, impacts, increased; EU scope not established. This is a provisional connection, not an outcome finding.</w:t>
      </w:r>
    </w:p>
    <w:p>
      <w:pPr>
        <w:pStyle w:val="SourceNote"/>
      </w:pPr>
      <w:r>
        <w:rPr>
          <w:b/>
        </w:rPr>
        <w:t>Available abstract (not full text):</w:t>
      </w:r>
      <w:r>
        <w:t xml:space="preserve"> Climate change affects mental health in various ways, now increasingly documented across health, social science, and environmental research, yet these impacts remain largely absent from climate assessments used to inform integrated transformation pathways. Empirical studies associate climate-related stressors, such as extreme heat, floods, food insecurity, displacement, and environmental degradation, with adverse mental health outcomes, including anxiety, depression, psychological distress, increased psychiatric hospitalizations, and elevated suicide risk. Evidence also suggests that relatively small increases in temperature, on the order of 1 °C, can negatively affect cognitive performance, decision-making, and emotional regulation, with implications for productivity, learning, and social functioning.These impacts are unevenly distributed and often more pronounced in rural and peri-urban settings, where climate-sensitive livelihoods, environmental stress, and limited access to mental health services intersect. Certain groups face heightened vulnerability, including individuals with pre-existing mental health conditions, whose symptoms may intensify under repeated climate stress, and pregnant individuals, for whom climate-related stress can affect prenatal mental health with potential long-term consequences for child development. In contexts where health systems are already und</w:t>
      </w:r>
    </w:p>
    <w:p>
      <w:pPr>
        <w:pStyle w:val="Heading2"/>
      </w:pPr>
      <w:r>
        <w:t>625. Macro Study of Global Electric Vehicle Expansion</w:t>
      </w:r>
    </w:p>
    <w:p>
      <w:pPr>
        <w:pStyle w:val="SourceNote"/>
      </w:pPr>
      <w:r>
        <w:rPr>
          <w:b/>
        </w:rPr>
        <w:t>Original source (2021):</w:t>
      </w:r>
      <w:r>
        <w:t xml:space="preserve"> https://doi.org/10.17323/2500-2597.2021.1.67.73</w:t>
      </w:r>
    </w:p>
    <w:p>
      <w:pPr/>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POSSIBLE 2026:</w:t>
      </w:r>
      <w:r>
        <w:t xml:space="preserve"> A BIBLIOMETRIC-ASSISTED LITERATURE REVIEW AND PROPOSED CONCEPTUAL FRAMEWORK OF CONSUMER BEV ADOPTION — https://doi.org/10.5281/zenodo.21900162</w:t>
      </w:r>
    </w:p>
    <w:p>
      <w:pPr/>
      <w:r>
        <w:rPr>
          <w:b/>
        </w:rPr>
        <w:t>Shared claim-specific concepts:</w:t>
      </w:r>
      <w:r>
        <w:t xml:space="preserve"> adoption, bevs, bev; EU scope not established. This is a provisional connection, not an outcome finding.</w:t>
      </w:r>
    </w:p>
    <w:p>
      <w:pPr>
        <w:pStyle w:val="SourceNote"/>
      </w:pPr>
      <w:r>
        <w:rPr>
          <w:b/>
        </w:rPr>
        <w:t>Available abstract (not full text):</w:t>
      </w:r>
      <w:r>
        <w:t xml:space="preserve">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pPr/>
      <w:r>
        <w:rPr>
          <w:b/>
        </w:rPr>
        <w:t>POSSIBLE 2026:</w:t>
      </w:r>
      <w:r>
        <w:t xml:space="preserve"> Remaining Capacity of LFP and NMC Batteries—Extensive Analysis of Commercially Available BEV Models in European Union — https://doi.org/10.3390/app16157756</w:t>
      </w:r>
    </w:p>
    <w:p>
      <w:pPr/>
      <w:r>
        <w:rPr>
          <w:b/>
        </w:rPr>
        <w:t>Shared claim-specific concepts:</w:t>
      </w:r>
      <w:r>
        <w:t xml:space="preserve"> bevs, bev; EU scope visible. This is a provisional connection, not an outcome finding.</w:t>
      </w:r>
    </w:p>
    <w:p>
      <w:pPr>
        <w:pStyle w:val="SourceNote"/>
      </w:pPr>
      <w:r>
        <w:rPr>
          <w:b/>
        </w:rPr>
        <w:t>Available abstract (not full text):</w:t>
      </w:r>
      <w:r>
        <w:t xml:space="preserve">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pPr/>
      <w:r>
        <w:rPr>
          <w:b/>
        </w:rPr>
        <w:t>POSSIBLE 2026:</w:t>
      </w:r>
      <w:r>
        <w:t xml:space="preserve"> Analysis of travel activity patterns and charging choices of BEV users in Japan — https://doi.org/10.1007/s11116-026-10787-x</w:t>
      </w:r>
    </w:p>
    <w:p>
      <w:pPr/>
      <w:r>
        <w:rPr>
          <w:b/>
        </w:rPr>
        <w:t>Shared claim-specific concepts:</w:t>
      </w:r>
      <w:r>
        <w:t xml:space="preserve"> suggest, bev, estimated, charging; EU scope not established. This is a provisional connection, not an outcome finding.</w:t>
      </w:r>
    </w:p>
    <w:p>
      <w:pPr>
        <w:pStyle w:val="SourceNote"/>
      </w:pPr>
      <w:r>
        <w:rPr>
          <w:b/>
        </w:rPr>
        <w:t>Available abstract (not full text):</w:t>
      </w:r>
      <w:r>
        <w:t xml:space="preserve">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adoption, countries;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adoption, bevs;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Environmentally Driven Optimization of Residential BEV Charging Using Time-Varying Power Grid CO₂ Emission Factors — https://doi.org/10.13044/j.sdsen.d3.0684</w:t>
      </w:r>
    </w:p>
    <w:p>
      <w:pPr/>
      <w:r>
        <w:rPr>
          <w:b/>
        </w:rPr>
        <w:t>Shared claim-specific concepts:</w:t>
      </w:r>
      <w:r>
        <w:t xml:space="preserve"> adoption, bev, charging; EU scope not established. This is a provisional connection, not an outcome finding.</w:t>
      </w:r>
    </w:p>
    <w:p>
      <w:pPr>
        <w:pStyle w:val="SourceNote"/>
      </w:pPr>
      <w:r>
        <w:rPr>
          <w:b/>
        </w:rPr>
        <w:t>Available abstract (not full text):</w:t>
      </w:r>
      <w:r>
        <w:t xml:space="preserve"> The widespread adoption of battery electric vehicles is widely recognized as a key strategy for reducing emissions in the transport sector. However, the environmental benefits of electric mobility strongly depend on the temporal variability of the electricity generation mix and its associated emission intensity. This study investigates the potential of optimizing vehicle charging schedules based on time-varying carbon dioxide emissions factor, rather than grid-oriented criteria, to further reduce the indirect emissions linked to the operation of electric vehicle charging. To this end, an environmentally driven charging optimisation algorithm is developed, explicitly accounting for both the hourly variability of grid emission factors, derived from processing historical real Italian electricity production data, and the air temperature-dependent energy consumption of the BEV. The proposed framework is applied to a representative residential charging scenario, assuming overnight charging. Within this predefined charging window, the optmisation algorithm allocates the required charging energy over time so as to minimise the total carbon dioxide emissions. Results show that emission-aware charging strategies can reduce annual carbon dioxide emissions by approximately 5–6% compared to conventional uncontrolled charging, while ensuring that the vehicle is always fully charged and ready</w:t>
      </w:r>
    </w:p>
    <w:p>
      <w:pPr/>
      <w:r>
        <w:rPr>
          <w:b/>
        </w:rPr>
        <w:t>POSSIBLE 2026:</w:t>
      </w:r>
      <w:r>
        <w:t xml:space="preserve"> Understanding motivations for agroforestry maintenance and adoption: a comparative analysis in Europe — https://doi.org/10.1186/s40100-026-00506-6</w:t>
      </w:r>
    </w:p>
    <w:p>
      <w:pPr/>
      <w:r>
        <w:rPr>
          <w:b/>
        </w:rPr>
        <w:t>Shared claim-specific concepts:</w:t>
      </w:r>
      <w:r>
        <w:t xml:space="preserve"> adoption, estimated, countries; EU scope visible. This is a provisional connection, not an outcome finding.</w:t>
      </w:r>
    </w:p>
    <w:p>
      <w:pPr>
        <w:pStyle w:val="SourceNote"/>
      </w:pPr>
      <w:r>
        <w:rPr>
          <w:b/>
        </w:rPr>
        <w:t>Available abstract (not full text):</w:t>
      </w:r>
      <w:r>
        <w:t xml:space="preserve"> Abstract The transition to Agroforestry (AF) marks a pivotal shift from traditional agricultural practices towards more integrated, sustainable, and diversified farming systems. However, this transition is complex and poses several challenges requiring the cultivation of diverse species alongside crops, demanding careful management and knowledge of forestry and agricultural practices. This study aims to identify distinct farmer categories based on their stated intentions to maintain or adopt agroforestry practices. Then, the effect of sociodemographic, structural and economic factors on the probability of maintaining or adopting AF practices has been analysed among farmers of 4 European countries. Information was gathered through an online questionnaire from a sample of 376 European farms across five countries: Germany, Italy, Greece and Serbia. A multiple correspondence analysis (MCA) has been carried out to classify farmers into ‘active’ and ‘passive’ adopters as well as into ‘conditional-non adopters’ and ‘resistant non-adopters’ categories, by taking into account four future policy scenarios for 2030. Then, the determinants of AF maintenance or adoption were estimated using a multinomial logit model (MNL). Results show that both farm and farmer characteristics affect the probability of belonging to a specific category. Moreover, differences among countries have emerged. The</w:t>
      </w:r>
    </w:p>
    <w:p>
      <w:pPr/>
      <w:r>
        <w:rPr>
          <w:b/>
        </w:rPr>
        <w:t>POSSIBLE 2026:</w:t>
      </w:r>
      <w:r>
        <w:t xml:space="preserve"> EXTENDING THE HOT-FIT MODEL WITH INFORMATION LITERACY TO EXPLAIN AI ADOPTION IN HIGH SCHOOLS — https://doi.org/10.33480/jitk.v11i4.7270</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Artificial Intelligence (AI) is increasingly transforming educational practices by enabling more adaptive and personalized learning experiences in secondary schools. Nevertheless, previous applications of the Human–Organization–Technology Fit (HOT-Fit) model have given limited attention to the roles of information literacy and trust in influencing AI adoption. To address this gap, the present study expands the HOT-Fit framework by incorporating three additional constructs: information literacy, perceived validity, and perceived trust, in order to better explain AI readiness and adoption in educational settings. A quantitative approach was employed involving 316 senior high school students from Kuningan Regency, Indonesia. Data were gathered using a structured questionnaire based on a five-point Likert scale and analyzed through Partial Least Squares Structural Equation Modeling (PLS-SEM) with SmartPLS v3.0 to evaluate 29 proposed hypotheses. The findings revealed that 21 hypotheses were statistically supported. Information literacy demonstrated a strong positive effect on perceived trust (β = 0.708; p &lt; 0.001), as well as on system use, organizational structure, environmental support, and user satisfaction. In addition, system quality significantly contributed to user satisfaction, whereas service quality affected both system use and satisfaction. Among all relationships, net b</w:t>
      </w:r>
    </w:p>
    <w:p>
      <w:pPr/>
      <w:r>
        <w:rPr>
          <w:b/>
        </w:rPr>
        <w:t>POSSIBLE 2026:</w:t>
      </w:r>
      <w:r>
        <w:t xml:space="preserve"> Instructional performance benefits and adoption of learning management systems using task-technology fit theory — https://doi.org/10.11591/edulearn.v20i4.24451</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The COVID-19 pandemic propelled the virtualization of traditional classrooms in higher education, prompting institutions to adopt or develop learning management systems (LMS) to sustain academic functions. Although considerable research focused on commercial LMS platforms, the performance and adoption of in-house systems remain underexplored, particularly in resource-constrained settings. In response, this study examined the deployment of Camarines Sur Polytechnic Colleges’ (CSPC) in-house LMS, the CSPC-Learning Online Space (CSPC-LeOnS), specifically, to determine its adoption rate, evaluate the influence of task-technology fit (TTF), and LMS adoption on instructional performance benefits (PB), and generate recommendations for system improvement and information and communications technology (ICT) policy. Implementing a multimethod approach, partial least squares-structural equation modeling (PLS-SEM) analyzed the quantitative survey data from 60 faculty members and thematic analysis to explore qualitative insights. The findings revealed a low adoption rate (0%-33%), except for the College of Computer Studies (88%). The structural model uncovered the strong influence of TTF on PB (β=0.765); however, it revealed a weak positive correlation between LMS adoption and PB (β=0.230). This suggests that while adoption is significant, alignment between system features and instructional </w:t>
      </w:r>
    </w:p>
    <w:p>
      <w:pPr/>
      <w:r>
        <w:rPr>
          <w:b/>
        </w:rPr>
        <w:t>POSSIBLE 2026:</w:t>
      </w:r>
      <w:r>
        <w:t xml:space="preserve"> Costs and parameters of BEV electrification: a comprehensive review of battery system innovations, vehicle-level integration, and energy system synergies — https://doi.org/10.1038/s44406-026-00044-6</w:t>
      </w:r>
    </w:p>
    <w:p>
      <w:pPr/>
      <w:r>
        <w:rPr>
          <w:b/>
        </w:rPr>
        <w:t>Shared claim-specific concepts:</w:t>
      </w:r>
      <w:r>
        <w:t xml:space="preserve"> bevs, bev; EU scope not established. This is a provisional connection, not an outcome finding.</w:t>
      </w:r>
    </w:p>
    <w:p>
      <w:pPr>
        <w:pStyle w:val="SourceNote"/>
      </w:pPr>
      <w:r>
        <w:rPr>
          <w:b/>
        </w:rPr>
        <w:t>Available abstract (not full text):</w:t>
      </w:r>
      <w:r>
        <w:t xml:space="preserve"> Abstract Battery electric vehicles (BEVs) are crucial for decarbonizing transportation, with their market penetration depending on cost structures and innovative technologies. This review analyzes key cost and performance parameters along the vertical integration axis of BEV electrification, from battery cells to energy system integration. It highlights innovative battery technologies, advanced pack integration, vehicle cost structures, and energy system synergies, offering researchers and manufacturers guidance for technology selection and holistic system integration.</w:t>
      </w:r>
    </w:p>
    <w:p>
      <w:pPr/>
      <w:r>
        <w:rPr>
          <w:b/>
        </w:rPr>
        <w:t>POSSIBLE 2026:</w:t>
      </w:r>
      <w:r>
        <w:t xml:space="preserve"> Fiscal and regulatory incentives for electric vehicle adoption in Polish micro-enterprises: economic analysis and policy recommendations — https://doi.org/10.22306/al.v13i1.712</w:t>
      </w:r>
    </w:p>
    <w:p>
      <w:pPr/>
      <w:r>
        <w:rPr>
          <w:b/>
        </w:rPr>
        <w:t>Shared claim-specific concepts:</w:t>
      </w:r>
      <w:r>
        <w:t xml:space="preserve"> adoption, bevs, bev, charging, stations; EU scope visible. This is a provisional connection, not an outcome finding.</w:t>
      </w:r>
    </w:p>
    <w:p>
      <w:pPr>
        <w:pStyle w:val="SourceNote"/>
      </w:pPr>
      <w:r>
        <w:rPr>
          <w:b/>
        </w:rPr>
        <w:t>Available abstract (not full text):</w:t>
      </w:r>
      <w:r>
        <w:t xml:space="preserve"> Microenterprises constitute the dominant group of companies in Poland, but rarely adopt electric vehicles (BEVs) due to high purchase costs, limited range, underdeveloped charging infrastructure, and the typical short-term investment horizons of microenterprises. This study aims to analyze microenterprises' opinions on BEVs in Malopolskie voivodship and to evaluate the effectiveness of incentives. A CAWI survey of 307 respondents (90% confidence, 10% margin of error) tested the hypothesis that BEVs would become more popular among microenterprises if there were more incentives for their purchase (even though according to respondents, BEVs are suited to city-center access (where combustion engines are banned) or serve as second cars for long trips, given their lower versatility and longer charging times). Results of the survey show that 84.4% of journeys are below 300 km (BEV range), but 65-78% of respondents provide the following barriers to BEV adoption: high price, range anxiety, insufficient charging stations, and long charging times. According to the survey, the following are significant incentives to buy BEVs: subsidies up to PLN 40,000 (8.5%), free city parking, and free city access to low-emission zones. The survey also showed that 20.5% of respondents planned to buy passenger BEVs, and 7.5% planned to buy delivery BEVs.</w:t>
      </w:r>
    </w:p>
    <w:p>
      <w:pPr/>
      <w:r>
        <w:rPr>
          <w:b/>
        </w:rPr>
        <w:t>POSSIBLE 2026:</w:t>
      </w:r>
      <w:r>
        <w:t xml:space="preserve"> Forecasting Technology Adoption in Uncertain and Dynamic Markets: A Market Coverage Diffusion Approach — https://doi.org/10.1002/asmb.70131</w:t>
      </w:r>
    </w:p>
    <w:p>
      <w:pPr/>
      <w:r>
        <w:rPr>
          <w:b/>
        </w:rPr>
        <w:t>Shared claim-specific concepts:</w:t>
      </w:r>
      <w:r>
        <w:t xml:space="preserve"> adoption, bevs, fit; EU scope not established. This is a provisional connection, not an outcome finding.</w:t>
      </w:r>
    </w:p>
    <w:p>
      <w:pPr>
        <w:pStyle w:val="SourceNote"/>
      </w:pPr>
      <w:r>
        <w:rPr>
          <w:b/>
        </w:rPr>
        <w:t>Available abstract (not full text):</w:t>
      </w:r>
      <w:r>
        <w:t xml:space="preserve"> ABSTRACT How innovations spread in a fast‐changing and uncertain market is vital for accurate forecasting and planning. This study introduces a generalized diffusion framework that incorporates evolving market coverage along with dynamic market and market uncertainty. A random variable is used to represent market uncertainty, while three coverage functions, exponential, delayed, and logistic are used to capture different patterns of market growth. The models are evaluated on two different data sets: quarterly sales of battery electric vehicles (BEVs) and quarterly sales of Apple iPhones. The performance of the proposed models is compared to that of some benchmark diffusion models using various error and information‐based measures. The results indicate that the proposed models outperform the existing ones. Among the proposed models, the model with the logistic coverage provides the best fit for both data sets as it can capture the early growth and later stabilization more effectively. The study also highlights the differences in adoption patterns for infrastructure‐driven technologies, such as BEVs, and fast‐moving consumer products, like smartphones.</w:t>
      </w:r>
    </w:p>
    <w:p>
      <w:pPr>
        <w:pStyle w:val="Heading2"/>
      </w:pPr>
      <w:r>
        <w:t>626. Modelling the European Union Sustainability Transition: A Soft-Linking Approach</w:t>
      </w:r>
    </w:p>
    <w:p>
      <w:pPr>
        <w:pStyle w:val="SourceNote"/>
      </w:pPr>
      <w:r>
        <w:rPr>
          <w:b/>
        </w:rPr>
        <w:t>Original source (2021):</w:t>
      </w:r>
      <w:r>
        <w:t xml:space="preserve"> https://doi.org/10.3390/su13116303</w:t>
      </w:r>
    </w:p>
    <w:p>
      <w:pPr/>
      <w:r>
        <w:t>Original wording (abstract; indexed_source_text_not_full_document_verified):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POSSIBLE 2026:</w:t>
      </w:r>
      <w:r>
        <w:t xml:space="preserve"> The European Green Deal (EGD) in the public opinion – assessment of awareness of environmental pollution and threats to health and life — https://doi.org/10.34659/eis.2026.97.2.1157</w:t>
      </w:r>
    </w:p>
    <w:p>
      <w:pPr/>
      <w:r>
        <w:rPr>
          <w:b/>
        </w:rPr>
        <w:t>Shared claim-specific concepts:</w:t>
      </w:r>
      <w:r>
        <w:t xml:space="preserve"> green, deal, egd, improving, main; EU scope visible. This is a provisional connection, not an outcome finding.</w:t>
      </w:r>
    </w:p>
    <w:p>
      <w:pPr>
        <w:pStyle w:val="SourceNote"/>
      </w:pPr>
      <w:r>
        <w:rPr>
          <w:b/>
        </w:rPr>
        <w:t>Available abstract (not full text):</w:t>
      </w:r>
      <w:r>
        <w:t xml:space="preserve"> The main objective of this study is to assess the level of public awareness of environmental threats and their perceived impact on the health and lives of citizens, in the context of implementing the European Green Deal (EGD). The study focuses on analyzing the opinions of users of information on environmental pollution, its health effects, and the perceived opportunities and barriers related to implementing the EGD. Specific objectives include: (1) identifying public opinions on selected diseases related to environmental degradation; (2) assessing the perceived benefits and risks of implementing the EGD; and (3) analyzing the relationship between demographic characteristics and the level of acceptance for pro-environmental activities. The study is based on a survey method using a questionnaire, supplemented by a literature review. Descriptive and bivariate statistics were used to examine the significance of relationships between variables. The results indicate that respondents perceive a link between environmental pollution and diseases such as asthma, cancer, and lung disease. EGD is seen as an opportunity to improve environmental quality and public health, although implementation barriers such as cost, lack of public acceptance, and excessive regulation are also identified. This study contributes to our understanding of the role of public perception as a factor in the effect</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egd, strategy, union, approach;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egd, decarbonisation,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The European Green Deal and Dissensus over Liberal Democracy — https://doi.org/10.1007/978-3-032-22481-1_29</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Abstract In this chapter, we evaluate how the effects of a growing dissensus towards liberal democracy in Europe spill over into climate action and sustainability governance under the European Green Deal (EGD). To do this, we first take stock of the climate policy achievements of the von der Leyen I Commission, in which the EGD was unveiled. Secondly, we explore the effects of dissensus on climate policy across the EU’s institutions—including the Parliament, Council, and Commission—as well as in international fora. We find that climate action appears to be less of a political priority for the EU’s executive and legislative branches in the 2024–2029 term than the preceding term. This is a result of shifting electoral results, geopolitical realities, and instances of green backlash. We conclude by highlighting the need to broaden democracy through civil society engagement and youth movements in order to both restore citizen trust in the EU political system and foster inclusivity in decarbonisation processes. With turbulence on the horizon for the EGD at the outset of the von der Leyen II Commission, the need to further understand the link between climate action and confidence in liberal democracy is greater than ever.</w:t>
      </w:r>
    </w:p>
    <w:p>
      <w:pPr/>
      <w:r>
        <w:rPr>
          <w:b/>
        </w:rPr>
        <w:t>POSSIBLE 2026:</w:t>
      </w:r>
      <w:r>
        <w:t xml:space="preserve"> The traditionalist challenge to the European Green Deal — https://doi.org/10.15407/etet2026.01.072</w:t>
      </w:r>
    </w:p>
    <w:p>
      <w:pPr/>
      <w:r>
        <w:rPr>
          <w:b/>
        </w:rPr>
        <w:t>Shared claim-specific concepts:</w:t>
      </w:r>
      <w:r>
        <w:t xml:space="preserve"> green, deal, egd; EU scope visible. This is a provisional connection, not an outcome finding.</w:t>
      </w:r>
    </w:p>
    <w:p>
      <w:pPr>
        <w:pStyle w:val="SourceNote"/>
      </w:pPr>
      <w:r>
        <w:rPr>
          <w:b/>
        </w:rPr>
        <w:t>Available abstract (not full text):</w:t>
      </w:r>
      <w:r>
        <w:t xml:space="preserve"> The article investigates the systematic impact of Euro-Trumpism, as a new phenomenon of European politics, on the European Green Deal (EGD), in the context of the US repeated withdrawal from the Paris Climate Agreement and the strong growth of influence in Europe of parties and movements oriented towards the image of a new model of national reconstruction and world order promoted by US President D. Trump. For the purposes of the study, the author uses interdisciplinary and comparative approaches, methods of political economy, the neo-cleavage theory, case study (focusing on Germany as a key European-integration country and economy), and empirical-analytical and reflexive approaches. It is substantiated that the traditionalist challenge to the EGD is directed, first of all, against the globalist dimension and content of European climate policy, and not against traditional regional or local environmental protection. It is shown that the significant strengthening of the Euro-Trumpist parties’ positions in the European Parliament and national parliaments of the EU member states in the 2020s (especially since the beginning of 2025), particularly the opportunities to influence decision-making processes in the field of climate policy through coalition agreements and increased interaction with traditional center-right parties at all levels, increases the intra-structural risks for the </w:t>
      </w:r>
    </w:p>
    <w:p>
      <w:pPr/>
      <w:r>
        <w:rPr>
          <w:b/>
        </w:rPr>
        <w:t>POSSIBLE 2026:</w:t>
      </w:r>
      <w:r>
        <w:t xml:space="preserve"> Decarbonisation Strategies in the Olive Oil Supply Chain: A Systematic Literature Review and ESG-Oriented Framework — https://doi.org/10.3390/su18189322</w:t>
      </w:r>
    </w:p>
    <w:p>
      <w:pPr/>
      <w:r>
        <w:rPr>
          <w:b/>
        </w:rPr>
        <w:t>Shared claim-specific concepts:</w:t>
      </w:r>
      <w:r>
        <w:t xml:space="preserve"> green, deal, decarbonisation, different, sustainability; EU scope visible. This is a provisional connection, not an outcome finding.</w:t>
      </w:r>
    </w:p>
    <w:p>
      <w:pPr>
        <w:pStyle w:val="SourceNote"/>
      </w:pPr>
      <w:r>
        <w:rPr>
          <w:b/>
        </w:rPr>
        <w:t>Available abstract (not full text):</w:t>
      </w:r>
      <w:r>
        <w:t xml:space="preserve"> Sustainability policies introduced under the European Green Deal have strengthened climate-related disclosure requirements for agri-food companies. In particular, the Corporate Sustainability Reporting Directive requires in-scope companies to transparently disclose information on their environmental performance. However, the academic literature on decarbonisation in the olive oil sector remains fragmented. This systematic literature review synthesises findings by considering cultivation, milling and retail, and waste management as interconnected stages of the olive oil supply chain and by developing a matrix linking decarbonisation strategies to the relevant European Sustainability Reporting Standards (ESRS) environmental, social and governance (ESG) topics. Following the PRISMA protocol, 42 peer-reviewed studies from Scopus and Web of Science were included in the final synthesis, covering cultivation (RQ1), milling and retail (RQ2), and waste management (RQ3). The cultivation stage represents an important part of the emission profile of the chain while also offering potential for carbon sequestration through sustainable management practices, such as reduced tillage, cover crops, organic amendments and biochar application. In the downstream stages, the mill and its retail interface rely on a different set of measures, including two-phase extraction, rooftop photovoltaic systems</w:t>
      </w:r>
    </w:p>
    <w:p>
      <w:pPr/>
      <w:r>
        <w:rPr>
          <w:b/>
        </w:rPr>
        <w:t>POSSIBLE 2026:</w:t>
      </w:r>
      <w:r>
        <w:t xml:space="preserve"> Revisiting the European Green Deal — https://openalex.org/W7164631661</w:t>
      </w:r>
    </w:p>
    <w:p>
      <w:pPr/>
      <w:r>
        <w:rPr>
          <w:b/>
        </w:rPr>
        <w:t>Shared claim-specific concepts:</w:t>
      </w:r>
      <w:r>
        <w:t xml:space="preserve"> green, deal, egd, strategy; EU scope visible. This is a provisional connection, not an outcome finding.</w:t>
      </w:r>
    </w:p>
    <w:p>
      <w:pPr>
        <w:pStyle w:val="SourceNote"/>
      </w:pPr>
      <w:r>
        <w:rPr>
          <w:b/>
        </w:rPr>
        <w:t>Available abstract (not full text):</w:t>
      </w:r>
      <w:r>
        <w:t xml:space="preserve"> In the context of the technological revolution in food systems, this paper argues that this "technicization" of agricultural practices also extends to a "technicization" of their political justifications. Embedded within a "technical/scientific narrative," the European Green Deal (EGD), its Farm to Fork (F2F), and Biodiversity Strategy present new technologies as part of promises for the efficient and sustainable use of food systems, particularly in the face of climate change challenges. While agricultural policies have traditionally been analyzed through the lens of exceptionalist and post-exceptionalist justifications, we identify the use of technical/scientific narratives to justify and even depoliticize agricultural policies. With this scientific/technical narrative, these new technologies are presented as promises for a sustainable world, even as the only rational solutions, or the objective and universal continuity of agricultural practices. However, these justifications and scientific approaches rationalize and objectify a Western vision of the world and of science (where nature is put at a distance, as functional objects to be valorized), which is specific to and not shared by the agricultural environment. In response, various scientific, civic, and decolonial movements have contested the technical and dualist hegemony of agricultural approaches. These answers are analy</w:t>
      </w:r>
    </w:p>
    <w:p>
      <w:pPr/>
      <w:r>
        <w:rPr>
          <w:b/>
        </w:rPr>
        <w:t>POSSIBLE 2026:</w:t>
      </w:r>
      <w:r>
        <w:t xml:space="preserve"> From the European Green Deal to Competitiveness, Resilience and Security: Is the European Union’s green development agenda still ‘green’? — https://openalex.org/W7202328939</w:t>
      </w:r>
    </w:p>
    <w:p>
      <w:pPr/>
      <w:r>
        <w:rPr>
          <w:b/>
        </w:rPr>
        <w:t>Shared claim-specific concepts:</w:t>
      </w:r>
      <w:r>
        <w:t xml:space="preserve"> green, deal, egd, union; EU scope visible. This is a provisional connection, not an outcome finding.</w:t>
      </w:r>
    </w:p>
    <w:p>
      <w:pPr>
        <w:pStyle w:val="SourceNote"/>
      </w:pPr>
      <w:r>
        <w:rPr>
          <w:b/>
        </w:rPr>
        <w:t>Available abstract (not full text):</w:t>
      </w:r>
      <w:r>
        <w:t xml:space="preserve"> Since the introduction of the European Green Deal (EGD) in late 2019, a range of crises have significantly altered the European and global socio-economic-political landscape. From this turbulent period, a new EU policy narrative that focuses primarly on the pursuit of Competitiveness, Resilience and Security (CRS) has taken centre stage. Whereas the new CRS narrative does include environmental objectives such as decarbonization and renewable energy deployment, this thesis studies whether the CRS policy narrative reflects continuity with the EGD’s green ambitions, or whether it reorders or dilutes said ambitions. The study deploys a mixed methods linguistic analysis, combining a quantitative study on the most frequent keywords used in both narratives and their frequency of coverage in EU policy documents over time, with a qualitative study of the contextual use of these keywords over time. The findings reveal how CRS objectives are integrated into preexisting objectives of EU policy, and how green ambitions continue to find relevance albeit with a decreased level of ambition and lessened attention to those goals that least strongly align with CRS objectives. Especially EGD goals on climate ambition, the construction sector, ecosystem and biodiversity protection, and just transitions appear to be increasingly commonly omitted. Green ambitions are further weakened by recontextuali</w:t>
      </w:r>
    </w:p>
    <w:p>
      <w:pPr/>
      <w:r>
        <w:rPr>
          <w:b/>
        </w:rPr>
        <w:t>POSSIBLE 2026:</w:t>
      </w:r>
      <w:r>
        <w:t xml:space="preserve"> Effectiveness of European Green Deal implementation in EU countries — https://doi.org/10.12775/eip.2026.8</w:t>
      </w:r>
    </w:p>
    <w:p>
      <w:pPr/>
      <w:r>
        <w:rPr>
          <w:b/>
        </w:rPr>
        <w:t>Shared claim-specific concepts:</w:t>
      </w:r>
      <w:r>
        <w:t xml:space="preserve"> green, deal, egd, approach; EU scope visible. This is a provisional connection, not an outcome finding.</w:t>
      </w:r>
    </w:p>
    <w:p>
      <w:pPr>
        <w:pStyle w:val="SourceNote"/>
      </w:pPr>
      <w:r>
        <w:rPr>
          <w:b/>
        </w:rPr>
        <w:t>Available abstract (not full text):</w:t>
      </w:r>
      <w:r>
        <w:t xml:space="preserve"> Motivation: The European Green Deal (EGD) provides a common EU framework for climate neutrality, resource efficiency and a just transition, but Member States differ markedly in structural conditions and implementation capacity. Existing assessments rely mostly on monitoring exercises, composite indicators or MCDA rankings; less attention has been paid to frontier-based efficiency benchmarking of EGD outcomes. Aim: The study assesses relative EGD effectiveness in 25 EU countries using a DEA/Benefit-of-the-Doubt approach and Eurostat EGD indicators. The analysis covers 2013-2021, with 2019 treated as the strategic reference point. A SAW index is calculated from 20 transformed indicators, while the DEA/BoD model uses five indicators selected through correlation analysis, variance analysis, PCA and LASSO. Results: The results show substantial heterogeneity. Sweden, Latvia and Estonia hold strong positions in both the composite indicator and DEA/BoD assessment. In 2021, the efficiency-frontier or super-efficient group includes Sweden, Latvia, Lithuania, Portugal, Estonia, Ireland, the Netherlands, Croatia and Finland, whereas Czechia, Belgium, Poland and Bulgaria show the largest efficiency reserves. Contribution-share and robustness checks indicate the importance of waste generation and PM2.5-related premature mortality. DEA/BoD complements ranking-based assessments by identifying </w:t>
      </w:r>
    </w:p>
    <w:p>
      <w:pPr/>
      <w:r>
        <w:rPr>
          <w:b/>
        </w:rPr>
        <w:t>POSSIBLE 2026:</w:t>
      </w:r>
      <w:r>
        <w:t xml:space="preserve"> The EU's Strategy for Sustainability: A Landmark Turn With the European Green Deal? — https://doi.org/10.1002/epa2.70035</w:t>
      </w:r>
    </w:p>
    <w:p>
      <w:pPr/>
      <w:r>
        <w:rPr>
          <w:b/>
        </w:rPr>
        <w:t>Shared claim-specific concepts:</w:t>
      </w:r>
      <w:r>
        <w:t xml:space="preserve"> green, deal, egd, strategy, instruments, sustainability; EU scope visible. This is a provisional connection, not an outcome finding.</w:t>
      </w:r>
    </w:p>
    <w:p>
      <w:pPr>
        <w:pStyle w:val="SourceNote"/>
      </w:pPr>
      <w:r>
        <w:rPr>
          <w:b/>
        </w:rPr>
        <w:t>Available abstract (not full text):</w:t>
      </w:r>
      <w:r>
        <w:t xml:space="preserve"> ABSTRACT While the European Green Deal (EGD) has been widely recognized as a milestone in the EU's sustainability strategy, scholars disagree on the nature of the policy change it represents. Critics highlight its limited social and environmental ambitions, despite its portrayal as a “man on the moon” moment. Using a policy‐paradigm lens, this study analyses the European Commission's EGD legislative package during the first 2 years after its adoption, focusing on discourse, policy instruments, and strategies for building political and societal support. The findings reveal the emergence of a new policy narrative integrating environmental sustainability, economic growth, and social inclusion, supported by revised instruments and political efforts to advance a “beyond‐growth” agenda. These developments suggest an incremental paradigmatic shift, the full implications of which will only become clear over time.</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green, deal, ambitious, strategy, sustainability, union;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r>
        <w:rPr>
          <w:b/>
        </w:rPr>
        <w:t>POSSIBLE 2026:</w:t>
      </w:r>
      <w:r>
        <w:t xml:space="preserve"> The European Green Deal as transformative innovation policy: principles for transition governance — https://doi.org/10.1080/1523908x.2026.2707129</w:t>
      </w:r>
    </w:p>
    <w:p>
      <w:pPr/>
      <w:r>
        <w:rPr>
          <w:b/>
        </w:rPr>
        <w:t>Shared claim-specific concepts:</w:t>
      </w:r>
      <w:r>
        <w:t xml:space="preserve"> green, deal, egd, ambitious, instruments, union; EU scope visible. This is a provisional connection, not an outcome finding.</w:t>
      </w:r>
    </w:p>
    <w:p>
      <w:pPr>
        <w:pStyle w:val="SourceNote"/>
      </w:pPr>
      <w:r>
        <w:rPr>
          <w:b/>
        </w:rPr>
        <w:t>Available abstract (not full text):</w:t>
      </w:r>
      <w:r>
        <w:t xml:space="preserve"> The European Green Deal (EGD) is an ambitious European Union (EU) policy programme towards climate neutrality by 2050. This set of political instruments and strategies addresses interconnected challenges of climate change and environmental degradation through a deep transformation of the economy. However, serious doubts exist about whether the EGD can fulfil these goals. Its translation into policy practice has proven challenging, regarding the involvement of relevant stakeholders, overcoming dominant discourses, and realising ambitions of policy coordination. To address this, we report on an empirical study within the SHARED GREEN DEAL project, applying four governance principles across six EGD policy domains to identify transformative policy pathways towards EGD targets by more than 150 workshop participants. Our results suggest that the use of future imaginaries aids understanding both the obstacles and preconditions for transformation-oriented EU policy. Furthermore, our analysis highlights the importance of identifying pathways, their trade-offs, and co-benefits in order to support the translation of EU policy targets into transformative action. Our findings offer insights for policymakers and practitioners in shaping regional innovation policies across the EU, concluding with future research avenues that further identify actionable pathways towards a ‘green and just trans</w:t>
      </w:r>
    </w:p>
    <w:p>
      <w:pPr>
        <w:pStyle w:val="Heading2"/>
      </w:pPr>
      <w:r>
        <w:t>627. On European Green Deal and Sustainable Development Policy (the Case of Romania)</w:t>
      </w:r>
    </w:p>
    <w:p>
      <w:pPr>
        <w:pStyle w:val="SourceNote"/>
      </w:pPr>
      <w:r>
        <w:rPr>
          <w:b/>
        </w:rPr>
        <w:t>Original source (2021):</w:t>
      </w:r>
      <w:r>
        <w:t xml:space="preserve"> https://doi.org/10.3390/su132112233</w:t>
      </w:r>
    </w:p>
    <w:p>
      <w:pPr/>
      <w:r>
        <w:t>Original wording (abstract; indexed_source_text_not_full_document_verified): Reaching the EU climate-neutrality objective in 2050 is very ambitious, especially for the Member States from Central-Eastern Europe.</w:t>
      </w:r>
    </w:p>
    <w:p>
      <w:pPr/>
      <w:r>
        <w:rPr>
          <w:b/>
        </w:rPr>
        <w:t>POSSIBLE 2025:</w:t>
      </w:r>
      <w:r>
        <w:t xml:space="preserve"> Cluster Analysis of the Transition to Climate Neutrality in the European Union — https://doi.org/10.1002/sd.70064</w:t>
      </w:r>
    </w:p>
    <w:p>
      <w:pPr/>
      <w:r>
        <w:rPr>
          <w:b/>
        </w:rPr>
        <w:t>Shared claim-specific concepts:</w:t>
      </w:r>
      <w:r>
        <w:t xml:space="preserve"> objective, member, states;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EUROPEAN LANDSCAPE OF CLIMATE LAW — https://doi.org/10.46299/979-8-89504-809-2.3</w:t>
      </w:r>
    </w:p>
    <w:p>
      <w:pPr/>
      <w:r>
        <w:rPr>
          <w:b/>
        </w:rPr>
        <w:t>Shared claim-specific concepts:</w:t>
      </w:r>
      <w:r>
        <w:t xml:space="preserve"> reaching, objective, member, states;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2024:</w:t>
      </w:r>
      <w:r>
        <w:t xml:space="preserve"> Delivering a Climate Neutral Europe — https://doi.org/10.4324/9781003493730</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2024:</w:t>
      </w:r>
      <w:r>
        <w:t xml:space="preserve"> Modelling the economic and environmental impacts of water resources in the context of climate neutrality in the EUSDR member states — https://doi.org/10.3389/fenvs.2024.1353107</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Introduction This study explores the economic and environmental impacts of water resources in the context of achieving climate neutrality in the EU Strategy for the Danube Region (EUSDR). The research is focused on eight EUSDR member states: Bulgaria, Czechia, Germany, Croatia, Hungary, Austria, Romania, and Slovakia, with the aim of analyzing the dynamic relationship between water resources, economic growth, and environmental sustainability. Given the ambitious goals of the European Green Deal, this study examines how water management can support the transition towards climate neutrality. Methods A dynamic econometric model was developed using a consolidated database of relevant climate neutrality indicators from 2010 to 2021. The selected indicators included GDP per capita, water use in agriculture, gross water abstraction, sewage sludge production, and water productivity. The econometric model was validated using statistical tools such as the One-Sample Kolmogorov-Smirnov Test, and analysis was conducted using Gretl and IBM-SPSS 25 software. Results The findings reveal that water resources management significantly contributes to the achievement of climate neutrality targets. The model achieved over 86% significance in explaining the financial efforts needed to achieve the Green Deal’s 2030 and 2050 goals. Moreover, water productivity and investments in water-related infrastr</w:t>
      </w:r>
    </w:p>
    <w:p>
      <w:pPr/>
      <w:r>
        <w:rPr>
          <w:b/>
        </w:rPr>
        <w:t>POSSIBLE 2024:</w:t>
      </w:r>
      <w:r>
        <w:t xml:space="preserve"> Climate adaptation law: a European perspective — https://doi.org/10.1007/s12689-024-00109-8</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Abstract In contrast to climate protection law, which regulates the mitigation of climate change, climate adaptation law deals with the management of the unavoidable consequences of climate change. This article provides an overview of its legal basis from a European perspective. In addition to international law, especially the Paris Agreement, EU law is of central importance in this respect. It is primarily shaped by the EU Climate Law enacted in 2021. However, this Law only sets a general framework and is further defined by legal acts of various sectoral policies, especially in the field of environment. Climate adaptation regulations at the level of European member states are presented using the example of Germany, where a Federal Climate Adaptation Act is currently being drafted. Due to Germany's federal state structure, state legislation is also analysed. Most of the German states (“Länder”) have their own climate laws, although their content varies. The municipal level is only addressed with restraint in these laws. The reasons for this are of a fiscal constitutional nature and will be explained in more detail.</w:t>
      </w:r>
    </w:p>
    <w:p>
      <w:pPr/>
      <w:r>
        <w:rPr>
          <w:b/>
        </w:rPr>
        <w:t>POSSIBLE 2022:</w:t>
      </w:r>
      <w:r>
        <w:t xml:space="preserve"> The Analysis of Public Funds Utilization Efficiency for Climate Neutrality in the European Union Countries — https://doi.org/10.3390/en15020581</w:t>
      </w:r>
    </w:p>
    <w:p>
      <w:pPr/>
      <w:r>
        <w:rPr>
          <w:b/>
        </w:rPr>
        <w:t>Shared claim-specific concepts:</w:t>
      </w:r>
      <w:r>
        <w:t xml:space="preserve"> reaching, objective, especially; EU scope visible. This is a provisional connection, not an outcome finding.</w:t>
      </w:r>
    </w:p>
    <w:p>
      <w:pPr>
        <w:pStyle w:val="SourceNote"/>
      </w:pPr>
      <w:r>
        <w:rPr>
          <w:b/>
        </w:rPr>
        <w:t>Available abstract (not full text):</w:t>
      </w:r>
      <w:r>
        <w:t xml:space="preserve">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pPr/>
      <w:r>
        <w:rPr>
          <w:b/>
        </w:rPr>
        <w:t>POSSIBLE 2022:</w:t>
      </w:r>
      <w:r>
        <w:t xml:space="preserve"> European Climate Law - New legal revolution towards climate neutrality in the EU. — https://doi.org/10.25167/osap.4510</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r>
        <w:rPr>
          <w:b/>
        </w:rPr>
        <w:t>POSSIBLE 2022:</w:t>
      </w:r>
      <w:r>
        <w:t xml:space="preserve"> Towards Climate Neutrality via Sustainable Agriculture in Soil Management — https://doi.org/10.2478/rtuect-2022-0041</w:t>
      </w:r>
    </w:p>
    <w:p>
      <w:pPr/>
      <w:r>
        <w:rPr>
          <w:b/>
        </w:rPr>
        <w:t>Shared claim-specific concepts:</w:t>
      </w:r>
      <w:r>
        <w:t xml:space="preserve"> ambitious, especially, states; EU scope visible. This is a provisional connection, not an outcome finding.</w:t>
      </w:r>
    </w:p>
    <w:p>
      <w:pPr>
        <w:pStyle w:val="SourceNote"/>
      </w:pPr>
      <w:r>
        <w:rPr>
          <w:b/>
        </w:rPr>
        <w:t>Available abstract (not full text):</w:t>
      </w:r>
      <w:r>
        <w:t xml:space="preserve"> Abstract The European Green Deal sets an ambitious target for Europe to reach climate neutrality by 2050. This commitment will be a challenge, particularly in the context of agriculture, as the sector is responsible for sustainable development and food security. However, one of the primary sources of GHG emissions from the agricultural sector is the treatment of soils using nitrogen fertilizers for crops, especially grain crops. This paper aims to assess the GHG mitigation perspective for soil management in the Baltic States and, in particular, to analyse the grain sector in light of sustainable agriculture and towards climate neutrality. To achieve the aim of the study, the analysis was performed in two parts. Firstly, historical and projected GHG emissions of the Baltic States and mitigation measures on agricultural soil management, including cereal growing were analysed as these emissions show a growing tendency. Thus, the study analyses GHG emission trends, including possible mitigation measures for soil management in the Baltic States. The results indicated that for GHG reduction from agricultural soils, some cost-effective measures could be considered for the future, such as the zero-emissions on-farm machinery and equipment, low or no-tillage, or N-inhibitors on pasture. Secondly, as the GHG emissions from cereals increase, potential alternatives to the use of grain prod</w:t>
      </w:r>
    </w:p>
    <w:p>
      <w:pPr/>
      <w:r>
        <w:rPr>
          <w:b/>
        </w:rPr>
        <w:t>POSSIBLE 2022:</w:t>
      </w:r>
      <w:r>
        <w:t xml:space="preserve"> Investigating European Union Decarbonization Strategies: Evaluating the Pathway to Carbon Neutrality by 2050 — https://doi.org/10.3390/su14084728</w:t>
      </w:r>
    </w:p>
    <w:p>
      <w:pPr/>
      <w:r>
        <w:rPr>
          <w:b/>
        </w:rPr>
        <w:t>Shared claim-specific concepts:</w:t>
      </w:r>
      <w:r>
        <w:t xml:space="preserve"> very, member, states; EU scope visible. This is a provisional connection, not an outcome finding.</w:t>
      </w:r>
    </w:p>
    <w:p>
      <w:pPr>
        <w:pStyle w:val="SourceNote"/>
      </w:pPr>
      <w:r>
        <w:rPr>
          <w:b/>
        </w:rPr>
        <w:t>Available abstract (not full text):</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 This research aims to fill this gap, proposing a simple but exhaustive semantic scaling methodology that allows, for the first time, a quantitative evaluation of the quality of the National Plans based on European Commission assessments to measure their compliance with the European Green Deal objectives. Results show that Member States have more clearly set the Green Deal targets than the actions to deliver against those targets. Actions, in term of nationals policies and funds administration, are still immature and partially addressed.</w:t>
      </w:r>
    </w:p>
    <w:p>
      <w:pPr>
        <w:pStyle w:val="Heading2"/>
      </w:pPr>
      <w:r>
        <w:t>628. POPULATION FORECAST WITH THE DATA PROCESSING GROUP METHOD (GMDH) type NEURAL NETWORK FOR EUROPEAN UNION COUNTRIES</w:t>
      </w:r>
    </w:p>
    <w:p>
      <w:pPr>
        <w:pStyle w:val="SourceNote"/>
      </w:pPr>
      <w:r>
        <w:rPr>
          <w:b/>
        </w:rPr>
        <w:t>Original source (2021):</w:t>
      </w:r>
      <w:r>
        <w:t xml:space="preserve"> https://doi.org/10.46872/pj.323</w:t>
      </w:r>
    </w:p>
    <w:p>
      <w:pPr/>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POSSIBLE 2026:</w:t>
      </w:r>
      <w:r>
        <w:t xml:space="preserve"> The Future of Money in Europe: Central Bank Digital Currencies? — https://openalex.org/W7215248674</w:t>
      </w:r>
    </w:p>
    <w:p>
      <w:pPr/>
      <w:r>
        <w:rPr>
          <w:b/>
        </w:rPr>
        <w:t>Shared claim-specific concepts:</w:t>
      </w:r>
      <w:r>
        <w:t xml:space="preserve"> bank, database, countries; EU scope visible. This is a provisional connection, not an outcome finding.</w:t>
      </w:r>
    </w:p>
    <w:p>
      <w:pPr>
        <w:pStyle w:val="SourceNote"/>
      </w:pPr>
      <w:r>
        <w:rPr>
          <w:b/>
        </w:rPr>
        <w:t>Available abstract (not full text):</w:t>
      </w:r>
      <w:r>
        <w:t xml:space="preserve"> The article examines the historical development, technological foundations, and institutional implications of central bank digital currencies (CBDCs), with a particular focus on developments within the European Union. Bitcoin and other cryptocurrencies have challenged aspects of traditional monetary systems and accelerated interest in state-backed digital alternatives. In the European context, this transformation can be understood as a multi-level process involving technological innovation, institutional adaptation, geopolitical ambition, and social cohesion. CBDCs are not merely a technological innovation but represent a powerful tool capable of fundamentally trans-forming the structure of the monetary and financial system. From a technological perspective, there is a clear diversity of approaches both among countries and within the European Central Bank (ECB). While most European initiatives are exploring the use of distributed ledger technologies (DLT), alternative solutions based on conventional database structures are also being developed. These varied approaches reflect not only technological preferences but also differing levels of trust in centralized versus decentralized systems, and they raise key questions regarding scalability, cybersecurity, and energy efficiency. CBDCs also present new possibilities for monetary poli-cy. In theory, digital currencies could allow f</w:t>
      </w:r>
    </w:p>
    <w:p>
      <w:pPr/>
      <w:r>
        <w:rPr>
          <w:b/>
        </w:rPr>
        <w:t>POSSIBLE 2026:</w:t>
      </w:r>
      <w:r>
        <w:t xml:space="preserve"> State-owned Banks and Profitability in Central and Eastern Europe: Testing the State-owned Banks Advantage Hypothesis — https://doi.org/10.18778/1508-2008.29.14</w:t>
      </w:r>
    </w:p>
    <w:p>
      <w:pPr/>
      <w:r>
        <w:rPr>
          <w:b/>
        </w:rPr>
        <w:t>Shared claim-specific concepts:</w:t>
      </w:r>
      <w:r>
        <w:t xml:space="preserve"> compared, bank, according, estimation, countries; EU scope visible. This is a provisional connection, not an outcome finding.</w:t>
      </w:r>
    </w:p>
    <w:p>
      <w:pPr>
        <w:pStyle w:val="SourceNote"/>
      </w:pPr>
      <w:r>
        <w:rPr>
          <w:b/>
        </w:rPr>
        <w:t>Available abstract (not full text):</w:t>
      </w:r>
      <w:r>
        <w:t xml:space="preserve"> This paper presents and tests an original state-owned banks advantage hypothesis, according to which the nationalisation of a part of the banking sector may positively influence the financial results and reduce risks associated with banking activity. The hypothesis was tested using a model comparing three groups of banks: state-owned banks, foreign owned banks, and domestic privately owned banks. The estimation of model parameters was carried out using a fixed-effects panel data analysis for banks based in Central and Eastern European countries over the period 2014–2020. Based on the models for ROA and, separately, ROE, a statistically significant negative relation was observed in the returns generated by state-owned banks compared to private domestic and foreign banks. The results also indicate a higher business risk for state-owned banks, measured by the level of non-performing loans, which is likely to be related to involvement in projects that are not always profitable but often involve higher credit risk. Therefore, we argue that elements of a country’s economic or social policies matter when conducting business but negatively affect the performance of state-owned banks. The results of the model also demonstrate that a bank’s market size negatively affects its performance.</w:t>
      </w:r>
    </w:p>
    <w:p>
      <w:pPr/>
      <w:r>
        <w:rPr>
          <w:b/>
        </w:rPr>
        <w:t>POSSIBLE 2026:</w:t>
      </w:r>
      <w:r>
        <w:t xml:space="preserve"> A database of eels and their freshwater habitats in southwestern Europe — https://doi.org/10.1038/s41597-026-07213-3</w:t>
      </w:r>
    </w:p>
    <w:p>
      <w:pPr/>
      <w:r>
        <w:rPr>
          <w:b/>
        </w:rPr>
        <w:t>Shared claim-specific concepts:</w:t>
      </w:r>
      <w:r>
        <w:t xml:space="preserve"> database, network, countries; EU scope visible. This is a provisional connection, not an outcome finding.</w:t>
      </w:r>
    </w:p>
    <w:p>
      <w:pPr>
        <w:pStyle w:val="SourceNote"/>
      </w:pPr>
      <w:r>
        <w:rPr>
          <w:b/>
        </w:rPr>
        <w:t>Available abstract (not full text):</w:t>
      </w:r>
      <w:r>
        <w:t xml:space="preserve"> The European eel stock (Anguilla anguilla) is outside safe biological limits. A range-wide stock assessment requires the creation and standardisation of databases that include information on eels and their habitats in different countries throughout their distribution range. The SUDOANG 1.0.4 database compiles standardised data on river courses in France and the Iberian Peninsula (Spain and Portugal). Using GIS tools, information on water surface and on other potential aquatic habitats surrounding each river segment has been collected. This common river network provides tools to quickly accumulate information along the river or along the natural path of migration from/to the sea. The database also compiles information on the surface of other habitats, human pressures (including 106400 obstacles), and provides eel abundance and biometric estimations derived from the Eel Density Analysis (EDA) model at the river reach scale for the reference year 2015. The river network supports ecological assessment of the eel habitats, and should also be useful for studies on other migratory species.</w:t>
      </w:r>
    </w:p>
    <w:p>
      <w:pPr/>
      <w:r>
        <w:rPr>
          <w:b/>
        </w:rPr>
        <w:t>POSSIBLE 2026:</w:t>
      </w:r>
      <w:r>
        <w:t xml:space="preserve"> Cultural Values and Innovation in European Companies — https://doi.org/10.70147/c28201213</w:t>
      </w:r>
    </w:p>
    <w:p>
      <w:pPr/>
      <w:r>
        <w:rPr>
          <w:b/>
        </w:rPr>
        <w:t>Shared claim-specific concepts:</w:t>
      </w:r>
      <w:r>
        <w:t xml:space="preserve"> values, world, countries; EU scope visible. This is a provisional connection, not an outcome finding.</w:t>
      </w:r>
    </w:p>
    <w:p>
      <w:pPr>
        <w:pStyle w:val="SourceNote"/>
      </w:pPr>
      <w:r>
        <w:rPr>
          <w:b/>
        </w:rPr>
        <w:t>Available abstract (not full text):</w:t>
      </w:r>
      <w:r>
        <w:t xml:space="preserve"> This article examines the extent to which national cultural values explain differences in the innovative activity of European firms. Values are operationalized based on the integrated European Values Study / World Values Survey 2017–2022 dataset, weighted and aggregated at the country level, while innovation is measured using disaggregated indicators from the Community Innovation Survey (2018, 2020, and 2022 waves) for 27 European countries. The analysis, conducted in SPSS, combines bivariate correlations, partial correlations with GDP per capita as a control variable, multiple regressions, and t-tests for paired samples. Initial associations between innovation and generalized trust, autonomy, or work ethic disappear after controlling for economic development, as these values are strongly correlated with national wealth. The only dimension that retains an independent effect is perseverance passed on to children, whose association with new-to-market products and with cooperation for innovation is strengthened after controlling for economic development, through a suppression effect. Organizational innovation is not associated with any of the values examined, and differences across firm size classes remain substantial. The results of the analysis suggest that cultural effects on innovation are more selective and more fragile than the literature based on aggregate indicators sugges</w:t>
      </w:r>
    </w:p>
    <w:p>
      <w:pPr/>
      <w:r>
        <w:rPr>
          <w:b/>
        </w:rPr>
        <w:t>POSSIBLE 2026:</w:t>
      </w:r>
      <w:r>
        <w:t xml:space="preserve"> Balancing Non-Discrimination and the Fight on Money Laundering in European Banks — https://openalex.org/W7162966842</w:t>
      </w:r>
    </w:p>
    <w:p>
      <w:pPr/>
      <w:r>
        <w:rPr>
          <w:b/>
        </w:rPr>
        <w:t>Shared claim-specific concepts:</w:t>
      </w:r>
      <w:r>
        <w:t xml:space="preserve"> type, network, countries; EU scope visible. This is a provisional connection, not an outcome finding.</w:t>
      </w:r>
    </w:p>
    <w:p>
      <w:pPr>
        <w:pStyle w:val="SourceNote"/>
      </w:pPr>
      <w:r>
        <w:rPr>
          <w:b/>
        </w:rPr>
        <w:t>Available abstract (not full text):</w:t>
      </w:r>
      <w:r>
        <w:t xml:space="preserve"> In the complex network of EU law, and consequently in its banking regulations, the fundamental principles of equality and non-discrimination serve as the foundation for fundamental rights. To provide equitable, just, and inclusive access to necessary financial services in the EU, these principles are therefore required. However, the present political and economic climate may serve as a substantial impediment to the realization of this objective. In consequence of the globalization trend that has been taking place since the beginning of the century and the development of new technologies, the European legislator has concentrated its focus on financial crimes, in particular money laundering and terrorist financing, as evident by the multiple versions of the Anti-Money Laundering Directive. Although this piece of legislation has represented a significant step forward in the fight against financial crime, it has also been the subject of some scrutiny, or even criticism, regarding certain issues. One of these concerns the measures targeting nationals from considered high risk third countries. The question that arises is whether their origin from countries outside the European Union can justify the reinforced measures imposed by this directive. Thus, this dissertation aims to dissect the possible tension between the principles of equality and non-discrimination and some of the tools </w:t>
      </w:r>
    </w:p>
    <w:p>
      <w:pPr/>
      <w:r>
        <w:rPr>
          <w:b/>
        </w:rPr>
        <w:t>POSSIBLE 2026:</w:t>
      </w:r>
      <w:r>
        <w:t xml:space="preserve"> Economic value of lost productivity attributable to premature cancer mortality and morbidity across Europe — https://doi.org/10.1080/13696998.2026.2633013</w:t>
      </w:r>
    </w:p>
    <w:p>
      <w:pPr/>
      <w:r>
        <w:rPr>
          <w:b/>
        </w:rPr>
        <w:t>Shared claim-specific concepts:</w:t>
      </w:r>
      <w:r>
        <w:t xml:space="preserve"> database, findings, countries; EU scope visible. This is a provisional connection, not an outcome finding.</w:t>
      </w:r>
    </w:p>
    <w:p>
      <w:pPr>
        <w:pStyle w:val="SourceNote"/>
      </w:pPr>
      <w:r>
        <w:rPr>
          <w:b/>
        </w:rPr>
        <w:t>Available abstract (not full text):</w:t>
      </w:r>
      <w:r>
        <w:t xml:space="preserve"> BACKGROUND: Cancer imposes a substantial clinical and economic burden across Europe. This analysis estimated the lost productivity cost of the five cancer types with the highest premature mortality and five cancer types with the highest morbidity burden across 28 European countries in 2022. METHODS: Data on cancer deaths, years of life lost (YLL), and years of life lived with disability (YLD) were sourced from the Institute for Health Metrics and Evaluation Global Burden of Disease database. Country- and sex-specific demographic and economic parameters were obtained. Years of productive life lost (YPLL) and present value of future lost productivity (PVFLP) were estimated for individuals dying before retirement, while the value of YLD (VYLD) quantified earnings lost due to cancer-related disability. Outcomes were adjusted for labor force participation and unemployment. Deterministic sensitivity analyses assessed the impact of variations in model inputs. RESULTS: In 2022, tracheal, bronchus, and lung cancer, colon and rectum cancer, breast, pancreatic, and prostate cancers accounted for 899,581 deaths, 17,274,882 YLL, 896,510 YPLL, and €30,749,064,014 PVFLP across Europe. Tracheal, bronchus, and lung cancer contributed the largest share of mortality-related productivity losses with 37.2% of deaths and 43.7% of PVFLP. Breast cancer had the highest PVFLP per death (€49,411). For mo</w:t>
      </w:r>
    </w:p>
    <w:p>
      <w:pPr/>
      <w:r>
        <w:rPr>
          <w:b/>
        </w:rPr>
        <w:t>POSSIBLE 2026:</w:t>
      </w:r>
      <w:r>
        <w:t xml:space="preserve"> Bank Runs With and Without Bank Failure — https://openalex.org/W7126123162</w:t>
      </w:r>
    </w:p>
    <w:p>
      <w:pPr/>
      <w:r>
        <w:rPr>
          <w:b/>
        </w:rPr>
        <w:t>Shared claim-specific concepts:</w:t>
      </w:r>
      <w:r>
        <w:t xml:space="preserve"> bank, database, findings, real; EU scope not established. This is a provisional connection, not an outcome finding.</w:t>
      </w:r>
    </w:p>
    <w:p>
      <w:pPr>
        <w:pStyle w:val="SourceNote"/>
      </w:pPr>
      <w:r>
        <w:rPr>
          <w:b/>
        </w:rPr>
        <w:t>Available abstract (not full text):</w:t>
      </w:r>
      <w:r>
        <w:t xml:space="preserve"> We study the causes and consequences of bank runs. By applying large language models to historical newspapers, we create a comprehensive database of bank runs in U.S. history with information on 3,984 runs on individual banks from 1863 to 1934. Our novel data allow us to establish that runs are considerably more likely in weak banks but also occur in strong banks, especially in response to negative news about the real economy or the broader banking system. However, runs typically only result in failure for banks with poor fundamentals. Strong banks survive runs through various mechanisms, including signaling strength, interbank cooperation, and temporary suspension. At the local level, runs on banks with poor fundamentals translate into substantially larger declines in deposits, lending, and manufacturing activity than runs on strong banks. Our findings imply that poor fundamentals are central to explaining both when runs occur and when they have severe economic effects, tempering the view that small shocks can generate discontinuous jumps to bad equilibria through self-fulfilling run dynamics.</w:t>
      </w:r>
    </w:p>
    <w:p>
      <w:pPr/>
      <w:r>
        <w:rPr>
          <w:b/>
        </w:rPr>
        <w:t>POSSIBLE 2025:</w:t>
      </w:r>
      <w:r>
        <w:t xml:space="preserve"> Plural Values of Culture in Europe — https://openalex.org/W7137507789</w:t>
      </w:r>
    </w:p>
    <w:p>
      <w:pPr/>
      <w:r>
        <w:rPr>
          <w:b/>
        </w:rPr>
        <w:t>Shared claim-specific concepts:</w:t>
      </w:r>
      <w:r>
        <w:t xml:space="preserve"> values, approach, countries;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An Analytical Approach to Comparing Actual Vs. Fundamental “Enterprise Value-to-EBITDA” Ratios on the US and European Stock Markets — https://doi.org/10.37075/faba.2025.2.08</w:t>
      </w:r>
    </w:p>
    <w:p>
      <w:pPr/>
      <w:r>
        <w:rPr>
          <w:b/>
        </w:rPr>
        <w:t>Shared claim-specific concepts:</w:t>
      </w:r>
      <w:r>
        <w:t xml:space="preserve"> addition, findings, comparison, type, very, approach; EU scope visible. This is a provisional connection, not an outcome finding.</w:t>
      </w:r>
    </w:p>
    <w:p>
      <w:pPr>
        <w:pStyle w:val="SourceNote"/>
      </w:pPr>
      <w:r>
        <w:rPr>
          <w:b/>
        </w:rPr>
        <w:t>Available abstract (not full text):</w:t>
      </w:r>
      <w:r>
        <w:t xml:space="preserve">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pPr/>
      <w:r>
        <w:rPr>
          <w:b/>
        </w:rPr>
        <w:t>POSSIBLE 2025:</w:t>
      </w:r>
      <w:r>
        <w:t xml:space="preserve"> Plant evolutionary history is largely underrepresented in European seed banks — https://doi.org/10.1111/nph.70000</w:t>
      </w:r>
    </w:p>
    <w:p>
      <w:pPr/>
      <w:r>
        <w:rPr>
          <w:b/>
        </w:rPr>
        <w:t>Shared claim-specific concepts:</w:t>
      </w:r>
      <w:r>
        <w:t xml:space="preserve"> world, bank, approach; EU scope visible. This is a provisional connection, not an outcome finding.</w:t>
      </w:r>
    </w:p>
    <w:p>
      <w:pPr>
        <w:pStyle w:val="SourceNote"/>
      </w:pPr>
      <w:r>
        <w:rPr>
          <w:b/>
        </w:rPr>
        <w:t>Available abstract (not full text):</w:t>
      </w:r>
      <w:r>
        <w:t xml:space="preserve"> Considering the alarming prospect of at least two in five plant species facing extinction, it is urgent to identify unsecured phylogenetic branches within the plant Tree of Life and adopt appropriate conservation strategies. While conventional seed banking has the potential to safeguard a large part of world's flora, the scarcity of phylogenetically informed ex situ conservation programmes poses a challenge to effective plant conservation. Leveraging an extensive dataset of seed collections across 109 European seed banks, our study reveals that current collections capture a phylogenetically diverse subset of the European flora. However, they safeguard between 43.29% and 66.40% of the maximum possible phylogenetic diversity, suggesting that specific major branches of the plant phylogeny in Europe remain unprotected. To address this gap, we introduce a novel quasi-deterministic method to generate a list of unbanked species, prioritized by evolutionary significance. Although this approach can enhance the evolutionary quality of seed bank collections, biological, technical and practical constraints may limit conventional seed banking for some of these priority species. We advocate for an enhanced coordination among conservation facilities and the integration of phylogenetic perspectives with advancements in ex situ conservation techniques beyond conventional seed banking, to effect</w:t>
      </w:r>
    </w:p>
    <w:p>
      <w:pPr/>
      <w:r>
        <w:rPr>
          <w:b/>
        </w:rPr>
        <w:t>POSSIBLE 2025:</w:t>
      </w:r>
      <w:r>
        <w:t xml:space="preserve"> Assessing the Intellectual Capital of Value Creation Process of Commercial Banks in the European Union — https://doi.org/10.1007/s13132-024-02348-3</w:t>
      </w:r>
    </w:p>
    <w:p>
      <w:pPr/>
      <w:r>
        <w:rPr>
          <w:b/>
        </w:rPr>
        <w:t>Shared claim-specific concepts:</w:t>
      </w:r>
      <w:r>
        <w:t xml:space="preserve"> addition, database, findings; EU scope visible. This is a provisional connection, not an outcome finding.</w:t>
      </w:r>
    </w:p>
    <w:p>
      <w:pPr>
        <w:pStyle w:val="SourceNote"/>
      </w:pPr>
      <w:r>
        <w:rPr>
          <w:b/>
        </w:rPr>
        <w:t>Available abstract (not full text):</w:t>
      </w:r>
      <w:r>
        <w:t xml:space="preserve"> Abstract This study examines the impact of intellectual capital on the overall value of commercial banks within the European Union (EU). The research aims to identify how these banks can evaluate and enhance their intellectual capital to improve operational performance. The study employs the value-added intellectual coefficient (VAIC) model to measure the efficiency of three types of capital: structural capital (SC), which is the value added by the company minus human capital; employed physical and financial capital (CE), representing the total financial capital available to the company; and human capital (HC), calculated based on employee costs. Data were sourced from the BankScope database, comprising published financial reports of 599 commercial banks. Control variables included loan quality, fund utilization ratio, and the impact of the COVID-19 pandemic. The research identifies a significant positive correlation between financial capital, human capital, and the value-added function of banks. These findings suggest that financial and human capital are critical determinants of value addition in commercial banks within the EU. This study uniquely focuses on the intellectual capital performance of EU-based banks. To the best of our knowledge, such a comprehensive analysis on this subject within the context of EU banks has not been previously conducted.</w:t>
      </w:r>
    </w:p>
    <w:p>
      <w:pPr/>
      <w:r>
        <w:rPr>
          <w:b/>
        </w:rPr>
        <w:t>POSSIBLE 2025:</w:t>
      </w:r>
      <w:r>
        <w:t xml:space="preserve"> The effect of ESG disclosure on firm value in the European context — https://doi.org/10.1108/md-10-2024-2480</w:t>
      </w:r>
    </w:p>
    <w:p>
      <w:pPr/>
      <w:r>
        <w:rPr>
          <w:b/>
        </w:rPr>
        <w:t>Shared claim-specific concepts:</w:t>
      </w:r>
      <w:r>
        <w:t xml:space="preserve"> database, findings, comparison, approach;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pStyle w:val="Heading2"/>
      </w:pPr>
      <w:r>
        <w:t>629. Proposals of European Citizens for Reviving the Future of Shrinking Areas</w:t>
      </w:r>
    </w:p>
    <w:p>
      <w:pPr>
        <w:pStyle w:val="SourceNote"/>
      </w:pPr>
      <w:r>
        <w:rPr>
          <w:b/>
        </w:rPr>
        <w:t>Original source (2021):</w:t>
      </w:r>
      <w:r>
        <w:t xml:space="preserve"> https://doi.org/10.2478/quageo-2021-0039</w:t>
      </w:r>
    </w:p>
    <w:p>
      <w:pPr/>
      <w:r>
        <w:t>Original wording (abstract; indexed_source_text_not_full_document_verified):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POSSIBLE 2026:</w:t>
      </w:r>
      <w:r>
        <w:t xml:space="preserve"> Tourism in Depopulation Contexts: A Hybrid Bibliometric and Narrative Systematic Review — https://doi.org/10.3390/world7030040</w:t>
      </w:r>
    </w:p>
    <w:p>
      <w:pPr/>
      <w:r>
        <w:rPr>
          <w:b/>
        </w:rPr>
        <w:t>Shared claim-specific concepts:</w:t>
      </w:r>
      <w:r>
        <w:t xml:space="preserve"> depopulation, decline, trajectories; EU scope visible. This is a provisional connection, not an outcome finding.</w:t>
      </w:r>
    </w:p>
    <w:p>
      <w:pPr>
        <w:pStyle w:val="SourceNote"/>
      </w:pPr>
      <w:r>
        <w:rPr>
          <w:b/>
        </w:rPr>
        <w:t>Available abstract (not full text):</w:t>
      </w:r>
      <w:r>
        <w:t xml:space="preserve">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pPr/>
      <w:r>
        <w:rPr>
          <w:b/>
        </w:rPr>
        <w:t>POSSIBLE 2026:</w:t>
      </w:r>
      <w:r>
        <w:t xml:space="preserve"> Understanding the sociodemographic component of urban shrinkage exemplified by mono-industrial towns in Latvia — https://doi.org/10.2478/environ-2026-0018</w:t>
      </w:r>
    </w:p>
    <w:p>
      <w:pPr/>
      <w:r>
        <w:rPr>
          <w:b/>
        </w:rPr>
        <w:t>Shared claim-specific concepts:</w:t>
      </w:r>
      <w:r>
        <w:t xml:space="preserve"> abstract, shrinkage, depopulation, decline, trajectories, shrinking; EU scope visible. This is a provisional connection, not an outcome finding.</w:t>
      </w:r>
    </w:p>
    <w:p>
      <w:pPr>
        <w:pStyle w:val="SourceNote"/>
      </w:pPr>
      <w:r>
        <w:rPr>
          <w:b/>
        </w:rPr>
        <w:t>Available abstract (not full text):</w:t>
      </w:r>
      <w:r>
        <w:t xml:space="preserve">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pPr/>
      <w:r>
        <w:rPr>
          <w:b/>
        </w:rPr>
        <w:t>POSSIBLE 2026:</w:t>
      </w:r>
      <w:r>
        <w:t xml:space="preserve"> Depopulation and Sustainable Territorial Governance: A Multilevel Analysis of Strategic Response Patterns in Poland — https://doi.org/10.3390/su18115434</w:t>
      </w:r>
    </w:p>
    <w:p>
      <w:pPr/>
      <w:r>
        <w:rPr>
          <w:b/>
        </w:rPr>
        <w:t>Shared claim-specific concepts:</w:t>
      </w:r>
      <w:r>
        <w:t xml:space="preserve"> shrinkage, depopulation, related, structural; EU scope visible. This is a provisional connection, not an outcome finding.</w:t>
      </w:r>
    </w:p>
    <w:p>
      <w:pPr>
        <w:pStyle w:val="SourceNote"/>
      </w:pPr>
      <w:r>
        <w:rPr>
          <w:b/>
        </w:rPr>
        <w:t>Available abstract (not full text):</w:t>
      </w:r>
      <w:r>
        <w:t xml:space="preserve">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pPr/>
      <w:r>
        <w:rPr>
          <w:b/>
        </w:rPr>
        <w:t>POSSIBLE 2026:</w:t>
      </w:r>
      <w:r>
        <w:t xml:space="preserve"> Analysis of housing in depopulated rural areas: a transnational comparison — https://doi.org/10.4995/vlc.2026.25269</w:t>
      </w:r>
    </w:p>
    <w:p>
      <w:pPr/>
      <w:r>
        <w:rPr>
          <w:b/>
        </w:rPr>
        <w:t>Shared claim-specific concepts:</w:t>
      </w:r>
      <w:r>
        <w:t xml:space="preserve"> depopulation, areas, offering; EU scope visible. This is a provisional connection, not an outcome finding.</w:t>
      </w:r>
    </w:p>
    <w:p>
      <w:pPr>
        <w:pStyle w:val="SourceNote"/>
      </w:pPr>
      <w:r>
        <w:rPr>
          <w:b/>
        </w:rPr>
        <w:t>Available abstract (not full text):</w:t>
      </w:r>
      <w:r>
        <w:t xml:space="preserve">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pPr/>
      <w:r>
        <w:rPr>
          <w:b/>
        </w:rPr>
        <w:t>POSSIBLE 2026:</w:t>
      </w:r>
      <w:r>
        <w:t xml:space="preserve"> Rural depopulation and the decline of vernacular architecture: an analysis of physical vulnerability in Bragança district, Portugal — https://doi.org/10.1007/s10901-026-10319-0</w:t>
      </w:r>
    </w:p>
    <w:p>
      <w:pPr/>
      <w:r>
        <w:rPr>
          <w:b/>
        </w:rPr>
        <w:t>Shared claim-specific concepts:</w:t>
      </w:r>
      <w:r>
        <w:t xml:space="preserve"> abstract, depopulation, decline, also, areas; EU scope visible. This is a provisional connection, not an outcome finding.</w:t>
      </w:r>
    </w:p>
    <w:p>
      <w:pPr>
        <w:pStyle w:val="SourceNote"/>
      </w:pPr>
      <w:r>
        <w:rPr>
          <w:b/>
        </w:rPr>
        <w:t>Available abstract (not full text):</w:t>
      </w:r>
      <w:r>
        <w:t xml:space="preserve">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pPr/>
      <w:r>
        <w:rPr>
          <w:b/>
        </w:rPr>
        <w:t>POSSIBLE 2026:</w:t>
      </w:r>
      <w:r>
        <w:t xml:space="preserve"> Depopulation and Regional Sustainability: Structural Transformation and Economic Resilience in Post-Growth Japan — https://doi.org/10.3390/su18041841</w:t>
      </w:r>
    </w:p>
    <w:p>
      <w:pPr/>
      <w:r>
        <w:rPr>
          <w:b/>
        </w:rPr>
        <w:t>Shared claim-specific concepts:</w:t>
      </w:r>
      <w:r>
        <w:t xml:space="preserve"> depopulation, related, structural, decline, also, shrinking; EU scope not established. This is a provisional connection, not an outcome finding.</w:t>
      </w:r>
    </w:p>
    <w:p>
      <w:pPr>
        <w:pStyle w:val="SourceNote"/>
      </w:pPr>
      <w:r>
        <w:rPr>
          <w:b/>
        </w:rPr>
        <w:t>Available abstract (not full text):</w:t>
      </w:r>
      <w:r>
        <w:t xml:space="preserve"> This study examines long-term changes in regional productivity in Japan by analyzing real GDP per worker for all prefectures from 1975 to 2021 and real municipal GDP per working-age person for 29 municipalities in Mie Prefecture from 2011 to 2021. Using nationally deflated real output measures, the analysis reveals a consistent pattern across both prefectural and municipal levels: regions experiencing substantial declines in the working-age population often recorded notable increases in productivity. In contrast, major metropolitan prefectures such as Tokyo exhibited rising employment but only limited productivity gains. These findings challenge the conventional view that population decline inevitably leads to economic stagnation and instead suggest that demographic contraction may facilitate structural adjustment, adaptive resilience, and productivity enhancement in certain regional contexts. This multi-scale approach integrates long-term prefectural trends with detailed municipal-level dynamics, highlighting the importance of regional heterogeneity in Japan’s demographic and economic transitions. The study also acknowledges limitations related to data availability and the absence of region-specific price indices. Overall, the findings indicate that demographic decline and productivity growth are not mutually exclusive and that understanding regional adaptation to shrinking la</w:t>
      </w:r>
    </w:p>
    <w:p>
      <w:pPr/>
      <w:r>
        <w:rPr>
          <w:b/>
        </w:rPr>
        <w:t>POSSIBLE 2026:</w:t>
      </w:r>
      <w:r>
        <w:t xml:space="preserve"> Patterns of Loss: A Typology of Depopulating Cities in the USA — https://doi.org/10.3390/urbansci10030147</w:t>
      </w:r>
    </w:p>
    <w:p>
      <w:pPr/>
      <w:r>
        <w:rPr>
          <w:b/>
        </w:rPr>
        <w:t>Shared claim-specific concepts:</w:t>
      </w:r>
      <w:r>
        <w:t xml:space="preserve"> depopulation, decline, trajectories, article, shrinking; EU scope not established. This is a provisional connection, not an outcome finding.</w:t>
      </w:r>
    </w:p>
    <w:p>
      <w:pPr>
        <w:pStyle w:val="SourceNote"/>
      </w:pPr>
      <w:r>
        <w:rPr>
          <w:b/>
        </w:rPr>
        <w:t>Available abstract (not full text):</w:t>
      </w:r>
      <w:r>
        <w:t xml:space="preserve"> This article develops a typology of U.S. depopulating cities beyond the Rust Belt's iconic industrial cities, which dominate academic literature, to include a wider range of shrinking settlements in the shadows. Using population change from 1990–2020 and three explanatory dimensions—city size, industrial heritage, and peripheral location—the analysis identified 1,082 places that lost at least 10% of their population. Logistic regression showed manufacturing and mining reliance, small size, and remoteness as significant predictors of depopulation. Based on these factors, settlements are divided into seven types, from large urban centers to small peripheral towns with fewer than 5,000 people. The overwhelming predominance of small towns (97%) in the sample highlights their distinct development challenges and questions the narrative of decline focused solely on larger industrial cities. By situating American trajectories within the broader shrinking cities discourse, the findings demonstrate the value of typology as a methodological tool for identifying intra-group heterogeneity, capturing regional differences, and establishing a more reliable basis for comparative urban studies. Ultimately, the study shows that urban decline in the United States is not exclusively a Rust Belt phenomenon, but a multidimensional process encompassing different scales, sectors, and geographies.</w:t>
      </w:r>
    </w:p>
    <w:p>
      <w:pPr/>
      <w:r>
        <w:rPr>
          <w:b/>
        </w:rPr>
        <w:t>POSSIBLE 2026:</w:t>
      </w:r>
      <w:r>
        <w:t xml:space="preserve"> What Does Demographic Resilience Mean in the Context of Sustained Depopulation and Rapid Ageing? — https://doi.org/10.54694/dem.0382</w:t>
      </w:r>
    </w:p>
    <w:p>
      <w:pPr/>
      <w:r>
        <w:rPr>
          <w:b/>
        </w:rPr>
        <w:t>Shared claim-specific concepts:</w:t>
      </w:r>
      <w:r>
        <w:t xml:space="preserve"> depopulation, structural, decline, article, shrinking; EU scope not established. This is a provisional connection, not an outcome finding.</w:t>
      </w:r>
    </w:p>
    <w:p>
      <w:pPr>
        <w:pStyle w:val="SourceNote"/>
      </w:pPr>
      <w:r>
        <w:rPr>
          <w:b/>
        </w:rPr>
        <w:t>Available abstract (not full text):</w:t>
      </w:r>
      <w:r>
        <w:t xml:space="preserve"> Rapid ageing and sustained depopulation are reshaping the conditions under which societies maintain economic activity, social provision and institutional capacity. The study develops a conceptual framework for demographic resilience in contexts where population decline is not a temporary deviation but a long-term structural condition. The article defines resilience as the capacity of socio-demographic systems to maintain core societal functions under shrinking and ageing population structures. The framework links four interacting dimensions: economic adaptation; social and care provision; human capital formation and retention; and institutional capacity for anticipatory governance, policy coordination, and adaptive implementation. Methodologically, the article is based on a conceptual synthesis of resilience theory, demographic transition research and depopulation studies, complemented by an illustrative case study of Moldova. The article contributes to demographic debate by shifting attention from reversing decline to assessing how societies can adapt to persistent demographic constraints while preserving equity, service access and governance capacity.</w:t>
      </w:r>
    </w:p>
    <w:p>
      <w:pPr/>
      <w:r>
        <w:rPr>
          <w:b/>
        </w:rPr>
        <w:t>POSSIBLE 2026:</w:t>
      </w:r>
      <w:r>
        <w:t xml:space="preserve"> Impact of depopulated area designation policy on the population and employment in Japanese small and medium-sized cities — https://doi.org/10.1016/j.cities.2026.107366</w:t>
      </w:r>
    </w:p>
    <w:p>
      <w:pPr/>
      <w:r>
        <w:rPr>
          <w:b/>
        </w:rPr>
        <w:t>Shared claim-specific concepts:</w:t>
      </w:r>
      <w:r>
        <w:t xml:space="preserve"> depopulation, structural, decline; EU scope not established. This is a provisional connection, not an outcome finding.</w:t>
      </w:r>
    </w:p>
    <w:p>
      <w:pPr>
        <w:pStyle w:val="SourceNote"/>
      </w:pPr>
      <w:r>
        <w:rPr>
          <w:b/>
        </w:rPr>
        <w:t>Available abstract (not full text):</w:t>
      </w:r>
      <w:r>
        <w:t xml:space="preserve"> Small and medium-sized cities (SMCs) are vital to sustaining balanced national development. However, many SMCs have experienced significant population decline in recent years. This study examines the effects of Japan's Depopulated-Area-Designation (DAD) policy on population and employment in SMCs. Using a staggered difference-in-differences approach across municipalities designated at different times, we estimate the policy's demographic and employment impacts over a 30-year post-designation horizon. The results indicate that the DAD policy was not associated with significant population change during the main analysis period. Specifically, the policy neither increased nor decreased population levels within the first 15 years after designation. However, approximately 20 years after designation, populations began to decline sharply. The trend in employed persons closely mirrored this population decline, while the number of employed residents showed no significant change even 20 years after designation. These findings suggest that analyses limited to employed residents would fail to capture the subsequent decline in both population and employed persons observed after 20 years. In conclusion, the results suggest that although the DAD policy produced no short- or medium-term effects, disadvantages may emerge in the long term. These findings are striking because they contradict the g</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structural, article, content, shrinking, areas;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Declining Opportunities? Perceptions of Housing Market Risk in Shrinking Cities — https://doi.org/10.17645/up.11077</w:t>
      </w:r>
    </w:p>
    <w:p>
      <w:pPr/>
      <w:r>
        <w:rPr>
          <w:b/>
        </w:rPr>
        <w:t>Shared claim-specific concepts:</w:t>
      </w:r>
      <w:r>
        <w:t xml:space="preserve"> shrinkage, decline, article, also, shrinking, thus; EU scope visible. This is a provisional connection, not an outcome finding.</w:t>
      </w:r>
    </w:p>
    <w:p>
      <w:pPr>
        <w:pStyle w:val="SourceNote"/>
      </w:pPr>
      <w:r>
        <w:rPr>
          <w:b/>
        </w:rPr>
        <w:t>Available abstract (not full text):</w:t>
      </w:r>
      <w:r>
        <w:t xml:space="preserve"> Housing in shrinking cities may be evaluated ambiguously: While it is often affordable and available, which encourages real estate investment, it may also be associated with specific financial and personal risks. A central determinant of who invests in housing and where may be perceptions and evaluations of homeownership, particularly in contexts of urban shrinkage. In this article, we investigate the perceptions of housing in shaping homeownership in shrinking cities and how these may transform patterns of real estate investment. Based on semi‐structured interviews in six case cities in the Baltic Sea Region—Alytus and Šiauliai (Lithuania), Salo and Kouvola (Finland), Neubrandenburg and Frankfurt (Oder) (Germany)—this research examines evaluations of the housing market in terms of risk, uncertainty, and opportunity for different actor groups and considers the role of spatial and economic characteristics and institutional settings. The findings illustrate that housing markets in shrinking cities are characterised by substantial heterogeneity, implying that submarkets may be profitable in certain locations and for certain investors. Moreover, property investment decisions of owner‐occupiers and investors may be affected by different types of risk and uncertainty. Experiences of urban decline and its effect on the perceived security of housing may thus reduce the expectation of w</w:t>
      </w:r>
    </w:p>
    <w:p>
      <w:pPr/>
      <w:r>
        <w:rPr>
          <w:b/>
        </w:rPr>
        <w:t>POSSIBLE 2026:</w:t>
      </w:r>
      <w:r>
        <w:t xml:space="preserve"> Assessing Policy Sensitivity in Grid-Level Depopulation Projections: A Machine Learning-Based Scenario Analysis for South Korea — https://doi.org/10.3390/ijgi15050181</w:t>
      </w:r>
    </w:p>
    <w:p>
      <w:pPr/>
      <w:r>
        <w:rPr>
          <w:b/>
        </w:rPr>
        <w:t>Shared claim-specific concepts:</w:t>
      </w:r>
      <w:r>
        <w:t xml:space="preserve"> depopulation, related, decline, areas; EU scope not established. This is a provisional connection, not an outcome finding.</w:t>
      </w:r>
    </w:p>
    <w:p>
      <w:pPr>
        <w:pStyle w:val="SourceNote"/>
      </w:pPr>
      <w:r>
        <w:rPr>
          <w:b/>
        </w:rPr>
        <w:t>Available abstract (not full text):</w:t>
      </w:r>
      <w:r>
        <w:t xml:space="preserve"> Grid-level population projection is essential for spatial planning under demographic decline, particularly for ensuring that population allocation accounts for grid extinction risk. This study develops a two-stage machine learning framework to predict residential grid transitions across South Korea’s 1 km grid system and assess how spatial policies shape depopulation outcomes through 2050. Stage 1 employs Random Forest classification to predict grid state transitions (macro-averaged F1 score = 0.694), while Stage 2 applies LightGBM regression for population prediction (coefficient of determination = 0.950). The extinction probability map from Stage 1 is incorporated into scenario simulations to adjust population allocation based on predicted residential viability. Feature importance analysis reveals that baseline population, household count, and demographic composition are key determinants of grid-level residential transitions. Five spatial development scenarios simulated through 2050 reveal substantial policy sensitivity. Cumulative extinction rates range from 3.1% under extreme dispersion to 24.5% under extreme concentration, representing a 25 percentage point divergence attributable to spatial allocation policy. Provincial heterogeneity is pronounced, with rural provinces facing extinction rates up to 39.9% while metropolitan areas remain largely unaffected. Comparing scenar</w:t>
      </w:r>
    </w:p>
    <w:p>
      <w:pPr>
        <w:pStyle w:val="Heading2"/>
      </w:pPr>
      <w:r>
        <w:t>630. Red squirrel (Sciurus vulgaris) habitats change modelling in Eastern Europe in the scope of climate change according to new generation scenarios (SSPs) by 2100</w:t>
      </w:r>
    </w:p>
    <w:p>
      <w:pPr>
        <w:pStyle w:val="SourceNote"/>
      </w:pPr>
      <w:r>
        <w:rPr>
          <w:b/>
        </w:rPr>
        <w:t>Original source (2021):</w:t>
      </w:r>
      <w:r>
        <w:t xml:space="preserve"> https://doi.org/10.15407/tu2013</w:t>
      </w:r>
    </w:p>
    <w:p>
      <w:pPr/>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POSSIBLE 2026:</w:t>
      </w:r>
      <w:r>
        <w:t xml:space="preserve"> Varieties of Psychologization in Communist Europe — https://doi.org/10.1093/9780197773529.001.0001</w:t>
      </w:r>
    </w:p>
    <w:p>
      <w:pPr/>
      <w:r>
        <w:rPr>
          <w:b/>
        </w:rPr>
        <w:t>Shared claim-specific concepts:</w:t>
      </w:r>
      <w:r>
        <w:t xml:space="preserve"> took, account, four; EU scope visible. This is a provisional connection, not an outcome finding.</w:t>
      </w:r>
    </w:p>
    <w:p>
      <w:pPr>
        <w:pStyle w:val="SourceNote"/>
      </w:pPr>
      <w:r>
        <w:rPr>
          <w:b/>
        </w:rPr>
        <w:t>Available abstract (not full text):</w:t>
      </w:r>
      <w:r>
        <w:t xml:space="preserve">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pPr/>
      <w:r>
        <w:rPr>
          <w:b/>
        </w:rPr>
        <w:t>POSSIBLE 2026:</w:t>
      </w:r>
      <w:r>
        <w:t xml:space="preserve"> Diversity and zoogeography of mammals at the Levantine Land Bridge, Jordan — https://doi.org/10.13057/biodiv/d270709</w:t>
      </w:r>
    </w:p>
    <w:p>
      <w:pPr/>
      <w:r>
        <w:rPr>
          <w:b/>
        </w:rPr>
        <w:t>Shared claim-specific concepts:</w:t>
      </w:r>
      <w:r>
        <w:t xml:space="preserve"> distribution, species, current; EU scope not established. This is a provisional connection, not an outcome finding.</w:t>
      </w:r>
    </w:p>
    <w:p>
      <w:pPr>
        <w:pStyle w:val="SourceNote"/>
      </w:pPr>
      <w:r>
        <w:rPr>
          <w:b/>
        </w:rPr>
        <w:t>Available abstract (not full text):</w:t>
      </w:r>
      <w:r>
        <w:t xml:space="preserve"> Abstract. Abu Baker MA, Amr ZS. 2026. Diversity and zoogeography of mammals at the Levantine Land Bridge, Jordan. Biodiversitas 27 (7): d270709. https://doi.org/10.13057/biodiv/d270709. Jordan hosts a remarkably diverse mammalian fauna owing to its position at the intersection of three major zoogeographic realms (Afrotropical, Oriental, and Palaearctic) within the Levantine Land Bridge. This study aims to synthesize current knowledge of mammalian diversity in Jordan and interpret its biogeographic patterns in relation to habitat heterogeneity and historical processes. The analysis is based on published records, faunal surveys, and historical accounts documenting species occurrence across the country. A total of 83 mammalian species representing 8 orders have been recorded in Jordan, reflecting both wide-ranging taxa and habitat-restricted specialists. Zoogeographically, 46.84% of species are of Palaearctic origin, 31.65% Saharo-Sindian, 16.46% Afrotropical, and 7.59% Oriental. Approximately 39.24% of species are habitat-restricted, while 39.24% occur at the edges of their global distribution ranges. Species distributions correspond strongly to ecological gradients: forest-associated taxa, such as wood mice, stone marten, and several horseshoe bats, are largely confined to Mediterranean woodland habitats; Psammophilous gerbils occupy isolated sand dune systems within desert land</w:t>
      </w:r>
    </w:p>
    <w:p>
      <w:pPr/>
      <w:r>
        <w:rPr>
          <w:b/>
        </w:rPr>
        <w:t>POSSIBLE 2026:</w:t>
      </w:r>
      <w:r>
        <w:t xml:space="preserve"> Nosocomial outbreaks with rare yeasts: Trends, characteristics and preventive measures — https://doi.org/10.1016/j.jinf.2026.106765</w:t>
      </w:r>
    </w:p>
    <w:p>
      <w:pPr/>
      <w:r>
        <w:rPr>
          <w:b/>
        </w:rPr>
        <w:t>Shared claim-specific concepts:</w:t>
      </w:r>
      <w:r>
        <w:t xml:space="preserve"> anomalus, associated, species; EU scope not established. This is a provisional connection, not an outcome finding.</w:t>
      </w:r>
    </w:p>
    <w:p>
      <w:pPr>
        <w:pStyle w:val="SourceNote"/>
      </w:pPr>
      <w:r>
        <w:rPr>
          <w:b/>
        </w:rPr>
        <w:t>Available abstract (not full text):</w:t>
      </w:r>
      <w:r>
        <w:t xml:space="preserve"> OBJECTIVES: This narrative review aims to aggregate all reports of nosocomial transmission of rare yeast species, to provide an overview of global trends, causative species, clinical characteristics and preventive measures. METHODS: A comprehensive literature search of multiple databases was conducted, to identify all reported nosocomial transmission events involving rare yeast species. The five most common yeasts, Candida albicans, Nakaseomyces glabratus, Candida parapsilosis, Candida tropicalis and Pichia kudriavzevii, in addition to Candida auris were excluded. RESULTS: A total of 76 reports were retrieved since 1984, caused by 28 different species. Wickerhamoyces anomalus was the most common agent, followed by Magnusiomyces, Trichosporon and species of the Candida haemulonii complex. Since the early 2000s, a clear increase was noted both in the number of outbreak reports and range of associated species, largely due to improved diagnostics. Most species were resistant to one or multiple antifungals and although environmental sampling was often performed, virtually all efforts yielded negative results. Once noted, strict hand hygiene practices and proper cleaning and disinfection of medical equipment has shown in curbing nosocomial spread. CONCLUSION: As hospital outbreak events are increasingly reported, accurate species identification and epidemiological surveillance should</w:t>
      </w:r>
    </w:p>
    <w:p>
      <w:pPr/>
      <w:r>
        <w:rPr>
          <w:b/>
        </w:rPr>
        <w:t>POSSIBLE 2026:</w:t>
      </w:r>
      <w:r>
        <w:t xml:space="preserve"> Examining Instagram’s role in the illegal trade of the Caucasian squirrel — https://doi.org/10.1016/j.jnc.2026.127404</w:t>
      </w:r>
    </w:p>
    <w:p>
      <w:pPr/>
      <w:r>
        <w:rPr>
          <w:b/>
        </w:rPr>
        <w:t>Shared claim-specific concepts:</w:t>
      </w:r>
      <w:r>
        <w:t xml:space="preserve"> anomalus, species, four; EU scope not established. This is a provisional connection, not an outcome finding.</w:t>
      </w:r>
    </w:p>
    <w:p>
      <w:pPr>
        <w:pStyle w:val="SourceNote"/>
      </w:pPr>
      <w:r>
        <w:rPr>
          <w:b/>
        </w:rPr>
        <w:t>Available abstract (not full text):</w:t>
      </w:r>
      <w:r>
        <w:t xml:space="preserve"> Illegal wildlife trade is a major threat to biodiversity. In recent years, online platforms, particularly Instagram, have facilitated the widespread marketing of wild animals, enabling the trade. In this study, we analyzed Instagram posts to examine the illegal online trade of Caucasian squirrels ( Sciurus anomalus ) in Iran from August 2021 to January 2023. We found a total of 1,204 advertisements offering 1,494 individual squirrels, with the majority being juveniles. Only 25 posts listed prices, averaging USD 11.51. Most posts lacked geographic location. However, posts with a location tag were predominantly from the capital of Iran (Tehran). We employed a reflexive thematic analysis of advertisement captions and images that revealed four themes used by sellers: (1) emphasis on tameness, (2) persuasive communication to stimulate purchase, (3) legitimizing trade through captive breeding claims, and (4) controlled access. About half of the squirrels (n = 550) were shown in hand-held poses, and over a third were outside cages. The visual strategies used in the postings aimed to promote acceptance of close human-animal interaction and to emphasize the suitability of squirrels as pets. Temporally, postings were unevenly distributed throughout the year, with the highest numbers in April and August and the lowest in the winter months. Although seasonal differences were not statistica</w:t>
      </w:r>
    </w:p>
    <w:p>
      <w:pPr/>
      <w:r>
        <w:rPr>
          <w:b/>
        </w:rPr>
        <w:t>POSSIBLE 2026:</w:t>
      </w:r>
      <w:r>
        <w:t xml:space="preserve"> Update of the list of qualified presumption of safety (QPS) recommended microbiological agents intentionally added to food or feed as notified to EFSA 23: Suitability of taxonomic units notified to EFSA until September 2025 — https://doi.org/10.2903/j.efsa.2026.9824</w:t>
      </w:r>
    </w:p>
    <w:p>
      <w:pPr/>
      <w:r>
        <w:rPr>
          <w:b/>
        </w:rPr>
        <w:t>Shared claim-specific concepts:</w:t>
      </w:r>
      <w:r>
        <w:t xml:space="preserve"> materials, four, relevant;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harmonised safety assessment approach to support EFSA Scientific Panels and Units. The QPS approach assesses the taxonomic identity, body of relevant knowledge and safety of microorganisms intentionally added to the food and feed chain. Safety concerns identified for a taxonomic unit (TU) are, where possible, reflected by ‘qualifications’ that should be assessed at the strain level by EFSA's Scientific Panels. During the period covered by this Statement, no new information warranted changes to the status of previously recommended QPS TUs. The QPS list was updated to verify the correctness of the names and the completeness of synonyms. Of the 47 microorganisms notified to EFSA between April and September 2025 (28 as feed additives, 11 as food enzymes or additives, 6 as novel foods, none as plant protection products and 2 as food contact materials), 43 were not evaluated. These latter included 9 filamentous fungi and 9 Escherichia coli (all excluded from the QPS evaluation), and 25 already present on the QPS list. One of the other four notifications, Heyndrickxia faecalis (previously known as Weizmannia faecalis), had been assessed recently within this 3‐years QPS cycle. The remaining 3 were assessed for a possible QPS status. Microchloropsis gaditana, Bacillus thermoamylovorans (both notified f</w:t>
      </w:r>
    </w:p>
    <w:p>
      <w:pPr/>
      <w:r>
        <w:rPr>
          <w:b/>
        </w:rPr>
        <w:t>POSSIBLE 2026:</w:t>
      </w:r>
      <w:r>
        <w:t xml:space="preserve"> Heliaca 2026 — https://openalex.org/W7134865893</w:t>
      </w:r>
    </w:p>
    <w:p>
      <w:pPr/>
      <w:r>
        <w:rPr>
          <w:b/>
        </w:rPr>
        <w:t>Shared claim-specific concepts:</w:t>
      </w:r>
      <w:r>
        <w:t xml:space="preserve"> took, well, species; EU scope visible. This is a provisional connection, not an outcome finding.</w:t>
      </w:r>
    </w:p>
    <w:p>
      <w:pPr>
        <w:pStyle w:val="SourceNote"/>
      </w:pPr>
      <w:r>
        <w:rPr>
          <w:b/>
        </w:rPr>
        <w:t>Available abstract (not full text):</w:t>
      </w:r>
      <w:r>
        <w:t xml:space="preserve"> a Mátrában, a Karancson, a Medvesben és a Börzsönyben is.Az uhuállomány jelentősen megerősödött, egyedül a kuvikról mondható el, hogy egy folyamatos csökkenést mutató időszak utáni mélypontról kimozdulva mára emelkedő számú fajjá vált.1974 előtt a baglyok (Strigiformes) iránti érdeklődés minimális volt.Jól mutatja ezt az 1951-1973 között Magyarországon meggyűrűzött baglyok elenyésző száma is (1.táblázat).A Magyar Madártani és Természetvédelmi Egyesület (MME) 1974.január 6-án alakult, akkor még Magyar Madártani Egyesület néven.Abban az időben Magyarországon hét bagolyfaj tartozott a rendszeres fészkelők közé: a gyöngybagoly (Tyto alba), a füleskuvik (Otus scops), az uhu (Bubo bubo), a macskabagoly (Strix aluco), az uráli bagoly (Strix uralensis), a kuvik (Athene noctua) és az erdei fülesbagoly (Asio otus).Ezek közül az uráli bagoly évente eltérő számban, de jobb években is legfeljebb egy-két tucat párban költött a Zempléni-hegységben.A füleskuvik mindössze az ország néhány pontjáról volt ismert, bár valószínűleg több helyen is előfordulhatott költő madárként.Az uhuállomány akkoriban a teljes összeomlás szélén volt.A kuvik a mainál nagyobb területen és jelentősen több párban költött.A réti fülesbagoly (Asio flammeus) pedig alkalmi fészkelőnek számított.Az azóta eltelt időben jelentős változások következtek be.Egyfelől rendszeres fészkelővé vált a törpekuvik (Glaucidium passerinum</w:t>
      </w:r>
    </w:p>
    <w:p>
      <w:pPr/>
      <w:r>
        <w:rPr>
          <w:b/>
        </w:rPr>
        <w:t>POSSIBLE 2026:</w:t>
      </w:r>
      <w:r>
        <w:t xml:space="preserve"> Towards Bioproduction of Yeast-Based Odd-Chain Fatty Acids — https://doi.org/10.63959/chalmers.dt/5912</w:t>
      </w:r>
    </w:p>
    <w:p>
      <w:pPr/>
      <w:r>
        <w:rPr>
          <w:b/>
        </w:rPr>
        <w:t>Shared claim-specific concepts:</w:t>
      </w:r>
      <w:r>
        <w:t xml:space="preserve"> well, selected, species, four; EU scope not established. This is a provisional connection, not an outcome finding.</w:t>
      </w:r>
    </w:p>
    <w:p>
      <w:pPr>
        <w:pStyle w:val="SourceNote"/>
      </w:pPr>
      <w:r>
        <w:rPr>
          <w:b/>
        </w:rPr>
        <w:t>Available abstract (not full text):</w:t>
      </w:r>
      <w:r>
        <w:t xml:space="preserve"> Odd-chain fatty acids (OCFAs) are high-value lipids with emerging medical and nutritional applications. However, their natural abundance is low, and conventional extraction or chemical synthesis methods are inefficient or unsustainable. Microbial fermentation using oleaginous yeasts offers a promising alternative, particularly when employing short-chain fatty acids digestates rich in propionic acid, the main precursor for OCFA synthesis.In this thesis work yeast-based OCFA production has been explored by improving quantitative analytical methods, identifying suitable yeast cell factories, characterizing their performance, and initiating strain engineering efforts. First, a fatty acid methyl ester protocol was optimized for robust OCFA analysis. Second, eight strains capable of growth on 15 g/L propionic acid and production of OCFA were identified in a screening of nineteen oleaginous yeasts. Third, four yeast species were selected for further study: Cutaneotrichosporon oleaginosus for its high OCFA titers, Rhodotorula toruloides for its high OCFA yield, Yarrowia lipolytica for its high tolerance to propionic acid, and Blastobotrys adeninivorans for its ability to produce OCFAs, grow well in propionic acid and as a relatively underexplored yeast. Cultivation on mixtures of acetic and propionic acids at different carbon-to-nitrogen ratios revealed distinct and interesting perform</w:t>
      </w:r>
    </w:p>
    <w:p>
      <w:pPr/>
      <w:r>
        <w:rPr>
          <w:b/>
        </w:rPr>
        <w:t>POSSIBLE 2026:</w:t>
      </w:r>
      <w:r>
        <w:t xml:space="preserve"> Update of the list of QPS‐recommended biological agents intentionally added to food or feeds as notified to EFSA — https://doi.org/10.2903/j.efsa.2026.9823</w:t>
      </w:r>
    </w:p>
    <w:p>
      <w:pPr/>
      <w:r>
        <w:rPr>
          <w:b/>
        </w:rPr>
        <w:t>Shared claim-specific concepts:</w:t>
      </w:r>
      <w:r>
        <w:t xml:space="preserve"> materials, species, relevant;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harmonised safety assessment approach to support EFSA Scientific Panels and Units. The QPS approach assesses the taxonomic identity, body of relevant knowledge and safety concerns of microorganisms intentionally added to the food and feed chain. Safety concerns identified for a taxonomic unit (TU) are, where possible, reflected by ‘qualifications’ that should be assessed at the strain level by EFSA's Scientific Panels. In total, 340 notifications were received between October 2022 and September 2025, of which, 190 were of microorganisms used for the production of feed additives, 87 for the production of food enzymes, food additives and flavourings, 3 for food contact materials, 22 as Plant Protection Products (PPPs) and 38 for novel foods. Bacteriophages, previously ineligible for the QPS status, are now eligible at the species level. The QPS list has been updated in relation to the most recent taxonomic insights and the qualifications were revised and streamlined. A BIOHAZ Panel Statement on how to interpret the QPS qualification on ‘acquired antimicrobial resistance genes’ was published and revised; the qualification ‘for production purposes only’ was extended to production strains or biomass; the qualification on genetic modified microorganisms (GMMs) was also extended to production strains</w:t>
      </w:r>
    </w:p>
    <w:p>
      <w:pPr/>
      <w:r>
        <w:rPr>
          <w:b/>
        </w:rPr>
        <w:t>POSSIBLE 2026:</w:t>
      </w:r>
      <w:r>
        <w:t xml:space="preserve"> Update of the list of QPS-recommended biological agents intentionally added to food or feeds as notified to EFSA — https://openalex.org/W7160672733</w:t>
      </w:r>
    </w:p>
    <w:p>
      <w:pPr/>
      <w:r>
        <w:rPr>
          <w:b/>
        </w:rPr>
        <w:t>Shared claim-specific concepts:</w:t>
      </w:r>
      <w:r>
        <w:t xml:space="preserve"> materials, species, relevant; EU scope not established. This is a provisional connection, not an outcome finding.</w:t>
      </w:r>
    </w:p>
    <w:p>
      <w:pPr>
        <w:pStyle w:val="SourceNote"/>
      </w:pPr>
      <w:r>
        <w:rPr>
          <w:b/>
        </w:rPr>
        <w:t>Available abstract (not full text):</w:t>
      </w:r>
      <w:r>
        <w:t xml:space="preserve"> The qualified presumption of safety (QPS) process was developed to provide a harmonised safety assessment approach to support EFSA Scientific Panels and Units. The QPS approach assesses the taxonomic identity, body of relevant knowledge and safety concerns of microorganisms intentionally added to the food and feed chain. Safety concerns identified for a taxonomic unit (TU) are, where possible, reflected by 'qualifications' that should be assessed at the strain level by EFSA's Scientific Panels. In total, 340 notifications were received between October 2022 and September 2025, of which, 190 were of microorganisms used for the production of feed additives, 87 for the production of food enzymes, food additives and flavourings, 3 for food contact materials, 22 as Plant Protection Products (PPPs) and 38 for novel foods. Bacteriophages, previously ineligible for the QPS status, are now eligible at the species level. The QPS list has been updated in relation to the most recent taxonomic insights and the qualifications were revised and streamlined. A BIOHAZ Panel Statement on how to interpret the QPS qualification on 'acquired antimicrobial resistance genes' was published and revised; the qualification 'for production purposes only' was extended to production strains or biomass; the qualification on genetic modified microorganisms (GMMs) was also extended to production strains, biomass</w:t>
      </w:r>
    </w:p>
    <w:p>
      <w:pPr/>
      <w:r>
        <w:rPr>
          <w:b/>
        </w:rPr>
        <w:t>POSSIBLE 2025:</w:t>
      </w:r>
      <w:r>
        <w:t xml:space="preserve"> An updated checklist of the mammals of Türkiye — https://doi.org/10.55730/1300-0179.3232</w:t>
      </w:r>
    </w:p>
    <w:p>
      <w:pPr/>
      <w:r>
        <w:rPr>
          <w:b/>
        </w:rPr>
        <w:t>Shared claim-specific concepts:</w:t>
      </w:r>
      <w:r>
        <w:t xml:space="preserve"> distribution, well, species; EU scope not established. This is a provisional connection, not an outcome finding.</w:t>
      </w:r>
    </w:p>
    <w:p>
      <w:pPr>
        <w:pStyle w:val="SourceNote"/>
      </w:pPr>
      <w:r>
        <w:rPr>
          <w:b/>
        </w:rPr>
        <w:t>Available abstract (not full text):</w:t>
      </w:r>
      <w:r>
        <w:t xml:space="preserve"> Between 1982 and 2025, the number of extant wild mammal species worldwide rose from 4170 to 6706. The Turkish mammal fauna also showed a similar trend, with the number of mammal species listed for Türkiye rising from 89 to 173 in just 33 years, from 1989 to 2021. A shift in species numbers like this calls for regular updates to Türkiye’s mammal species lists as well as the preparation of new checklists. Apart from changes in the number of species, numerous taxonomic changes and rearrangements also lead to changes in mammal lists. We arranged an updated mammal checklist by reviewing the literature and identifying additions, deletions, and changes in the mammal fauna of Türkiye. This study presents the occurrence of 177 wild mammal species, comprising 165 terrestrial and 12 marine mammal species in Türkiye. Among them, 13 are endemic and 12 are regionally endemic terrestrial mammal species to Türkiye. Türkiye also has 10 domestic mammal species. Furthermore, it is anticipated that 16 mammal species with close geographic distribution ranges to Türkiye may be reported in future checklists for Türkiye.</w:t>
      </w:r>
    </w:p>
    <w:p>
      <w:pPr/>
      <w:r>
        <w:rPr>
          <w:b/>
        </w:rPr>
        <w:t>POSSIBLE 2025:</w:t>
      </w:r>
      <w:r>
        <w:t xml:space="preserve"> Update of the list of qualified presumption of safety (QPS) recommended microbiological agents intentionally added to food or feed as notified to EFSA 21: Suitability of taxonomic units notified to EFSA until September 2024 — https://doi.org/10.2903/j.efsa.2025.9169</w:t>
      </w:r>
    </w:p>
    <w:p>
      <w:pPr/>
      <w:r>
        <w:rPr>
          <w:b/>
        </w:rPr>
        <w:t>Shared claim-specific concepts:</w:t>
      </w:r>
      <w:r>
        <w:t xml:space="preserve"> species, respective;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safety assessment approach for microorganisms intended for use in food or feed chains. In the period covered by this Statement, no new information was found that would change the status of previously recommended QPS taxonomic units (TUs). The TUs in the QPS list were updated based on a verification, against their respective authoritative databases, of the correctness of the names and completeness of synonyms. Of 54 microorganisms notified to EFSA between April and September 2024 (33 as feed additives, 17 as food enzymes or additives, 4 as novel foods), 50 were not evaluated because: 12 were filamentous fungi, 1 was Enterococcus faecium and 8 were Escherichia coli (all excluded from the QPS evaluation), and 29 were TUs that already have a QPS status. One notification (Ensifer adhaerens) was already evaluated in a previous Panel Statement. Another notification (Enterococcus lactis) was already evaluated in the previous 3‐year QPS cycle and was reassessed within this document. Two TUs were notified for the first time and were assessed for a possible QPS status: Serratia plymuthica and Lacticaseibacillus huelsenbergensis. Bacillus thuringiensis and Bacillus nakamurai have been assessed for a possible QPS status in response to internal requests. The following was concluded on the five assessed TUs.</w:t>
      </w:r>
    </w:p>
    <w:p>
      <w:pPr/>
      <w:r>
        <w:rPr>
          <w:b/>
        </w:rPr>
        <w:t>POSSIBLE 2025:</w:t>
      </w:r>
      <w:r>
        <w:t xml:space="preserve"> The European Bookshop Business Model — https://doi.org/10.4324/9781003615101</w:t>
      </w:r>
    </w:p>
    <w:p>
      <w:pPr/>
      <w:r>
        <w:rPr>
          <w:b/>
        </w:rPr>
        <w:t>Shared claim-specific concepts:</w:t>
      </w:r>
      <w:r>
        <w:t xml:space="preserve"> account, current; EU scope visible. This is a provisional connection, not an outcome finding.</w:t>
      </w:r>
    </w:p>
    <w:p>
      <w:pPr>
        <w:pStyle w:val="SourceNote"/>
      </w:pPr>
      <w:r>
        <w:rPr>
          <w:b/>
        </w:rPr>
        <w:t>Available abstract (not full text):</w:t>
      </w:r>
      <w:r>
        <w:t xml:space="preserve"> Drawing on original primary data, this book offers a comparative account of the European bookshop model, charting how it has evolved in the contemporary economy, how recent industry transformations have impacted it, and how bookshops have sought to adapt to new market conditions. Covering the period from the fall of the Berlin Wall in 1989 up until the present day, this book considers the evolution, both historic and economic, of European countries and book markets to arrive at a broad picture of the European bookshop model today. It draws on interviews with over 250 book industry players across 23 countries to critically consider the evolution of systems, legislative frameworks, reading habits, competition, and market structure, situating these changes within a broader set of current issues and cultural shifts. Alongside the ongoing challenges posed by disruption – from digitization to a hyper-abundance of books – the author also reflects on the key strategies that bookshops have deployed to overcome them, including via collective action and curation. Depicting an uncertain outlook for the industry, including the impact of AI, this text nonetheless offers hope for the future of the bookshop and bears testament to its enduring social and cultural significance. The European Bookshop Business Model is recommended reading for advanced students and researchers in fields including B</w:t>
      </w:r>
    </w:p>
    <w:p>
      <w:pPr>
        <w:pStyle w:val="Heading2"/>
      </w:pPr>
      <w:r>
        <w:t>631. Regional growth and disparities in a post‐COVID Europe: A new normality scenario</w:t>
      </w:r>
    </w:p>
    <w:p>
      <w:pPr>
        <w:pStyle w:val="SourceNote"/>
      </w:pPr>
      <w:r>
        <w:rPr>
          <w:b/>
        </w:rPr>
        <w:t>Original source (2021):</w:t>
      </w:r>
      <w:r>
        <w:t xml:space="preserve"> https://doi.org/10.1111/jors.12542</w:t>
      </w:r>
    </w:p>
    <w:p>
      <w:pPr/>
      <w:r>
        <w:t>Original wording (abstract; indexed_source_text_not_full_document_verified):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POSSIBLE 2026:</w:t>
      </w:r>
      <w:r>
        <w:t xml:space="preserve"> The European Green Deal and Sustainability: A Model for Better Governance Solutions for Latvia — https://doi.org/10.20900/jsr20260022</w:t>
      </w:r>
    </w:p>
    <w:p>
      <w:pPr/>
      <w:r>
        <w:rPr>
          <w:b/>
        </w:rPr>
        <w:t>Shared claim-specific concepts:</w:t>
      </w:r>
      <w:r>
        <w:t xml:space="preserve"> better, regional, provide; EU scope visible. This is a provisional connection, not an outcome finding.</w:t>
      </w:r>
    </w:p>
    <w:p>
      <w:pPr>
        <w:pStyle w:val="SourceNote"/>
      </w:pPr>
      <w:r>
        <w:rPr>
          <w:b/>
        </w:rPr>
        <w:t>Available abstract (not full text):</w:t>
      </w:r>
      <w:r>
        <w:t xml:space="preserve"> The research aims to identify improvements and better solutions for the Latvian governance model for implementing the goals of the European Green Deal, considering the economic, environmental and social perspectives of sustainability and the diverse development of territorial regions. The research applied the Analytic Hierarchy Process as a multi-criteria decision-making method, using qualitative evaluation criteria for governance challenges. An expert assessment was conducted with representatives from five stakeholders, who rated three alternative European Green Deal governance scenarios developed based on territorial governance practices in comparable Member States. The findings showed that Latvia’s current centralized governance model requires differentiation of functions and responsibilities across governance levels. A centralized approach is most suitable for achieving economic sustainability objectives, while environmental and social sustainability goals are more effectively implemented through governance delegated to regional associations. Certain sustainability objectives would benefit from broader powers at the municipal level, thus implementing a place-based territorial governance approach. The research has implications for designing more adaptive, multi-level governance arrangements for the European Green Deal. Practically, the results provide guidance for policymake</w:t>
      </w:r>
    </w:p>
    <w:p>
      <w:pPr/>
      <w:r>
        <w:rPr>
          <w:b/>
        </w:rPr>
        <w:t>POSSIBLE 2026:</w:t>
      </w:r>
      <w:r>
        <w:t xml:space="preserve"> Addressing food and nutrition insecurity in European countries: a scoping review of strategies and policies. — https://doi.org/10.4415/ann_26_02_09</w:t>
      </w:r>
    </w:p>
    <w:p>
      <w:pPr/>
      <w:r>
        <w:rPr>
          <w:b/>
        </w:rPr>
        <w:t>Shared claim-specific concepts:</w:t>
      </w:r>
      <w:r>
        <w:t xml:space="preserve"> areas, crisis, covid-19, provide; EU scope visible. This is a provisional connection, not an outcome finding.</w:t>
      </w:r>
    </w:p>
    <w:p>
      <w:pPr>
        <w:pStyle w:val="SourceNote"/>
      </w:pPr>
      <w:r>
        <w:rPr>
          <w:b/>
        </w:rPr>
        <w:t>Available abstract (not full text):</w:t>
      </w:r>
      <w:r>
        <w:t xml:space="preserve"> BACKGROUND: Food and nutrition insecurity (FNI) is a major public health concern, due to its association with a variety of adverse health outcomes. OBJECTIVE: The aim of this article is to provide a description of the strategies and policies to mitigate FNI in European countries, with a particular focus on economic, agriculture and social macro-areas. METHODS: A scoping review, following the Preferred Reporting Items for Systematic reviews and Meta-Analyses extension for Scoping Reviews (PRISMA) guidelines, was performed to map any study design, reporting policies and strategies that tackle FNI through food and nutrition security (FNS), access, utilization, or stability. RESULTS: The review identified 13 documents from institutional websites and 6 scientific articles, published from 2005 to 2022. The included papers highlight a multifaceted approach to addressing food insecurity, with policies covering several dimensions. The policies identified can be categorized into several key themes: agriculture and fisheries, nutrition, environment, sustainability, economy, stakeholder's views, COVID-19 pandemic and other crisis, vulnerable populations (women, children, migrants) and information campaigns. The review describes in detail several policies, examining their effectiveness and the challenges faced in ensuring that these initiatives result in tangible improvements in food access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areas, crisis, likely;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Filling the Gap to Address Vaccine Hesitancy in Europe — https://doi.org/10.3389/phrs.2025.1608208</w:t>
      </w:r>
    </w:p>
    <w:p>
      <w:pPr/>
      <w:r>
        <w:rPr>
          <w:b/>
        </w:rPr>
        <w:t>Shared claim-specific concepts:</w:t>
      </w:r>
      <w:r>
        <w:t xml:space="preserve"> able, covid-19, regional, like, likely; EU scope visible. This is a provisional connection, not an outcome finding.</w:t>
      </w:r>
    </w:p>
    <w:p>
      <w:pPr>
        <w:pStyle w:val="SourceNote"/>
      </w:pPr>
      <w:r>
        <w:rPr>
          <w:b/>
        </w:rPr>
        <w:t>Available abstract (not full text):</w:t>
      </w:r>
      <w:r>
        <w:t xml:space="preserve"> Vaccine hesitancy (VH) is a state of indecision regarding vaccination, marked by doubts despite vaccine availability. 1 Its relationship with vaccine uptake has been widely debated, though the cause-effect relationship remains unclear. Nevertheless, VH likely threatens the control of vaccine-preventable diseases, such as measles and hepatitis B, imposing unnecessary burdens on health systems.Inappropriate access to information, inadequate vaccine offers, and administration have been identified as primary contributors to reluctance and doubts surrounding vaccine uptake. However, social and individual factors related to knowledge and attitudes further prolong this psychological state of indecision, leading to delayed vaccinations and even refusal. Despite extensive efforts to promote vaccination across European countries, VH persists, affecting vaccine uptake across various demographic groups and settings. Hesitancy varies by country, type of vaccine (whether recently approved or longstanding), and target populations, including children, vulnerable groups, or the general population.Assessing the frequency, determinants, and impact of vaccine hesitancy presents a significant global and regional challenge. 2 Variations in definitions, data gaps regarding vaccine acceptance, and population coverage hinder precise evaluation. These discrepancies make it more difficult to develop targ</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important, regional, disparities;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Paper chase for social justice and equality : civil society’s interplay with the European commission in European economic governance — https://openalex.org/W7128326708</w:t>
      </w:r>
    </w:p>
    <w:p>
      <w:pPr/>
      <w:r>
        <w:rPr>
          <w:b/>
        </w:rPr>
        <w:t>Shared claim-specific concepts:</w:t>
      </w:r>
      <w:r>
        <w:t xml:space="preserve"> important, able, better, structural; EU scope visible. This is a provisional connection, not an outcome finding.</w:t>
      </w:r>
    </w:p>
    <w:p>
      <w:pPr>
        <w:pStyle w:val="SourceNote"/>
      </w:pPr>
      <w:r>
        <w:rPr>
          <w:b/>
        </w:rPr>
        <w:t>Available abstract (not full text):</w:t>
      </w:r>
      <w:r>
        <w:t xml:space="preserve"> This dissertation investigates the role of civil society organisations (CSOs) in European economic governance, focusing on their interaction with the European Commission during the European Semester between 2011 and 2020, an economic governance process monitoring the implementation of the Europe 2020 strategy. The analysis is framed by Gramsci’s theory of hegemony and Power Resources Theory, providing a nuanced understanding of the structural barriers and opportunities for CSO engagement. The study critiques the entrenched neoliberal paradigm that dominates the European Semester, highlighting how social objectives remain subordinated to economic priorities despite the rhetorical commitments to social investment, inclusivity and sustainability promoted through policy initiatives such as the Social Investment Package and the European Pillar of Social Rights. Drawing on empirical data and theoretical insights, the research identifies key challenges faced by CSOs, including fragmented advocacy efforts, limited skills, capacity and resources, and – most importantly – a lack of a cohesive counter-narrative. The findings reveal that while CSOs have gained some access to governance processes, their influence is constrained by structural asymmetries and inconsistent participation. Considering the important role national CSOs have in providing their EU-level counterparts with information</w:t>
      </w:r>
    </w:p>
    <w:p>
      <w:pPr/>
      <w:r>
        <w:rPr>
          <w:b/>
        </w:rPr>
        <w:t>POSSIBLE 2025:</w:t>
      </w:r>
      <w:r>
        <w:t xml:space="preserve"> Urban diplomacy in Europe — https://doi.org/10.4324/9781003708889-41</w:t>
      </w:r>
    </w:p>
    <w:p>
      <w:pPr/>
      <w:r>
        <w:rPr>
          <w:b/>
        </w:rPr>
        <w:t>Shared claim-specific concepts:</w:t>
      </w:r>
      <w:r>
        <w:t xml:space="preserve"> important, question; EU scope visible. This is a provisional connection, not an outcome finding.</w:t>
      </w:r>
    </w:p>
    <w:p>
      <w:pPr>
        <w:pStyle w:val="SourceNote"/>
      </w:pPr>
      <w:r>
        <w:rPr>
          <w:b/>
        </w:rPr>
        <w:t>Available abstract (not full text):</w:t>
      </w:r>
      <w:r>
        <w:t xml:space="preserve"> Over the past few decades, the role that cities play in international politics has increased. In an age in which people, goods, money and information are more than ever transcending national boundaries, cities serve as platforms for the discussion of shared international issues. Mayors appear at big conferences on climate and sustainability and compete for the right to host international events such as the Olympics or the European Capital of Culture. Where originally diplomacy was primarily the domain of states, nowadays it is also familiar territory for cities. This diplomacy does not only manifest itself globally but also at the European level. New partnerships are established in which European cities join forces to promote shared interests. It is partly because of these developments that the EU regards cities as important partners for the European agenda setting and devising strategies for addressing this agenda. However, the question is whether this type of urban diplomacy can be an avenue for closer European cooperation. Does it attest to a shared engagement with European issues, or is it mainly a platform for business-minded pragmatism?</w:t>
      </w:r>
    </w:p>
    <w:p>
      <w:pPr/>
      <w:r>
        <w:rPr>
          <w:b/>
        </w:rPr>
        <w:t>POSSIBLE 2025:</w:t>
      </w:r>
      <w:r>
        <w:t xml:space="preserve"> Is the Romanian organic grains value chain able to sustain the European Green Deal targets? — https://doi.org/10.5513/jcea01/26.2.4521</w:t>
      </w:r>
    </w:p>
    <w:p>
      <w:pPr/>
      <w:r>
        <w:rPr>
          <w:b/>
        </w:rPr>
        <w:t>Shared claim-specific concepts:</w:t>
      </w:r>
      <w:r>
        <w:t xml:space="preserve"> important, able, better; EU scope visible. This is a provisional connection, not an outcome finding.</w:t>
      </w:r>
    </w:p>
    <w:p>
      <w:pPr>
        <w:pStyle w:val="SourceNote"/>
      </w:pPr>
      <w:r>
        <w:rPr>
          <w:b/>
        </w:rPr>
        <w:t>Available abstract (not full text):</w:t>
      </w:r>
      <w:r>
        <w:t xml:space="preserve"> Romania ranks among the top five cereal producers in the European Union, with an important organic grain sector. Currently, the existing research on organic value chains is relatively sparse. Furthermore, the geographical scope of the existing literature is often narrow, with limited attention to Eastern Europe, especially to Romania. Moreover, understanding the barriers of the organic value chain in line with the European Green Deal's ambition of certifying 25% of agricultural land as organic is also not properly addressed in the current literature. This study advances current knowledge by meticulously mapping the value chain structure in a multi-actor approach, aiming to identify governance issues and pinpoint barriers alongside potential solutions to maximise the contributions of the Romanian organic cereal sector to the EU Green Deal targets. Data was gathered through 30 semi-structured interviews with key stakeholders in the entire value chain. A content analysis was employed to interpret and categorise the findings at different stakeholder levels. Results reveal that several transversal challenges for better grains organic sector development are: inconsistent legislative frameworks; low processing capabilities attributed to the low demand for organic products, and the lack of consumer confidence in organic products. Stakeholders propose several strategies to mitigate thes</w:t>
      </w:r>
    </w:p>
    <w:p>
      <w:pPr/>
      <w:r>
        <w:rPr>
          <w:b/>
        </w:rPr>
        <w:t>POSSIBLE 2025:</w:t>
      </w:r>
      <w:r>
        <w:t xml:space="preserve"> The impact of the European Medicines Agency (EMA) and the Heads of Medicines Agencies (HMA) to address shortages of human and veterinary medicines across Europe — https://doi.org/10.3389/fpubh.2025.1673681</w:t>
      </w:r>
    </w:p>
    <w:p>
      <w:pPr/>
      <w:r>
        <w:rPr>
          <w:b/>
        </w:rPr>
        <w:t>Shared claim-specific concepts:</w:t>
      </w:r>
      <w:r>
        <w:t xml:space="preserve"> important, crisis, provide, structural; EU scope visible. This is a provisional connection, not an outcome finding.</w:t>
      </w:r>
    </w:p>
    <w:p>
      <w:pPr>
        <w:pStyle w:val="SourceNote"/>
      </w:pPr>
      <w:r>
        <w:rPr>
          <w:b/>
        </w:rPr>
        <w:t>Available abstract (not full text):</w:t>
      </w:r>
      <w:r>
        <w:t xml:space="preserve"> Shortages of medicines are a global public health challenge with a significant impact on patient care. While the issue is at the top of the agenda of EU policymakers, regulators and healthcare providers, shortages are a complex problem with many contributing factors requiring multifaceted solutions. This article is a reflection of the work EMA and network of EU regulatory agencies for medicines carried out since 2012, in particular its taskforce, set up in 2016 to provide strategic and structural solutions to tackle shortages in the EU. Since its inception, the taskforce played a key role in spearheading activities related to medicines' shortages. Members of the taskforce supported important initiatives from leading the work on critical medicines to laying the foundation for Regulation (EU) 2022/123, which reinforces EMA's role in crisis preparedness and management of medicinal products and medical devices. On 18 December 2024 the taskforce reached the end of its mandate. Its work is now integrated into EMA and HMA's core activities. Future activities such as the implementation of shortage prevention plans will be further defined by measures in the revised pharmaceutical legislation, and the proposed Critical Medicines Act.</w:t>
      </w:r>
    </w:p>
    <w:p>
      <w:pPr/>
      <w:r>
        <w:rPr>
          <w:b/>
        </w:rPr>
        <w:t>POSSIBLE 2025:</w:t>
      </w:r>
      <w:r>
        <w:t xml:space="preserve"> Orientalism in Eastern Europe: the Quran Adventure of the Philomaths — https://doi.org/10.18290/rh24721.3s</w:t>
      </w:r>
    </w:p>
    <w:p>
      <w:pPr/>
      <w:r>
        <w:rPr>
          <w:b/>
        </w:rPr>
        <w:t>Shared claim-specific concepts:</w:t>
      </w:r>
      <w:r>
        <w:t xml:space="preserve"> addresses, important, question; EU scope visible. This is a provisional connection, not an outcome finding.</w:t>
      </w:r>
    </w:p>
    <w:p>
      <w:pPr>
        <w:pStyle w:val="SourceNote"/>
      </w:pPr>
      <w:r>
        <w:rPr>
          <w:b/>
        </w:rPr>
        <w:t>Available abstract (not full text):</w:t>
      </w:r>
      <w:r>
        <w:t xml:space="preserve"> The Quran of the Philomaths is a fascinating adventure led by brilliant patriotic students, mainly Polish. They spent several years in Lithuania in the early 19th century, writing the first Polish translation of the Koran using the Latin alphabet. Numerous articles were devoted to this Quran, as well as several books on the Tatars of Northern Europe. However, those papers emphasize the political patriotic goals behind that translation. This long article, based on my doctoral thesis at the Sorbonne, follows another path and demonstrates that the translation of the Philomaths was first a scientific and literary project motivated by the great interest in Orientalism shown by the Philomaths. To support this, the first part of the article is dedicated to demonstrating the importance of the Orientalist movement in Poland and Vilnius in general, and among several members of the Philomaths and the Philarets. The question of rehabilitation of Polish Orientalists who lived in Russia in the 19th century is also included. The second part of this research addresses essential questions about the Koran of the Philomaths, such as who the real authors are, their sources, their level of Arabic and their work methodology. Some of these practical questions have never been addressed. This paper also focuses on what happened to the manuscript of the Philomaths after their conviction in 1823. It is t</w:t>
      </w:r>
    </w:p>
    <w:p>
      <w:pPr/>
      <w:r>
        <w:rPr>
          <w:b/>
        </w:rPr>
        <w:t>POSSIBLE 2025:</w:t>
      </w:r>
      <w:r>
        <w:t xml:space="preserve"> Mainstreaming Natural/Small Water Retention Measures in Europe – evaluation of drivers and hindrances with a dedicated SWOT framework — https://doi.org/10.5281/zenodo.19097868</w:t>
      </w:r>
    </w:p>
    <w:p>
      <w:pPr/>
      <w:r>
        <w:rPr>
          <w:b/>
        </w:rPr>
        <w:t>Shared claim-specific concepts:</w:t>
      </w:r>
      <w:r>
        <w:t xml:space="preserve"> important, question, areas, better, answer; EU scope visible. This is a provisional connection, not an outcome finding.</w:t>
      </w:r>
    </w:p>
    <w:p>
      <w:pPr>
        <w:pStyle w:val="SourceNote"/>
      </w:pPr>
      <w:r>
        <w:rPr>
          <w:b/>
        </w:rPr>
        <w:t>Available abstract (not full text):</w:t>
      </w:r>
      <w:r>
        <w:t xml:space="preserve"> There is strong evidence that Natural/Small Water Retention Measures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Although there is a growing recognition of the importance of NSWRMs and a growing body of literature dedicated to this subject, the motivations behind their systematic implementation remain quite underexplored. To answer this question, we developed a comprehensive SWOT (Strengths, Weaknesses, Opportunities, Threats) analytical framework and applied it to 14 case study locations in Europe with various soil and climatic conditions and agricultural systems. The framework consists of six Topics (Attitudes, Knowledge, Institutions, Financing schemes, Technology and Communication) with specific Factors that have been evaluated by 26 local experts. Ranking results reveal current strengths and weaknesses and future opportunities and threats for NSWRM implementation. A cluster analysis helps to better understand the relationships between the Topics and points to specific intervention areas to better utilize the strengths and opportunities and address weaknesses and threats.</w:t>
      </w:r>
    </w:p>
    <w:p>
      <w:pPr/>
      <w:r>
        <w:rPr>
          <w:b/>
        </w:rPr>
        <w:t>POSSIBLE 2024:</w:t>
      </w:r>
      <w:r>
        <w:t xml:space="preserve"> Understanding and addressing shortfalls in European wild bee data — https://doi.org/10.1016/j.biocon.2024.110455</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pStyle w:val="Heading2"/>
      </w:pPr>
      <w:r>
        <w:t>632. Scenario Forecasting of Agriculture Institutional Transformation on Sustainable Development Base</w:t>
      </w:r>
    </w:p>
    <w:p>
      <w:pPr>
        <w:pStyle w:val="SourceNote"/>
      </w:pPr>
      <w:r>
        <w:rPr>
          <w:b/>
        </w:rPr>
        <w:t>Original source (2021):</w:t>
      </w:r>
      <w:r>
        <w:t xml:space="preserve"> https://doi.org/10.37394/232015.2021.17.55</w:t>
      </w:r>
    </w:p>
    <w:p>
      <w:pPr/>
      <w:r>
        <w:t>Original wording (abstract; indexed_source_text_not_full_document_verified): Three scenarios of the forecast development of agricultural sector of Ukraine economy (pessimistic, realistic, and optimistic) are outlined in the article.</w:t>
      </w:r>
    </w:p>
    <w:p>
      <w:pPr/>
      <w:r>
        <w:rPr>
          <w:b/>
        </w:rPr>
        <w:t>POSSIBLE 2026:</w:t>
      </w:r>
      <w:r>
        <w:t xml:space="preserve"> Future development of ecological agriculture and regional impacts: stakeholders' perception in three French regions — https://openalex.org/W7161657619</w:t>
      </w:r>
    </w:p>
    <w:p>
      <w:pPr/>
      <w:r>
        <w:rPr>
          <w:b/>
        </w:rPr>
        <w:t>Shared claim-specific concepts:</w:t>
      </w:r>
      <w:r>
        <w:t xml:space="preserve"> three, economy; EU scope not established. This is a provisional connection, not an outcome finding.</w:t>
      </w:r>
    </w:p>
    <w:p>
      <w:pPr>
        <w:pStyle w:val="SourceNote"/>
      </w:pPr>
      <w:r>
        <w:rPr>
          <w:b/>
        </w:rPr>
        <w:t>Available abstract (not full text):</w:t>
      </w:r>
      <w:r>
        <w:t xml:space="preserve"> This paper explores possible future development of ecological approaches to farming in ten years' time and their environmental and socio-economic effects, as perceived by stakeholders, in three French regions (Puy-de-Dôme, Ille-et-Vilaine and Sarthe). Stakeholder perceptions are assessed with Q-methodology, a method that investigates similar or diverging subjective perspectives held by groups of stakeholders who are experts on the topics investigated. The method allows identify and describe several perspectives shared by experts on the future of farming practices and their environmental and socio-economic impacts for the three regions. Our study highlights the complexity of predicting the future shape of a region's agriculture and rural economy, as it depends on current trends in the region, the region's characteristics, as well as on the experts participating in the study. However, despite contradicting trends, one convergence of perception is found in terms of additional skills that will be needed on farms in the future.</w:t>
      </w:r>
    </w:p>
    <w:p>
      <w:pPr/>
      <w:r>
        <w:rPr>
          <w:b/>
        </w:rPr>
        <w:t>POSSIBLE 2026:</w:t>
      </w:r>
      <w:r>
        <w:t xml:space="preserve"> Agricultural Development and Industrialisation in South Korea: A Three-level Analysis of Productivity, Inter-sectoral Linkages, and GHGs Emissions — https://doi.org/10.25501/soas.01025535</w:t>
      </w:r>
    </w:p>
    <w:p>
      <w:pPr/>
      <w:r>
        <w:rPr>
          <w:b/>
        </w:rPr>
        <w:t>Shared claim-specific concepts:</w:t>
      </w:r>
      <w:r>
        <w:t xml:space="preserve"> three, agricultural, sector, economy; EU scope not established. This is a provisional connection, not an outcome finding.</w:t>
      </w:r>
    </w:p>
    <w:p>
      <w:pPr>
        <w:pStyle w:val="SourceNote"/>
      </w:pPr>
      <w:r>
        <w:rPr>
          <w:b/>
        </w:rPr>
        <w:t>Available abstract (not full text):</w:t>
      </w:r>
      <w:r>
        <w:t xml:space="preserve"> This thesis investigates the role of agriculture in South Korea’s developmental trajectory by situating it within a three-level analytical framework: within agriculture (productivity and innovation), beyond agriculture (inter-industrial linkages), and beyond the economy (environmental spillovers). This study seeks to re-evaluate the role and transformation of agriculture in South Korea’s development path. Instead of viewing agriculture as a marginal or secondary sector, this thesis highlights how agriculture has evolved within the broader process of industrialisation and national development by examining three key dimensions: agricultural R&amp;D, inter-sectoral linkages, and environmental dynamics. At the first level, the econometric analysis evaluates the long-run contribution of public agricultural research and development (R&amp;D) to productivity growth. A knowledge-stock variable was constructed from five decades of public R&amp;D investment, and its effects were tested against both conventional Total Factor Productivity (TFP) and Green Total Factor Productivity (GTFP), the latter incorporating greenhouse gas emissions. The results demonstrate that R&amp;D significantly enhanced TFP, but its effects on GTFP were weaker and, at times, negative—particularly during periods of input-intensive growth. This gap suggests that productivity gains were often achieved at the expense of environmenta</w:t>
      </w:r>
    </w:p>
    <w:p>
      <w:pPr/>
      <w:r>
        <w:rPr>
          <w:b/>
        </w:rPr>
        <w:t>POSSIBLE 2026:</w:t>
      </w:r>
      <w:r>
        <w:t xml:space="preserve"> Comparative Study on “Three-Dimensional Adaptation” Framework of Vocational Education Empowering the Development of Inner Mongolia’s Agricultural and Pastoral Areas — https://doi.org/10.12677/ve.2026.158336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内蒙古农牧区正处于传统畜牧业向现代生态农牧业转型的关键期，但职业教育供给与区域发展需求之间存在显著的结构性错配。本文以社会嵌入理论为分析视角，构建“空间–时间–主体”三维分析框架，系统诊断内蒙古农牧区职业教育面临的现实困境。研究发现，职业教育赋能农牧区发展的核心障碍表现为三重错配：空间上固定校区难以覆盖地广人稀的农牧区，时间上统一学期制与农牧业生产节律脱节，主体上多元利益相关者缺乏协同联结机制。通过比较分析澳大利亚TAFE模式与黑龙江农垦职业教育体系，提炼出“供给随人走、教学随农时、利益共同体”的共性经验。据此，本文构建了包含空间适配、时间适配、主体适配三维度的“三维适配”框架，并阐释了三者循环互促的协同机制。在此基础上，本文进一步分析了框架实施可能面临的财政、制度与文化障碍，并提出试点先行、分步推广的突破路径，为边疆民族地区职业教育精准服务乡村振兴提供理论参照。Inner Mongolia’s agricultural and pastoral areas are transitioning from traditional animal husbandry to modern ecological agriculture, yet a structural mismatch persists between vocational education supply and regional development needs. Applying social embeddedness theory, this paper constructs a “space-time-subject” analytical framework to diagnose the dilemmas facing vocational education in these regions. The study identifies three core mismatches: spatially, fixed campuses fail to cover sparsely populated pastoral areas; temporally, the uniform semester system conflicts with agricultural production rhythms; and institutionally, stakeholders lack collaborative mechanisms. Through a comparative analysis of Australia’s TAFE model and Heilongjiang’s State Farm vocational education system, the paper extracts common experiences, such as “supply following people, teaching following seasons, and shared interests”, and develops a “Three-Dimensional Adaptation” framework. This framework elucidates the mu</w:t>
      </w:r>
    </w:p>
    <w:p>
      <w:pPr/>
      <w:r>
        <w:rPr>
          <w:b/>
        </w:rPr>
        <w:t>POSSIBLE 2026:</w:t>
      </w:r>
      <w:r>
        <w:t xml:space="preserve"> Research on the Practical Challenges and Optimization Pathways for the Digital Transformation of Agricultural Supply Chains in the Context of Digital Village Development—Based on Field Surveys Conducted across Three Districts of Hangzhou — https://doi.org/10.12677/mm.2026.1610219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Based on field research in Yuhang District, Qiantang District, and Xiaoshan District of Hangzhou, we gathered first-hand data through surveys and in-depth interviews.We systematically reviewed the practical results of digital transformation in the agricultural supply chain across production, processing, and distribution, and analyzed the main issues currently faced.The study shows that digital reform has made some progress in improving production efficiency, reducing distribution losses, and increasing product premiums, but there are still real challenges like insufficient adaptation of tech tools to agricultural scenarios, poor data coordination across the industry chain, and difficulties for small and medium-sized players in transforming.Based on this, recommendations were made to optimize policy support, promote technology penetration, break down data barriers, and strengthen talent backing, aiming to provide a Zhejiang sample for advancing digital transformation in the agricultural supply chain.</w:t>
      </w:r>
    </w:p>
    <w:p>
      <w:pPr/>
      <w:r>
        <w:rPr>
          <w:b/>
        </w:rPr>
        <w:t>POSSIBLE 2026:</w:t>
      </w:r>
      <w:r>
        <w:t xml:space="preserve"> DEVELOPMENT OF THE “GREEN” ECONOMY IN UKRAINE: CHALLENGES, FEATURES AND PROSPECTS — https://doi.org/10.32782/bses.98-10</w:t>
      </w:r>
    </w:p>
    <w:p>
      <w:pPr/>
      <w:r>
        <w:rPr>
          <w:b/>
        </w:rPr>
        <w:t>Shared claim-specific concepts:</w:t>
      </w:r>
      <w:r>
        <w:t xml:space="preserve"> sector, ukraine, economy, article; EU scope visible. This is a provisional connection, not an outcome finding.</w:t>
      </w:r>
    </w:p>
    <w:p>
      <w:pPr>
        <w:pStyle w:val="SourceNote"/>
      </w:pPr>
      <w:r>
        <w:rPr>
          <w:b/>
        </w:rPr>
        <w:t>Available abstract (not full text):</w:t>
      </w:r>
      <w:r>
        <w:t xml:space="preserve"> The article is devoted to the study of the features, principles, and priorities of the formation of a “green” economy in Ukraine, particularly in the context of European experience. The principles of functioning of the “green” economy and the process of implementing the European Green Deal are examined. It is emphasized that the criterion for assessing success in the development of the “green” economy at the global level is the Green Growth Index. The significance of this indicator for European countries and selected countries of other continents is analyzed. Special attention is paid to substantiating the importance of investment support for the “green” economy. The relationship between production, value added, and exports in the environmental goods and services sector and investments in environmental protection, as well as national environmental protection expenditures for the economies of EU Member States, is investigated. The strengths and development opportunities of the “green” economy are considered. The risks associated with the implementation of the “green” economy in Ukraine are identified, and the importance of international support and the country’s participation in international and European projects is substantiated.</w:t>
      </w:r>
    </w:p>
    <w:p>
      <w:pPr/>
      <w:r>
        <w:rPr>
          <w:b/>
        </w:rPr>
        <w:t>POSSIBLE 2026:</w:t>
      </w:r>
      <w:r>
        <w:t xml:space="preserve"> LEGAL CONFLICTS IN THE DIGITAL ECONOMY: THE UKRAINIAN AND EUROPEAN EXPERIENCE — https://doi.org/10.30525/2256-0742/2026-12-4-416-425</w:t>
      </w:r>
    </w:p>
    <w:p>
      <w:pPr/>
      <w:r>
        <w:rPr>
          <w:b/>
        </w:rPr>
        <w:t>Shared claim-specific concepts:</w:t>
      </w:r>
      <w:r>
        <w:t xml:space="preserve"> three, ukraine, economy, article; EU scope visible. This is a provisional connection, not an outcome finding.</w:t>
      </w:r>
    </w:p>
    <w:p>
      <w:pPr>
        <w:pStyle w:val="SourceNote"/>
      </w:pPr>
      <w:r>
        <w:rPr>
          <w:b/>
        </w:rPr>
        <w:t>Available abstract (not full text):</w:t>
      </w:r>
      <w:r>
        <w:t xml:space="preserve"> This article examines the ethical and legal issues arising in the digital economy. These conflicts are conceptualised as contradictions between innovative technological practices, ethical norms and applicable legislation. Three key types of conflict are identified: those relating to privacy and data monetisation, algorithmic autonomy and accountability, and digital security and fundamental rights. Particular emphasis is placed on the wartime context in Ukraine, which presents unique challenges for digital transformation and legal regulation. Methodology. The research methodology employed is a synthesis of the comparative legal method and a Law and Economics approach. The comparative legal method is employed to compare the regulatory instruments of the European Union (GDPR, AI Act, DSA, DMA) with those of Ukraine (the Laws of Ukraine ‘On Personal Data Protection’, ‘On Virtual Assets’, ‘On Media’, and ‘On Electronic Communications’). The empirical basis of the study comprises reports by the European Commission (Digital Economy and Society Index, DESI), Eurostat statistical data on the digital transformation of EU Member States, and analytical materials published by the OECD (Digital Economy Outlook) and the World Bank (Digital Development Report). The Law and Economics analysis is employed to evaluate the impact of legal conflicts on the investment climate, transaction costs and </w:t>
      </w:r>
    </w:p>
    <w:p>
      <w:pPr/>
      <w:r>
        <w:rPr>
          <w:b/>
        </w:rPr>
        <w:t>POSSIBLE 2026:</w:t>
      </w:r>
      <w:r>
        <w:t xml:space="preserve"> Competitiveness of the national economy of Ukraine — https://doi.org/10.31548/economics/2.2026.73</w:t>
      </w:r>
    </w:p>
    <w:p>
      <w:pPr/>
      <w:r>
        <w:rPr>
          <w:b/>
        </w:rPr>
        <w:t>Shared claim-specific concepts:</w:t>
      </w:r>
      <w:r>
        <w:t xml:space="preserve"> ukraine, economy, article; EU scope not established. This is a provisional connection, not an outcome finding.</w:t>
      </w:r>
    </w:p>
    <w:p>
      <w:pPr>
        <w:pStyle w:val="SourceNote"/>
      </w:pPr>
      <w:r>
        <w:rPr>
          <w:b/>
        </w:rPr>
        <w:t>Available abstract (not full text):</w:t>
      </w:r>
      <w:r>
        <w:t xml:space="preserve"> The article analysed the competitiveness of the Ukrainian economy, according to the World Economic Forum (WEF) Global Competitive Index and Institute of Management Development (IMD) World Competitiveness Ranking. The competitiveness of Ukraine’s national economy is a key factor in its integration into the global economic community and in ensuring sustainable development. The purpose of the research was to comprehensive analyse the competitiveness of Ukraine’s economy according to the WEF Global Competitiveness Index and the IMD World Competitiveness Ranking, as well as identifying internal and external factors and substantiating practical recommendations for increasing the competitiveness of the national economy of Ukraine. The methodological basis of the study of the competitiveness of the national economy of Ukraine allowed for a comprehensive analysis and assessment based on international indicators. This might help identify key aspects that should be paid attention to in order to increase Ukraine’s competitiveness on the global stage. The study identified the main challenges facing Ukraine, in particular corruption, slow introduction of innovations. The article focused on the importance of state policy in the fight against corruption, stimulating the development of innovations and improving the quality of education, which are essential conditions for strengthening competiti</w:t>
      </w:r>
    </w:p>
    <w:p>
      <w:pPr/>
      <w:r>
        <w:rPr>
          <w:b/>
        </w:rPr>
        <w:t>POSSIBLE 2026:</w:t>
      </w:r>
      <w:r>
        <w:t xml:space="preserve"> LOCATION OF AGRICULTURAL PRODUCTION IN THE TERMS OF SUSTAINABLE AGRICULTURAL DEVELOPMENT — https://doi.org/10.36871/ek.up.p.r.2026.07.05.028</w:t>
      </w:r>
    </w:p>
    <w:p>
      <w:pPr/>
      <w:r>
        <w:rPr>
          <w:b/>
        </w:rPr>
        <w:t>Shared claim-specific concepts:</w:t>
      </w:r>
      <w:r>
        <w:t xml:space="preserve"> three, agricultural, article; EU scope not established. This is a provisional connection, not an outcome finding.</w:t>
      </w:r>
    </w:p>
    <w:p>
      <w:pPr>
        <w:pStyle w:val="SourceNote"/>
      </w:pPr>
      <w:r>
        <w:rPr>
          <w:b/>
        </w:rPr>
        <w:t>Available abstract (not full text):</w:t>
      </w:r>
      <w:r>
        <w:t xml:space="preserve"> The article presents the results of a study examining the dynamics of agricultural production distribution by farm category and region in Russia. Within the period under review, from 1992 (the beginning of the active development of mixed-sector agriculture) to 2025, two critical moments were identified, forming three subperiods of varying quality in terms of production distribution conditions by farm category. Trends in production distribution were identified, allowing for forecasting future changes. The creation of an effective grouping of regions by production volumes of grains, oilseeds, greenhouse vegetables, milk, pig and poultry products, and dairy cattle allowed us to identify key location factors, while a dynamic comparison revealed trends in location across the region. The analysis identified four groups of factors shaping production location trends: geopolitical, infrastructural, climatic, and the direction of government support, which serve as the basis for adjusting location for sustainable agricultural development.</w:t>
      </w:r>
    </w:p>
    <w:p>
      <w:pPr/>
      <w:r>
        <w:rPr>
          <w:b/>
        </w:rPr>
        <w:t>POSSIBLE 2026:</w:t>
      </w:r>
      <w:r>
        <w:t xml:space="preserve"> IT SECTOR AS A FACTOR OF ECONOMIC STABILITY AND RECOVERY OF THE NATIONAL ECONOMY OF UKRAINE — https://doi.org/10.31732/2663-2209-2026-81-78-87</w:t>
      </w:r>
    </w:p>
    <w:p>
      <w:pPr/>
      <w:r>
        <w:rPr>
          <w:b/>
        </w:rPr>
        <w:t>Shared claim-specific concepts:</w:t>
      </w:r>
      <w:r>
        <w:t xml:space="preserve"> three, sector, ukraine, economy, article; EU scope not established. This is a provisional connection, not an outcome finding.</w:t>
      </w:r>
    </w:p>
    <w:p>
      <w:pPr>
        <w:pStyle w:val="SourceNote"/>
      </w:pPr>
      <w:r>
        <w:rPr>
          <w:b/>
        </w:rPr>
        <w:t>Available abstract (not full text):</w:t>
      </w:r>
      <w:r>
        <w:t xml:space="preserve"> The article examines the role of the IT sector as a strategic resource for ensuring economic resilience and subsequent post-war recovery of the national economy of Ukraine. It is substantiated that under the conditions of unprecedented external shocks, the IT industry has transformed from a service sector into a fundamental anti-crisis stabilizer of the macroeconomic system. The aim of the article is to provide a theoretical substantiation and conceptualization of the IT sector’s role as a strategic factor in ensuring the adaptive resilience of Ukraine’s national economy, as well as to define the mechanisms of its influence on structural recovery processes in the context of global digitalization and Industry 4.0. The methodological framework of the study is based on a systems approach. During the research, a complex of methods was applied: dialectical and logical-generalization methods – to clarify the essence of the terms "economic resilience" and "digital spillovers"; systemic-structural analysis – to examine intersectoral linkages under Industry 4.0 conditions; statistical and comparative analysis – to assess the contribution of IT services to macroeconomic stability; the graphical method – to visualize the interaction model between the digital and real sectors of the economy. The author analyzes the IT sector through the prism of three functional roles: a source of stable f</w:t>
      </w:r>
    </w:p>
    <w:p>
      <w:pPr/>
      <w:r>
        <w:rPr>
          <w:b/>
        </w:rPr>
        <w:t>POSSIBLE 2026:</w:t>
      </w:r>
      <w:r>
        <w:t xml:space="preserve"> Ethnoecology-Based Traditional Agricultural Systems as a Strategy for Sustainable Agricultural Development — https://doi.org/10.61942/msj.v4i1.559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Sustainable agricultural development has become increasingly urgent due to environmental degradation, climate change, and rural socio-economic inequality caused by high-input modern agricultural systems. In this context, ethnoecology-based traditional agricultural systems offer an alternative framework grounded in local ecological knowledge, cultural values, and community-based resource governance. This study aims to analyze how traditional agricultural systems can be formulated as a strategic approach to sustainable agricultural development within modern policy frameworks. The research employed a qualitative design using in-depth interviews, participatory observation, and document analysis in rural communities practicing traditional agriculture. Data were analyzed through thematic coding and an interactive model of data reduction, display, and interpretation. The findings reveal three main dimensions: ecological sustainability through diversification and agroforestry practices; socio-institutional resilience through customary governance; and potential hybridization with modern technologies such as precision irrigation and climate-smart tools. The study concludes that integrating traditional ecological knowledge with contemporary agricultural innovation and legal recognition of customary institutions can strengthen inclusive and resilient sustainable agricultural development.</w:t>
      </w:r>
    </w:p>
    <w:p>
      <w:pPr/>
      <w:r>
        <w:rPr>
          <w:b/>
        </w:rPr>
        <w:t>POSSIBLE 2026:</w:t>
      </w:r>
      <w:r>
        <w:t xml:space="preserve"> Agricultural green development policy and agricultural export upgrading: evidence from China’s agricultural product trade — https://doi.org/10.3389/fsufs.2026.1914900</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How production-side agricultural green development policy affects agricultural exports remains insufficiently understood, particularly across the three distinct trade margins of export value, export volume, and export quality. Using China’s 2017 agricultural green development policy as a policy shock, this study employs panel data for 31 provincial-level regions from 2013 to 2024, measures pre-policy conditions using agricultural sustainability over 2013–2016, and applies a continuous difference-in-differences design to identify heterogeneous provincial export responses to the common policy shock. The results show that, following policy implementation, regions with higher pre-policy agricultural sustainability experienced larger relative increases in export value, export volume, and export quality, indicating that the policy response was not confined to either quality improvement or scale expansion alone. Dynamic estimates show that the positive differential in export quality emerged early in the implementation period, whereas export value and export volume adjusted more gradually. Robustness checks, counterfactual policy-timing tests, random permutation tests, and cluster-aware double machine learning estimates broadly corroborate the core findings. Among the three outcomes, the evidence is most stable for export quality, whereas export volume is estimated with relatively lowe</w:t>
      </w:r>
    </w:p>
    <w:p>
      <w:pPr/>
      <w:r>
        <w:rPr>
          <w:b/>
        </w:rPr>
        <w:t>POSSIBLE 2026:</w:t>
      </w:r>
      <w:r>
        <w:t xml:space="preserve"> Bibliometrics of Agricultural Crop Variety Development — https://doi.org/10.58812/wsshs.v4i02.2656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This study aims to map and analyze the global research landscape of agricultural crop variety development using a bibliometric approach. Data were retrieved from the Scopus database and analyzed using VOSviewer to identify research trends, thematic structures, collaboration networks, and emerging topics within the field. The results reveal that the scientific discourse is dominated by three interconnected themes: genetic innovation and plant breeding, plant physiological and biochemical research, and sustainability-oriented agricultural systems. Keyword co-occurrence analysis shows that concepts such as crops, agriculture, genetics, crop production, and sustainable development form the core intellectual structure, while overlay visualization indicates a shift toward advanced technologies such as gene editing, machine learning, and climate-resilient crop improvement. Density analysis highlights strong research intensity around food security and climate change, emphasizing the growing role of environmental challenges in shaping research priorities. Collaboration analyses demonstrate that countries such as China, India, and the United States act as central hubs in global scientific networks, supported by international agricultural research institutions. This study provides a comprehensive overview of the evolution, collaboration patterns, and future research directions in agricult</w:t>
      </w:r>
    </w:p>
    <w:p>
      <w:pPr>
        <w:pStyle w:val="Heading2"/>
      </w:pPr>
      <w:r>
        <w:t>633. Scenario forecasting of consumption of main organic livestock products in Ukraine</w:t>
      </w:r>
    </w:p>
    <w:p>
      <w:pPr>
        <w:pStyle w:val="SourceNote"/>
      </w:pPr>
      <w:r>
        <w:rPr>
          <w:b/>
        </w:rPr>
        <w:t>Original source (2021):</w:t>
      </w:r>
      <w:r>
        <w:t xml:space="preserve"> https://doi.org/10.51599/are.2021.07.03.02</w:t>
      </w:r>
    </w:p>
    <w:p>
      <w:pPr/>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POSSIBLE 2026:</w:t>
      </w:r>
      <w:r>
        <w:t xml:space="preserve"> When climate risk affects the systemic risk of the insurance sector: ∆CoVaR forecasting — https://doi.org/10.1007/s00477-026-03350-8</w:t>
      </w:r>
    </w:p>
    <w:p>
      <w:pPr/>
      <w:r>
        <w:rPr>
          <w:b/>
        </w:rPr>
        <w:t>Shared claim-specific concepts:</w:t>
      </w:r>
      <w:r>
        <w:t xml:space="preserve"> systemic, period, forecasted, potential; EU scope not established. This is a provisional connection, not an outcome finding.</w:t>
      </w:r>
    </w:p>
    <w:p>
      <w:pPr>
        <w:pStyle w:val="SourceNote"/>
      </w:pPr>
      <w:r>
        <w:rPr>
          <w:b/>
        </w:rPr>
        <w:t>Available abstract (not full text):</w:t>
      </w:r>
      <w:r>
        <w:t xml:space="preserve"> Climate change is increasingly recognized as a potential source of financial instability, yet its implications for systemic risk in the insurance sector remain insufficiently understood. This study combines a Copula–DCC–GARCH framework with the ∆CoVaR measure to examine whether climate-related catastrophic events are associated with insurers’ contributions to systemic risk. Using weekly data for the ten largest global insurers over the period 2004–2024, we compare ∆CoVaR estimates across catastrophe and non-catastrophe periods under normal and crisis market conditions. The results indicate that catastrophe occurrence exhibits only a limited association with insurers’ systemic-risk contributions during normal market conditions but is associated with substantially stronger contributions during periods of financial stress. The analysis also reveals considerable heterogeneity across globally significant insurers, indicating that the magnitude of this association differs markedly across companies. To assess the robustness of these findings and provide a forward-looking perspective, we employ Generalized Additive Models for Location, Scale and Shape (GAMLSS). The scenario-based forecasting framework shows how insurers’ expected systemic-risk contributions evolve under alternative market and catastrophe conditions and consistently identifies the crisis–catastrophe scenario as being as</w:t>
      </w:r>
    </w:p>
    <w:p>
      <w:pPr/>
      <w:r>
        <w:rPr>
          <w:b/>
        </w:rPr>
        <w:t>POSSIBLE 2026:</w:t>
      </w:r>
      <w:r>
        <w:t xml:space="preserve"> Forecasting the dynamics of food security indicators in Ukraine during the wartime period of 2025-2026 — https://doi.org/10.32317/ekon.apk/1.2026.20</w:t>
      </w:r>
    </w:p>
    <w:p>
      <w:pPr/>
      <w:r>
        <w:rPr>
          <w:b/>
        </w:rPr>
        <w:t>Shared claim-specific concepts:</w:t>
      </w:r>
      <w:r>
        <w:t xml:space="preserve"> according, ukraine, period, products, eggs; EU scope not established. This is a provisional connection, not an outcome finding.</w:t>
      </w:r>
    </w:p>
    <w:p>
      <w:pPr>
        <w:pStyle w:val="SourceNote"/>
      </w:pPr>
      <w:r>
        <w:rPr>
          <w:b/>
        </w:rPr>
        <w:t>Available abstract (not full text):</w:t>
      </w:r>
      <w:r>
        <w:t xml:space="preserve"> This article focuses on forecasting key food security indicators for Ukraine in 2025-2026 under conditions of wartime uncertainty. The aim of the study was to develop adaptive forecasting models that made it possible to assess the impact of wartime shocks and to determine possible trajectories for the recovery of the food system in the medium term. The methodology was based on the combined application of three classical time series models – linear trend, exponential smoothing, and the autoregressive integrated moving average model. For each indicator, three alternative forecasting models were constructed based on annual data up to 2022, and their accuracy was evaluated using the criteria of mean absolute percentage error, root mean square error, and the AIC information criterion. Given the absence of official statistics for 2022-2026, the baseline forecasts were adjusted according to a “partial recovery” scenario, which took into account a short-term decline (2022) and gradual stabilisation of indicators in 2023-2026. The results obtained indicated that in 2025-2026 the food system of Ukraine demonstrated signs of stabilisation; however, a full return to the pre-war trajectory did not occur. In particular, the daily energy value of the diet amounted to 2,596 kcal in 2025 and increased to 2,650 kcal in 2026, approaching the 2021 level. The adequacy index of consumption for most </w:t>
      </w:r>
    </w:p>
    <w:p>
      <w:pPr/>
      <w:r>
        <w:rPr>
          <w:b/>
        </w:rPr>
        <w:t>POSSIBLE 2026:</w:t>
      </w:r>
      <w:r>
        <w:t xml:space="preserve"> Novel pathogenic CTLA4 missense variant associated with autoimmune enteropathy and systemic immune dysregulation — https://doi.org/10.3389/fimmu.2026.1855020</w:t>
      </w:r>
    </w:p>
    <w:p>
      <w:pPr/>
      <w:r>
        <w:rPr>
          <w:b/>
        </w:rPr>
        <w:t>Shared claim-specific concepts:</w:t>
      </w:r>
      <w:r>
        <w:t xml:space="preserve"> systemic, variant, capacity; EU scope not established. This is a provisional connection, not an outcome finding.</w:t>
      </w:r>
    </w:p>
    <w:p>
      <w:pPr>
        <w:pStyle w:val="SourceNote"/>
      </w:pPr>
      <w:r>
        <w:rPr>
          <w:b/>
        </w:rPr>
        <w:t>Available abstract (not full text):</w:t>
      </w:r>
      <w:r>
        <w:t xml:space="preserve"> Background: , yet the structure-function relationships underlying individual pathogenic variants remain incompletely understood. Methods: We performed whole-exome sequencing on a patient with adolescent-onset autoimmune enteropathy, early-onset gastric malignancy and multisystem comorbidities, who was initially misdiagnosed with Crohn's disease and refractory to multiple biologics. Functional assays assessed CTLA4 dimerization and CD80/CD86 binding capacity. Peripheral blood immunophenotyping was conducted using CyTOF and flow cytometry. Intestinal histopathology was evaluated by immunohistochemistry. The patient subsequently received targeted therapy with abatacept. Results: (c.167T&gt;G, p.Phe56Cys) was identified. Functional assays demonstrated that this variant impairs CTLA4 protein dimerization and its binding capacity to CD80/CD86, establishing loss-of-function as the molecular basis of pathogenicity. Comprehensive peripheral blood immunophenotyping by CyTOF revealed a broad adaptive immune dysregulation landscape, characterized by depletion of regulatory T cells (Tregs), γδ T cells, and CD161+ cytotoxic-like CD8+ T cells. Flow cytometry confirmed reduction in CD4+CD25+Foxp3+ Treg cells along with decreased CTLA4 expression. Intestinal histopathology showed crypt apoptosis with T cell-predominant infiltration, distinct from classic inflammatory bowel disease. Notably, target</w:t>
      </w:r>
    </w:p>
    <w:p>
      <w:pPr/>
      <w:r>
        <w:rPr>
          <w:b/>
        </w:rPr>
        <w:t>POSSIBLE 2026:</w:t>
      </w:r>
      <w:r>
        <w:t xml:space="preserve"> MODELS AND METHODS FOR HEALTHCARE RESOURCE FORECASTING IN URBAN AGGLOMERATIONS: A LITERARY REVIEW — https://doi.org/10.64854/2790-1289-2026-52-2-09</w:t>
      </w:r>
    </w:p>
    <w:p>
      <w:pPr/>
      <w:r>
        <w:rPr>
          <w:b/>
        </w:rPr>
        <w:t>Shared claim-specific concepts:</w:t>
      </w:r>
      <w:r>
        <w:t xml:space="preserve"> according, systemic, period; EU scope not established. This is a provisional connection, not an outcome finding.</w:t>
      </w:r>
    </w:p>
    <w:p>
      <w:pPr>
        <w:pStyle w:val="SourceNote"/>
      </w:pPr>
      <w:r>
        <w:rPr>
          <w:b/>
        </w:rPr>
        <w:t>Available abstract (not full text):</w:t>
      </w:r>
      <w:r>
        <w:t xml:space="preserve"> Relevance. Population growth in urban agglomerations creates a quantifiable gap between the demand for medical care and the availability of personnel, medicines, financial resources, and logistical support. The Almaty agglomeration is home to approximately 3.5 million residents, with a projected population of 4.5 million by 2030. According to the Ministry of Health of the Republic of Kazakhstan, in 2023, the shortage of physicians amounted to 4,864 positions, and the concurrent employment rate reached 1.4, reflecting systemic staff overload. Objective. To analyze current models for forecasting healthcare resource needs in urban agglomerations, with a focus on machine learning tools, and to assess their applicability to the conditions of the Almaty agglomeration. Materials and methods: A literature search was conducted in the PubMed, Scopus, Web of Science Core Collection, and WHO IRIS databases for the period from January, 2010 to March, 2026. The review included original studies, systematic reviews, and WHO/OECD methodological reports containing quantitative predictive models with accuracy metrics (MAE, RMSE, MAPE, AUROC, R²) at the level of urban agglomerations or regions with an urbanization rate ≥ 50%. Of the 1,286 records identified, 57 publications were included in the review. Results. Statistical models were the most common (40.4%), followed by supervised machine learnin</w:t>
      </w:r>
    </w:p>
    <w:p>
      <w:pPr/>
      <w:r>
        <w:rPr>
          <w:b/>
        </w:rPr>
        <w:t>POSSIBLE 2026:</w:t>
      </w:r>
      <w:r>
        <w:t xml:space="preserve"> Systemic Risk Surveillance — https://doi.org/10.48550/arxiv.2601.08598</w:t>
      </w:r>
    </w:p>
    <w:p>
      <w:pPr/>
      <w:r>
        <w:rPr>
          <w:b/>
        </w:rPr>
        <w:t>Shared claim-specific concepts:</w:t>
      </w:r>
      <w:r>
        <w:t xml:space="preserve"> systemic, period; EU scope not established. This is a provisional connection, not an outcome finding.</w:t>
      </w:r>
    </w:p>
    <w:p>
      <w:pPr>
        <w:pStyle w:val="SourceNote"/>
      </w:pPr>
      <w:r>
        <w:rPr>
          <w:b/>
        </w:rPr>
        <w:t>Available abstract (not full text):</w:t>
      </w:r>
      <w:r>
        <w:t xml:space="preserve"> Following several episodes of financial market turmoil in recent decades, changes in systemic risk have drawn growing attention. Therefore, we propose surveillance schemes for systemic risk, which allow to detect misspecified systemic risk forecasts in an "online" fashion. This enables daily monitoring of the forecasts while controlling for the accumulation of false test rejections. Such online schemes are vital in taking timely countermeasures to avoid financial distress. Our monitoring procedures allow multiple series at once to be monitored, thus increasing the likelihood and the speed at which early signs of trouble may be picked up. The tests hold size by construction, such that the null of correct systemic risk assessments is only rejected during the monitoring period with (at most) a pre-specified probability. Monte Carlo simulations illustrate the good finite-sample properties of our procedures. An empirical application to US banks during multiple crises demonstrates the usefulness of our surveillance schemes for both regulators and financial institutions.</w:t>
      </w:r>
    </w:p>
    <w:p>
      <w:pPr/>
      <w:r>
        <w:rPr>
          <w:b/>
        </w:rPr>
        <w:t>POSSIBLE 2026:</w:t>
      </w:r>
      <w:r>
        <w:t xml:space="preserve"> Genetic Sequencing in Saudi Patients with Systemic Lupus Erythematosus — https://openalex.org/W7213718840</w:t>
      </w:r>
    </w:p>
    <w:p>
      <w:pPr/>
      <w:r>
        <w:rPr>
          <w:b/>
        </w:rPr>
        <w:t>Shared claim-specific concepts:</w:t>
      </w:r>
      <w:r>
        <w:t xml:space="preserve"> according, systemic, variant, potential; EU scope not established. This is a provisional connection, not an outcome finding.</w:t>
      </w:r>
    </w:p>
    <w:p>
      <w:pPr>
        <w:pStyle w:val="SourceNote"/>
      </w:pPr>
      <w:r>
        <w:rPr>
          <w:b/>
        </w:rPr>
        <w:t>Available abstract (not full text):</w:t>
      </w:r>
      <w:r>
        <w:t xml:space="preserve"> Ibrahim A Al-Homood,1,* Sarah Binhassan,2,* Khalid AlMatham,3 Lena M Hassen,4,5 Manar Samman61Rheumatology Section, Medical Speciality Department, King Fahad Medical City, Riyadh, Saudi Arabia; 2Department of Clinical Laboratory Sciences, College of Applied Medical Sciences, King Saud University, Riyadh, Saudi Arabia; 3Nephrology Section, Medical Speciality Department, King Fahad Medical City, Riyadh, Saudi Arabia; 4Zoology Department, College of Sciences, King Saud University, Riyadh, Saudi Arabia; 5Rheumatology Unit, Department of Medicine, College of Medicine, King Saud University Medical City, Riyadh, Saudi Arabia; 6Lab Operation, Health Support Services Centre, Ministry of Health, Riyadh, Saudi Arabia*These authors contributed equally to this workCorrespondence: Ibrahim A Al-Homood, Rheumatology Section, Medical Speciality Department, King Fahad Medical City, Riyadh, Saudi Arabia, Email iaalhomood@kfmc.med.saObjective: To identify novel candidate gene variants and investigate their role in a cohort of Saudi patients with Systemic Lupus Erythematosus (SLE). In addition, evaluate their distribution relative to common risk loci identified in the NHGRI-EBI GWAS Catalog.Methods: Whole Exome Sequencing (WES) was performed on the extracted genomic DNA for 29 patients with confirmed SLE. Descriptive analyses were used to summarize the patients’ characteristics. Variant prioritizat</w:t>
      </w:r>
    </w:p>
    <w:p>
      <w:pPr/>
      <w:r>
        <w:rPr>
          <w:b/>
        </w:rPr>
        <w:t>POSSIBLE 2026:</w:t>
      </w:r>
      <w:r>
        <w:t xml:space="preserve"> An ARIMAX-SARIMAX approach to VIX forecasting — https://doi.org/10.3897/ap.10.e0342</w:t>
      </w:r>
    </w:p>
    <w:p>
      <w:pPr/>
      <w:r>
        <w:rPr>
          <w:b/>
        </w:rPr>
        <w:t>Shared claim-specific concepts:</w:t>
      </w:r>
      <w:r>
        <w:t xml:space="preserve"> systemic, main; EU scope not established. This is a provisional connection, not an outcome finding.</w:t>
      </w:r>
    </w:p>
    <w:p>
      <w:pPr>
        <w:pStyle w:val="SourceNote"/>
      </w:pPr>
      <w:r>
        <w:rPr>
          <w:b/>
        </w:rPr>
        <w:t>Available abstract (not full text):</w:t>
      </w:r>
      <w:r>
        <w:t xml:space="preserve"> This study is devoted to assessing the accuracy and applicability of econometric models from the ARIMA group for forecasting the VIX volatility index. The index measures the level of market uncertainty, systemic risk and investor sentiment by reflecting the short-term volatility of the benchmark index of the US market S&amp;P 500. The study demonstrates the accuracy and effectiveness of both models (ARIMAX and SARIMAX) in different approaches for parameterization and scenario with certain conditions. The ARIMAX and SARIMAX are extensions of the traditional ARIMA and SARIMA, which include exogenous variables and seasonal components. The main external macroeconomic and market indicators used in the analysis are inflation (CPI), unemployment (UNRATE), interest rates (FEDFUNDS) and the Nasdaq 100 index. The data obtained from Yahoo Finance and the Federal Reserve (FRED). The analysis is carried out using Python software.</w:t>
      </w:r>
    </w:p>
    <w:p>
      <w:pPr/>
      <w:r>
        <w:rPr>
          <w:b/>
        </w:rPr>
        <w:t>POSSIBLE 2026:</w:t>
      </w:r>
      <w:r>
        <w:t xml:space="preserve"> IMMUNOLOGICAL ASSESSMENT IN CHRONIC NASOPHARYNGITIS WITH DIFFERENT VARIANTS OF COMORBIDITY IN THE NASOPHARYNGEAL ZONE — https://doi.org/10.37219/9kbzp448</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Topicality: Understanding the immunological features of chronic nasopharyngitis with or without pharyngeal hypertrophy makes it possible to prescribe treatment based on individualization according to the specific pathophysiological situation and concomitant conditions of the nasopharyngeal area and the child's immune status, which allows for precision pharmacotherapy. Objective: 1) To study the immunological profile of different variants of chronic nasopharyngitis in children with various associated conditions of the nasopharyngeal zone for further substantiated modulation of the activity of the nasopharyngeal immune system using a mucosal vaccine. 2) The full spectrum of changes in all indicators of local immunity in oropharyngeal secretions in patients with MG III - increased IL-1β, decreased IFN-α, decreased sIgA - most likely ensure the chronicity of infectious inflammation of the nasopharynx in this category of subjects. Conclusions: The greatest changes in both local and systemic immunity are shown by representatives of MG I (without comorbidity) and MG III (chronic nasopharyngitis on the background of allergic rhinitis). However, such indicators of systemic immunity in patients with MG III as the absence of a decrease in T-lymphocytes CD3+, a decrease in T-lymphocytes CD8+, an increased IPI, a decrease in T-lymphocytes CD16+, an increase in T-lymphocytes CD19+, a decreas</w:t>
      </w:r>
    </w:p>
    <w:p>
      <w:pPr/>
      <w:r>
        <w:rPr>
          <w:b/>
        </w:rPr>
        <w:t>POSSIBLE 2026:</w:t>
      </w:r>
      <w:r>
        <w:t xml:space="preserve"> Machine Learning Integration for Enhanced Bond Market Forecasting — https://openalex.org/W7223426100</w:t>
      </w:r>
    </w:p>
    <w:p>
      <w:pPr/>
      <w:r>
        <w:rPr>
          <w:b/>
        </w:rPr>
        <w:t>Shared claim-specific concepts:</w:t>
      </w:r>
      <w:r>
        <w:t xml:space="preserve"> according, systemic, internal, terms; EU scope not established. This is a provisional connection, not an outcome finding.</w:t>
      </w:r>
    </w:p>
    <w:p>
      <w:pPr>
        <w:pStyle w:val="SourceNote"/>
      </w:pPr>
      <w:r>
        <w:rPr>
          <w:b/>
        </w:rPr>
        <w:t>Available abstract (not full text):</w:t>
      </w:r>
      <w:r>
        <w:t xml:space="preserve"> Green bonds are now essential tools for financing environmentally friendly initiatives due to the quick growth of sustainable finance. Understanding the underlying causes of green bond returns, however, is still hotly contested, especially in periods of high volatility when conventional pricing metrics are unable to take into account non-linear risks like environmental, social, and governance (ESG) reputational harm and greenwashing. This thesis examines how, in times of high market volatility, the return drivers of green bonds differ from those of traditional ("brown") bonds and assesses how much machine learning (ML) architectures can improve the predictability and interpretability of these market dynamics. In terms of methodology, this study employs a comparative hybrid framework that switches from a non-linear machine learning framework (XGBoost) to conventional linear econometric modelling (Vector Autoregression, VAR). A variety of macroeconomic factors, systemic fear measurements (VSTOXX), credit spreads, baseline ESG ratings, and a special proxy for ESG disputes are used to compare the performance of green bond and brown bond portfolios. Post-hoc SHAP (SHapley Additive exPlanations) values are used to analyse the model's internal feature importances in order to close the gap frequently caused by algorithmic opacity in financial AI applications. A clear "volatility parado</w:t>
      </w:r>
    </w:p>
    <w:p>
      <w:pPr/>
      <w:r>
        <w:rPr>
          <w:b/>
        </w:rPr>
        <w:t>POSSIBLE 2026:</w:t>
      </w:r>
      <w:r>
        <w:t xml:space="preserve"> Variant allele frequency as a potential marker in response to frontline systemic therapy for patients with locally advanced and metastatic urothelial carcinoma — https://doi.org/10.21037/tau-2026-1-0010</w:t>
      </w:r>
    </w:p>
    <w:p>
      <w:pPr/>
      <w:r>
        <w:rPr>
          <w:b/>
        </w:rPr>
        <w:t>Shared claim-specific concepts:</w:t>
      </w:r>
      <w:r>
        <w:t xml:space="preserve"> systemic, variant, potential; EU scope not established. This is a provisional connection, not an outcome finding.</w:t>
      </w:r>
    </w:p>
    <w:p>
      <w:pPr>
        <w:pStyle w:val="SourceNote"/>
      </w:pPr>
      <w:r>
        <w:rPr>
          <w:b/>
        </w:rPr>
        <w:t>Available abstract (not full text):</w:t>
      </w:r>
      <w:r>
        <w:t xml:space="preserve"> Background: Patients with locally advanced and metastatic urothelial cancer (la/mUC) have a poor prognosis. Some patients have tumors that are refractory to frontline systemic treatment and progress rapidly, while other patients’ tumors have a sustained response for months. We describe the clinicogenomic patterns observed between these two groups, with a particular interest in the variant allele frequency (VAF) of the gene alterations. This study evaluated the impact of VAF of gene alterations on treatment outcomes for patients with advanced urothelial cancer (aUC). Methods: This was a single-institution retrospective cohort study of patients who received standard of care (SoC) frontline systemic therapies and had available next-generation sequencing (NGS) data from 2013–2023. Patients were categorized into rapid progressors (RP) if they had radiographic progression on the first restaging scan after starting therapy or clinical progression resulting in change of therapy or death if beforehand, or sustained responders (SR) if they had a response for at least 180 days. Statistical methods used include Fisher’s exact test, Kruskal-Wallis test, Kaplan-Meier analysis with log-rank test, and Cox proportional hazards model. Results: There were 317 patients with la/mUC on SoC frontline therapies identified in the database. From 82 eligible patients with NGS testing, there were 33 RP an</w:t>
      </w:r>
    </w:p>
    <w:p>
      <w:pPr/>
      <w:r>
        <w:rPr>
          <w:b/>
        </w:rPr>
        <w:t>POSSIBLE 2026:</w:t>
      </w:r>
      <w:r>
        <w:t xml:space="preserve"> Formation of supply in the ukrainian grain market in the post-war period — https://doi.org/10.36887/2415-8453-2026-3-34</w:t>
      </w:r>
    </w:p>
    <w:p>
      <w:pPr/>
      <w:r>
        <w:rPr>
          <w:b/>
        </w:rPr>
        <w:t>Shared claim-specific concepts:</w:t>
      </w:r>
      <w:r>
        <w:t xml:space="preserve"> according, systemic, period, capacity, potential; EU scope not established. This is a provisional connection, not an outcome finding.</w:t>
      </w:r>
    </w:p>
    <w:p>
      <w:pPr>
        <w:pStyle w:val="SourceNote"/>
      </w:pPr>
      <w:r>
        <w:rPr>
          <w:b/>
        </w:rPr>
        <w:t>Available abstract (not full text):</w:t>
      </w:r>
      <w:r>
        <w:t xml:space="preserve"> The purpose of the article is to assess current trends in supply formation in the Ukrainian grain market and to identify the key prerequisites for its recovery and structural transformation in the post-war period. The methodological framework of the research combines systemic, comparative, statistical, and structural-dynamic analysis, as well as methods of generalization and forecasting. The study examines changes in grain production, harvested area, crop yields, and exports during 2021–2025. It assesses the influence of military, economic, technological, financial, logistical, and institutional factors on the formation of market supply. Particular attention is paid to the relationship between the physical capacity to produce grain and the economic feasibility of its subsequent storage, processing, transportation, and sale on domestic and foreign markets. The results demonstrate that the reduction in the available land base after 2021 was partially offset by relatively high crop yields and the technological adaptation of agricultural producers. At the same time, the continued high export orientation of the grain sector increases its dependence on transport infrastructure, logistics costs, global market conditions and the stability of foreign trade channels. It is shown that the post-war expansion of grain production should therefore be coordinated with the development of storag</w:t>
      </w:r>
    </w:p>
    <w:p>
      <w:pPr/>
      <w:r>
        <w:rPr>
          <w:b/>
        </w:rPr>
        <w:t>POSSIBLE 2025:</w:t>
      </w:r>
      <w:r>
        <w:t xml:space="preserve"> Influence of Multidrug Resistance 1 Gene Variants on Response to Intravenous Methylprednisolone Pulse in Systemic Lupus Erythematosus Patients: Preliminary Results — https://doi.org/10.2174/0115733971345970241107114732</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pPr>
        <w:pStyle w:val="Heading2"/>
      </w:pPr>
      <w:r>
        <w:t>634. Scenario planning: An alternative approach to European Commission for combating antimicrobial resistance by 2050</w:t>
      </w:r>
    </w:p>
    <w:p>
      <w:pPr>
        <w:pStyle w:val="SourceNote"/>
      </w:pPr>
      <w:r>
        <w:rPr>
          <w:b/>
        </w:rPr>
        <w:t>Original source (2021):</w:t>
      </w:r>
      <w:r>
        <w:t xml:space="preserve"> https://doi.org/10.11576/seejph-4312</w:t>
      </w:r>
    </w:p>
    <w:p>
      <w:pPr/>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POSSIBLE 2026:</w:t>
      </w:r>
      <w:r>
        <w:t xml:space="preserve"> Achievements, priorities and strategies in pediatric nephrology in Europe — https://openalex.org/W7135161588</w:t>
      </w:r>
    </w:p>
    <w:p>
      <w:pPr/>
      <w:r>
        <w:rPr>
          <w:b/>
        </w:rPr>
        <w:t>Shared claim-specific concepts:</w:t>
      </w:r>
      <w:r>
        <w:t xml:space="preserve"> all, strategies, positive, within; EU scope visible. This is a provisional connection, not an outcome finding.</w:t>
      </w:r>
    </w:p>
    <w:p>
      <w:pPr>
        <w:pStyle w:val="SourceNote"/>
      </w:pPr>
      <w:r>
        <w:rPr>
          <w:b/>
        </w:rPr>
        <w:t>Available abstract (not full text):</w:t>
      </w:r>
      <w:r>
        <w:t xml:space="preserve">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pPr/>
      <w:r>
        <w:rPr>
          <w:b/>
        </w:rPr>
        <w:t>POSSIBLE 2026:</w:t>
      </w:r>
      <w:r>
        <w:t xml:space="preserve"> Mapping Slovenia’s global health engagement: alignment with European Union and national global health strategies — https://doi.org/10.1186/s41043-025-01125-5</w:t>
      </w:r>
    </w:p>
    <w:p>
      <w:pPr/>
      <w:r>
        <w:rPr>
          <w:b/>
        </w:rPr>
        <w:t>Shared claim-specific concepts:</w:t>
      </w:r>
      <w:r>
        <w:t xml:space="preserve"> all, strategies, union; EU scope visible. This is a provisional connection, not an outcome finding.</w:t>
      </w:r>
    </w:p>
    <w:p>
      <w:pPr>
        <w:pStyle w:val="SourceNote"/>
      </w:pPr>
      <w:r>
        <w:rPr>
          <w:b/>
        </w:rPr>
        <w:t>Available abstract (not full text):</w:t>
      </w:r>
      <w:r>
        <w:t xml:space="preserve">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conclusion, four, union, within;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Four decades of the european regional &amp; cohesion policy. An overview — https://doi.org/10.38191/iirr-jorr.26.010</w:t>
      </w:r>
    </w:p>
    <w:p>
      <w:pPr/>
      <w:r>
        <w:rPr>
          <w:b/>
        </w:rPr>
        <w:t>Shared claim-specific concepts:</w:t>
      </w:r>
      <w:r>
        <w:t xml:space="preserve"> four, achieve, positive, outcomes; EU scope visible. This is a provisional connection, not an outcome finding.</w:t>
      </w:r>
    </w:p>
    <w:p>
      <w:pPr>
        <w:pStyle w:val="SourceNote"/>
      </w:pPr>
      <w:r>
        <w:rPr>
          <w:b/>
        </w:rPr>
        <w:t>Available abstract (not full text):</w:t>
      </w:r>
      <w:r>
        <w:t xml:space="preserve"> The paper addresses two research questions: ﬁrst, what factors explain the continuity of the Cohesion Policy (CP); and second, to what extent such policy has contributed to reducing territorial disparities across the EU and to achieve other objectives. e article advances some hypotheses, and the analysis highlights the core pillars of the CP: its ‘philosophy’, evolving objectives, ﬁnancial resources, and institutional architecture. It further evaluates outcomes in some key areas: convergence trends, infrastructure investment, human capital formation, and support for SMEs. The ﬁndings suggest that while CP has contributed to reducing territorial disparities and other positive achievements linked to the European economic and welfare growth, its eﬀectiveness varies across regions, and some policy domains face persistent challenges such as eﬀectiveness, bureaucratization, and regional/sectoral policy conﬂicts which give support to important criticisms.</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all, strategies, basis, four;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2026:</w:t>
      </w:r>
      <w:r>
        <w:t xml:space="preserve"> Romania launches cardiovascular strategy aligned with European Safe Hearts Plan — https://doi.org/10.1093/eurheartj/ehag659</w:t>
      </w:r>
    </w:p>
    <w:p>
      <w:pPr/>
      <w:r>
        <w:rPr>
          <w:b/>
        </w:rPr>
        <w:t>Shared claim-specific concepts:</w:t>
      </w:r>
      <w:r>
        <w:t xml:space="preserve"> all, increase, union, outcomes, within, performed; EU scope visible. This is a provisional connection, not an outcome finding.</w:t>
      </w:r>
    </w:p>
    <w:p>
      <w:pPr>
        <w:pStyle w:val="SourceNote"/>
      </w:pPr>
      <w:r>
        <w:rPr>
          <w:b/>
        </w:rPr>
        <w:t>Available abstract (not full text):</w:t>
      </w:r>
      <w:r>
        <w:t xml:space="preserve"> Cardiovascular (CV) and cerebrovascular diseases have prompted the most profound public health crisis of the twenty-first century across the European Union (EU), functioning as the leading cause of mortality, morbidity, and socioeconomic strain. Annually, CV diseases claim approximately 1.7 million lives within the EU and affect over 62 million citizens, generating a staggering macroeconomic burden estimated at €282 billion.1 Romania, in particular, bears a disproportionately high share of this burden, with an age-standardized CV mortality rate per 100 000 of ≥600 (which classifies Romania as a ‘very high-risk’ country), and with deaths due to CV diseases accounting for approximately 57% of all national deaths (50% in men and 63% in women).2 This reaches an annual economic burden of CV diseases in Romania of €6.42 billion.2 In response to these epidemiological realities, a major policy shift occurred at both the European and national levels. EU Council Conclusions on the Improvement of Cardiovascular Health were adopted in December 2024,3 rapidly followed by the European Commission's landmark publication of the ‘Safe Hearts Plan’ in December 2025, which serves as the first comprehensive, EU-wide strategy, dedicated exclusively to CV health.1 Meanwhile, the European Health Data Space (EHDS) Regulation entered into force in March 2025, establishing a revolutionary framework for t</w:t>
      </w:r>
    </w:p>
    <w:p>
      <w:pPr/>
      <w:r>
        <w:rPr>
          <w:b/>
        </w:rPr>
        <w:t>POSSIBLE 2026:</w:t>
      </w:r>
      <w:r>
        <w:t xml:space="preserve"> A European algorithm and strategy for management of chronic postoperative inguinal pain (EurA-CPIP) — https://doi.org/10.3389/jaws.2026.16944</w:t>
      </w:r>
    </w:p>
    <w:p>
      <w:pPr/>
      <w:r>
        <w:rPr>
          <w:b/>
        </w:rPr>
        <w:t>Shared claim-specific concepts:</w:t>
      </w:r>
      <w:r>
        <w:t xml:space="preserve"> conclusion, all, developed, basis, outcomes, within; EU scope visible. This is a provisional connection, not an outcome finding.</w:t>
      </w:r>
    </w:p>
    <w:p>
      <w:pPr>
        <w:pStyle w:val="SourceNote"/>
      </w:pPr>
      <w:r>
        <w:rPr>
          <w:b/>
        </w:rPr>
        <w:t>Available abstract (not full text):</w:t>
      </w:r>
      <w:r>
        <w:t xml:space="preserve"> Background Chronic postoperative inguinal pain (CPIP) is a disabling complication affecting 8%–17% of all patients after inguinal hernia repair. It is a complex pain condition with several pathophysiological mechanisms involved, including neuropathic pain, inflammation, and mechanical effects (e.g., mesh or scar tissue). Management remains inconsistent, probably due to limited high-quality evidence, heterogeneous approach, and insufficient standardisation of outcomes. This study aimed to develop EurA-CPIP, a multidisciplinary treatment algorithm and prospective data-collection platform designed to support consistent phenotyping, step-up management, and standardised outcomes across centres, creating an iterative platform for future hypothesis-driven research and multicentre trials. Methods An international multidisciplinary working group from European tertiary referral centres developed the European Algorithm and Strategy for Management of Chronic Postoperative Inguinal Pain (EurA-CPIP). Development was informed by the evidence synthesis underpinning the updated international HerniaSurge guidelines and a critical appraisal of previously published CPIP algorithms. A pragmatic step-up algorithm was designed, integrating pharmacological, interventional, surgical and supportive treatments, with prospective outcome registration and planned data-driven revision on a regular basis. Res</w:t>
      </w:r>
    </w:p>
    <w:p>
      <w:pPr/>
      <w:r>
        <w:rPr>
          <w:b/>
        </w:rPr>
        <w:t>POSSIBLE 2026:</w:t>
      </w:r>
      <w:r>
        <w:t xml:space="preserve"> MATERIAL PRODUCTIVITY CONVERGENCE IN THE EUROPEAN UNION: INSIGHTS FROM FOUR MATERIAL CATEGORIES — https://doi.org/10.53443/anadoluibfd.1830207</w:t>
      </w:r>
    </w:p>
    <w:p>
      <w:pPr/>
      <w:r>
        <w:rPr>
          <w:b/>
        </w:rPr>
        <w:t>Shared claim-specific concepts:</w:t>
      </w:r>
      <w:r>
        <w:t xml:space="preserve"> all, four, union; EU scope visible. This is a provisional connection, not an outcome finding.</w:t>
      </w:r>
    </w:p>
    <w:p>
      <w:pPr>
        <w:pStyle w:val="SourceNote"/>
      </w:pPr>
      <w:r>
        <w:rPr>
          <w:b/>
        </w:rPr>
        <w:t>Available abstract (not full text):</w:t>
      </w:r>
      <w:r>
        <w:t xml:space="preserve"> This study evaluates the European Union's progress toward sustainable resource use via disaggregated material productivity (MP) indicators. The study employs Phillips and Sul's (2007) club convergence technique to determine if member states have converged to similar levels of productivity. Metal ores, fossil fuels, biomass, and non-metallic minerals are the four material types included in the analysis, which runs from 1993 to 2023. This study is one of the relatively few that uses the club convergence approach to examine MP according to material type. The results demonstrate that no single convergence club exists for all materials: While metal ores constitute a broad common group and biomass and fossil fuels are more fragmented, non-metallic minerals are split into two clubs. The results indicate that differentiated policy sets should be implemented based on material type and club formation.</w:t>
      </w:r>
    </w:p>
    <w:p>
      <w:pPr/>
      <w:r>
        <w:rPr>
          <w:b/>
        </w:rPr>
        <w:t>POSSIBLE 2026:</w:t>
      </w:r>
      <w:r>
        <w:t xml:space="preserve"> Social Determinants of Pain Prevalence: A Cross-National Comparison of Four European Countries — https://doi.org/10.3390/healthcare14193242</w:t>
      </w:r>
    </w:p>
    <w:p>
      <w:pPr/>
      <w:r>
        <w:rPr>
          <w:b/>
        </w:rPr>
        <w:t>Shared claim-specific concepts:</w:t>
      </w:r>
      <w:r>
        <w:t xml:space="preserve"> all, strategies, four, influence; EU scope visible. This is a provisional connection, not an outcome finding.</w:t>
      </w:r>
    </w:p>
    <w:p>
      <w:pPr>
        <w:pStyle w:val="SourceNote"/>
      </w:pPr>
      <w:r>
        <w:rPr>
          <w:b/>
        </w:rPr>
        <w:t>Available abstract (not full text):</w:t>
      </w:r>
      <w:r>
        <w:t xml:space="preserve"> Background/Objectives: Pain is a major public health burden shaped by social and structural factors, yet cross-national evidence on how social determinants influence pain prevalence across socioeconomically diverse European settings remains limited. This study aimed to examine the associations between social determinants and the prevalence of pain in four European countries, and to explore how these associations vary by national context. Methods: We conducted a multinational secondary analysis of cross-sectional data from the third wave of the European Health Interview Survey (EHIS), using Eurostat microdata for Serbia, Bulgaria, Norway and Finland (n = 34,882 respondents aged ≥15 years). Pain prevalence was examined in relation to sociodemographic characteristics, health status, chronic conditions and behavioural determinants. LASSO-selected logistic regression models were fitted separately for each country. Results: Pain prevalence varied markedly across countries, ranging from 35.4% in Serbia to 69.9% in Finland (p &lt; 0.001). Musculoskeletal disorders showed strong associations with pain in countries where this factor was retained in the models (OR range, 3.40–4.26), while accidents/injuries (OR range, 1.43–2.66), greater daily life limitations (OR range, 1.55–2.52), poorer self-rated health (OR range, 1.66–2.22), and female gender (OR range, 1.38–1.91) were consistently asso</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all, strategies, four, increase;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European strategies in the screening of biliary atresia: a scoping review — https://doi.org/10.1136/wjps-2025-001026</w:t>
      </w:r>
    </w:p>
    <w:p>
      <w:pPr/>
      <w:r>
        <w:rPr>
          <w:b/>
        </w:rPr>
        <w:t>Shared claim-specific concepts:</w:t>
      </w:r>
      <w:r>
        <w:t xml:space="preserve"> all, strategies, achieve, outcomes, performed; EU scope visible. This is a provisional connection, not an outcome finding.</w:t>
      </w:r>
    </w:p>
    <w:p>
      <w:pPr>
        <w:pStyle w:val="SourceNote"/>
      </w:pPr>
      <w:r>
        <w:rPr>
          <w:b/>
        </w:rPr>
        <w:t>Available abstract (not full text):</w:t>
      </w:r>
      <w:r>
        <w:t xml:space="preserve">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pPr/>
      <w:r>
        <w:rPr>
          <w:b/>
        </w:rPr>
        <w:t>POSSIBLE 2025:</w:t>
      </w:r>
      <w:r>
        <w:t xml:space="preserve"> Heterogeneity of Surgical Strategies in Aortic Arch Surgery in European Aortic Centers — https://doi.org/10.1055/s-0045-1804073</w:t>
      </w:r>
    </w:p>
    <w:p>
      <w:pPr/>
      <w:r>
        <w:rPr>
          <w:b/>
        </w:rPr>
        <w:t>Shared claim-specific concepts:</w:t>
      </w:r>
      <w:r>
        <w:t xml:space="preserve"> conclusion, all, strategies, performed; EU scope visible. This is a provisional connection, not an outcome finding.</w:t>
      </w:r>
    </w:p>
    <w:p>
      <w:pPr>
        <w:pStyle w:val="SourceNote"/>
      </w:pPr>
      <w:r>
        <w:rPr>
          <w:b/>
        </w:rPr>
        <w:t>Available abstract (not full text):</w:t>
      </w:r>
      <w:r>
        <w:t xml:space="preserve">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pPr>
        <w:pStyle w:val="Heading2"/>
      </w:pPr>
      <w:r>
        <w:t>635. Scenarios for European agricultural policymaking in the era of digitalisation</w:t>
      </w:r>
    </w:p>
    <w:p>
      <w:pPr>
        <w:pStyle w:val="SourceNote"/>
      </w:pPr>
      <w:r>
        <w:rPr>
          <w:b/>
        </w:rPr>
        <w:t>Original source (2021):</w:t>
      </w:r>
      <w:r>
        <w:t xml:space="preserve"> https://doi.org/10.1016/j.agsy.2021.103318</w:t>
      </w:r>
    </w:p>
    <w:p>
      <w:pPr/>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findings, suggest, baseline, institutional;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Local Ramp Metering Strategies: Recommendation for Implementation Ramp Metering in Baghdad, Iraq — https://doi.org/10.30684/2412-0758.2417</w:t>
      </w:r>
    </w:p>
    <w:p>
      <w:pPr/>
      <w:r>
        <w:rPr>
          <w:b/>
        </w:rPr>
        <w:t>Shared claim-specific concepts:</w:t>
      </w:r>
      <w:r>
        <w:t xml:space="preserve"> strategies, ramp, institutional, four, developed; EU scope not established. This is a provisional connection, not an outcome finding.</w:t>
      </w:r>
    </w:p>
    <w:p>
      <w:pPr>
        <w:pStyle w:val="SourceNote"/>
      </w:pPr>
      <w:r>
        <w:rPr>
          <w:b/>
        </w:rPr>
        <w:t>Available abstract (not full text):</w:t>
      </w:r>
      <w:r>
        <w:t xml:space="preserve"> Ramp metering is one of the most widely used traffic management practices to alleviate congestion on freeways. Although the use of such algorithms has proven effective in developed transportation systems, this adaptation and installation of suitable ramp metering algorithms can still be a problem in developing countries, especially when traffic characteristics, data availability and institutional capacity differ greatly from the developed ones. This paper is a systematic review of local responsive ramp metering strategies covering more than ninety publications from 1991-2026. The review identifies four categories of strategies: threshold-based, feedback-based (such as ALINEA and its variations), optimization-based and AI-based. The evaluation of each family is done on a number of dimensions of performance such as congestion reduction effectiveness, implementation complexity, calibration requirements, computational effort, robustness under non-standard conditions and maturity of field validation. The paper uses comparative analysis to determine that the best option for implementation in developing nations like Iraq is feedback-based control, specifically the ALINEA algorithm and its proportional-integral control variant (PI-ALINEA), which is also practical. Specific recommendations for the expressways of Baghdad are given and a roadmap for periodical implementation is provided. </w:t>
      </w:r>
    </w:p>
    <w:p>
      <w:pPr/>
      <w:r>
        <w:rPr>
          <w:b/>
        </w:rPr>
        <w:t>POSSIBLE 2026:</w:t>
      </w:r>
      <w:r>
        <w:t xml:space="preserve"> Impact of Blasting Scenarios for In-Pit Ramp Construction on the Fumes Emission — https://doi.org/10.3390/su18020633</w:t>
      </w:r>
    </w:p>
    <w:p>
      <w:pPr/>
      <w:r>
        <w:rPr>
          <w:b/>
        </w:rPr>
        <w:t>Shared claim-specific concepts:</w:t>
      </w:r>
      <w:r>
        <w:t xml:space="preserve"> findings, strategies, ramp, developed; EU scope not established. This is a provisional connection, not an outcome finding.</w:t>
      </w:r>
    </w:p>
    <w:p>
      <w:pPr>
        <w:pStyle w:val="SourceNote"/>
      </w:pPr>
      <w:r>
        <w:rPr>
          <w:b/>
        </w:rPr>
        <w:t>Available abstract (not full text):</w:t>
      </w:r>
      <w:r>
        <w:t xml:space="preserve"> Blasting operations associated with in-pit ramp construction in open-pit mines generate gaseous emissions originating from both explosive detonation and diesel-powered drilling and loading equipment. The research object of this study is the ramp construction process in an operating open-pit quarry, and the objective is to comparatively evaluate gaseous emissions across alternative blasting scenarios to support emission-aware operational decision-making. Five realistic blasting scenarios are assessed using a combined methodology that integrates laboratory fume index data for ANFO, emulsion explosives, and dynamite with diesel-emission estimates derived from non-road mobile machinery inventory factors. Laboratory detonation tests provide standardized upper-bound emission potentials for COx and NOx, while drilling and loading emissions are quantified using a fuel-based inventory approach. The results show that the dominant contribution to total mass emissions arises from diesel combustion during drilling and loading, consistent with studies on real-world non-road mobile machinery inventory factors. Detonation fumes, although chemically concentrated and relevant for short-term exposure risk, represent a smaller share of the mass-based emission budget. Among the explosive types, bulk emulsions consistently exhibit lower toxic-gas emission indices than ANFO, attributable to their mor</w:t>
      </w:r>
    </w:p>
    <w:p>
      <w:pPr/>
      <w:r>
        <w:rPr>
          <w:b/>
        </w:rPr>
        <w:t>POSSIBLE 2026:</w:t>
      </w:r>
      <w:r>
        <w:t xml:space="preserve"> The Lifecycle of Inequality : Childhood Neighborhoods, Redistribution, and Lifetime Pensions in Finland and Europe — https://openalex.org/W7197944645</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This doctoral dissertation investigates the mechanics of inequality throughout the human lifecycle. It starts from the formation of opportunity in childhood, continues through the mitigation of inequality during working age, and ends with the realization of different life expectancies and pension wealth in retirement. Consisting of an introduction and three essays, the thesis examines these dynamics within the institutional contexts of the Nordic welfare state and Europe. In the first essay, The Impact of Childhood Neighborhoods on Intergenerational Mobility in Finland, I exploit a movers design to isolate the role of location in determining long-term outcomes. My results remain inconclusive. On the other hand, I find significant exposure effects: every additional year spent in a neighborhood where children have a higher income in adulthood improves a child’s future income. Surprisingly, for the probability of high school matriculation, this seems to be the opposite. Every additional year in a neighborhood with high proportion of children matriculating from high school lowers a child's own probability of matriculating. These effect sizes are comparable to recent findings from the United States, suggesting that even within the Finnish welfare state characterized by uniform schooling and social security, residential location might still remain a determinant of opportunity. Howeve</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findings, suggest, baseline, conclusions;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Baseline Common European Framework of Reference for Languages (CEFR) Proficiency and Skill-Specific Gaps of Freshmen Students: Basis for an English Proficiency Enhancement Program — https://doi.org/10.69569/jip.2026.106x</w:t>
      </w:r>
    </w:p>
    <w:p>
      <w:pPr/>
      <w:r>
        <w:rPr>
          <w:b/>
        </w:rPr>
        <w:t>Shared claim-specific concepts:</w:t>
      </w:r>
      <w:r>
        <w:t xml:space="preserve"> findings, baseline, four; EU scope visible. This is a provisional connection, not an outcome finding.</w:t>
      </w:r>
    </w:p>
    <w:p>
      <w:pPr>
        <w:pStyle w:val="SourceNote"/>
      </w:pPr>
      <w:r>
        <w:rPr>
          <w:b/>
        </w:rPr>
        <w:t>Available abstract (not full text):</w:t>
      </w:r>
      <w:r>
        <w:t xml:space="preserve"> English language proficiency is a critical determinant of academic success in higher education, particularly in contexts where English serves as the primary medium of instruction. This study assessed the baseline English language proficiency and identified skill-specific gaps among freshmen students at San Pablo Colleges using the Common European Framework of Reference for Languages (CEFR). A descriptive–comparative research design was employed, involving 205 first-year students from various academic programs. Data were collected using a CEFR-aligned assessment tool that measured four macro-skills: reading, listening, writing, and speaking. The data were analyzed using both descriptive and inferential statistical techniques. Descriptive statistics, including frequency, percentage, mean (M), and standard deviation (SD), were used to assess overall proficiency levels and examine variation across macro-skills. Inferential analyses, specifically independent samples t-tests and one-way analysis of variance (ANOVA), were conducted to assess differences in proficiency when grouped by sex and academic program, with the level of significance set at 0.05. Findings revealed that the majority of respondents were classified at the B2 (Upper Intermediate) and C1 (Advanced) proficiency levels, indicating generally adequate readiness for academic engagement. However, disparities across macro-s</w:t>
      </w:r>
    </w:p>
    <w:p>
      <w:pPr/>
      <w:r>
        <w:rPr>
          <w:b/>
        </w:rPr>
        <w:t>POSSIBLE 2026:</w:t>
      </w:r>
      <w:r>
        <w:t xml:space="preserve"> Climate‐Driven Shifts in the Potential Distribution of Quarantine Forest Pathogens in Europe: Insights From Species Distribution Modelling — https://doi.org/10.1111/ppa.70187</w:t>
      </w:r>
    </w:p>
    <w:p>
      <w:pPr/>
      <w:r>
        <w:rPr>
          <w:b/>
        </w:rPr>
        <w:t>Shared claim-specific concepts:</w:t>
      </w:r>
      <w:r>
        <w:t xml:space="preserve"> findings, baseline, strategies, four; EU scope visible. This is a provisional connection, not an outcome finding.</w:t>
      </w:r>
    </w:p>
    <w:p>
      <w:pPr>
        <w:pStyle w:val="SourceNote"/>
      </w:pPr>
      <w:r>
        <w:rPr>
          <w:b/>
        </w:rPr>
        <w:t>Available abstract (not full text):</w:t>
      </w:r>
      <w:r>
        <w:t xml:space="preserve"> ABSTRACT Climate change is increasingly recognised as a major driver of shifts in the geographic ranges of forest pathogens, with profound implications for forest health and management. Rising temperatures, altered precipitation regimes and longer growing seasons can facilitate pathogen establishment, survival and spread, particularly in regions previously constrained by climate. In this study, we assessed the current and future climatic suitability of four forest pathogens of phytosanitary concern— Davidsoniella virescens , Bretziella fagacearum , Litylenchus crenatae and Stegophora ulmea— with a specific focus on Europe. Using species distribution models (MaxEnt) calibrated with confirmed occurrence records and bioclimatic variables, we projected potential distribution patterns under baseline conditions and future climate scenarios (SSP1‐2.6, SSP2–4.5, SSP3–7.0 and SSP5–8.5). Our results indicate a pronounced northward and eastward expansion of climatically suitable areas for D. virescens and B. fagacearum , particularly under high‐emission scenarios, suggesting an increased risk of climatic suitability conducive to establishment in large parts of Europe. In contrast, L. crenatae exhibited relatively limited range shifts, while S. ulmea showed moderate expansion coupled with localised contractions. These species‐specific responses highlight the importance of biological traits</w:t>
      </w:r>
    </w:p>
    <w:p>
      <w:pPr/>
      <w:r>
        <w:rPr>
          <w:b/>
        </w:rPr>
        <w:t>POSSIBLE 2026:</w:t>
      </w:r>
      <w:r>
        <w:t xml:space="preserve"> Shifting urban baselines limit the abundance-based resolution of a classical lichen indicator — https://doi.org/10.1016/j.ecolind.2026.115071</w:t>
      </w:r>
    </w:p>
    <w:p>
      <w:pPr/>
      <w:r>
        <w:rPr>
          <w:b/>
        </w:rPr>
        <w:t>Shared claim-specific concepts:</w:t>
      </w:r>
      <w:r>
        <w:t xml:space="preserve"> findings, suggest, developed; EU scope visible. This is a provisional connection, not an outcome finding.</w:t>
      </w:r>
    </w:p>
    <w:p>
      <w:pPr>
        <w:pStyle w:val="SourceNote"/>
      </w:pPr>
      <w:r>
        <w:rPr>
          <w:b/>
        </w:rPr>
        <w:t>Available abstract (not full text):</w:t>
      </w:r>
      <w:r>
        <w:t xml:space="preserve"> Most urban lichen bioindication frameworks were developed under the substantially higher industrial and traffic-related pollution levels that characterised many European cities in previous decades. In many European cities, however, nitrogen dioxide (NO₂) concentrations have declined substantially over recent decades alongside ongoing climatic warming, raising the question of whether classical indicator species still track present-day pollution gradients. We evaluated the abundance-based indicator performance of the widely used lichen bioindicator Xanthoria parietina across complementary temporal (10 sites monitored from 2015 to 2025) and spatial (63 sites, 2023–2025) gradients in Vienna (Austria), combining repeated field surveys with year-specific spatially resolved NO₂ and climate data. During the study period, NO₂ concentrations declined markedly while air temperature increased. Across both datasets and modelling approaches, estimated NO₂ effects on lichen abundance were small, with confidence intervals overlapping zero and providing limited support for strong abundance responses within the observed NO₂ range. Contemporary NO₂ concentrations spanned a narrow and comparatively low range relative to historical urban conditions, suggesting that present-day exposure may lie largely below the species' effective abundance–response range. Accordingly, Xanthoria parietina provided l</w:t>
      </w:r>
    </w:p>
    <w:p>
      <w:pPr/>
      <w:r>
        <w:rPr>
          <w:b/>
        </w:rPr>
        <w:t>POSSIBLE 2026:</w:t>
      </w:r>
      <w:r>
        <w:t xml:space="preserve"> Baseline Double-Balloon Enteroscopy Findings and Long-Term Outcomes in Pediatric Crohn’s Disease — https://doi.org/10.7759/cureus.103632</w:t>
      </w:r>
    </w:p>
    <w:p>
      <w:pPr/>
      <w:r>
        <w:rPr>
          <w:b/>
        </w:rPr>
        <w:t>Shared claim-specific concepts:</w:t>
      </w:r>
      <w:r>
        <w:t xml:space="preserve"> findings, baseline, conclusions; EU scope not established. This is a provisional connection, not an outcome finding.</w:t>
      </w:r>
    </w:p>
    <w:p>
      <w:pPr>
        <w:pStyle w:val="SourceNote"/>
      </w:pPr>
      <w:r>
        <w:rPr>
          <w:b/>
        </w:rPr>
        <w:t>Available abstract (not full text):</w:t>
      </w:r>
      <w:r>
        <w:t xml:space="preserve"> Background Pediatric Crohn's disease is frequently characterized by extensive small-bowel involvement and a dynamic disease course. Double-balloon enteroscopy (DBE) allows direct evaluation of proximal small-bowel lesions that may not be detected by conventional upper gastrointestinal endoscopy and ileocolonoscopy; however, the long-term clinical implications of baseline DBE findings remain poorly defined. Methods We conducted a retrospective, single-center longitudinal cohort study including pediatric patients initially diagnosed with Crohn's disease who underwent baseline DBE. Clinical and endoscopic disease activity were assessed using the Harvey-Bradshaw Index (HBI) and the Simple Endoscopic Score for Crohn's Disease (SES-CD), respectively, at baseline and after approximately 10 years of follow-up. Patients with diagnostic reclassification during follow-up were excluded from remission analyses but analyzed descriptively. Results Twenty patients underwent baseline DBE; three (15%) were subsequently reclassified to alternative diagnoses. Among the remaining 17 (85%) patients with a final diagnosis of Crohn's disease, both clinical and endoscopic disease activity substantially improved over long-term follow-up. Baseline DBE identified ulcerative jejunal disease in a subset of patients. At follow-up, patients with ulcerative lesions identified on baseline DBE tended to exhibit </w:t>
      </w:r>
    </w:p>
    <w:p>
      <w:pPr/>
      <w:r>
        <w:rPr>
          <w:b/>
        </w:rPr>
        <w:t>POSSIBLE 2026:</w:t>
      </w:r>
      <w:r>
        <w:t xml:space="preserve"> Mapping the availability of climate and health education in European schools of public health: a baseline assessment for indicator development — https://doi.org/10.3389/ijph.2026.1609473</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Objectives: Climate and health education is increasingly recognised as essential for preparing a climate-competent public health workforce, yet reliable European baseline data remain limited. This cross-sectional study assessed the availability of climate and health education in degree-granting Schools of Public Health across the World Health Organization European Region. Methods: A survey of Association of Schools of Public Health in the European Region member institutions was combined with a large-language-model-assisted web scan and manual verification of institutional websites, curricula, syllabi, and programme descriptions. Results: Overall, 268 Schools of Public Health were identified across 53 countries, including 131 ASPHER members and 137 non-members. Of these, 111 institutions (41.4%) offered at least one verified climate and health education programme or course in 2024/2025. Availability was similar among ASPHER members (41%) and non-members (43%). Most identified programmes were offered at master's level, while vocational, bachelor, doctoral, and continuing professional development opportunities were less frequent. Conclusion: Climate and health education is present across much of Europe but remains uneven and concentrated at postgraduate level. The findings provide a verifiable baseline for future monitoring and policy action.</w:t>
      </w:r>
    </w:p>
    <w:p>
      <w:pPr/>
      <w:r>
        <w:rPr>
          <w:b/>
        </w:rPr>
        <w:t>POSSIBLE 2026:</w:t>
      </w:r>
      <w:r>
        <w:t xml:space="preserve"> A systematic identification of resistance determinants to antisense antibiotics suggests adaptation strategies dependent on the delivery peptide — https://doi.org/10.1038/s41467-026-76357-y</w:t>
      </w:r>
    </w:p>
    <w:p>
      <w:pPr/>
      <w:r>
        <w:rPr>
          <w:b/>
        </w:rPr>
        <w:t>Shared claim-specific concepts:</w:t>
      </w:r>
      <w:r>
        <w:t xml:space="preserve"> findings, strategies, four; EU scope not established. This is a provisional connection, not an outcome finding.</w:t>
      </w:r>
    </w:p>
    <w:p>
      <w:pPr>
        <w:pStyle w:val="SourceNote"/>
      </w:pPr>
      <w:r>
        <w:rPr>
          <w:b/>
        </w:rPr>
        <w:t>Available abstract (not full text):</w:t>
      </w:r>
      <w:r>
        <w:t xml:space="preserve"> Abstract The rise of antimicrobial resistance (AMR) among human pathogenic microbes is a serious threat to global health, calling for the development of novel treatment strategies. Antibiotics based on programmable antisense oligomers (asobiotics) offer an attractive solution to the “arms-race”, as their specificity can be quickly updated and tailored to target resistant bacteria. In order to understand the genetic architecture of resistance to asobiotics, we employed laboratory evolution assays to identify mutations that decrease susceptibility to antisense peptide nucleic acid (PNA) against four major gram-negative pathogens: Escherichia coli, Klebsiella pneumoniae, Salmonella enterica , and Pseudomonas aeruginosa . We observed that the reduction in susceptibility upon asobiotics treatment was dependent on the specific cell penetrating peptide (CPP) being conjugated to the PNAs, suggesting that reduced uptake is a common adaptation strategy only against the (KFF) 3 -K CPP. We in fact observed that sbmA was frequently mutated in all tested species when treated with (KFF) 3 -K conjugated PNAs. We further identified mutations related to translation, peptide transport and cell envelope, which provide new hypotheses on cellular response to CPP-PNAs conjugates. Furthermore, for (RXR) 4 XB- acpP we observed a modest increase in resistance only when mutations in the PNA binding site </w:t>
      </w:r>
    </w:p>
    <w:p>
      <w:pPr/>
      <w:r>
        <w:rPr>
          <w:b/>
        </w:rPr>
        <w:t>POSSIBLE 2026:</w:t>
      </w:r>
      <w:r>
        <w:t xml:space="preserve"> The Italian registry for narcolepsy and central disorders of hypersomnolence (ReN&amp;IS): Baseline clinical and diagnostic findings — https://doi.org/10.1016/j.sleep.2026.109021</w:t>
      </w:r>
    </w:p>
    <w:p>
      <w:pPr/>
      <w:r>
        <w:rPr>
          <w:b/>
        </w:rPr>
        <w:t>Shared claim-specific concepts:</w:t>
      </w:r>
      <w:r>
        <w:t xml:space="preserve"> findings, baseline, conclusions; EU scope visible. This is a provisional connection, not an outcome finding.</w:t>
      </w:r>
    </w:p>
    <w:p>
      <w:pPr>
        <w:pStyle w:val="SourceNote"/>
      </w:pPr>
      <w:r>
        <w:rPr>
          <w:b/>
        </w:rPr>
        <w:t>Available abstract (not full text):</w:t>
      </w:r>
      <w:r>
        <w:t xml:space="preserve"> OBJECTIVE: Central disorders of hypersomnolence, a wide and heterogeneous group of neurological disorders including narcolepsy type 1 (NT1), narcolepsy type 2 (NT2), and idiopathic hypersomnia (IH), are chronic, rare, under-recognized, and disabling conditions characterized by excessive daytime sleepiness (EDS) and other symptoms adversely impacting patients' lives. Large, harmonized real-world datasets are needed to improve phenotypic characterization, diagnostic accuracy, and translational research. METHODS: The Italian Registry for Narcolepsy and Central Disorders of Hypersomnolence (ReN&amp;IS) is a national, multicenter, observational registry established in 2022. This preliminary analysis presents and compares demographic features, disease presentation, diagnostic assessment, medical comorbidities, current treatment patterns, and symptoms' evolution across diagnostic NT1, NT2, and IH groups of patients enrolled across 20 Italian referral centers. RESULTS: From March 2022 to September 2025, 480 cases were entered in the ReN&amp;IS. NT1 accounted for 80.0% of cases, NT2 for 14.6%, and IH for 5.4%. NT1 showed younger age at onset and enrollment than NT2 and IH, as well as the highest burden of REM-sleep-related symptoms and clear biomarker profiles (HLA DQB1∗06:02 positivity and low cerebrospinal fluid orexin-A levels). Although most patients were treated with non-pharmacological (5</w:t>
      </w:r>
    </w:p>
    <w:p>
      <w:pPr>
        <w:pStyle w:val="Heading2"/>
      </w:pPr>
      <w:r>
        <w:t>636. Scenarios of Automated Mobility in Austria: Implications for Future Transport Policy</w:t>
      </w:r>
    </w:p>
    <w:p>
      <w:pPr>
        <w:pStyle w:val="SourceNote"/>
      </w:pPr>
      <w:r>
        <w:rPr>
          <w:b/>
        </w:rPr>
        <w:t>Original source (2021):</w:t>
      </w:r>
      <w:r>
        <w:t xml:space="preserve"> https://doi.org/10.3390/futuretransp1030041</w:t>
      </w:r>
    </w:p>
    <w:p>
      <w:pPr/>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POSSIBLE 2026:</w:t>
      </w:r>
      <w:r>
        <w:t xml:space="preserve"> Sustainable aviation fuels in Europe: An agent-based simulation of market dynamics in a regulated competitive landscape — https://doi.org/10.18154/rwth-2026-04976</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trend.With the Fit for 55 package, the EU initiated a political push to drive the sustainable transition in aviation.Taking into account the policy drive of the Fit for 55 package, we investigate the political market intervention in intra-European aviation, considering the potential role of sustainable aviation fuels (SAFs).For this purpose, an agent-based simulation modeling approach coupled with a system dynamics environment was developed to analyze market developments through both economic and ecological lenses.Two key stakeholders, customers (both passengers and freight companies) and airlines, are considered to capture the impacts of their behaviors and decisionmaking preferences in the adoption of SAFs.Several scenarios, based on different policy interventions, were considered in the analysis in order to comprehensively explore the impacts of further political developments.The results indicate that policy intervention can lead to a transition driven by sustainable sector performance and demand effects in response to price changes.Furthermore, as intended by the regulations, the results suggest that achieving the sustainable transition requires a shared responsibility amongst customers, industry playe</w:t>
      </w:r>
    </w:p>
    <w:p>
      <w:pPr/>
      <w:r>
        <w:rPr>
          <w:b/>
        </w:rPr>
        <w:t>POSSIBLE 2026:</w:t>
      </w:r>
      <w:r>
        <w:t xml:space="preserve"> Sustainable aviation fuels in Europe: An agent-based simulation of market dynamics in a regulated competitive landscape — https://doi.org/10.1016/j.tranpol.2026.104158</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 With the Fit for 55 package, the EU initiated a political push to drive the sustainable transition in aviation. Taking into account the policy drive of the Fit for 55 package, we investigate the political market intervention in intra-European aviation, considering the potential role of sustainable aviation fuels (SAFs). For this purpose, an agent-based simulation modeling approach coupled with a system dynamics environment was developed to analyze market developments through both economic and ecological lenses. Two key stakeholders, customers (both passengers and freight companies) and airlines, are considered to capture the impacts of their behaviors and decision-making preferences in the adoption of SAFs. Several scenarios, based on different policy interventions, were considered in the analysis in order to comprehensively explore the impacts of further political developments. The results indicate that policy intervention can lead to a transition driven by sustainable sector performance and demand effects in response to price changes. Furthermore, as intended by the regulations, the results suggest that achieving the sustainable transition requires a shared responsibility amongst customers, indust</w:t>
      </w:r>
    </w:p>
    <w:p>
      <w:pPr/>
      <w:r>
        <w:rPr>
          <w:b/>
        </w:rPr>
        <w:t>POSSIBLE 2026:</w:t>
      </w:r>
      <w:r>
        <w:t xml:space="preserve"> Transport-related effects of rail-based urban parcel transport: scenario analysis and policy implications — https://doi.org/10.1016/j.trpro.2026.04.120</w:t>
      </w:r>
    </w:p>
    <w:p>
      <w:pPr/>
      <w:r>
        <w:rPr>
          <w:b/>
        </w:rPr>
        <w:t>Shared claim-specific concepts:</w:t>
      </w:r>
      <w:r>
        <w:t xml:space="preserve"> simulations, show, transport, shift, volumes; EU scope not established. This is a provisional connection, not an outcome finding.</w:t>
      </w:r>
    </w:p>
    <w:p>
      <w:pPr>
        <w:pStyle w:val="SourceNote"/>
      </w:pPr>
      <w:r>
        <w:rPr>
          <w:b/>
        </w:rPr>
        <w:t>Available abstract (not full text):</w:t>
      </w:r>
      <w:r>
        <w:t xml:space="preserve"> The rapid growth of e-commerce has led to increased parcel volumes, posing challenges for sustainable city logistics. This study evaluates the potential of a combined cargo and passenger tram system as an alternative to light commercial vehicle (LCV) shipments. Empirically extending the agent-based freight demand model ‘logiTopp’, transport-related effects are analyzed through scenario simulations. Results show that a cargo tram can shift LCV mileage to sustainable modes, though the overall shift exceeds saved LCV mileage. The study highlights operational challenges like missing rail access at distribution centres and emphasizes the need for policy incentives to foster the cargo tram’s potential.</w:t>
      </w:r>
    </w:p>
    <w:p>
      <w:pPr/>
      <w:r>
        <w:rPr>
          <w:b/>
        </w:rPr>
        <w:t>POSSIBLE 2026:</w:t>
      </w:r>
      <w:r>
        <w:t xml:space="preserve"> Spatio-temporal patterns of wheat yield losses and environmental stresses in Europe — https://doi.org/10.1088/1748-9326/ae651e</w:t>
      </w:r>
    </w:p>
    <w:p>
      <w:pPr/>
      <w:r>
        <w:rPr>
          <w:b/>
        </w:rPr>
        <w:t>Shared claim-specific concepts:</w:t>
      </w:r>
      <w:r>
        <w:t xml:space="preserve"> simulations, show, without; EU scope visible. This is a provisional connection, not an outcome finding.</w:t>
      </w:r>
    </w:p>
    <w:p>
      <w:pPr>
        <w:pStyle w:val="SourceNote"/>
      </w:pPr>
      <w:r>
        <w:rPr>
          <w:b/>
        </w:rPr>
        <w:t>Available abstract (not full text):</w:t>
      </w:r>
      <w:r>
        <w:t xml:space="preserve"> Abstract Characterizing environmental drivers of crop yield variability is essential for understanding genotype× environment interactions and optimizing breeders’ field trial networks. These efforts are critical for improving crop yields under increasing food demand. However, a comprehensive pan-European assessment of the relative contributions of major abiotic stresses affecting wheat, the main crop in Europe, and their recent changes is still lacking. In this study, we used the SiriusQuality crop growth model to simulate wheat responses to combinations of yield-reducing factors, including water, nitrogen, and temperature limitations. Simulations were conducted across Europe at a spatial resolution of 25× 25 km for the period 1985 – 2014. The results show that environmental stresses caused an average annual production loss of 111.4 million tons, corresponding to 45% of the simulated potential European wheat production, defined here as yield under conditions without water, nitrogen, or temperature limitations. Water limitation was the dominant driver, accounting for 59% of total losses. Over the study period, simulated yield losses due to environmental constraints decreased on average by 0.22% per year, although strong regional differences were observed. Five environment types were identified based on daily patterns of aboveground biomass loss caused by water deficit, distingui</w:t>
      </w:r>
    </w:p>
    <w:p>
      <w:pPr/>
      <w:r>
        <w:rPr>
          <w:b/>
        </w:rPr>
        <w:t>POSSIBLE 2026:</w:t>
      </w:r>
      <w:r>
        <w:t xml:space="preserve"> The regressivity of worker's social insurance contributions in Spain. Simulation of alternative systems with a view to Europe — https://doi.org/10.4995/jpeval.2026.23901</w:t>
      </w:r>
    </w:p>
    <w:p>
      <w:pPr/>
      <w:r>
        <w:rPr>
          <w:b/>
        </w:rPr>
        <w:t>Shared claim-specific concepts:</w:t>
      </w:r>
      <w:r>
        <w:t xml:space="preserve"> show, measures, increase; EU scope visible. This is a provisional connection, not an outcome finding.</w:t>
      </w:r>
    </w:p>
    <w:p>
      <w:pPr>
        <w:pStyle w:val="SourceNote"/>
      </w:pPr>
      <w:r>
        <w:rPr>
          <w:b/>
        </w:rPr>
        <w:t>Available abstract (not full text):</w:t>
      </w:r>
      <w:r>
        <w:t xml:space="preserve"> Spanish social insurance contributions exacerbate inequality and distort income distribution. One of the main causes of this effect is the existence of maximum and minimum limits on the contribution base. Therefore, the main objective of this paper is to analyze the regressivity of employees’ social insurance contributions to the Spanish General Social Insurance Scheme and the resulting worsening of income inequality, with a view to proposing solutions to mitigate this effect. By comparing with the Social Insurance systems of other European countries, three reforms are simulated using EUROMOD: the removal of maximum and minimum contribution bases, and the introduction of two contribution deduction for low-income workers. The results show that these measures reduce regressivity, improve income distribution and increase tax revenue. In this way, greater equity in the social insurance system is promoted.</w:t>
      </w:r>
    </w:p>
    <w:p>
      <w:pPr/>
      <w:r>
        <w:rPr>
          <w:b/>
        </w:rPr>
        <w:t>POSSIBLE 2026:</w:t>
      </w:r>
      <w:r>
        <w:t xml:space="preserve"> Enhancing Air Quality Simulations With Neural Downscaling Architectures — https://doi.org/10.1002/asl.70003</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ABSTRACT High‐resolution air pollution datasets are crucial for exposure assessment and policy support but are computationally demanding to produce with traditional models. We present a machine learning‐based framework for spatial downscaling of chemistry‐transport model outputs from 6 km to 1 km horizontal resolution over a large European domain. The model is trained on base case simulations and validated across multiple emission scenarios and temporal scales. Results show good performance in reproducing both absolute concentrations and scenario‐induced differences. Applying the model to monthly‐averaged fields offers a computationally efficient solution, supporting rapid scenario analysis.</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transport, measures;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3 Hourly ICON outputs from irrigation long-term simulation — https://doi.org/10.60507/fk2/h4w6dt</w:t>
      </w:r>
    </w:p>
    <w:p>
      <w:pPr/>
      <w:r>
        <w:rPr>
          <w:b/>
        </w:rPr>
        <w:t>Shared claim-specific concepts:</w:t>
      </w:r>
      <w:r>
        <w:t xml:space="preserve"> simulations, show, without, volume; EU scope visible. This is a provisional connection, not an outcome finding.</w:t>
      </w:r>
    </w:p>
    <w:p>
      <w:pPr>
        <w:pStyle w:val="SourceNote"/>
      </w:pPr>
      <w:r>
        <w:rPr>
          <w:b/>
        </w:rPr>
        <w:t>Available abstract (not full text):</w:t>
      </w:r>
      <w:r>
        <w:t xml:space="preserve"> Studies on irrigation within Earth system models have demonstrated the irrigation effects on various variables. While some regional simulations in Europe have focused on short-term impacts during a single growing season, comprehensive long-term simulations across the entire continent are lacking. Our study aims to quantify the long-term impact of irrigation on surface and atmospheric variables over the EURO-CORDEX domain using convection-permitting ICON simulations that cover a period of 12 years. The irrigation parameterization is based on the CHANNEL scheme in WRF (Valmassoi et al. 2020). The daily irrigation volume matches the readily available water (RAW), which is the amount of total available water (TAW) a crop can absorb from the root zone without stress. The irrigation event starts on May 1st of each year at 5 UTC for 5 hours, with a frequency of every 12 days. The results show that the irrigation impact varies by region and year, highlighting the importance of land-atmosphere interactions in the irrigation impact. For example, the cold and wet summer of 2017 in southern Europe reduced irrigation cooling effects in the Alps, while the 2018 heat wave in Central Europe enhanced the influence of irrigation on surface variables. The files found in the current dataset are 3 hourly outputs from the ICOsahedral Nonhydrostatic model (ICON) for the control and irrigation experim</w:t>
      </w:r>
    </w:p>
    <w:p>
      <w:pPr/>
      <w:r>
        <w:rPr>
          <w:b/>
        </w:rPr>
        <w:t>POSSIBLE 2026:</w:t>
      </w:r>
      <w:r>
        <w:t xml:space="preserve"> Evaluation of European Air Quality Simulations in 2019 Using the CMAQ–WRF Modeling System — https://doi.org/10.5194/egusphere-egu26-4162</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Air pollution levels across Europe have declined significantly over the past two decades, largely due to targeted emission controls in the energy, industry, and transport sectors. Recent monitoring data (2023–2024) show that EU air quality standards are met at 99% of stations for PM2.5 and 98% for nitrogen dioxide (NO2). Despite this progress, air pollution remains the leading environmental health risk in Europe. The European Environment Agency (EEA) estimates that annual exposure to PM2.5, ozone (O3), and NO2 caused approximately 239,000, 70,000, and 48,000 premature deaths, respectively, in the EU–27. Therefore, member States are required to prepare National Air Pollution Control Programmes (NAPCPs) and local action plans, with a stronger role for air quality modeling in complementing monitoring, assessing pollutant distributions, and evaluating mitigation pathways. Air quality modeling has become indispensable for understanding pollutant dynamics, quantifying the effects of emission reductions, and designing integrated air–climate policies. Large–scale initiatives such as FAIRMODE, AQMEII, EURODELT, and HTAP have advanced knowledge on model performance and uncertainties, while emphasizing the need for harmonized approaches across Europe. These efforts show that robust policy support requires continent–wide evaluations based on consistent emissions, updated meteorological dri</w:t>
      </w:r>
    </w:p>
    <w:p>
      <w:pPr/>
      <w:r>
        <w:rPr>
          <w:b/>
        </w:rPr>
        <w:t>POSSIBLE 2026:</w:t>
      </w:r>
      <w:r>
        <w:t xml:space="preserve"> Simulation-based investigation of decarbonization strategies for urban freight transport — https://doi.org/10.14279/depositonce-26777</w:t>
      </w:r>
    </w:p>
    <w:p>
      <w:pPr/>
      <w:r>
        <w:rPr>
          <w:b/>
        </w:rPr>
        <w:t>Shared claim-specific concepts:</w:t>
      </w:r>
      <w:r>
        <w:t xml:space="preserve"> show, transport, measures, traffic; EU scope not established. This is a provisional connection, not an outcome finding.</w:t>
      </w:r>
    </w:p>
    <w:p>
      <w:pPr>
        <w:pStyle w:val="SourceNote"/>
      </w:pPr>
      <w:r>
        <w:rPr>
          <w:b/>
        </w:rPr>
        <w:t>Available abstract (not full text):</w:t>
      </w:r>
      <w:r>
        <w:t xml:space="preserve"> This thesis examines the decarbonization of urban road freight transport. Based on case studies, the conversion of the vehicle fleet from conventional (Internal Combustion Engine Vehicle (ICEV)) to Battery Electric Vehicle (BEV) is examined using the agent-based traffic simulation software MATSim . The investigations are carried out from the perspective of the transport companies as economic agents and the companies each carry out route planning with the available vehicle fleet. The objective function of the route planning algorithm is to minimize the total costs, which include costs for the vehicles, the distance traveled and the time taken as well as any additional costs (e.g., tolls). For the central investigations in this thesis, the already existing scenario of Schröder and Liedtke (2014) for the delivery of food markets in Berlin is further developed and used. The thesis consists of three parts: The first part of the work presents the basics, methods, the software used, and the scenarios used in the various studies. The second part of the thesis deals with the direct conversion of the existing vehicle fleet from ICEVs to BEVs. The logistics network of the carriers remains unchanged. Customers (supermarkets) will therefore continue to be supplied directly from the depot. One study assumes that the carriers now only have BEVs at their disposal. The limited range of the BEVs</w:t>
      </w:r>
    </w:p>
    <w:p>
      <w:pPr/>
      <w:r>
        <w:rPr>
          <w:b/>
        </w:rPr>
        <w:t>POSSIBLE 2026:</w:t>
      </w:r>
      <w:r>
        <w:t xml:space="preserve"> Thesis on Environment and Transport Economics — https://openalex.org/W7128124271</w:t>
      </w:r>
    </w:p>
    <w:p>
      <w:pPr/>
      <w:r>
        <w:rPr>
          <w:b/>
        </w:rPr>
        <w:t>Shared claim-specific concepts:</w:t>
      </w:r>
      <w:r>
        <w:t xml:space="preserve"> simulations, show, transport, lower; EU scope visible. This is a provisional connection, not an outcome finding.</w:t>
      </w:r>
    </w:p>
    <w:p>
      <w:pPr>
        <w:pStyle w:val="SourceNote"/>
      </w:pPr>
      <w:r>
        <w:rPr>
          <w:b/>
        </w:rPr>
        <w:t>Available abstract (not full text):</w:t>
      </w:r>
      <w:r>
        <w:t xml:space="preserve"> This thesis examines how supply-side carbon pricing and demand-side purchase sub- sidies reshape market structure and welfare in Europe’s two largest transport sectors: aviation and automobiles. Chapter 1 analyses the European airline industry using a two-stage entry-and-pricing model that captures key institutional features such as airport slot constraints and point-to-point business models. Fixed-cost parame- ters are estimated through a hybrid approach combining moment inequalities with maximum likelihood, ensuring policy simulations remain consistent with observed market structures. The analysis shows that carbon pricing induces asymmetric network adjustments concentrated among low-cost and regional carriers, while full- service groups at hub airports remain relatively resilient. Although industry profits decline, the reallocation of capacity improves allocative efficiency and redistributes welfare unevenly across Europe. Chapter 2 evaluates electric-vehicle purchase sub- sidies in the UK, France, and Germany (2010–2021) using a random-coefficients logit demand model with micro-moment calibration and a static Bertrand pricing framework. The results show that the expansion of the EV market has been driven mainly by product innovation and model fleet turnover rather than by flat purchase incentives. Subsidy effectiveness varies across countries, with limited impacts in the UK</w:t>
      </w:r>
    </w:p>
    <w:p>
      <w:pPr/>
      <w:r>
        <w:rPr>
          <w:b/>
        </w:rPr>
        <w:t>POSSIBLE 2026:</w:t>
      </w:r>
      <w:r>
        <w:t xml:space="preserve"> Contribution of Explicit SVOC and IVOC Emissions from the Transportation Sector on Particulate Matter Concentrations in Europe — https://doi.org/10.5194/egusphere-egu26-18450</w:t>
      </w:r>
    </w:p>
    <w:p>
      <w:pPr/>
      <w:r>
        <w:rPr>
          <w:b/>
        </w:rPr>
        <w:t>Shared claim-specific concepts:</w:t>
      </w:r>
      <w:r>
        <w:t xml:space="preserve"> simulations, show, transport, significant; EU scope visible. This is a provisional connection, not an outcome finding.</w:t>
      </w:r>
    </w:p>
    <w:p>
      <w:pPr>
        <w:pStyle w:val="SourceNote"/>
      </w:pPr>
      <w:r>
        <w:rPr>
          <w:b/>
        </w:rPr>
        <w:t>Available abstract (not full text):</w:t>
      </w:r>
      <w:r>
        <w:t xml:space="preserve"> Road transportation is a significant contributor to air pollution across Europe, especially in urban areas, and the resulting impacts on public health are highly uncertain. Pollutants are emitted in both the gas and particle phases from several operational modes including combustion exhaust, non-combustion evaporation, and mechanical brake and tire wear. Conventional air emission inventories used to inform policy in Europe have included inert fine and coarse particle emissions as well as emissions of light hydrocarbons, or volatile organic compounds. But recent laboratory studies have demonstrated that particle emissions are far more dynamic than originally thought, and that key reactive gas-phase compounds have probably been missing from existing inventories. As part of the Effects on Air quality of Semi-VOLatile Engine Emissions (EASVOLEE) project, state-of-the-science laboratory measurements have been used to develop a new inventory for present-day European air emissions that explicitly considers semivolatile and intermediate volatility organic compounds (SVOCs and IVOCs) from road transportation. This inventory is used to drive simulations with the European Monitoring and Evaluation Programme (EMEP) MSC-W regional-scale chemical transport model. With this new model platform, we assess the comprehensive primary and secondary contributions of road transport emissions to Europ</w:t>
      </w:r>
    </w:p>
    <w:p>
      <w:pPr>
        <w:pStyle w:val="Heading2"/>
      </w:pPr>
      <w:r>
        <w:t>637. Scenario‐based fertility projections incorporating impacts of COVID‐19</w:t>
      </w:r>
    </w:p>
    <w:p>
      <w:pPr>
        <w:pStyle w:val="SourceNote"/>
      </w:pPr>
      <w:r>
        <w:rPr>
          <w:b/>
        </w:rPr>
        <w:t>Original source (2021):</w:t>
      </w:r>
      <w:r>
        <w:t xml:space="preserve"> https://doi.org/10.1002/psp.2546</w:t>
      </w:r>
    </w:p>
    <w:p>
      <w:pPr/>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POSSIBLE 2026:</w:t>
      </w:r>
      <w:r>
        <w:t xml:space="preserve"> The Inevitability of Projection: The Three-Term Equation as the Mother Equation of the Quantum Blueprint Formalism — https://doi.org/10.5281/zenodo.18527042</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pPr/>
      <w:r>
        <w:rPr>
          <w:b/>
        </w:rPr>
        <w:t>POSSIBLE 2026:</w:t>
      </w:r>
      <w:r>
        <w:t xml:space="preserve"> Do Transformers Need Three Projections? Systematic Study of QKV Variants — https://doi.org/10.48550/arxiv.2606.04032</w:t>
      </w:r>
    </w:p>
    <w:p>
      <w:pPr/>
      <w:r>
        <w:rPr>
          <w:b/>
        </w:rPr>
        <w:t>Shared claim-specific concepts:</w:t>
      </w:r>
      <w:r>
        <w:t xml:space="preserve"> projections, show, three; EU scope not established. This is a provisional connection, not an outcome finding.</w:t>
      </w:r>
    </w:p>
    <w:p>
      <w:pPr>
        <w:pStyle w:val="SourceNote"/>
      </w:pPr>
      <w:r>
        <w:rPr>
          <w:b/>
        </w:rPr>
        <w:t>Available abstract (not full text):</w:t>
      </w:r>
      <w:r>
        <w:t xml:space="preserve">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pPr/>
      <w:r>
        <w:rPr>
          <w:b/>
        </w:rPr>
        <w:t>POSSIBLE 2026:</w:t>
      </w:r>
      <w:r>
        <w:t xml:space="preserve"> Geometry, Sound, and Time as Three Projections of One Contact Band — https://doi.org/10.5281/zenodo.19593317</w:t>
      </w:r>
    </w:p>
    <w:p>
      <w:pPr/>
      <w:r>
        <w:rPr>
          <w:b/>
        </w:rPr>
        <w:t>Shared claim-specific concepts:</w:t>
      </w:r>
      <w:r>
        <w:t xml:space="preserve"> projections, show, three, leading; EU scope not established. This is a provisional connection, not an outcome finding.</w:t>
      </w:r>
    </w:p>
    <w:p>
      <w:pPr>
        <w:pStyle w:val="SourceNote"/>
      </w:pPr>
      <w:r>
        <w:rPr>
          <w:b/>
        </w:rPr>
        <w:t>Available abstract (not full text):</w:t>
      </w:r>
      <w:r>
        <w:t xml:space="preserve">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pPr/>
      <w:r>
        <w:rPr>
          <w:b/>
        </w:rPr>
        <w:t>POSSIBLE 2026:</w:t>
      </w:r>
      <w:r>
        <w:t xml:space="preserve"> On the Reverse Projection Inequality — https://doi.org/10.5281/zenodo.22037129</w:t>
      </w:r>
    </w:p>
    <w:p>
      <w:pPr/>
      <w:r>
        <w:rPr>
          <w:b/>
        </w:rPr>
        <w:t>Shared claim-specific concepts:</w:t>
      </w:r>
      <w:r>
        <w:t xml:space="preserve"> show, three, abstract; EU scope not established. This is a provisional connection, not an outcome finding.</w:t>
      </w:r>
    </w:p>
    <w:p>
      <w:pPr>
        <w:pStyle w:val="SourceNote"/>
      </w:pPr>
      <w:r>
        <w:rPr>
          <w:b/>
        </w:rPr>
        <w:t>Available abstract (not full text):</w:t>
      </w:r>
      <w:r>
        <w:t xml:space="preserve"> In \cite {ChenFengLiXiXu2026}, a reverse projection inequality for general convex bodies was established in three dimensions. In this paper, we completely characterize the equality cases of this inequality. We further show that the reverse projection inequality fails in every dimension $n\geq9$. The counterexamples are constructed as full-dimensional polytopes with at most $n+2$ facets. \end{abstract}</w:t>
      </w:r>
    </w:p>
    <w:p>
      <w:pPr/>
      <w:r>
        <w:rPr>
          <w:b/>
        </w:rPr>
        <w:t>POSSIBLE 2026:</w:t>
      </w:r>
      <w:r>
        <w:t xml:space="preserve"> The Grammar of Addressability: Recognition, Projection, and the Continuous Gradient — https://doi.org/10.5281/zenodo.21840862</w:t>
      </w:r>
    </w:p>
    <w:p>
      <w:pPr/>
      <w:r>
        <w:rPr>
          <w:b/>
        </w:rPr>
        <w:t>Shared claim-specific concepts:</w:t>
      </w:r>
      <w:r>
        <w:t xml:space="preserve"> projections, three, next; EU scope not established. This is a provisional connection, not an outcome finding.</w:t>
      </w:r>
    </w:p>
    <w:p>
      <w:pPr>
        <w:pStyle w:val="SourceNote"/>
      </w:pPr>
      <w:r>
        <w:rPr>
          <w:b/>
        </w:rPr>
        <w:t>Available abstract (not full text):</w:t>
      </w:r>
      <w:r>
        <w:t xml:space="preserve"> Description This archive brings together three documents that articulate one structure from three distinct addresses: The Note — recognitionFrom Availability to Projection — derivationThe Continuous Gradient — unfolding They are included together because none is simply a shorter or longer version of the others. Each performs a different function. Together they trace one movement: from direct recognition,to explicit derivation,to the consequences that become visible once the derived structure is carried across domains. The Note — Recognition The Note presents the grammar at the address of immediate recognition. It begins from a single statement: There is only addressability. Not a field containing things.Not a space in which events occur.Not a substrate beneath appearance. Addressability is treated as the immediate availability for pattern to instantiate. From there, the document articulates distinction and unity as conjugate rather than opposed, and identifies three inseparable aspects of one articulation: the formative,the operator,the containing — phenomenologically recognizable as: Awareness.Address.Occurrence. The document then develops the distinction between fragmentation and coherence: Fragmentation is differentiation with suppression.Coherence is differentiation without suppression. Relation is primary. What appears as self, other, body, memory, desire, integration, see</w:t>
      </w:r>
    </w:p>
    <w:p>
      <w:pPr/>
      <w:r>
        <w:rPr>
          <w:b/>
        </w:rPr>
        <w:t>POSSIBLE 2026:</w:t>
      </w:r>
      <w:r>
        <w:t xml:space="preserve"> The Long‐Term Trends in Cohort Fertility: Global, Regional and National Estimates and Projections for Cohorts Born in 1935–2055 — https://doi.org/10.1111/padr.70084</w:t>
      </w:r>
    </w:p>
    <w:p>
      <w:pPr/>
      <w:r>
        <w:rPr>
          <w:b/>
        </w:rPr>
        <w:t>Shared claim-specific concepts:</w:t>
      </w:r>
      <w:r>
        <w:t xml:space="preserve"> projections, fertility, births, compared, period, abstract; EU scope visible. This is a provisional connection, not an outcome finding.</w:t>
      </w:r>
    </w:p>
    <w:p>
      <w:pPr>
        <w:pStyle w:val="SourceNote"/>
      </w:pPr>
      <w:r>
        <w:rPr>
          <w:b/>
        </w:rPr>
        <w:t>Available abstract (not full text):</w:t>
      </w:r>
      <w:r>
        <w:t xml:space="preserve"> Abstract This study presents the first global dataset of fertility estimates and projections for cohorts of women born between 1935 and 2055. Leveraging the World Population Prospects 2024 revision, which provides single‐year single‐age fertility indicators for 1950–2100, we reconstructed cohort fertility profiles for all countries. These data offer a unique opportunity to analyze cohorts that have completed childbearing and those entering reproductive ages, extending analyses beyond countries traditionally covered by the Human Fertility Database (HFD). Cohort measures were derived by transforming period age‐specific fertility rates into Lexis triangles and aggregating them into cohort parallelograms, following HFD methodology. Validation against observed cohort data confirmed high accuracy of our estimates. Results revealed that cohort fertility declines have been more gradual than period declines, with substantial regional heterogeneity. Europe and Northern America reached replacement‐level cohort fertility with the 1946 cohort, while sub‐Saharan Africa is projected to remain above 2.3 births per woman for the 2055 cohort. In low‐fertility countries, completed cohort fertility is projected to fall below 1.5 births for the 1983 cohort in many cases. These findings underscore the stability of cohort measures compared to period indicators and highlight their value for understand</w:t>
      </w:r>
    </w:p>
    <w:p>
      <w:pPr/>
      <w:r>
        <w:rPr>
          <w:b/>
        </w:rPr>
        <w:t>POSSIBLE 2026:</w:t>
      </w:r>
      <w:r>
        <w:t xml:space="preserve"> Fertility in Turkey: The Current State and Future Trends — https://doi.org/10.38066/halic.btk9y2kj.chapter</w:t>
      </w:r>
    </w:p>
    <w:p>
      <w:pPr/>
      <w:r>
        <w:rPr>
          <w:b/>
        </w:rPr>
        <w:t>Shared claim-specific concepts:</w:t>
      </w:r>
      <w:r>
        <w:t xml:space="preserve"> fertility, examines, countries; EU scope not established. This is a provisional connection, not an outcome finding.</w:t>
      </w:r>
    </w:p>
    <w:p>
      <w:pPr>
        <w:pStyle w:val="SourceNote"/>
      </w:pPr>
      <w:r>
        <w:rPr>
          <w:b/>
        </w:rPr>
        <w:t>Available abstract (not full text):</w:t>
      </w:r>
      <w:r>
        <w:t xml:space="preserve"> Human beings are not merely biological entities; they are multidimensional beings who exist within networks of social relations, cultural values, economic conditions, belief systems, educational processes, and shared goals. Society, which emerges through interactions among individuals, likewise reflects this multidimensional structure and is subject to continuous change and transformation. Social reality, therefore, is not a static structure but a dynamic phenomenon that is constantly reshaped in accordance with the spirit of the time, historical conditions, and changing needs. Throughout history, political, economic, cultural, and technological developments have played decisive roles in the transformation of societies. Social policies, in particular, have become important instruments for responding to emerging needs resulting from social change and for restructuring the relationship between individuals and society. Issues such as gender equality, women’s rights, working life, economic participation, social security, fertility, digitalization, occupational health and safety, and cyber-based forms of work represent different dimensions of the transformations confronting contemporary societies. Understanding social change, therefore, requires not only identifying transformations occurring within society but also evaluating the social policies developed in response to these change</w:t>
      </w:r>
    </w:p>
    <w:p>
      <w:pPr/>
      <w:r>
        <w:rPr>
          <w:b/>
        </w:rPr>
        <w:t>POSSIBLE 2026:</w:t>
      </w:r>
      <w:r>
        <w:t xml:space="preserve"> The Inevitability of Projection: The Three-Term Equation as the Mother Equation of the Quantum Blueprint Formalism — https://doi.org/10.5281/zenodo.18629507</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M_s: J_s = −D_s ∇ρ_s − ρ_s ∇Φ + Ω_s ρ_s with diffusion, drift, and circulation as the three structural components. This paper establishes three results. First (the Mother Equation Theorem): we show that all QBF dynamical equations --- on M_Θ, on belief space, on self-model space, on the projection landscape L, and on the reprojection space L_id --- are formally isomorphic to this equation, differing only in the state space, the functional that generates drift, and the algebraic structure that generates circulation. We provide precise categorical criteria for distinguishing strict isomorphism from structural equivalence, including formal absorption and emergence conditions for reference-relaxation and circulation terms. Second (the Transcendental Correspondence): we show that the three terms of the equation correspond exactly to the three admissibility conditions (A1)--(A3), which in turn correspond to the three tran</w:t>
      </w:r>
    </w:p>
    <w:p>
      <w:pPr/>
      <w:r>
        <w:rPr>
          <w:b/>
        </w:rPr>
        <w:t>POSSIBLE 2026:</w:t>
      </w:r>
      <w:r>
        <w:t xml:space="preserve"> Projection-Free Algorithms for Minimax Problems — https://doi.org/10.48550/arxiv.2603.29870</w:t>
      </w:r>
    </w:p>
    <w:p>
      <w:pPr/>
      <w:r>
        <w:rPr>
          <w:b/>
        </w:rPr>
        <w:t>Shared claim-specific concepts:</w:t>
      </w:r>
      <w:r>
        <w:t xml:space="preserve"> show, three, over, significantly; EU scope not established. This is a provisional connection, not an outcome finding.</w:t>
      </w:r>
    </w:p>
    <w:p>
      <w:pPr>
        <w:pStyle w:val="SourceNote"/>
      </w:pPr>
      <w:r>
        <w:rPr>
          <w:b/>
        </w:rPr>
        <w:t>Available abstract (not full text):</w:t>
      </w:r>
      <w:r>
        <w:t xml:space="preserve"> This paper addresses constrained smooth saddle-point problems in settings where projection onto the feasible sets is computationally expensive. We bridge the gap between projection-based and projection-free optimization by introducing a unified dual dynamic smoothing framework that enables the design of efficient single-loop algorithms. Within this framework, we establish convergence results for nonconvex-concave and nonconvex-strongly concave settings. Furthermore, we show that this framework is naturally applicable to convex-concave problems. We propose and analyze three algorithmic variants based on the application of a linear minimization oracle over the minimization variable, the maximization variable, or both. Notably, our analysis yields anytime convergence guarantees without requiring a pre-specified iteration horizon. These results significantly narrow the performance gap between projection-free and projection-based methods for minimax optimization.</w:t>
      </w:r>
    </w:p>
    <w:p>
      <w:pPr/>
      <w:r>
        <w:rPr>
          <w:b/>
        </w:rPr>
        <w:t>POSSIBLE 2026:</w:t>
      </w:r>
      <w:r>
        <w:t xml:space="preserve"> The Likelihood of Persistently Low Global Fertility — https://doi.org/10.1257/jep.20251463</w:t>
      </w:r>
    </w:p>
    <w:p>
      <w:pPr/>
      <w:r>
        <w:rPr>
          <w:b/>
        </w:rPr>
        <w:t>Shared claim-specific concepts:</w:t>
      </w:r>
      <w:r>
        <w:t xml:space="preserve"> show, fertility, over, period; EU scope not established. This is a provisional connection, not an outcome finding.</w:t>
      </w:r>
    </w:p>
    <w:p>
      <w:pPr>
        <w:pStyle w:val="SourceNote"/>
      </w:pPr>
      <w:r>
        <w:rPr>
          <w:b/>
        </w:rPr>
        <w:t>Available abstract (not full text):</w:t>
      </w:r>
      <w:r>
        <w:t xml:space="preserve"> For the world as a whole, average birth rates have been falling for decades—from about 5 in 1950 to a little above 2 today. Two-thirds of people today live in a country where the birth rate is below an average of two children per two adults, which means below the fertility level needed to sustain population sizes (without net migration). In this paper, we assess whether low fertility is likely to persist as a global phenomenon. We distinguish cohort birth rates, which matter for generation-to-generation population change, from period birth rates, which present a snapshot of birth rates at a point in time, but may offer less insight on longer-run possibilities. Where cohort birth rates have fallen low, they have not subsequently rebounded. We show that both increasing rates of lifetime childlessness and smaller family sizes among parents have contributed to falling cohort birth rates. Pronatal policies, we discuss, can have large effects on the annual fertility data without substantially changing the average number of children women have over their lifetimes. Although future birth rates remain uncertain, we conclude from the evidence that, over a long horizon, persistent low fertility is a likely future.</w:t>
      </w:r>
    </w:p>
    <w:p>
      <w:pPr/>
      <w:r>
        <w:rPr>
          <w:b/>
        </w:rPr>
        <w:t>POSSIBLE 2026:</w:t>
      </w:r>
      <w:r>
        <w:t xml:space="preserve"> Can Incorporating Parity Information Improve the Reliability of Completed Cohort Fertility Projections? Insights From a Bayesian Generalized Additive Model Approach — https://doi.org/10.1215/00703370-12530362</w:t>
      </w:r>
    </w:p>
    <w:p>
      <w:pPr/>
      <w:r>
        <w:rPr>
          <w:b/>
        </w:rPr>
        <w:t>Shared claim-specific concepts:</w:t>
      </w:r>
      <w:r>
        <w:t xml:space="preserve"> projections, fertility, over, births, countries; EU scope not established. This is a provisional connection, not an outcome finding.</w:t>
      </w:r>
    </w:p>
    <w:p>
      <w:pPr>
        <w:pStyle w:val="SourceNote"/>
      </w:pPr>
      <w:r>
        <w:rPr>
          <w:b/>
        </w:rPr>
        <w:t>Available abstract (not full text):</w:t>
      </w:r>
      <w:r>
        <w:t xml:space="preserve"> Fertility projections inform population projections and are used to plan for the future provision of vital services such as maternity care and schooling. Existing fertility forecasting models tend to use aggregate births data indexed by age and time alone, thereby neglecting to include information about parity, that is, the number of previous live-born children. This omission risks ignoring a crucial mechanism of fertility dynamics. We propose a Bayesian parity-specific fertility projection model to complete cohort fertility, within a generalized additive model framework. The use of such models enables a smooth age‒cohort rate surface to be estimated for each parity simultaneously. We constrain our model using aggregate data and additionally introduce random walk priors on completed family size and parity progression ratios, which are summary fertility measures known to change relatively slowly over time. Using Hamiltonian Monte Carlo methods and data from the Human Fertility Database, we fit our model to 16 countries. We compare our forecasts with the best-performing existing models to quantify the impact of including the parity dimension on predictive accuracy. Our findings indicate that a parity-specific approach could lead to more plausible and reliable fertility projections, aiding government planners in their decision-making and enabling more tailored policy solutions.</w:t>
      </w:r>
    </w:p>
    <w:p>
      <w:pPr/>
      <w:r>
        <w:rPr>
          <w:b/>
        </w:rPr>
        <w:t>POSSIBLE 2026:</w:t>
      </w:r>
      <w:r>
        <w:t xml:space="preserve"> The impact of increased child benefits on tempo and quantum of fertility in Estonia — https://doi.org/10.4054/demres.2026.55.25</w:t>
      </w:r>
    </w:p>
    <w:p>
      <w:pPr/>
      <w:r>
        <w:rPr>
          <w:b/>
        </w:rPr>
        <w:t>Shared claim-specific concepts:</w:t>
      </w:r>
      <w:r>
        <w:t xml:space="preserve"> three, fertility, births; EU scope visible. This is a provisional connection, not an outcome finding.</w:t>
      </w:r>
    </w:p>
    <w:p>
      <w:pPr>
        <w:pStyle w:val="SourceNote"/>
      </w:pPr>
      <w:r>
        <w:rPr>
          <w:b/>
        </w:rPr>
        <w:t>Available abstract (not full text):</w:t>
      </w:r>
      <w:r>
        <w:t xml:space="preserve"> BACKGROUNDOn July 1, 2017, Estonia introduced a substantial child allowance for families with three or more children, supplementing regular child benefits.This universal, non-means-tested benefit aimed to alleviate financial burdens for larger families and encourage third and higher-order births. OBJECTIVEWe examine the impact of this reform on the likelihood and timing of third births.We hypothesise that the Estonian child benefit reform had a positive impact, given that the total allowances for a family with three children amounted to 41% of the average salary at the time of implementation.</w:t>
      </w:r>
    </w:p>
    <w:p>
      <w:pPr>
        <w:pStyle w:val="Heading2"/>
      </w:pPr>
      <w:r>
        <w:t>638. Sociotechnical imaginaries of a secure future</w:t>
      </w:r>
    </w:p>
    <w:p>
      <w:pPr>
        <w:pStyle w:val="SourceNote"/>
      </w:pPr>
      <w:r>
        <w:rPr>
          <w:b/>
        </w:rPr>
        <w:t>Original source (2021):</w:t>
      </w:r>
      <w:r>
        <w:t xml:space="preserve"> https://doi.org/10.1186/s40309-021-00176-1</w:t>
      </w:r>
    </w:p>
    <w:p>
      <w:pPr/>
      <w:r>
        <w:t>Original wording (abstract; indexed_source_text_not_full_document_verified):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POSSIBLE 2026:</w:t>
      </w:r>
      <w:r>
        <w:t xml:space="preserve"> The seven dwarfs illuminated — https://doi.org/10.1051/0004-6361/202556989</w:t>
      </w:r>
    </w:p>
    <w:p>
      <w:pPr/>
      <w:r>
        <w:rPr>
          <w:b/>
        </w:rPr>
        <w:t>Shared claim-specific concepts:</w:t>
      </w:r>
      <w:r>
        <w:t xml:space="preserve"> present, two, consistent; EU scope not established. This is a provisional connection, not an outcome finding.</w:t>
      </w:r>
    </w:p>
    <w:p>
      <w:pPr>
        <w:pStyle w:val="SourceNote"/>
      </w:pPr>
      <w:r>
        <w:rPr>
          <w:b/>
        </w:rPr>
        <w:t>Available abstract (not full text):</w:t>
      </w:r>
      <w:r>
        <w:t xml:space="preserve"> We present a high-resolution cosmological zoom-in simulation of a group of field dwarf galaxies that includes on-the-fly radiative transfer (RT) and is evolved to z = 0. Emission from stars is included according to age-dependent spectral energy distributions, and a redshift-dependent UV background is modelled by background particles and propagated through the simulation volume. The simulation also incorporates star formation, supernova (SN) feedback, a non-equilibrium primordial chemical network, and metal cooling and diffusion. We compare results from this simulation to previous simulations with the same initial conditions and largely similar galaxy formation physics, but without RT. The inclusion of RT results in the formation of eight additional faint dwarf galaxies with stellar masses of 10 4 M ⊙ to several 10 5 M ⊙ and only old stellar populations, similar to the observed ultra-faint dwarf galaxies. These eight faint dwarf galaxies formed before and during cosmic reionisation and were mostly quenched by z ~ 3–4 when reionisation was complete. The simulated galaxies follow many observed scaling relations such as the stellar mass-halo mass relation, the mass-size relation, and the luminosity-velocity dispersion relation. However, the simulation appears to underpredict the stellar iron abundances for the faintest population with L v &lt; 10 6 L ⊙ . For the more massive “classic”</w:t>
      </w:r>
    </w:p>
    <w:p>
      <w:pPr/>
      <w:r>
        <w:rPr>
          <w:b/>
        </w:rPr>
        <w:t>POSSIBLE 2026:</w:t>
      </w:r>
      <w:r>
        <w:t xml:space="preserve"> Social Movements and International Order Formation — https://doi.org/10.1017/s0020818326101374</w:t>
      </w:r>
    </w:p>
    <w:p>
      <w:pPr/>
      <w:r>
        <w:rPr>
          <w:b/>
        </w:rPr>
        <w:t>Shared claim-specific concepts:</w:t>
      </w:r>
      <w:r>
        <w:t xml:space="preserve"> order, two; EU scope visible. This is a provisional connection, not an outcome finding.</w:t>
      </w:r>
    </w:p>
    <w:p>
      <w:pPr>
        <w:pStyle w:val="SourceNote"/>
      </w:pPr>
      <w:r>
        <w:rPr>
          <w:b/>
        </w:rPr>
        <w:t>Available abstract (not full text):</w:t>
      </w:r>
      <w:r>
        <w:t xml:space="preserve"> Abstract Through comparative analysis of two historical cases of transition from hierarchical to competitive international orders—from the Han dynasty to the Period of Disunion in third-century China, and from the Abbasid Caliphate to the Islamic Commonwealth in the tenth century—we consider how social movements have long been significant facilitators of international change. With reference to the contributions to these transitions of early Daoist and Sunni movements respectively, we offer a comparative framework for understanding how social movements may undermine established hierarchies and induce legitimacy contests that contribute toward the emergence of new international orders. Moreover, by contrasting these cases against the role of the Reformation movement in the development of European international order, the article both decenters the European experience and illuminates how social movements can be central to crafting fundamental, yet varying, relationships between political authority and society across highly diverse cultural and temporal contexts.</w:t>
      </w:r>
    </w:p>
    <w:p>
      <w:pPr/>
      <w:r>
        <w:rPr>
          <w:b/>
        </w:rPr>
        <w:t>POSSIBLE 2026:</w:t>
      </w:r>
      <w:r>
        <w:t xml:space="preserve"> Regional security complexes and African foreign policies: ECOWAS and the Sahel security order, 2012–2025 — https://doi.org/10.3389/fpos.2026.1836500</w:t>
      </w:r>
    </w:p>
    <w:p>
      <w:pPr/>
      <w:r>
        <w:rPr>
          <w:b/>
        </w:rPr>
        <w:t>Shared claim-specific concepts:</w:t>
      </w:r>
      <w:r>
        <w:t xml:space="preserve"> order, security, them; EU scope not established. This is a provisional connection, not an outcome finding.</w:t>
      </w:r>
    </w:p>
    <w:p>
      <w:pPr>
        <w:pStyle w:val="SourceNote"/>
      </w:pPr>
      <w:r>
        <w:rPr>
          <w:b/>
        </w:rPr>
        <w:t>Available abstract (not full text):</w:t>
      </w:r>
      <w:r>
        <w:t xml:space="preserve"> Introduction African regional organisations exhibit uneven effectiveness in responding to regional security challenges, acting decisively in some crises while failing in others. This article examines why the Economic Community of West African States (ECOWAS) successfully imposed sanctions on unconstitutional regimes yet struggled to restore security order in the Sahel. It investigates the structural and political factors underlying this variation through the lens of Regional Security Complex Theory (RSCT). Methods The study adopts a qualitative, exploratory research design based on comparative case analysis of three critical episodes: the Mali crisis (2012–2013), counterterrorism cooperation in the Lake Chad Basin, and the ECOWAS–Alliance of Sahel States (AES) rupture (2023–2025). Using RSCT as the primary analytical framework, the study assesses patterns of regional security governance, institutional capacity, and external involvement to explain variations in ECOWAS’s effectiveness. Results The analysis identifies recurring patterns of thin regional power, shifting amity–enmity relations, and persistent external embedment that constrain ECOWAS’s ability to provide regional security. While ECOWAS has demonstrated effectiveness in enforcing political norms through sanctions, it has remained dependent on external actors for military and security capabilities. To explain this para</w:t>
      </w:r>
    </w:p>
    <w:p>
      <w:pPr/>
      <w:r>
        <w:rPr>
          <w:b/>
        </w:rPr>
        <w:t>POSSIBLE 2026:</w:t>
      </w:r>
      <w:r>
        <w:t xml:space="preserve"> Governing knowledge, shaping Europe: research security in the EU’s geopolitical turn — https://doi.org/10.1080/09662839.2026.2680646</w:t>
      </w:r>
    </w:p>
    <w:p>
      <w:pPr/>
      <w:r>
        <w:rPr>
          <w:b/>
        </w:rPr>
        <w:t>Shared claim-specific concepts:</w:t>
      </w:r>
      <w:r>
        <w:t xml:space="preserve"> developments, security, germany, process; EU scope visible. This is a provisional connection, not an outcome finding.</w:t>
      </w:r>
    </w:p>
    <w:p>
      <w:pPr>
        <w:pStyle w:val="SourceNote"/>
      </w:pPr>
      <w:r>
        <w:rPr>
          <w:b/>
        </w:rPr>
        <w:t>Available abstract (not full text):</w:t>
      </w:r>
      <w:r>
        <w:t xml:space="preserve"> This article examines how the European Union’s turn towards research and knowledge security reflects a transformation in its geopolitical identity. Moving beyond the language of “technological sovereignty”, it conceptualises this shift as the emergence of an epistemic form of sovereignty that governs the conditions of knowledge production and exchange. Drawing on Balzacq’s (Citation2010) practice-based theory of securitisation, the study introduces the notion of securitisation through governance to capture how security rationales are embedded in bureaucratic and regulatory instruments rather than enacted through exceptional measures. Empirically, the analysis traces EU and national policy developments between 2013 and 2025, examining how supranational frameworks are translated into national practice in five Member States: the Netherlands, Germany, Finland, Italy, and Hungary. The findings show that securitisation unfolds as a multi-level process of coordination, translation and adaptation, producing a distinctly European form of geopolitical pragmatism that seeks to reconcile openness with protection, values with interests, and academic freedom with strategic control. By showing how security becomes embedded within routine research governance, the article argues that the EU performs its geopolitical actorness not through coercion but through the regulation of vulnerability, gov</w:t>
      </w:r>
    </w:p>
    <w:p>
      <w:pPr/>
      <w:r>
        <w:rPr>
          <w:b/>
        </w:rPr>
        <w:t>POSSIBLE 2026:</w:t>
      </w:r>
      <w:r>
        <w:t xml:space="preserve"> Analyses of the Development and Challenges of Parkour Coaches’ Education in Europe — https://doi.org/10.35469/ak.2025.527</w:t>
      </w:r>
    </w:p>
    <w:p>
      <w:pPr/>
      <w:r>
        <w:rPr>
          <w:b/>
        </w:rPr>
        <w:t>Shared claim-specific concepts:</w:t>
      </w:r>
      <w:r>
        <w:t xml:space="preserve"> literature, structured, process; EU scope visible. This is a provisional connection, not an outcome finding.</w:t>
      </w:r>
    </w:p>
    <w:p>
      <w:pPr>
        <w:pStyle w:val="SourceNote"/>
      </w:pPr>
      <w:r>
        <w:rPr>
          <w:b/>
        </w:rPr>
        <w:t>Available abstract (not full text):</w:t>
      </w:r>
      <w:r>
        <w:t xml:space="preserve"> Purpose: Parkour historically developed as an urban community “lifestyle” movement that relied mainly on informal teaching and training methodologies. With formal institutionalization, parkour has transitioned into more formalized structures, including established training academies, coaching certifications, and competitive events. This article presents a structured literature review with the aim of providing an overview of the historical, philosophical/ideological, organizational/institutional, and educational aspects of parkour coach education and knowledge development in Europe. Based on the review, key challenges for future development are also highlighted. Method: For the purposes of a structured literature review, the search and selection process followed the general principles of the PRISMA 2020 statement as a framework, rather than a formal systematic review protocol. Google Scholar was chosen as the primary search platform. Following the initial screening and analysis, 12 relevant sources were included in the in-depth review. In addition to the literature review, online sources from professional international sports organizations involved in education, training, and certification of parkour coaches were also examined. Findings: It can be noted that parkour in Europe is still predominantly developed and understood as a "lifestyle" urban activity with the gradual paralle</w:t>
      </w:r>
    </w:p>
    <w:p>
      <w:pPr/>
      <w:r>
        <w:rPr>
          <w:b/>
        </w:rPr>
        <w:t>POSSIBLE 2026:</w:t>
      </w:r>
      <w:r>
        <w:t xml:space="preserve"> From Civilian Power to Emerging Security Provider? The European Union’s Evolving Role in Southeast Asia — https://doi.org/10.51870/ogzl9381</w:t>
      </w:r>
    </w:p>
    <w:p>
      <w:pPr/>
      <w:r>
        <w:rPr>
          <w:b/>
        </w:rPr>
        <w:t>Shared claim-specific concepts:</w:t>
      </w:r>
      <w:r>
        <w:t xml:space="preserve"> order, developments, security, process; EU scope visible. This is a provisional connection, not an outcome finding.</w:t>
      </w:r>
    </w:p>
    <w:p>
      <w:pPr>
        <w:pStyle w:val="SourceNote"/>
      </w:pPr>
      <w:r>
        <w:rPr>
          <w:b/>
        </w:rPr>
        <w:t>Available abstract (not full text):</w:t>
      </w:r>
      <w:r>
        <w:t xml:space="preserve"> Over the past decade, the European Union has articulated increasingly explicit ambitions to act as a security provider in the Indo-Pacific. Southeast Asia constitutes a particularly revealing arena in which to assess this evolution, as the region sits at the geopolitical core of the Indo-Pacific while remaining anchored in ASEAN-centred security practices, non-alignment and sensitivity to external power projection. This article examines whether the EU’s expanding security engagement in Southeast Asia reflects genuine role learning, understood as a transformation of its international identity, or a more limited process of role adaptation within an essentially civilian and normative framework. Drawing on role theory, the analysis adopts a triadic approach linking role conception, role performance and role recognition. Empirically, it combines an examination of EU strategic documents and policy initiatives with elite perception data from regional surveys and a systematic analysis of ASEAN official statements and plans of action. The findings show that while the EU has broadened its security-relevant activities in the Indo-Pacific, these developments remain layered onto pre-existing civilian-oriented roles. As such, Southeast Asian actors continue to recognise the EU primarily as a normative and stabilising partner rather than as a provider of regional security. The article conclud</w:t>
      </w:r>
    </w:p>
    <w:p>
      <w:pPr/>
      <w:r>
        <w:rPr>
          <w:b/>
        </w:rPr>
        <w:t>POSSIBLE 2026:</w:t>
      </w:r>
      <w:r>
        <w:t xml:space="preserve"> Rethinking EU environmental law: Towards the ecologisation of the European legal order — https://doi.org/10.1111/reel.70090</w:t>
      </w:r>
    </w:p>
    <w:p>
      <w:pPr/>
      <w:r>
        <w:rPr>
          <w:b/>
        </w:rPr>
        <w:t>Shared claim-specific concepts:</w:t>
      </w:r>
      <w:r>
        <w:t xml:space="preserve"> order, developments, current; EU scope visible. This is a provisional connection, not an outcome finding.</w:t>
      </w:r>
    </w:p>
    <w:p>
      <w:pPr>
        <w:pStyle w:val="SourceNote"/>
      </w:pPr>
      <w:r>
        <w:rPr>
          <w:b/>
        </w:rPr>
        <w:t>Available abstract (not full text):</w:t>
      </w:r>
      <w:r>
        <w:t xml:space="preserve"> Abstract This article critically examines the structural limitations of the EU's environmental legal framework in the context of the current ecological crisis and explores the potential transition towards an ecocentric paradigm. While the EU has developed one of the most advanced environmental regulatory systems globally, its effectiveness remains constrained by persistent anthropocentric assumptions, normative fragmentation, reliance on market‐based and technocratic approaches and emerging patterns of regulatory backsliding. The analysis identifies key systemic weaknesses, including the instrumental conception of Nature, the sectoral structure of environmental legislation and the predominance of economic rationality in decision‐making processes, as well as persistent implementation and enforcement gaps. It further highlights how recent regulatory developments, including environmental criminal law, reflect both incremental progress and enduring structural constraints, particularly the dependence on administrative frameworks and the limited capacity of existing instruments to address cumulative and systemic environmental harm. In response, the article argues for a paradigmatic shift from an anthropocentric to an ecocentric legal approach, grounded in the recognition of the intrinsic value of nature and the potential acknowledgement of ecosystems as subjects of rights. It situate</w:t>
      </w:r>
    </w:p>
    <w:p>
      <w:pPr/>
      <w:r>
        <w:rPr>
          <w:b/>
        </w:rPr>
        <w:t>POSSIBLE 2026:</w:t>
      </w:r>
      <w:r>
        <w:t xml:space="preserve"> The New World Order and National Security Dynamics of African States: Case Studies of Cameroon and Mali — https://doi.org/10.1002/waf2.70098</w:t>
      </w:r>
    </w:p>
    <w:p>
      <w:pPr/>
      <w:r>
        <w:rPr>
          <w:b/>
        </w:rPr>
        <w:t>Shared claim-specific concepts:</w:t>
      </w:r>
      <w:r>
        <w:t xml:space="preserve"> order, security, two, literature, process; EU scope not established. This is a provisional connection, not an outcome finding.</w:t>
      </w:r>
    </w:p>
    <w:p>
      <w:pPr>
        <w:pStyle w:val="SourceNote"/>
      </w:pPr>
      <w:r>
        <w:rPr>
          <w:b/>
        </w:rPr>
        <w:t>Available abstract (not full text):</w:t>
      </w:r>
      <w:r>
        <w:t xml:space="preserve"> ABSTRACT The move from unipolarity to a fluid and contested multipolar world order has significantly changed the way African nations form national security policy due to changes in the nature of the strategic environment of those states. Much of the literature has focused on how the actions of major world powers ‐ the United States, China and Russia shape their respective national security strategy. There is relatively little literature on how African states develop strategic responses to this process of systemic transformation. This paper assesses how the shift in distribution of power across the globe affects the national security dynamic of peripheral African states by using comparative case studies of Cameroon and Mali. Both countries face many of the same internal security challenges including insurgency, state fragility, and foreign intervention‐ yet both countries’ governments have responded differently to these internal security challenges with regard to their external security alignment strategies. The paper argues that differences in elite coalitions, the legitimacy requirements of regimes, the historical strategic cultures of the two states, and the sequences of perceived threats faced by each country are the primary explanations for why Cameroon's and Mali's government developed such distinct external security alignment strategies. Based on theories of realism, cons</w:t>
      </w:r>
    </w:p>
    <w:p>
      <w:pPr/>
      <w:r>
        <w:rPr>
          <w:b/>
        </w:rPr>
        <w:t>POSSIBLE 2026:</w:t>
      </w:r>
      <w:r>
        <w:t xml:space="preserve"> Geospatial Intelligence and the Transformation of Counterinsurgency in Nigeria, 1999-2025: Implications for Africa's Changing Security Order — https://doi.org/10.47772/ijriss.2026.100600083</w:t>
      </w:r>
    </w:p>
    <w:p>
      <w:pPr/>
      <w:r>
        <w:rPr>
          <w:b/>
        </w:rPr>
        <w:t>Shared claim-specific concepts:</w:t>
      </w:r>
      <w:r>
        <w:t xml:space="preserve"> order, developments, security, technologies; EU scope not established. This is a provisional connection, not an outcome finding.</w:t>
      </w:r>
    </w:p>
    <w:p>
      <w:pPr>
        <w:pStyle w:val="SourceNote"/>
      </w:pPr>
      <w:r>
        <w:rPr>
          <w:b/>
        </w:rPr>
        <w:t>Available abstract (not full text):</w:t>
      </w:r>
      <w:r>
        <w:t xml:space="preserve"> This article examines the role of geospatial intelligence (GEOINT) in the transformation of counterinsurgency operations in Nigeria from 1999 to 2025, situating these developments within the broader dynamics of Africa's evolving security order. Despite significant investments in satellite observation systems, unmanned aerial vehicles, and geospatial data infrastructures, the operational effectiveness of these technologies remains uneven. The central argument advanced is that the impact of GEOINT on counterinsurgency is contingent not merely on technological acquisition, but on the extent of its institutional integration, strategic application, and alignment with existing security frameworks. Methodologically, the study adopts a qualitative historical-analytical approach grounded exclusively in secondary sources that includes peer-reviewed journal articles, academic books, policy documents, defence reports, and publications from governmental and international organisations. Through a critical interrogation of these materials, the article reconstructs the evolution of Nigeria's geospatial capabilities and assesses their application within counterinsurgency campaigns, particularly in the North-East theatre of operations. The analysis identifies a persistent disjuncture between capability and utilisation, shaped by institutional fragmentation, inadequate technical capacity, weak in</w:t>
      </w:r>
    </w:p>
    <w:p>
      <w:pPr/>
      <w:r>
        <w:rPr>
          <w:b/>
        </w:rPr>
        <w:t>POSSIBLE 2026:</w:t>
      </w:r>
      <w:r>
        <w:t xml:space="preserve"> Orphan and adoption among Catholic Christians and Sunni Muslims: scripture, tradition, practice — https://doi.org/10.7488/era/7332</w:t>
      </w:r>
    </w:p>
    <w:p>
      <w:pPr/>
      <w:r>
        <w:rPr>
          <w:b/>
        </w:rPr>
        <w:t>Shared claim-specific concepts:</w:t>
      </w:r>
      <w:r>
        <w:t xml:space="preserve"> order, developments, adoption, them, process; EU scope not established. This is a provisional connection, not an outcome finding.</w:t>
      </w:r>
    </w:p>
    <w:p>
      <w:pPr>
        <w:pStyle w:val="SourceNote"/>
      </w:pPr>
      <w:r>
        <w:rPr>
          <w:b/>
        </w:rPr>
        <w:t>Available abstract (not full text):</w:t>
      </w:r>
      <w:r>
        <w:t xml:space="preserve"> Civil adoption, as practiced in the Western world today, is a legal process of the modern era. The practice reflects what became acceptable in Western nations – a court granting all the rights and responsibilities relating to a child to adopting parents, which made them the legal parents. Once this legal matter was resolved, everyone involved assumed a new identity in what is known as the adoption triad: adoptive parent, adoptee, and biological mother and father. The objective of this thesis is to compare how Catholic Christians and Sunni Muslims have theologically understood the orphan and have developed distinctive adoption practices to address the plight of the orphan in society. The thesis is divided into three parts beginning with textual analyses and ending with qualitative research. The research questions are: how have the Catholic Christian and Sunni Islamic traditions approached the situation of the orphan in society and how are orphans cared for today? The thesis draws on textual sources and also cultural practices through qualitative research among Catholic Christians and Sunni Muslims in contemporary South Africa. In the New Testament, Jesus never designates any person an orphan in a literal sense. Only in James (1:27) is the word orphan used to refer to orphans within society. The only other place where the word orphan is found is John’s gospel (14:18), when it is </w:t>
      </w:r>
    </w:p>
    <w:p>
      <w:pPr/>
      <w:r>
        <w:rPr>
          <w:b/>
        </w:rPr>
        <w:t>POSSIBLE 2026:</w:t>
      </w:r>
      <w:r>
        <w:t xml:space="preserve"> India’s AI Power in a Distributed and Uneven Technological Order: Boundary Control, Strategic Autonomy, and Cognitive Security — https://doi.org/10.67037/epinova.rr.2026.001</w:t>
      </w:r>
    </w:p>
    <w:p>
      <w:pPr/>
      <w:r>
        <w:rPr>
          <w:b/>
        </w:rPr>
        <w:t>Shared claim-specific concepts:</w:t>
      </w:r>
      <w:r>
        <w:t xml:space="preserve"> order, security, technologies; EU scope not established. This is a provisional connection, not an outcome finding.</w:t>
      </w:r>
    </w:p>
    <w:p>
      <w:pPr>
        <w:pStyle w:val="SourceNote"/>
      </w:pPr>
      <w:r>
        <w:rPr>
          <w:b/>
        </w:rPr>
        <w:t>Available abstract (not full text):</w:t>
      </w:r>
      <w:r>
        <w:t xml:space="preserve"> This research report examines India’s emerging AI power through the interaction of usable national capacity, technological dependence, boundary control, strategic autonomy, and cognitive security. Rather than treating AI power as equivalent to frontier-model performance, compute scale, or investment volume, it analyzes how technical, institutional, organizational, and infrastructural capabilities are converted into nationally usable power under conditions of uneven interdependence. India is used as a mechanism-rich case because substantial software capacity, digital public infrastructure, multilingual public technology, expanding compute access, and globally distributed technical networks coexist with continued dependence on externally controlled upstream technologies. The report distinguishes access from mobilizable capability, territorial presence from control, boundary power from boundary autonomy, and persistent systemic influence from narrower bilateral effects.</w:t>
      </w:r>
    </w:p>
    <w:p>
      <w:pPr/>
      <w:r>
        <w:rPr>
          <w:b/>
        </w:rPr>
        <w:t>POSSIBLE 2026:</w:t>
      </w:r>
      <w:r>
        <w:t xml:space="preserve"> How AI illuminates educational values and the path toward equity — https://doi.org/10.14279/depositonce-26162</w:t>
      </w:r>
    </w:p>
    <w:p>
      <w:pPr/>
      <w:r>
        <w:rPr>
          <w:b/>
        </w:rPr>
        <w:t>Shared claim-specific concepts:</w:t>
      </w:r>
      <w:r>
        <w:t xml:space="preserve"> technologies, present, two, current; EU scope not established. This is a provisional connection, not an outcome finding.</w:t>
      </w:r>
    </w:p>
    <w:p>
      <w:pPr>
        <w:pStyle w:val="SourceNote"/>
      </w:pPr>
      <w:r>
        <w:rPr>
          <w:b/>
        </w:rPr>
        <w:t>Available abstract (not full text):</w:t>
      </w:r>
      <w:r>
        <w:t xml:space="preserve"> In this argument piece we present and discuss the key points of the paper "Global justice and the use of AI in education: ethical and epistemic aspects" (Vuckovic &amp; Sikimic 2025) in which we analyzed the current and future impacts of advanced digital solutions on the accessibility of education. More specifically, we investigated whether and how the implementation of AI in education could hinder or contribute to equity and justice at the individual and global levels. As the use of AI in education is increasing globally, we explored how this novel development affected personal and societal value systems. To answer these questions, we first discussed the purpose of education: whether it has intrinsic values or is merely an instrument for career advancement—and argued for the former. We proceeded to analyze different advanced digital solutions used in education. Then analysis focused on two currently widespread technologies, namely large language models (LLMs) and predictive models, and proposed that their responsible use in education could benefit both individuals and societies.</w:t>
      </w:r>
    </w:p>
    <w:p>
      <w:pPr>
        <w:pStyle w:val="Heading2"/>
      </w:pPr>
      <w:r>
        <w:t>639. Strategic European Integration Scenarios of Ukrainian and Polish Research, Education and Innovation Spaces</w:t>
      </w:r>
    </w:p>
    <w:p>
      <w:pPr>
        <w:pStyle w:val="SourceNote"/>
      </w:pPr>
      <w:r>
        <w:rPr>
          <w:b/>
        </w:rPr>
        <w:t>Original source (2021):</w:t>
      </w:r>
      <w:r>
        <w:t xml:space="preserve"> https://doi.org/10.34021/ve.2021.04.02(1)</w:t>
      </w:r>
    </w:p>
    <w:p>
      <w:pPr/>
      <w:r>
        <w:t>Original wording (abstract; indexed_source_text_not_full_document_verified):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possible, achieve, methods, developed,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Application of foresight technologies in interdepartmental interaction of the region to enhance the efficiency of drug prevention — https://doi.org/10.12731/2658-6649-2026-18-2-1794</w:t>
      </w:r>
    </w:p>
    <w:p>
      <w:pPr/>
      <w:r>
        <w:rPr>
          <w:b/>
        </w:rPr>
        <w:t>Shared claim-specific concepts:</w:t>
      </w:r>
      <w:r>
        <w:t xml:space="preserve"> use, foresight, determine, create, strategies, methods; EU scope not established. This is a provisional connection, not an outcome finding.</w:t>
      </w:r>
    </w:p>
    <w:p>
      <w:pPr>
        <w:pStyle w:val="SourceNote"/>
      </w:pPr>
      <w:r>
        <w:rPr>
          <w:b/>
        </w:rPr>
        <w:t>Available abstract (not full text):</w:t>
      </w:r>
      <w:r>
        <w:t xml:space="preserve"> Background.The use of Foresight technologies as a method of scientific forecasting and strategic planning provides the opportunity for a comprehensive analysis of future trends, early detection of potential threats and timely use of “windows of opportunity”. In the context of combating drug addiction, this is of particular importance, since a high rate of transformation, interdisciplinary complexity and a significant level of social danger characterize this phenomenon. Thepurposeof the study is to determine the potential for the use of Foresight technologies in combating drug addiction at the regional level to identify long-term trends, predict risks and “windows of opportunity”, and develop strategic scenarios aimed at increasing the effectiveness of preventive, medical and social measures. Materials and methods.An analysis of Russian scientific publications revealed the absence of systemic studies devoted to the use of the Foresight approach to the problem of combating drug addiction. An analytical review of scientific literature, a comparative analysis of domestic and international experience, as well as elements of scenario planning and systems analysis were used. The absence of domestic works in this niche confirms the existence of a cognitive gap and the relevance of adapting the methodology to the anti-drug system of Russia. Results.To structure the results, it is propos</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use, foresight, technology, determine, methods, factors;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strategies, areas, long-term;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Reimagining Strategic Foresight through the Lens of Digital Technology Adoption — https://doi.org/10.6007/ijarems/v15-i1/27890</w:t>
      </w:r>
    </w:p>
    <w:p>
      <w:pPr/>
      <w:r>
        <w:rPr>
          <w:b/>
        </w:rPr>
        <w:t>Shared claim-specific concepts:</w:t>
      </w:r>
      <w:r>
        <w:t xml:space="preserve"> use, foresight, technology, strategies, long-term, factors; EU scope not established. This is a provisional connection, not an outcome finding.</w:t>
      </w:r>
    </w:p>
    <w:p>
      <w:pPr>
        <w:pStyle w:val="SourceNote"/>
      </w:pPr>
      <w:r>
        <w:rPr>
          <w:b/>
        </w:rPr>
        <w:t>Available abstract (not full text):</w:t>
      </w:r>
      <w:r>
        <w:t xml:space="preserve"> HRMARS - Purpose: This study aims to conceptualize the role of emerging digital technologies—Artificial Intelligence (AI), Internet of Things (IoT), Big Data Analytics (BDA), Blockchain, and Social Media Applications in developing strategic foresight among small and medium-sized enterprises (SMEs). In an increasingly volatile and technology-driven business environment, the study highlights how the adoption of these technologies enhances firms’ ability to anticipate, interpret, and act upon future changes. Methodology: The paper adopts a conceptual and theoretical approach grounded in Dynamic Capability Theory (DCT). It synthesizes current literature, integrates findings from previous empirical works, and develops a conceptual framework linking digital technology adoption to strategic foresight dimensions, namely environmental scanning, strategic choice capability, and integration capability. The proposed framework will be validated through a mixed-method design involving qualitative interviews with SME managers and quantitative analysis using Smart PLS and NVivo for triangulation. Findings: The conceptual model proposes that advanced digital technologies collectively enhance SMEs’ strategic foresight. Specifically, AI and BDA provide predictive insights; IoT enhances real-time situational awareness; blockchain ensures data transparency and trust; and social media platforms stre</w:t>
      </w:r>
    </w:p>
    <w:p>
      <w:pPr/>
      <w:r>
        <w:rPr>
          <w:b/>
        </w:rPr>
        <w:t>POSSIBLE 2026:</w:t>
      </w:r>
      <w:r>
        <w:t xml:space="preserve"> The next episode for narrative foresight — https://doi.org/10.1016/j.futures.2026.103876</w:t>
      </w:r>
    </w:p>
    <w:p>
      <w:pPr/>
      <w:r>
        <w:rPr>
          <w:b/>
        </w:rPr>
        <w:t>Shared claim-specific concepts:</w:t>
      </w:r>
      <w:r>
        <w:t xml:space="preserve"> use, foresight, possible, developed;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possible, developed;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The Wicked Energy Transition: Integrating deployment, foresight, and financial barriers into energy transition pathway models — https://doi.org/10.3929/ethz-c-000800809</w:t>
      </w:r>
    </w:p>
    <w:p>
      <w:pPr/>
      <w:r>
        <w:rPr>
          <w:b/>
        </w:rPr>
        <w:t>Shared claim-specific concepts:</w:t>
      </w:r>
      <w:r>
        <w:t xml:space="preserve"> foresight, technology, long-term; EU scope visible. This is a provisional connection, not an outcome finding.</w:t>
      </w:r>
    </w:p>
    <w:p>
      <w:pPr>
        <w:pStyle w:val="SourceNote"/>
      </w:pPr>
      <w:r>
        <w:rPr>
          <w:b/>
        </w:rPr>
        <w:t>Available abstract (not full text):</w:t>
      </w:r>
      <w:r>
        <w:t xml:space="preserve"> Climate change mitigation is widely recognized as a “wicked problem”, characterized by deep uncertainty, value divergence among stakeholders, and the absence of predefined solutions. While already the First Assessment Report by the Intergovernmental Panel on Climate Change (IPCC) in 1990 outlined technical options to stabilize carbon emissions, global emissions have continued to rise, highlighting a critical disconnect between the technically feasible transition pathways modeled by researchers and the realized, delayed progress in the real world. This doctoral thesis addresses this disconnect by moving beyond purely technical feasibility to explore the non-technical barriers that inhibit the European energy transition. By integrating these barriers into a modeling framework, this research provides a forward-looking analysis of the delay and offers robust modeling and policy recommendations to navigate the “wicked” nature of decarbonization. To investigate these barriers, this thesis introduces ZEN-garden (Zero-emission Energy Networks), an open-source energy system optimization framework designed to model transition pathways with high technological, spatial, and temporal detail. Unlike snapshot year models, which optimize a single target year, ZEN-garden focuses on the transition pathway, allowing for the inclusion of path dependency through constrained technology deployment an</w:t>
      </w:r>
    </w:p>
    <w:p>
      <w:pPr/>
      <w:r>
        <w:rPr>
          <w:b/>
        </w:rPr>
        <w:t>POSSIBLE 2026:</w:t>
      </w:r>
      <w:r>
        <w:t xml:space="preserve"> Tracking the Evolution of Foresight Signals in News Data: The Case of the European Electric Vehicle Market — https://doi.org/10.18653/v1/2026.acl-srw.28</w:t>
      </w:r>
    </w:p>
    <w:p>
      <w:pPr/>
      <w:r>
        <w:rPr>
          <w:b/>
        </w:rPr>
        <w:t>Shared claim-specific concepts:</w:t>
      </w:r>
      <w:r>
        <w:t xml:space="preserve"> use, foresight, methods, trends; EU scope visible. This is a provisional connection, not an outcome finding.</w:t>
      </w:r>
    </w:p>
    <w:p>
      <w:pPr>
        <w:pStyle w:val="SourceNote"/>
      </w:pPr>
      <w:r>
        <w:rPr>
          <w:b/>
        </w:rPr>
        <w:t>Available abstract (not full text):</w:t>
      </w:r>
      <w:r>
        <w:t xml:space="preserve"> To prepare for an uncertain future, organizations must continuously monitor emerging trends and early signals of change.The increasing availability of web-based textual data has boosted natural language processing (NLP) methods in strategic foresight, particularly in the scanning phase.While prior studies have extensively focused on the identification of signals in such data, considerably less attention has been paid to how these signals evolve over time and gain relevance as they become more visible.This study addresses this gap by examining whether tracking the temporal dynamics of signals can improve their assessment for strategic decision-making.Demonstrated on the use case of the European electric vehicle market, we find three dominant signal trajectories and show that burst dynamics tend to surface signal consolidation rather than the early detection of weak signals.The results indicate that foresight research should move beyond static, one-off analyses toward a dynamic temporal perspective capable of identifying signals at earlier stages of emergence.</w:t>
      </w:r>
    </w:p>
    <w:p>
      <w:pPr/>
      <w:r>
        <w:rPr>
          <w:b/>
        </w:rPr>
        <w:t>POSSIBLE 2026:</w:t>
      </w:r>
      <w:r>
        <w:t xml:space="preserve"> Change by Foresight: AI for the Common Good. Algophobia, celibate machines, and FINNA as a grammar of possible futures in Public Administration — https://openalex.org/W7220332615</w:t>
      </w:r>
    </w:p>
    <w:p>
      <w:pPr/>
      <w:r>
        <w:rPr>
          <w:b/>
        </w:rPr>
        <w:t>Shared claim-specific concepts:</w:t>
      </w:r>
      <w:r>
        <w:t xml:space="preserve"> foresight, possible, methods; EU scope not established. This is a provisional connection, not an outcome finding.</w:t>
      </w:r>
    </w:p>
    <w:p>
      <w:pPr>
        <w:pStyle w:val="SourceNote"/>
      </w:pPr>
      <w:r>
        <w:rPr>
          <w:b/>
        </w:rPr>
        <w:t>Available abstract (not full text):</w:t>
      </w:r>
      <w:r>
        <w:t xml:space="preserve"> Artificial intelligence (AI) governance in public administration is increasingly shaped by dominant narratives that frame the future as predictable, manageable, and technologically inevitable. Such narratives tend to depoliticise AI by translating normative choices into technical optimisation problems, producing forms of anticipatory closure. This contribution interrogates AI governance as a narrative and temporal issue rather than a purely regulatory or ethical one. Drawing on narrative policy analysis and a participatory action research laboratory with public officials of the Metropolitan City of Rome, it examines how anticipatory practices can destabilise deterministic imaginaries and reopen the space of possible futures. The Change by Foresight Lab mobilises a hybrid assemblage of foresight and participatory methods to surface situated orientations toward AI, revealing tensions between efficiency, legitimacy, and democratic accountability. Building on these findings, the contribution introduces FINNA as a conceptual lens to interpret how anticipatory practices enable public administrations to articulate futures that remain open, negotiable, and collectively oriented.</w:t>
      </w:r>
    </w:p>
    <w:p>
      <w:pPr/>
      <w:r>
        <w:rPr>
          <w:b/>
        </w:rPr>
        <w:t>POSSIBLE 2026:</w:t>
      </w:r>
      <w:r>
        <w:t xml:space="preserve"> A glimpse on the futures of telecommunication networks: From market, technology and regulation trends to strategic foresight — https://doi.org/10.1016/j.joitmc.2026.100735</w:t>
      </w:r>
    </w:p>
    <w:p>
      <w:pPr/>
      <w:r>
        <w:rPr>
          <w:b/>
        </w:rPr>
        <w:t>Shared claim-specific concepts:</w:t>
      </w:r>
      <w:r>
        <w:t xml:space="preserve"> foresight, technology, possible, strategies, various, trends; EU scope visible. This is a provisional connection, not an outcome finding.</w:t>
      </w:r>
    </w:p>
    <w:p>
      <w:pPr>
        <w:pStyle w:val="SourceNote"/>
      </w:pPr>
      <w:r>
        <w:rPr>
          <w:b/>
        </w:rPr>
        <w:t>Available abstract (not full text):</w:t>
      </w:r>
      <w:r>
        <w:t xml:space="preserve"> This paper explores the current state, trends, and possible futures of the telecommunication ecosystem in Italy, outlining strategies for development. We adopt a combined methodology, integrating participatory scenario building through the Nominal Group Technique with a structured literature review. The analysis starts from the current situation (Scenario 1) and major transformation trends (Scenario 2) to project two contrasting futures (Scenario 3), providing a rationale for strategic choices. Various dimensions are considered: market and economic models, technological advancements, and regulatory frameworks, with both European and Italian perspectives. In the market domain, we assess opportunities linked to enabling technologies and digital services built on connectivity. On the technological side, we evaluate the role of network programmability, low-orbit satellites, aerial networks, edge computing, novel materials, and services, while also addressing sustainability and AI integration. The regulatory analysis highlights how evolving policies can impact network evolution and identifies reforms to foster innovation, inclusivity, and industry participation. From this integrated view, we infer two boundary scenarios for 2040: a utopic one, marked by innovation and inclusivity, and a dystopic one, characterized by digital inequality and stagnation. Finally, we outline strategies </w:t>
      </w:r>
    </w:p>
    <w:p>
      <w:pPr/>
      <w:r>
        <w:rPr>
          <w:b/>
        </w:rPr>
        <w:t>POSSIBLE 2026:</w:t>
      </w:r>
      <w:r>
        <w:t xml:space="preserve"> FORESIGHT WITHIN THE SCIENCE AND TECHNOLOGY GOVERNANCE: A COMPARATIVE ANALYSIS OF JAPAN AND THE REPUBLIC OF KOREA — https://doi.org/10.17323/1999-5431-2026-0-3-151-176</w:t>
      </w:r>
    </w:p>
    <w:p>
      <w:pPr/>
      <w:r>
        <w:rPr>
          <w:b/>
        </w:rPr>
        <w:t>Shared claim-specific concepts:</w:t>
      </w:r>
      <w:r>
        <w:t xml:space="preserve"> use, foresight, technology, revealed, application, long-term; EU scope not established. This is a provisional connection, not an outcome finding.</w:t>
      </w:r>
    </w:p>
    <w:p>
      <w:pPr>
        <w:pStyle w:val="SourceNote"/>
      </w:pPr>
      <w:r>
        <w:rPr>
          <w:b/>
        </w:rPr>
        <w:t>Available abstract (not full text):</w:t>
      </w:r>
      <w:r>
        <w:t xml:space="preserve"> Global challenges, economic security risks, sociodemographic and environmental processes, and accelerating technological development are creating a fundamentally new context for Public Administration that demands knowledge-based decision-making. The growing interest in proactive and predictive governance has led to the active use of science and technology foresight. However, the governance of scientifi c and technological development still faces a challenging “gap” between such research and the application of its results, known as the “strategic foresight impact gap”. The relevance of this topic stems from the need to institutionalise science and technology (S&amp;T) foresight in governance in order to bridge this gap. This study aims to develop an approach for analysing the institutionalisation of S&amp;T foresight in the networked governance of science and technology policy and to identify the causes of the gap. This approach is based on a set of parameters related to four dimensions of institutionalisation: organisational, regulatory, normative and cognitive-cultural. A comparative case study, conducted on the integration of S&amp;T foresight into governance of science and technology development in the Republic of Korea and Japan, revealed the characteristics of an optimal model for the institutionalising S&amp;T foresight, as well as the causes of the gap between long-term forecasting resu</w:t>
      </w:r>
    </w:p>
    <w:p>
      <w:pPr>
        <w:pStyle w:val="Heading2"/>
      </w:pPr>
      <w:r>
        <w:t>640. The Current Picture of the Transition to a Green Economy in the EU—Trends in Climate and Energy Policy versus State Security</w:t>
      </w:r>
    </w:p>
    <w:p>
      <w:pPr>
        <w:pStyle w:val="SourceNote"/>
      </w:pPr>
      <w:r>
        <w:rPr>
          <w:b/>
        </w:rPr>
        <w:t>Original source (2021):</w:t>
      </w:r>
      <w:r>
        <w:t xml:space="preserve"> https://doi.org/10.3390/en14238181</w:t>
      </w:r>
    </w:p>
    <w:p>
      <w:pPr/>
      <w:r>
        <w:t>Original wording (abstract; indexed_source_text_not_full_document_verified): The aim of the article is to present the main quantitative challenges for the development of the green economy in the EU, which are analyzed from the perspective of the year 2030.</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Sustainable Development Challenges of Higher Education Institutions in Wartime: Quantitative Evidence from Ukraine — https://doi.org/10.2139/ssrn.6955635</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Cartography of the Use of Artificial Intelligence Against Disinformation in Europe: Trends, Stakeholders, and Emerging Challenges — https://doi.org/10.3390/socsci15020071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article examines the application of artificial intelligence (AI) in the fight against disinformation through a comparative analysis of different European initiatives collected by the SmartVote project. It analyzes their characteristics and contributions to identify common trends in technological development and collaboration models. The methodology combines a systematic documentary analysis of institutional and technical sources—public project records, reports, and official repositories—with a structured questionnaire addressed to the coordinators of the selected initiatives. This mixed approach made it possible to triangulate quantitative and qualitative information on the types of technology employed, areas of impact, stakeholders involved, and levels of funding. The results show a predominance of multimodal AI-based tools aimed at automated content detection and verification. Most of the projects rely on cooperation networks among universities, technology companies, media outlets, and social organizations, structured under the principle of human oversight. The main challenges include algorithmic accuracy, bias prevention, and Europe’s technological dependence. Overall, the initiatives studied are committed to transparency, interdisciplinary collaboration, and the ethical use of AI in defense of informational integrity.</w:t>
      </w:r>
    </w:p>
    <w:p>
      <w:pPr/>
      <w:r>
        <w:rPr>
          <w:b/>
        </w:rPr>
        <w:t>POSSIBLE 2026:</w:t>
      </w:r>
      <w:r>
        <w:t xml:space="preserve"> Sustainability in EU Competition Law : An Analysis of Article 102 TFEU in Light of the European Green Deal — https://openalex.org/W7131733282</w:t>
      </w:r>
    </w:p>
    <w:p>
      <w:pPr/>
      <w:r>
        <w:rPr>
          <w:b/>
        </w:rPr>
        <w:t>Shared claim-specific concepts:</w:t>
      </w:r>
      <w:r>
        <w:t xml:space="preserve"> aim, article, green; EU scope visible. This is a provisional connection, not an outcome finding.</w:t>
      </w:r>
    </w:p>
    <w:p>
      <w:pPr>
        <w:pStyle w:val="SourceNote"/>
      </w:pPr>
      <w:r>
        <w:rPr>
          <w:b/>
        </w:rPr>
        <w:t>Available abstract (not full text):</w:t>
      </w:r>
      <w:r>
        <w:t xml:space="preserve"> The European Commission presented the European Green Deal in 2019 with the ultimate goal of achieving net zero greenhouse gas emissions by 2050. For this reason, the possibility of considering sustainability in EU competition law have received increasing attention in recent years. The aim of this thesis is to examine the role of environmental sustainability in assessments of abuse of dominance under Article 102 in the Treaty on the Functioning of the European Union [TFEU]. The discussion is commonly framed as using sustainability as a ‘sword’, prohibiting unsustainable conduct by dominant undertakings, and as a ‘shield’, allowing dominant undertakings to objectively justify prima facie abusive conduct where it promotes sustainability. Article 102 TFEU applies to conduct by undertakings, that is, entities engaged in economic activity, that are dominant on the relevant market. Abuse consists of conduct that is objectively capable of affecting trade between EU member states and harming on competition. The illustrative list of abuses in Article 102 TFEU covers exploitative abuses, directly harming consumers and exclusionary abuses, indirectly harming consumers by distorting market structure. To what extent sustainability is to be taken into account under Article 102 TFEU depends on the adopted competition law theory. While competition law has traditionally been understood as pursui</w:t>
      </w:r>
    </w:p>
    <w:p>
      <w:pPr/>
      <w:r>
        <w:rPr>
          <w:b/>
        </w:rPr>
        <w:t>POSSIBLE 2026:</w:t>
      </w:r>
      <w:r>
        <w:t xml:space="preserve"> Default recognition under Article 178 CRR: challenges and implications for standardised approach banks — https://doi.org/10.1108/jfrc-07-2025-0194</w:t>
      </w:r>
    </w:p>
    <w:p>
      <w:pPr/>
      <w:r>
        <w:rPr>
          <w:b/>
        </w:rPr>
        <w:t>Shared claim-specific concepts:</w:t>
      </w:r>
      <w:r>
        <w:t xml:space="preserve"> article, present, quantitative, challenges; EU scope visible. This is a provisional connection, not an outcome finding.</w:t>
      </w:r>
    </w:p>
    <w:p>
      <w:pPr>
        <w:pStyle w:val="SourceNote"/>
      </w:pPr>
      <w:r>
        <w:rPr>
          <w:b/>
        </w:rPr>
        <w:t>Available abstract (not full text):</w:t>
      </w:r>
      <w:r>
        <w:t xml:space="preserve"> Purpose This concept paper aims to examine the operational, capital and governance challenges that European banks face when applying Article 178 of the Capital Requirements Regulation (CRR) to recognise default, with particular emphasis on Standardised Approach banks. While existing literature has largely focused on Internal Ratings-Based (IRB) institutions, the distinctive implications for banks using the Standardised Approach remain underexplored. Design/methodology/approach The analysis adopts a doctrinal and policy review methodology, drawing on primary regulatory texts, European Banking Authority guidelines, supervisory expectations and comparative practices from other jurisdictions. A stylised case illustration demonstrates how qualitative default recognition criteria affect capital adequacy and borrower relationships. Findings This paper highlights interpretive ambiguity, operational inconsistency and commercial conflicts inherent in invoking the “unlikely to pay” criterion. For Standardised Approach banks, default recognition can have disproportionately severe impacts on risk-weighted assets, IFRS 9 provisioning and competitive positioning. The comparative review indicates that while similar principles exist globally, supervisory approaches to proportionality and implementation vary. Research limitations/implications This study is conceptual and does not present empiric</w:t>
      </w:r>
    </w:p>
    <w:p>
      <w:pPr/>
      <w:r>
        <w:rPr>
          <w:b/>
        </w:rPr>
        <w:t>POSSIBLE 2026:</w:t>
      </w:r>
      <w:r>
        <w:t xml:space="preserve"> Demographic Transformation and Sustainable Workforce Challenges in the European Union — https://doi.org/10.14207/ejsd.2026.v15n2p121</w:t>
      </w:r>
    </w:p>
    <w:p>
      <w:pPr/>
      <w:r>
        <w:rPr>
          <w:b/>
        </w:rPr>
        <w:t>Shared claim-specific concepts:</w:t>
      </w:r>
      <w:r>
        <w:t xml:space="preserve"> aim, article, challenges; EU scope visible. This is a provisional connection, not an outcome finding.</w:t>
      </w:r>
    </w:p>
    <w:p>
      <w:pPr>
        <w:pStyle w:val="SourceNote"/>
      </w:pPr>
      <w:r>
        <w:rPr>
          <w:b/>
        </w:rPr>
        <w:t>Available abstract (not full text):</w:t>
      </w:r>
      <w:r>
        <w:t xml:space="preserve"> The aim of this publication is to assess the impact of dynamic demographic changes on the availability of labor in selected European Union countries: the Czech Republic, Denmark, France, Germany, Poland, and Italy. The aging of societies, declining fertility rates, and varying migration trends are leading to a systematic aging and shrinking of the potential labor force, thus posing a significant challenge to the economies of Member States. This study conducted a comparative analysis of key demographic indicators using harmonized statistical data (Eurostat and OECD). The results of the study indicate a clear relationship between the progressive aging of the population and the deteriorating balance in labor markets. The article emphasizes the need to implement coherent social and demographic policies, in particular migration policies, in order to adapt to the changing demographic structure. The conclusions point to the urgent need to respond to the impending labor shortages in order to maintain the EU's economic competitiveness. Keywords: demographic change, labor force, migration policy, age structure</w:t>
      </w:r>
    </w:p>
    <w:p>
      <w:pPr/>
      <w:r>
        <w:rPr>
          <w:b/>
        </w:rPr>
        <w:t>POSSIBLE 2026:</w:t>
      </w:r>
      <w:r>
        <w:t xml:space="preserve"> Quantitative liver ultrasound: current status and challenges — https://doi.org/10.14366/usg.26148</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Ultrasound is the most widely used imaging modality for liver evaluation because it is accessible, portable, affordable, and repeatable. Quantitative liver ultrasound should therefore be understood not as a single technology, but as a set of biomarker strategies at different stages of development. Ultrasound elastography is the most mature component of this field and has been incorporated into noninvasive pathways for fibrosis assessment. Ultrasound-based liver fat quantification is also advancing rapidly through attenuation, backscatter, and radiofrequency-based techniques. A newer area of investigation involves the evaluation of viscoelasticity and inflammatory activity using shear-wave dispersion and related biomarkers, particularly in metabolic dysfunction-associated steatotic liver disease. The future value of quantitative liver ultrasound will depend on integrating multiple parameters to support clinical triage, monitoring, and, increasingly, treatment decision-making.</w:t>
      </w:r>
    </w:p>
    <w:p>
      <w:pPr/>
      <w:r>
        <w:rPr>
          <w:b/>
        </w:rPr>
        <w:t>POSSIBLE 2026:</w:t>
      </w:r>
      <w:r>
        <w:t xml:space="preserve"> The Criminalization of Solidarity in the EUropean Border Regime — https://doi.org/10.1177/03043754261433634</w:t>
      </w:r>
    </w:p>
    <w:p>
      <w:pPr/>
      <w:r>
        <w:rPr>
          <w:b/>
        </w:rPr>
        <w:t>Shared claim-specific concepts:</w:t>
      </w:r>
      <w:r>
        <w:t xml:space="preserve"> aim, article, main; EU scope visible. This is a provisional connection, not an outcome finding.</w:t>
      </w:r>
    </w:p>
    <w:p>
      <w:pPr>
        <w:pStyle w:val="SourceNote"/>
      </w:pPr>
      <w:r>
        <w:rPr>
          <w:b/>
        </w:rPr>
        <w:t>Available abstract (not full text):</w:t>
      </w:r>
      <w:r>
        <w:t xml:space="preserve"> This article explores the complementarity between the criminalization of solidarity and the externalization of EUropean borders by mapping laws across states working with Frontex. While both strategies have been widely documented and are central to the EUropean border regime’s deployment of violence, they have often been studied in isolation. The article pursues two goals that aim to contribute to documenting the effects of EUropean policies while avoiding the pitfalls of EU-centrism and presentism. First, it maps the geographical spread of laws criminalizing solidarity. Second, it examines how the EUropean border regime operates by analyzing convergences and divergences between legal systems. This approach requires contextualizing and situating these strategies in the longue durée history of European colonial empires. The article’s main contribution is to show through laws criminalizing solidarity how the EUropean border regime operates as a vehicle for normalizing and circulating legal regimes to deter, intercept, and push back people on the move.</w:t>
      </w:r>
    </w:p>
    <w:p>
      <w:pPr/>
      <w:r>
        <w:rPr>
          <w:b/>
        </w:rPr>
        <w:t>POSSIBLE 2026:</w:t>
      </w:r>
      <w:r>
        <w:t xml:space="preserve"> The Enforcement of European Digital Regulation: Overlaps and Pathways — https://doi.org/10.1093/yel/yeag002</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Abstract The European Union (EU) has intensified its regulatory efforts in the digital domain, resulting in a complex and layered legal framework. Significant attention has focused on the lack of coherence across legislation and other regulatory instruments, while less consideration has been given to enforcement, particularly to the expansion of powers and overlaps of responsibilities distributed across multiple national and supranational authorities. This article aims to address the primary challenges to the enforcement of the EU digital acquis and explore potential pathways for enhancing its effectiveness. The first part provides examples of how the growing number of EU legal instruments in the European digital policy, particularly targeting digital services, has not fully considered the intersections between different technologies and regulatory frameworks. The second part then underlines how these substantive overlaps translate into enforcement challenges. It addresses the quantitative dimension of the enforcement framework, detailing the multiplicity of bodies involved while analysing the overlapping competences that arise from this institutional complexity from the national and supranational perspectives. The final section explores possible solutions, evaluating opportunities and limitations of various pathways to improve the enforcement of European digital regulation.</w:t>
      </w:r>
    </w:p>
    <w:p>
      <w:pPr/>
      <w:r>
        <w:rPr>
          <w:b/>
        </w:rPr>
        <w:t>POSSIBLE 2026:</w:t>
      </w:r>
      <w:r>
        <w:t xml:space="preserve"> The European Union and the Challenge of the Democratic Cosmopolis — https://doi.org/10.58603/yaia5129</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This article seeks to clarify the crisis currently experienced by the European Union and to explore possible avenues for overcoming it. Taking Cosmosystemic Gnoseology as the method of analysis, the article presents three theoretical models considered pivotal for organizing post-state-centric reality, with the aim of addressing the challenge that the prospect of the democratic cosmopolis poses for the EU. It is argued that an axiologically neutral position presupposes liberating thought from the dominant political and constitutional ideology of modernity. This, in turn, requires that, before the article's central problem is addressed, reflexive questions be posed about how modern thought conceives the notion of politics, both at the intra-societal and at the inter-state level. The article then analyses, first, Thomas Hobbes's theoretical approach to the Christian commonwealth; second, Immanuel Kant's federation of free states; and third, Rigas Velestinlis's oecumenical state. These three models of political constitution are assessed for their points of similarity and difference with the present structure of the EU, as well as for the possibilities they open up for finding effective solutions to the crisis it faces. On this basis, the article determines whether any of these theoretical models can respond to contemporary political developments and to the fundamental challenge tha</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present, quantitative;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HYDROGEN'S ROLE IN GREEN ECONOMY: OPPORTUNITIES AND CHALLENGES IN SELECTED EUROPEAN COUNTRIES — https://doi.org/10.15837/aijes.v19i1.7138</w:t>
      </w:r>
    </w:p>
    <w:p>
      <w:pPr/>
      <w:r>
        <w:rPr>
          <w:b/>
        </w:rPr>
        <w:t>Shared claim-specific concepts:</w:t>
      </w:r>
      <w:r>
        <w:t xml:space="preserve"> aim, article, quantitative, challenges, green, economy; EU scope visible. This is a provisional connection, not an outcome finding.</w:t>
      </w:r>
    </w:p>
    <w:p>
      <w:pPr>
        <w:pStyle w:val="SourceNote"/>
      </w:pPr>
      <w:r>
        <w:rPr>
          <w:b/>
        </w:rPr>
        <w:t>Available abstract (not full text):</w:t>
      </w:r>
      <w:r>
        <w:t xml:space="preserve"> Hydrogen is an important element in the transition to a green economy, with its potential to play a key role in the decarbonization of industry and transport within the European Union. The aim of this article is to analyse the differences in hydrogen production and consumption between selected European countries in the context of their economic maturity. Based on data from 2020 to 2023, a quantitative analysis was conducted including variables such as hydrogen production and consumption capacity and GDP per capita. Using non-parametric tests (Kruskal-Wallis, Dwass-Steel-Critchlow-Fligner), statistically significant differences were identified between groups of countries with high and low levels of hydrogen infrastructure development. The results confirm that higher economic performance of countries is closely related to a more developed hydrogen economy. The discussion highlights the importance of investments, regulatory frameworks and technological innovations in the implementation of hydrogen solutions. The article also identifies the challenges faced by less developed countries and recommends an approach based on support and cooperation within the EU.</w:t>
      </w:r>
    </w:p>
    <w:p>
      <w:pPr>
        <w:pStyle w:val="Heading2"/>
      </w:pPr>
      <w:r>
        <w:t>641. The Economic Impact of Investment in Renewables in Croatia by 2030</w:t>
      </w:r>
    </w:p>
    <w:p>
      <w:pPr>
        <w:pStyle w:val="SourceNote"/>
      </w:pPr>
      <w:r>
        <w:rPr>
          <w:b/>
        </w:rPr>
        <w:t>Original source (2021):</w:t>
      </w:r>
      <w:r>
        <w:t xml:space="preserve"> https://doi.org/10.3390/en14248215</w:t>
      </w:r>
    </w:p>
    <w:p>
      <w:pPr/>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pPr/>
      <w:r>
        <w:rPr>
          <w:b/>
        </w:rPr>
        <w:t>POSSIBLE 2026:</w:t>
      </w:r>
      <w:r>
        <w:t xml:space="preserve"> Balancing strategies of small states: The case of the Republic of Serbia and the issue of Kosovo and Metohija — https://doi.org/10.5937/bastina36-66586</w:t>
      </w:r>
    </w:p>
    <w:p>
      <w:pPr/>
      <w:r>
        <w:rPr>
          <w:b/>
        </w:rPr>
        <w:t>Shared claim-specific concepts:</w:t>
      </w:r>
      <w:r>
        <w:t xml:space="preserve"> strategy, republic, analyzes, energy; EU scope visible. This is a provisional connection, not an outcome finding.</w:t>
      </w:r>
    </w:p>
    <w:p>
      <w:pPr>
        <w:pStyle w:val="SourceNote"/>
      </w:pPr>
      <w:r>
        <w:rPr>
          <w:b/>
        </w:rPr>
        <w:t>Available abstract (not full text):</w:t>
      </w:r>
      <w:r>
        <w:t xml:space="preserve"> This paper analyzes Serbia’s foreign policy as a strategy of balancing between the European Union (EU) and the Russian Federation in the context of the Kosovo and Metohija issue. Treating Kosovo and Metohija as a permanent structural constraint on state strategy, the paper examines political and economic developments since 2000 and their influence on Serbia’s foreign policy positioning. The focus is placed on the economic dimension of balancing, specifically Serbia’s dependence on the EU as its main trade and investment partner, while simultaneously emphasizing partial, particularly critical energy dependencies on the Russian Federation. The analysis indicates that balancing does not imply merely symmetrical distributions of influence, but rather a combination of institutional reliance in the Kosovo issue and economic dependencies concentrated in the energy sector, which increases the costs associated with distancing from Moscow. The aim of the paper is to present the strategy of balancing as a rational, yet long-term unstable response of a small state to structural constraints arising from the Kosovo and Metohija issue, as well as from the unfinished process of European integration in the region. The aim of the paper is to present the strategy of balancing as a rational, yet long-term unstable response of a small state to structural constraints arising from the Kosovo and Meto</w:t>
      </w:r>
    </w:p>
    <w:p>
      <w:pPr/>
      <w:r>
        <w:rPr>
          <w:b/>
        </w:rPr>
        <w:t>POSSIBLE 2026:</w:t>
      </w:r>
      <w:r>
        <w:t xml:space="preserve"> Report of the international conference on animal testing replacement for vaccines: A one health view on global outlook and future strategy — https://doi.org/10.1016/j.biologicals.2026.101903</w:t>
      </w:r>
    </w:p>
    <w:p>
      <w:pPr/>
      <w:r>
        <w:rPr>
          <w:b/>
        </w:rPr>
        <w:t>Shared claim-specific concepts:</w:t>
      </w:r>
      <w:r>
        <w:t xml:space="preserve"> strategy, outlook, transition, accelerated; EU scope not established. This is a provisional connection, not an outcome finding.</w:t>
      </w:r>
    </w:p>
    <w:p>
      <w:pPr>
        <w:pStyle w:val="SourceNote"/>
      </w:pPr>
      <w:r>
        <w:rPr>
          <w:b/>
        </w:rPr>
        <w:t>Available abstract (not full text):</w:t>
      </w:r>
      <w:r>
        <w:t xml:space="preserve"> The transition toward non-animal methods for vaccine quality control has accelerated in recent years, driven by scientific advances and evolving regulatory expectations. To assess the current status of replacing animal-based methods, international stakeholders from regulatory authorities, industry, and public health institutions convened in Bangkok, Thailand from 2 to 4 December 2025 for the conference "Animal Testing Replacement for Vaccines: A One Health View - Global Outlook and Future Strategy," organized by Animal-Free Safety Assessment Collaboration and the International Alliance for Biological Standardization. This report synthesizes key discussions from the meeting, including advancements in in vitro potency, safety, and pyrogenicity testing; challenges associated with validation and global regulatory acceptance; access to critical reagents and reference standards; implementation of reliance and work-sharing models; and capacity building for national control laboratories across human and veterinary sectors. Despite recent progress in some areas, significant barriers remain, including fragmented regulatory requirements, limited access to reference standards, and inconsistent validation and implementation pathways across regions and sectors. Collectively, the outcomes underscore the need for coordinated international action to enable broader adoption of scientifically rob</w:t>
      </w:r>
    </w:p>
    <w:p>
      <w:pPr/>
      <w:r>
        <w:rPr>
          <w:b/>
        </w:rPr>
        <w:t>POSSIBLE 2026:</w:t>
      </w:r>
      <w:r>
        <w:t xml:space="preserve"> Vessel Pooling as a Compliance Strategy in the European Shipping Energy Transition — https://doi.org/10.3390/en19051155</w:t>
      </w:r>
    </w:p>
    <w:p>
      <w:pPr/>
      <w:r>
        <w:rPr>
          <w:b/>
        </w:rPr>
        <w:t>Shared claim-specific concepts:</w:t>
      </w:r>
      <w:r>
        <w:t xml:space="preserve"> strategy, energy, transition; EU scope visible. This is a provisional connection, not an outcome finding.</w:t>
      </w:r>
    </w:p>
    <w:p>
      <w:pPr>
        <w:pStyle w:val="SourceNote"/>
      </w:pPr>
      <w:r>
        <w:rPr>
          <w:b/>
        </w:rPr>
        <w:t>Available abstract (not full text):</w:t>
      </w:r>
      <w:r>
        <w:t xml:space="preserve"> The European Union’s energy transition framework presents significant challenges for the maritime sector, requiring technical, organizational, and market-based compliance measures. The FuelEU Maritime Regulation (FuelEU) introduces flexible mechanisms such as banking, borrowing, and pooling that broaden compliance options for shipowners. This study examines the role of pooling in European shipping, focusing on its operational models, enabling conditions, and economic implications. Pool formation demands extensive information exchange and effective coordination, creating a need for specialized intermediaries and supporting the emergence of a market in which pooling prices are shaped by supply and demand. The research employs a qualitative methodology combining stakeholder and exploratory market analysis, assessment of regulatory and market drivers, case studies, and comparative analysis, complemented by expert interviews and a targeted survey. The findings highlight pooling as a pivotal compliance instrument, particularly as a fallback option during the reporting period, and show that it currently represents the most cost-efficient means of achieving FuelEU compliance. Intermediary service providers, especially digital platforms, play a central role by facilitating coordination, improving transparency, and reducing compliance costs. The study further identifies key factors influ</w:t>
      </w:r>
    </w:p>
    <w:p>
      <w:pPr/>
      <w:r>
        <w:rPr>
          <w:b/>
        </w:rPr>
        <w:t>POSSIBLE 2026:</w:t>
      </w:r>
      <w:r>
        <w:t xml:space="preserve"> Application of innovative strategy in the characterization of ketoprofen gels authorized in the Republic of Serbia — https://doi.org/10.5937/hpimj2601784c</w:t>
      </w:r>
    </w:p>
    <w:p>
      <w:pPr/>
      <w:r>
        <w:rPr>
          <w:b/>
        </w:rPr>
        <w:t>Shared claim-specific concepts:</w:t>
      </w:r>
      <w:r>
        <w:t xml:space="preserve"> strategy, republic, two; EU scope not established. This is a provisional connection, not an outcome finding.</w:t>
      </w:r>
    </w:p>
    <w:p>
      <w:pPr>
        <w:pStyle w:val="SourceNote"/>
      </w:pPr>
      <w:r>
        <w:rPr>
          <w:b/>
        </w:rPr>
        <w:t>Available abstract (not full text):</w:t>
      </w:r>
      <w:r>
        <w:t xml:space="preserve"> Introduction: Topical ketoprofen formulations provide localized analgesic and anti-inflammatory effects while reducing systemic adverse events associated with oral administration. Franz diffusion cells, are widely used to evaluate the permeation and dissolution rate of active pharmaceutical ingredient in topical formulations.Aim: The aim of this study was to perform macroscopic and microscopic analysis of ketoprofen gel formulations available in the Republic of Serbia, to examine the in vitro release rate using 3D printed Franz cells, as well as to analyze the influence of the type of receptor medium on the release rate of ketoprofen.Material and Method: Two ketoprofen gel formulations were examined. Macroscopic and microscopic analysis were performed under normal and polarized light. Ketoprofen content was determined by UV/VIS spectrophotometry. In vitro release studies were carried out using 3D-printed Franz diffusion cells with synthetic membranes as diffusion barriers. Phosphate buffer pH 7.4 and 70% (v/v) ethanol were used as receptor media.Results: Both ketoprofen gels were transparent, and exhibited similar gloss. Formulation A demonstrated lower structural integrity and stickiness than Formulation B. The ketoprofen in both formulations was within ± 5% of the declared value. In vitro release test showed that Formulation A exhibited a faster release of ketoprofen compared</w:t>
      </w:r>
    </w:p>
    <w:p>
      <w:pPr/>
      <w:r>
        <w:rPr>
          <w:b/>
        </w:rPr>
        <w:t>POSSIBLE 2025:</w:t>
      </w:r>
      <w:r>
        <w:t xml:space="preserve"> European policy of the Republic of Türkiye: stages, priorities, transformations — https://doi.org/10.17721/2524-048x.2025.32.1</w:t>
      </w:r>
    </w:p>
    <w:p>
      <w:pPr/>
      <w:r>
        <w:rPr>
          <w:b/>
        </w:rPr>
        <w:t>Shared claim-specific concepts:</w:t>
      </w:r>
      <w:r>
        <w:t xml:space="preserve"> beginning, strategy, republic, analyzes, energy; EU scope visible. This is a provisional connection, not an outcome finding.</w:t>
      </w:r>
    </w:p>
    <w:p>
      <w:pPr>
        <w:pStyle w:val="SourceNote"/>
      </w:pPr>
      <w:r>
        <w:rPr>
          <w:b/>
        </w:rPr>
        <w:t>Available abstract (not full text):</w:t>
      </w:r>
      <w:r>
        <w:t xml:space="preserve">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pPr/>
      <w:r>
        <w:rPr>
          <w:b/>
        </w:rPr>
        <w:t>POSSIBLE 2025:</w:t>
      </w:r>
      <w:r>
        <w:t xml:space="preserve"> THE HUSSITE MOVEMENT IN THE CZECH REPUBLIC — https://doi.org/10.31470/2786-8583-2024-4-105-110</w:t>
      </w:r>
    </w:p>
    <w:p>
      <w:pPr/>
      <w:r>
        <w:rPr>
          <w:b/>
        </w:rPr>
        <w:t>Shared claim-specific concepts:</w:t>
      </w:r>
      <w:r>
        <w:t xml:space="preserve"> beginning, strategy, republic, two, moderate; EU scope visible. This is a provisional connection, not an outcome finding.</w:t>
      </w:r>
    </w:p>
    <w:p>
      <w:pPr>
        <w:pStyle w:val="SourceNote"/>
      </w:pPr>
      <w:r>
        <w:rPr>
          <w:b/>
        </w:rPr>
        <w:t>Available abstract (not full text):</w:t>
      </w:r>
      <w:r>
        <w:t xml:space="preserve">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pPr/>
      <w:r>
        <w:rPr>
          <w:b/>
        </w:rPr>
        <w:t>POSSIBLE 2025:</w:t>
      </w:r>
      <w:r>
        <w:t xml:space="preserve"> The global outlook for gas demand in a $6 world — https://openalex.org/W7148186110</w:t>
      </w:r>
    </w:p>
    <w:p>
      <w:pPr/>
      <w:r>
        <w:rPr>
          <w:b/>
        </w:rPr>
        <w:t>Shared claim-specific concepts:</w:t>
      </w:r>
      <w:r>
        <w:t xml:space="preserve"> outlook; EU scope visible. This is a provisional connection, not an outcome finding.</w:t>
      </w:r>
    </w:p>
    <w:p>
      <w:pPr>
        <w:pStyle w:val="SourceNote"/>
      </w:pPr>
      <w:r>
        <w:rPr>
          <w:b/>
        </w:rPr>
        <w:t>Available abstract (not full text):</w:t>
      </w:r>
      <w:r>
        <w:t xml:space="preserve"> The long-expected wave of LNG supply is now almost upon us, and is expected to outstrip the rise in demand for LNG. Spot prices, in European and Asian markets, may respond to the overhang of supply by moving to more short-run pricing - as was seen in 2019 and 2020 - and, as a result, prices could fall to $6 per MMBTU - half current levels. With the surge in LNG supply lasting for a number of years, European and Asian prices at $6 could be sustained for a number of years. In such a scenario, not only might there be a short-run fuel switching response (coal and oil to gas) but also a longer run response, possibly delaying the roll out of renewables, especially more expensive offshore wind. The potential response would vary by market and sector. In the short run, by 2030, LNG imports could be higher by some 8% (60 bcm). Half of this is in the power sector (coal to gas switching) and one-third in industry. Most of the response is in Asia, especially China and ASEAN, with a more muted response in Europe, as coal plants are closing. The longer run response, by 2035, is expected to be larger, around 10% higher (80 bcm), but limited assuming there are few LNG export plants coming on after 2030. A stronger response from India is projected in the longer term, especially in buildings and transport, where demand might also be stronger in China in these sectors. Gas could also benefit from </w:t>
      </w:r>
    </w:p>
    <w:p>
      <w:pPr/>
      <w:r>
        <w:rPr>
          <w:b/>
        </w:rPr>
        <w:t>POSSIBLE 2025:</w:t>
      </w:r>
      <w:r>
        <w:t xml:space="preserve"> Indo-Pacific strategy and Europe: From politics through defence and economy to cultural and AI diplomacy. The example of the Czech Republic — https://doi.org/10.5937/napredak6-62688</w:t>
      </w:r>
    </w:p>
    <w:p>
      <w:pPr/>
      <w:r>
        <w:rPr>
          <w:b/>
        </w:rPr>
        <w:t>Shared claim-specific concepts:</w:t>
      </w:r>
      <w:r>
        <w:t xml:space="preserve"> strategy, republic, adopted; EU scope visible. This is a provisional connection, not an outcome finding.</w:t>
      </w:r>
    </w:p>
    <w:p>
      <w:pPr>
        <w:pStyle w:val="SourceNote"/>
      </w:pPr>
      <w:r>
        <w:rPr>
          <w:b/>
        </w:rPr>
        <w:t>Available abstract (not full text):</w:t>
      </w:r>
      <w:r>
        <w:t xml:space="preserve"> In the past decades, the increase in the importance of the Indo-Pacific region, which has become not only a new geopolitical and geoeconomic, but also a geotechnical centre, led to a series of activities both of individual countries and the European Union and its member-states, resulting in a set of strategies for the Indo-Pacific during the second decade of the 21st century. The same process continued in the current, third decade. Due to their significance, the enacted strategies soon became the subject of study, whereas lately the focus has been placed exactly on analyzing the activities of individual countries. On this occasion, we have dedicated attention to the research of the activities of the Czech Republic, which adopted its strategy in 2022, immediately after the adoption of the European Union's Strategy for the Indo-Pacific (2021) and subsequently, this region also found its place in the official politics of this country, namely in the Foreign Policy Concept (2025), as well in the National Cybersecurity Strategy (2025).</w:t>
      </w:r>
    </w:p>
    <w:p>
      <w:pPr/>
      <w:r>
        <w:rPr>
          <w:b/>
        </w:rPr>
        <w:t>POSSIBLE 2025:</w:t>
      </w:r>
      <w:r>
        <w:t xml:space="preserve"> New Regulation in the Field of Strategic Development of the Energy Sector in the Republic of Serbia — https://doi.org/10.46793/eee25-3.14p</w:t>
      </w:r>
    </w:p>
    <w:p>
      <w:pPr/>
      <w:r>
        <w:rPr>
          <w:b/>
        </w:rPr>
        <w:t>Shared claim-specific concepts:</w:t>
      </w:r>
      <w:r>
        <w:t xml:space="preserve"> beginning, strategy, republic, until, adopted, energy; EU scope visible. This is a provisional connection, not an outcome finding.</w:t>
      </w:r>
    </w:p>
    <w:p>
      <w:pPr>
        <w:pStyle w:val="SourceNote"/>
      </w:pPr>
      <w:r>
        <w:rPr>
          <w:b/>
        </w:rPr>
        <w:t>Available abstract (not full text):</w:t>
      </w:r>
      <w:r>
        <w:t xml:space="preserve"> In the Republic of Serbia, the year 2024 marked the ambitious beginning of a new phase in the development of the energy sector. At the end of July 2024, the Republic of Serbia adopted the Integrated National Energy and Climate Plan (INECP) for the period up to 2030, with projections until 2050. By adopting the INECP, Serbia obtained an important strategic document aligned with the European Union's vision for the decarbonization of the energy sector. This document represents Serbia’s roadmap for energy transition and will contribute to the goal of integrating its electricity market with the EU's single market. In line with the requirements set out in the INECP, Serbia plans to make significant investments in renewable energy sources by 2030 -around 3.5 GW of new solar and wind power plants (to be connected to the electricity grid) - aimed at increasing supply security for consumers, boosting the share of clean energy sources, and enhancing environmental protection. Another important strategic document in the field of energy sector development is the Energy Development Strategy of the Republic of Serbia until 2040, with projections until 2050, which was adopted in November 2024. In addition, amendments and supplements to the Energy Law were adopted in December 2024, with the goal of fulfilling obligations under the Energy Community Treaty. In this paper, the authors will provide </w:t>
      </w:r>
    </w:p>
    <w:p>
      <w:pPr/>
      <w:r>
        <w:rPr>
          <w:b/>
        </w:rPr>
        <w:t>POSSIBLE 2025:</w:t>
      </w:r>
      <w:r>
        <w:t xml:space="preserve"> Review and Outlook of the Evolution of China’s Competition Policy: From Economic Transition to the Dual Circulation Strategy — https://doi.org/10.17265/1548-6605/2025.01.003</w:t>
      </w:r>
    </w:p>
    <w:p>
      <w:pPr/>
      <w:r>
        <w:rPr>
          <w:b/>
        </w:rPr>
        <w:t>Shared claim-specific concepts:</w:t>
      </w:r>
      <w:r>
        <w:t xml:space="preserve"> strategy, outlook, transition; EU scope not established. This is a provisional connection, not an outcome finding.</w:t>
      </w:r>
    </w:p>
    <w:p>
      <w:pPr>
        <w:pStyle w:val="SourceNote"/>
      </w:pPr>
      <w:r>
        <w:rPr>
          <w:b/>
        </w:rPr>
        <w:t>Available abstract (not full text):</w:t>
      </w:r>
      <w:r>
        <w:t xml:space="preserve"> Over the past few decades, China has undergone a gradual yet progressive transition from a command economy to a market economy.During this process, China's competition policy has emerged and evolved in response to the changing economic landscape.History has shown that competition policy is not merely a byproduct of the country's economic transition but also a crucial instrument in deepening market-oriented reforms.The recognition of competition policy as having fundamental status in China's top-level policy design has marked a new phase in its development.A competition policy framework centered on the Anti-Monopoly Law is gradually taking shape, providing a more structured and systematic regulatory foundation.Currently, within China's long-term objectives through 2035, the Dual Circulation Strategy places competition policy at its core, underscoring its fundamental role in fostering a fair and efficient market environment.In recent years, China's competition policy and antitrust regulations have undergone significant advancements, strengthening enforcement mechanisms and refining legal frameworks.As the country navigates evolving domestic and global challenges, the continued evolution of its competition policy must strike a delicate balance between national economic priorities and the broader international economic landscape</w:t>
      </w:r>
    </w:p>
    <w:p>
      <w:pPr/>
      <w:r>
        <w:rPr>
          <w:b/>
        </w:rPr>
        <w:t>POSSIBLE 2025:</w:t>
      </w:r>
      <w:r>
        <w:t xml:space="preserve"> Analysis of the “Adaptation strategy for sectors and areas vulnerable to climate change to 2020 with an outlook to 2030 (SPA 2020)” — https://doi.org/10.24425/ace.2025.154120</w:t>
      </w:r>
    </w:p>
    <w:p>
      <w:pPr/>
      <w:r>
        <w:rPr>
          <w:b/>
        </w:rPr>
        <w:t>Shared claim-specific concepts:</w:t>
      </w:r>
      <w:r>
        <w:t xml:space="preserve"> strategy, outlook, energy, transition; EU scope visible. This is a provisional connection, not an outcome finding.</w:t>
      </w:r>
    </w:p>
    <w:p>
      <w:pPr>
        <w:pStyle w:val="SourceNote"/>
      </w:pPr>
      <w:r>
        <w:rPr>
          <w:b/>
        </w:rPr>
        <w:t>Available abstract (not full text):</w:t>
      </w:r>
      <w:r>
        <w:t xml:space="preserve"> Poland performs very badly in all kinds of rankings related to environmental protection and usually ranks last compared to other EU countries. Several programmes and strategies are currently being implemented to improve this situation. These include both national and local government documents. The author presents the most important of these and analyses both their provisions and the effectiveness of their implementation. One of the key aspects of adaptation to climate change is Poland’s energy transition from coal-based power generation to renewable energy sources. Unfortunately, over the past few years, legislators and regulators have significantly impeded this process, particularly with regard to photovoltaic energy and wind energy, as well as biogas plants. A significant problem is also the limitation of funding for this transformation, due to the blocking by the EU institutions of the disbursement of funds from the National Reconstruction Programme. Without the unblocking of these funds and the effective implementation of existing programmes and strategies, Poland will remain one of the most polluted EU countries with an archaic energy mix.</w:t>
      </w:r>
    </w:p>
    <w:p>
      <w:pPr/>
      <w:r>
        <w:rPr>
          <w:b/>
        </w:rPr>
        <w:t>POSSIBLE 2025:</w:t>
      </w:r>
      <w:r>
        <w:t xml:space="preserve"> CONSERVATISM AS A NATIONAL SECURITY STRATEGY: POLITICAL PROCESSES IN THE REPUBLIC OF POLAND IN 2015–2023 — https://doi.org/10.33402/up.2025-19-09</w:t>
      </w:r>
    </w:p>
    <w:p>
      <w:pPr/>
      <w:r>
        <w:rPr>
          <w:b/>
        </w:rPr>
        <w:t>Shared claim-specific concepts:</w:t>
      </w:r>
      <w:r>
        <w:t xml:space="preserve"> strategy, republic, analyzes, transition; EU scope visible. This is a provisional connection, not an outcome finding.</w:t>
      </w:r>
    </w:p>
    <w:p>
      <w:pPr>
        <w:pStyle w:val="SourceNote"/>
      </w:pPr>
      <w:r>
        <w:rPr>
          <w:b/>
        </w:rPr>
        <w:t>Available abstract (not full text):</w:t>
      </w:r>
      <w:r>
        <w:t xml:space="preserve"> The article analyzes political processes in the Republic of Poland during the rule of the “Law and Justice” party (PiS) in 2015–2023, when conservatism became the foundation of the state’s national security strategy. The conservative turn of the Polish political scene after the so-called “Tusk Era” and approaches to implementing right-conservative principles in domestic and foreign policy are examined. The electoral victories of PiS in 2015 and 2019, which secured the party parliamentary majority and presidential power, are analyzed. Special attention is given to five main postulates of the PiS program: state restoration, economic development, family policy, social reforms, and foreign policy subjectivity. It is shown that PiS’s conservative ideology was based on the values of freedom, solidarity, justice, national identity, and Catholic principles. Key aspects of the political program of PiS included: the active social offer “500+”, strengthening the traditional family model, enhancing the role of the Catholic Church, judicial system reforms, and public administration reforms. PiS’s foreign policy course was characterized by Euroscepticism, strengthening cooperation with the USA and NATO, an anti-Russian position, and complex relations with Ukraine. Conservatism in Poland in 2015–2023 functioned as a comprehensive national security strategy that included protecting cultural au</w:t>
      </w:r>
    </w:p>
    <w:p>
      <w:pPr>
        <w:pStyle w:val="Heading2"/>
      </w:pPr>
      <w:r>
        <w:t>642. The European Health Union: European Union’s Concern about Health for All. Concepts, Definition, and Scenarios</w:t>
      </w:r>
    </w:p>
    <w:p>
      <w:pPr>
        <w:pStyle w:val="SourceNote"/>
      </w:pPr>
      <w:r>
        <w:rPr>
          <w:b/>
        </w:rPr>
        <w:t>Original source (2021):</w:t>
      </w:r>
      <w:r>
        <w:t xml:space="preserve"> https://doi.org/10.3390/healthcare9121741</w:t>
      </w:r>
    </w:p>
    <w:p>
      <w:pPr/>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POSSIBLE 2026:</w:t>
      </w:r>
      <w:r>
        <w:t xml:space="preserve"> Drivers of and barriers to adoption of digital therapeutics in five European countries — https://doi.org/10.1177/20552076261492350</w:t>
      </w:r>
    </w:p>
    <w:p>
      <w:pPr/>
      <w:r>
        <w:rPr>
          <w:b/>
        </w:rPr>
        <w:t>Shared claim-specific concepts:</w:t>
      </w:r>
      <w:r>
        <w:t xml:space="preserve"> findings, five, however, increased; EU scope visible. This is a provisional connection, not an outcome finding.</w:t>
      </w:r>
    </w:p>
    <w:p>
      <w:pPr>
        <w:pStyle w:val="SourceNote"/>
      </w:pPr>
      <w:r>
        <w:rPr>
          <w:b/>
        </w:rPr>
        <w:t>Available abstract (not full text):</w:t>
      </w:r>
      <w:r>
        <w:t xml:space="preserve"> Background Digital therapeutics (DTx) are evidence-based software interventions with potential to complement conventional care; however, their adoption across European healthcare systems remains limited. Evidence on patient-level drivers, barriers, and implementation requirements is still scarce, especially regarding awareness, usability, reimbursement, and stakeholder engagement. Methods This mixed-methods study combined an online survey in five European countries — the United Kingdom, France, Germany, Italy, and Spain — with a qualitative advisory board. Of 915 survey respondents, 682 surveys were included. Respondents were adults who had visited a healthcare professional in the previous 12 months. Survey findings were complemented by an advisory board involving 13 opinion leaders, patient experts, representatives of patient organizations, and industry professionals. Results Awareness and prior use of DTx were limited: 51.03% of respondents were unaware of DTx before the survey, while only 3.40% had previously used DTx. Nevertheless, 63.20% expressed interest in using DTx to better manage their condition. The main drivers of adoption were interest in testing tools (35.63%), physician recommendation (35.48%), 24/7 access to support (26.54%), nurse recommendation (19.21%), and additional support beyond conventional treatments (15.10%). Integration with wearables or health apps </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findings, full, framework;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Toward an integration model for sustainable school meals: a comparative policy review of five European countries — https://doi.org/10.1186/s12889-026-29467-7</w:t>
      </w:r>
    </w:p>
    <w:p>
      <w:pPr/>
      <w:r>
        <w:rPr>
          <w:b/>
        </w:rPr>
        <w:t>Shared claim-specific concepts:</w:t>
      </w:r>
      <w:r>
        <w:t xml:space="preserve"> based, findings, five, framework, but; EU scope visible. This is a provisional connection, not an outcome finding.</w:t>
      </w:r>
    </w:p>
    <w:p>
      <w:pPr>
        <w:pStyle w:val="SourceNote"/>
      </w:pPr>
      <w:r>
        <w:rPr>
          <w:b/>
        </w:rPr>
        <w:t>Available abstract (not full text):</w:t>
      </w:r>
      <w:r>
        <w:t xml:space="preserve"> BACKGROUND/OBJECTIVES: School food policies are increasingly recognized as strategic public health interventions that contribute not only to child nutrition but also to environmental sustainability and social resilience. Due to differences in legal frameworks, supply systems, and socio-cultural contexts, European countries have adopted various governance approaches to sustainable school meals. This study aims to comparatively examine how school-based sustainable nutrition policies are structured in five European countries with high SDGs Index scores and to develop an integrated policy framework linking governance, procurement, education, and local practice. METHODS: A systematic comparative policy review was conducted using the SALSA (Search, Evaluate, Synthesis, Analyze) framework and reported using an adapted PRISMA-style flowchart. Finland, Sweden, Denmark, Germany, and France were selected because of their ranking as the top five countries in the 2024 Sustainable Development Goals Index and the analytical diversity they offer across welfare-based, supply-oriented, decentralized, and legally mandated governance models. The literature search covered academic and grey literature published between January 2008 and February 2026. Of the 248 records identified, 54 met the inclusion criteria and were analyzed through thematic content analysis and matrix-based comparative synthesis</w:t>
      </w:r>
    </w:p>
    <w:p>
      <w:pPr/>
      <w:r>
        <w:rPr>
          <w:b/>
        </w:rPr>
        <w:t>POSSIBLE 2026:</w:t>
      </w:r>
      <w:r>
        <w:t xml:space="preserve"> Twenty-five years of Neobiota: building a community for invasion science in Europe and beyond — https://doi.org/10.3897/neobiota.107.173229</w:t>
      </w:r>
    </w:p>
    <w:p>
      <w:pPr/>
      <w:r>
        <w:rPr>
          <w:b/>
        </w:rPr>
        <w:t>Shared claim-specific concepts:</w:t>
      </w:r>
      <w:r>
        <w:t xml:space="preserve"> findings, five, focus, cross-border; EU scope visible. This is a provisional connection, not an outcome finding.</w:t>
      </w:r>
    </w:p>
    <w:p>
      <w:pPr>
        <w:pStyle w:val="SourceNote"/>
      </w:pPr>
      <w:r>
        <w:rPr>
          <w:b/>
        </w:rPr>
        <w:t>Available abstract (not full text):</w:t>
      </w:r>
      <w:r>
        <w:t xml:space="preserve"> While the influential role of scientific associations in shaping research fields is well recognized, their impact within the domain of invasion science remains underexplored. This review combines qualitative narrative with quantitative metrics to trace the development of Neobiota, the first European non-profit and non-governmental scientific association dedicated to the study of biological invasions. Since its foundation in 1999, the Neobiota network has aimed to foster scientific exchange and collaboration, advance and integrate research across all dimensions of invasion science, and disseminate findings to support evidence-based policies. Evolving rapidly from a German working group into Europe’s leading network for invasion science, Neobiota has united researchers and practitioners across disciplines, taxa, and national boundaries. In contrast to many other associations, Neobiota operates with a low-threshold, non-bureaucratic governance model, promoting inclusivity and cross-border engagement. We document how its biennial conferences—hosted in 12 European countries between 2000 and 2024—have supported thematic diversity (ranging from molecular biology to socio-economy), increasing international participation (9–47 countries globally), and active policy outreach. Thematically, the focus of research presented at conferences has shifted over time from ecological patterns and s</w:t>
      </w:r>
    </w:p>
    <w:p>
      <w:pPr/>
      <w:r>
        <w:rPr>
          <w:b/>
        </w:rPr>
        <w:t>POSSIBLE 2026:</w:t>
      </w:r>
      <w:r>
        <w:t xml:space="preserve"> The impact of geopolitical events on European SMEs in the forestry industry — https://openalex.org/W7159737581</w:t>
      </w:r>
    </w:p>
    <w:p>
      <w:pPr/>
      <w:r>
        <w:rPr>
          <w:b/>
        </w:rPr>
        <w:t>Shared claim-specific concepts:</w:t>
      </w:r>
      <w:r>
        <w:t xml:space="preserve"> based, findings, increased, focus; EU scope visible. This is a provisional connection, not an outcome finding.</w:t>
      </w:r>
    </w:p>
    <w:p>
      <w:pPr>
        <w:pStyle w:val="SourceNote"/>
      </w:pPr>
      <w:r>
        <w:rPr>
          <w:b/>
        </w:rPr>
        <w:t>Available abstract (not full text):</w:t>
      </w:r>
      <w:r>
        <w:t xml:space="preserve"> This thesis explores how Russia’s full-scale invasion of Ukraine has affected European small- and medium-sized enterprises (SMEs) in the forestry industry. The focus is on how firms respond to geopolitical disruptions, particularly in terms of managerial decision-making, supply chain adaptation and overall resilience. The study is based on qualitative research, using semi-structured interviews with industry professionals alongside supporting literature. This approach provides insight into how SMEs experience and manage disruptions caused by geopolitical shocks. The findings show that SMEs were forced to rapidly adjust their sourcing strategies after losing access to key suppliers. Many firms shifted towards alternative markets such as Southeast Asia and other parts of Europe, while dealing with increased costs and uncertainty. The results also highlight the importance of organisational flexibility and international networks. Managerial decision-making played a central role, with managers relying on practical experience and short-term adaptability in uncertain conditions. Overall, the study demonstrates that SME resilience in this context depends on both structural factors and decisions made by managers. The findings contribute to existing research on geopolitical risk and offer practical insights for firms operating in volatile international environments.</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based, findings, improving, but, focus;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2026:</w:t>
      </w:r>
      <w:r>
        <w:t xml:space="preserve"> A citizen-based assessment of European smart cites using a DP2 index — https://doi.org/10.1038/s41598-026-55659-7</w:t>
      </w:r>
    </w:p>
    <w:p>
      <w:pPr/>
      <w:r>
        <w:rPr>
          <w:b/>
        </w:rPr>
        <w:t>Shared claim-specific concepts:</w:t>
      </w:r>
      <w:r>
        <w:t xml:space="preserve"> based, findings, five, framework, rely;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Twenty-five years of Neobiota: Building a Community for Invasion Science in Europe and beyond — https://doi.org/10.3897/aca.9.e203016</w:t>
      </w:r>
    </w:p>
    <w:p>
      <w:pPr/>
      <w:r>
        <w:rPr>
          <w:b/>
        </w:rPr>
        <w:t>Shared claim-specific concepts:</w:t>
      </w:r>
      <w:r>
        <w:t xml:space="preserve"> findings, five, focus, cross-border; EU scope visible. This is a provisional connection, not an outcome finding.</w:t>
      </w:r>
    </w:p>
    <w:p>
      <w:pPr>
        <w:pStyle w:val="SourceNote"/>
      </w:pPr>
      <w:r>
        <w:rPr>
          <w:b/>
        </w:rPr>
        <w:t>Available abstract (not full text):</w:t>
      </w:r>
      <w:r>
        <w:t xml:space="preserve"> While the influential role of scientific associations in shaping research fields is well recognized, their impact within the domain of invasion science remains underexplored. This review combines qualitative narrative with quantitative metrics to trace the development of Neobiota , the first European non-profit and non-governmental scientific association dedicated to the study of biological invasions. Since its foundation in 1999, the Neobiota network has aimed to foster scientific exchange and collaboration, advance and integrate research across all dimensions of invasion science, and disseminate findings to support evidence-based policies. Evolving rapidly from a German working group into Europe’s leading network for invasion science, Neobiota has united researchers and practitioners across disciplines, taxa, and national boundaries. In contrast to many other associations, Neobiota operates with a low-threshold, non-bureaucratic governance model, promoting inclusivity and cross-border engagement. We document how its biennial conferences—hosted in twelve European countries between 2000 and 2024—have supported thematic diversity (ranging from molecular biology to socio-economy), increasing international participation (from nine to 47 countries globally), and active policy outreach. Thematically, the focus of research presented at conferences has shifted over time from ecologica</w:t>
      </w:r>
    </w:p>
    <w:p>
      <w:pPr/>
      <w:r>
        <w:rPr>
          <w:b/>
        </w:rPr>
        <w:t>POSSIBLE 2026:</w:t>
      </w:r>
      <w:r>
        <w:t xml:space="preserve"> Decoding RNA regulation: Challenges and opportunities for RNA‐based therapies in Europe — https://doi.org/10.1002/bcp.70577</w:t>
      </w:r>
    </w:p>
    <w:p>
      <w:pPr/>
      <w:r>
        <w:rPr>
          <w:b/>
        </w:rPr>
        <w:t>Shared claim-specific concepts:</w:t>
      </w:r>
      <w:r>
        <w:t xml:space="preserve"> based, findings, five, framework; EU scope visible. This is a provisional connection, not an outcome finding.</w:t>
      </w:r>
    </w:p>
    <w:p>
      <w:pPr>
        <w:pStyle w:val="SourceNote"/>
      </w:pPr>
      <w:r>
        <w:rPr>
          <w:b/>
        </w:rPr>
        <w:t>Available abstract (not full text):</w:t>
      </w:r>
      <w:r>
        <w:t xml:space="preserve"> RNA-based medicinal products represent a promising frontier in personalised medicine, offering sequence-specific disease targeting at various molecular levels, yet their clinical translation in the European Union (EU) may be hindered by regulatory uncertainty around definitions and evidence requirements; this study therefore aims to identify commonalities and differences in scientific and clinical characteristics of RNA-based therapeutics assessed by the European Medicines Agency to inform a classification framework supporting regulatory clarity and product development. A qualitative document analysis was conducted on 13 RNA-based therapeutics for non-infectious diseases that applied for EU marketing authorisation by March 2025, using EU regulatory documents including European Public Assessment Reports and Risk Management Plans to analyse descriptive, scientific and clinical characteristics, with data extraction validated via a dual-review process. Of the 13 products, 10 were approved, two refused and one withdrawn; they included five siRNAs, seven antisense oligonucleotides (ASOs) and one aptamer, primarily for rare diseases, with 12 acting through sequence-specific hybridisation to pre-mRNA or mRNA to suppress or modify protein production, often targeting liver diseases using delivery systems like GalNAc conjugation or lipid nanoparticles, while clinical challenges included l</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Insights into the development and key factors of five European governance innovations for forest ecosystem service provision — https://doi.org/10.1016/j.forpol.2026.103891</w:t>
      </w:r>
    </w:p>
    <w:p>
      <w:pPr/>
      <w:r>
        <w:rPr>
          <w:b/>
        </w:rPr>
        <w:t>Shared claim-specific concepts:</w:t>
      </w:r>
      <w:r>
        <w:t xml:space="preserve"> findings, five, move, framework; EU scope visible. This is a provisional connection, not an outcome finding.</w:t>
      </w:r>
    </w:p>
    <w:p>
      <w:pPr>
        <w:pStyle w:val="SourceNote"/>
      </w:pPr>
      <w:r>
        <w:rPr>
          <w:b/>
        </w:rPr>
        <w:t>Available abstract (not full text):</w:t>
      </w:r>
      <w:r>
        <w:t xml:space="preserve"> Climate change and biodiversity loss require forestry to adapt management practices to sustain forest ecosystem services (FES). Yet knowledge remains limited on what enables or constrains novel forest governance approaches. This study applies the SETFIS analytical framework to five European governance innovations at local, regional, and national levels, treating forests as socio-ecological-technical-innovation systems. The cases comprise compensation schemes and network-based arrangements aimed at carbon sequestration, biodiversity restoration, and the sustainable provision of multiple FES. Across cases, innovation emergence and development were shaped by local context, historical trajectories, proactive leadership, core teams, multi-stakeholder networks, initial funding, capacity building, knowledge exchange with related innovations, and monitoring and evaluation that supported learning and adaptive planning. Core teams ensured continuity and stability, while broader networks fostered flexibility and future pathway development. Although these factors were evident across cases, governance design and operation remained strongly context specific, highlighting the importance of bottom-up, place-based approaches involving local actors in design, implementation, management, and evaluation. The findings show that governance innovations extend beyond technological change and depend on</w:t>
      </w:r>
    </w:p>
    <w:p>
      <w:pPr>
        <w:pStyle w:val="Heading2"/>
      </w:pPr>
      <w:r>
        <w:t>643. The Role of BECCS in Achieving Climate Neutrality in the European Union</w:t>
      </w:r>
    </w:p>
    <w:p>
      <w:pPr>
        <w:pStyle w:val="SourceNote"/>
      </w:pPr>
      <w:r>
        <w:rPr>
          <w:b/>
        </w:rPr>
        <w:t>Original source (2021):</w:t>
      </w:r>
      <w:r>
        <w:t xml:space="preserve"> https://doi.org/10.3390/en14237842</w:t>
      </w:r>
    </w:p>
    <w:p>
      <w:pPr/>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POSSIBLE 2026:</w:t>
      </w:r>
      <w:r>
        <w:t xml:space="preserve"> THE ROLE OF DIGITAL TECHNOLOGIES IN ACHIEVING CLIMATE NEUTRALITY IN THE INTERNATIONAL ECONOMY — https://doi.org/10.32702/2307-2105.2026.5.85</w:t>
      </w:r>
    </w:p>
    <w:p>
      <w:pPr/>
      <w:r>
        <w:rPr>
          <w:b/>
        </w:rPr>
        <w:t>Shared claim-specific concepts:</w:t>
      </w:r>
      <w:r>
        <w:t xml:space="preserve"> climate, neutrality, key, role, achieving; EU scope not established. This is a provisional connection, not an outcome finding.</w:t>
      </w:r>
    </w:p>
    <w:p>
      <w:pPr>
        <w:pStyle w:val="SourceNote"/>
      </w:pPr>
      <w:r>
        <w:rPr>
          <w:b/>
        </w:rPr>
        <w:t>Available abstract (not full text):</w:t>
      </w:r>
      <w:r>
        <w:t xml:space="preserve"> Терешко, к. е. н., доцент, доцент кафедри прикладної економіки, бізнес-інжинірингу The aim of this article is to examine the role of digital technologies in facilitating the transition toward a climate-neutral international economy, as well as to identify key directions for their effective application in decarbonization processes.The study finds that digital technologies play a system-forming role in</w:t>
      </w:r>
    </w:p>
    <w:p>
      <w:pPr/>
      <w:r>
        <w:rPr>
          <w:b/>
        </w:rPr>
        <w:t>POSSIBLE 2026:</w:t>
      </w:r>
      <w:r>
        <w:t xml:space="preserve"> Optimization of Climate Neutrality for a Low-Energy Residential Building Complex in Poland — https://doi.org/10.3390/en19061568</w:t>
      </w:r>
    </w:p>
    <w:p>
      <w:pPr/>
      <w:r>
        <w:rPr>
          <w:b/>
        </w:rPr>
        <w:t>Shared claim-specific concepts:</w:t>
      </w:r>
      <w:r>
        <w:t xml:space="preserve"> climate, neutrality, union, not, reduction, energy; EU scope visible. This is a provisional connection, not an outcome finding.</w:t>
      </w:r>
    </w:p>
    <w:p>
      <w:pPr>
        <w:pStyle w:val="SourceNote"/>
      </w:pPr>
      <w:r>
        <w:rPr>
          <w:b/>
        </w:rPr>
        <w:t>Available abstract (not full text):</w:t>
      </w:r>
      <w:r>
        <w:t xml:space="preserve"> Since 2021, the design and construction of nearly zero-energy buildings (nZEBs) have been mandatory for European Union Member States. Subsequent requirements for the building sector, characterized by high energy demand and significant environmental impact, include the minimization of carbon footprint and the introduction of climate-neutral building standards. The carbon footprint comprises both embodied emissions related to materials and construction processes and operational emissions resulting from building use. This paper analyzes both types of carbon footprint using a residential building that is part of an experimental housing estate consisting of 44 semi-detached buildings as a case study. Analyses of energy consumption optimization and carbon footprint reduction were conducted at both the individual building scale and the scale of the entire housing complex. The estate was developed in two stages. In the first stage (completion of construction in 2024), the primary criterion for technology selection was investment cost while maintaining compliance with applicable technical and building regulations. Prior to the implementation of the second stage, the investor conducted a social participation process in the form of a survey among future users. The survey addressed environmental aspects of the newly designed buildings and enabled the selection of materials, technologies, a</w:t>
      </w:r>
    </w:p>
    <w:p>
      <w:pPr/>
      <w:r>
        <w:rPr>
          <w:b/>
        </w:rPr>
        <w:t>POSSIBLE 2026:</w:t>
      </w:r>
      <w:r>
        <w:t xml:space="preserve"> Promoting the use of wood and bio-based materials in buildings: the case of Lithuania in the context of European countries striving for climate neutrality — https://doi.org/10.1088/1742-6596/3302/1/012111</w:t>
      </w:r>
    </w:p>
    <w:p>
      <w:pPr/>
      <w:r>
        <w:rPr>
          <w:b/>
        </w:rPr>
        <w:t>Shared claim-specific concepts:</w:t>
      </w:r>
      <w:r>
        <w:t xml:space="preserve"> climate, neutrality, union, energy, renewable; EU scope visible. This is a provisional connection, not an outcome finding.</w:t>
      </w:r>
    </w:p>
    <w:p>
      <w:pPr>
        <w:pStyle w:val="SourceNote"/>
      </w:pPr>
      <w:r>
        <w:rPr>
          <w:b/>
        </w:rPr>
        <w:t>Available abstract (not full text):</w:t>
      </w:r>
      <w:r>
        <w:t xml:space="preserve"> Abstract The construction sector causes a huge environmental burden. Globally, this sector is responsible for 34 % of global energy demand, around 34 % of CO 2 emissions and approximately one-third of all global waste. This article analyses international practices in the usage of wood and other bio-based construction products in buildings, and presents the progress of the Lithuanian state of the art in this area. The EU promotes the use of wood or other construction products made from organic materials from renewable natural resources in buildings. Lithuania contributes to this global trend. A recent governmental resolution requires that at least 50% of construction products used in public buildings, financed by the state budget of the Republic of Lithuania (including European Union structural funds and other international financial assistance), must consist of wood or other bio-based materials derived from renewable resources. To implement this regulation, a dedicated methodology has been developed to quantify the share of wood and bio-based materials in buildings. The proposed methodology is a useful tool for the practical implementation of policy objectives and contributes to the promotion of green procurement and innovation and technological progress in the construction sector.</w:t>
      </w:r>
    </w:p>
    <w:p>
      <w:pPr/>
      <w:r>
        <w:rPr>
          <w:b/>
        </w:rPr>
        <w:t>POSSIBLE 2026:</w:t>
      </w:r>
      <w:r>
        <w:t xml:space="preserve"> Machine learning and latent profiles of mathematics achievement in nine European countries — https://doi.org/10.1186/s40536-026-00317-7</w:t>
      </w:r>
    </w:p>
    <w:p>
      <w:pPr/>
      <w:r>
        <w:rPr>
          <w:b/>
        </w:rPr>
        <w:t>Shared claim-specific concepts:</w:t>
      </w:r>
      <w:r>
        <w:t xml:space="preserve"> achievement, climate, not, key; EU scope visible. This is a provisional connection, not an outcome finding.</w:t>
      </w:r>
    </w:p>
    <w:p>
      <w:pPr>
        <w:pStyle w:val="SourceNote"/>
      </w:pPr>
      <w:r>
        <w:rPr>
          <w:b/>
        </w:rPr>
        <w:t>Available abstract (not full text):</w:t>
      </w:r>
      <w:r>
        <w:t xml:space="preserve"> Abstract Background Mathematics achievement is associated with interacting individual and contextual factors, but these associations are often examined separately. As a result, existing research may overlook how affective characteristics combine within students and how these configurations are distributed across school settings. Objectives This study aimed to investigate the multilevel predictors of mathematics achievement by integrating machine learning and latent variable approaches using PISA 2022 data from nine European countries. Methods The analysis was conducted in a sequence of stages, summarised in Fig. 1. First, predictive models were used to identify the most important predictors of mathematics achievement. Second, Latent Profile Analysis was performed to classify students based on key socioeconomic and affective indicators. Third, a two-stage multilevel approach—a separate latent profile analysis of school-level indicators, linked to the student profiles through mixed-effects models—was used to identify school climate profiles and examine cross-level associations between school contexts and student profile membership. Results and conclusions Tree-based algorithms outperformed regularised linear models, indicating that mathematics achievement was characterised by complex and non-linear relationships among predictors. Socioeconomic resources and mathematics-related af</w:t>
      </w:r>
    </w:p>
    <w:p>
      <w:pPr/>
      <w:r>
        <w:rPr>
          <w:b/>
        </w:rPr>
        <w:t>POSSIBLE 2026:</w:t>
      </w:r>
      <w:r>
        <w:t xml:space="preserve"> MAIZE BREEDING FOR ENHANCED ADAPTABILITY TO CLIMATE CHANGE IN EUROPE — https://doi.org/10.37128/2707-5826-2026-1-12</w:t>
      </w:r>
    </w:p>
    <w:p>
      <w:pPr/>
      <w:r>
        <w:rPr>
          <w:b/>
        </w:rPr>
        <w:t>Shared claim-specific concepts:</w:t>
      </w:r>
      <w:r>
        <w:t xml:space="preserve"> climate, union, key; EU scope visible. This is a provisional connection, not an outcome finding.</w:t>
      </w:r>
    </w:p>
    <w:p>
      <w:pPr>
        <w:pStyle w:val="SourceNote"/>
      </w:pPr>
      <w:r>
        <w:rPr>
          <w:b/>
        </w:rPr>
        <w:t>Available abstract (not full text):</w:t>
      </w:r>
      <w:r>
        <w:t xml:space="preserve"> Based on a structured statistical assessment of the implementation outcomes of European Union maize breeding programs, particularly regarding their efforts to enhance the adaptive potential of modern maize genotypes, a set of generalizations and conclusions on the effectiveness of these programs has been formulated. The network of national institutions and genetic-breeding centers across Europe has been analyzed and characterized. These institutions focus on targeted maize breeding using local landraces or base populations, applying mono- or multi-trait selection for resistance to key stress factors that significantly limit the yield potential of Europe’s high-intensity maize hybrids. The content of breeding programs from leading European seed companies –such as KWS, Limagrain, Syngenta, Corteva Agriscience, MAS Seeds, and Euralis (Lidea brand) – has been summarized and reviewed. These programs were specifically assessed regarding the incorporation of current and projected climate change impacts across Europe, with attention to scaling these strategies to other regions. Key traits emphasized included drought and cold tolerance, heat and osmotic stress resistance, and comprehensive tolerance to the most damaging diseases and pests. Over a 45-year evaluation period, the incremental improvements in resistance traits of developed maize hybrids were systematized, focusing on their r</w:t>
      </w:r>
    </w:p>
    <w:p>
      <w:pPr/>
      <w:r>
        <w:rPr>
          <w:b/>
        </w:rPr>
        <w:t>POSSIBLE 2026:</w:t>
      </w:r>
      <w:r>
        <w:t xml:space="preserve"> SUSTAINABLE WASTE MANAGEMENT BUSINESS MODELS AS A TOOL FOR ACHIEVING CLIMATE NEUTRALITY — https://doi.org/10.37332/2309-1533.2026.3.9</w:t>
      </w:r>
    </w:p>
    <w:p>
      <w:pPr/>
      <w:r>
        <w:rPr>
          <w:b/>
        </w:rPr>
        <w:t>Shared claim-specific concepts:</w:t>
      </w:r>
      <w:r>
        <w:t xml:space="preserve"> climate, neutrality, possible, reduction, key, role; EU scope not established. This is a provisional connection, not an outcome finding.</w:t>
      </w:r>
    </w:p>
    <w:p>
      <w:pPr>
        <w:pStyle w:val="SourceNote"/>
      </w:pPr>
      <w:r>
        <w:rPr>
          <w:b/>
        </w:rPr>
        <w:t>Available abstract (not full text):</w:t>
      </w:r>
      <w:r>
        <w:t xml:space="preserve"> Omelchuk O.M., Shevchuk I.V., Arziantseva D.A., Zakharkevych N.P. SUSTAINABLE WASTE MANAGEMENT BUSINESS MODELS AS A TOOL FOR ACHIEVING CLIMATE NEUTRALITY Purpose. The aim of the study is to examine the theoretical foundations of formation of sustainable business models, systematise their main archetypes, and identify opportunities for their application and combination by start-ups and established enterprises to improve waste management, create economic, environmental, and social value, and achieve climate neutrality. Methodology of research. To achieve the stated purpose, the following research methods have been employed: analysis and synthesis ‒ to reveal the essence of sustainable business models and determine their role in waste management; the monographic method ‒ to examine scholarly approaches to the formation of business models for sustainable development; the comparative method ‒ to identify differences between traditional and sustainable business models; classification ‒ to systematise their archetypes; and abstract-logical reasoning and generalisation ‒ to formulate conclusions and practical recommendations. Findings. The essence of sustainable business models is revealed as a tool for combining economic performance with resource efficiency, waste and emissions reduction, and the creation of societal value. The technological, social, and organisational archetypes of s</w:t>
      </w:r>
    </w:p>
    <w:p>
      <w:pPr/>
      <w:r>
        <w:rPr>
          <w:b/>
        </w:rPr>
        <w:t>POSSIBLE 2026:</w:t>
      </w:r>
      <w:r>
        <w:t xml:space="preserve"> Strategies for Carbon Neutrality Achievement: A Case Study of WWTP — https://doi.org/10.32523/kr9t6j80</w:t>
      </w:r>
    </w:p>
    <w:p>
      <w:pPr/>
      <w:r>
        <w:rPr>
          <w:b/>
        </w:rPr>
        <w:t>Shared claim-specific concepts:</w:t>
      </w:r>
      <w:r>
        <w:t xml:space="preserve"> achievement, neutrality, role; EU scope not established. This is a provisional connection, not an outcome finding.</w:t>
      </w:r>
    </w:p>
    <w:p>
      <w:pPr>
        <w:pStyle w:val="SourceNote"/>
      </w:pPr>
      <w:r>
        <w:rPr>
          <w:b/>
        </w:rPr>
        <w:t>Available abstract (not full text):</w:t>
      </w:r>
      <w:r>
        <w:t xml:space="preserve"> Wastewater treatment plays a significant role in greenhouse gas (GHG) emissions in Ghana, generating 49.2% of methane (CH₄) and 90.5% of nitrous oxide (N₂O) emissions, as documented in the Fifth National GHG Inventory (2019). Despite this, only 5% of urban areas possess operational treatment facilities, illustrating critical infrastructure deficits (Arthur et al., 2020). This review identifies emission drivers such as nitrifier denitrification, abiotic reactions, and fugitive CH₄, revealing substantial accounting discrepancies that contribute to uncertainties in GHG reporting. Mitigation pathways are explored, including thermal hydrolysis-enhanced anaerobic digestion and anammox-based nitrogen removal strategies, emphasizing the importance of real-time monitoring and the implementation of hybrid IPCC frameworks. Knowledge gaps regarding N₂O dynamics and emerging technologies are highlighted. By aligning with international standards, the findings aim to guide wastewater treatment managers in mitigating emissions and transitioning facilities into sustainable bio-refineries, enhancing urban sustainability in Ghana and beyond</w:t>
      </w:r>
    </w:p>
    <w:p>
      <w:pPr/>
      <w:r>
        <w:rPr>
          <w:b/>
        </w:rPr>
        <w:t>POSSIBLE 2026:</w:t>
      </w:r>
      <w:r>
        <w:t xml:space="preserve"> Urban climate neutrality: Swiss development projects and urban climate finance in Rajkot — https://doi.org/10.5194/gh-81-107-2026</w:t>
      </w:r>
    </w:p>
    <w:p>
      <w:pPr/>
      <w:r>
        <w:rPr>
          <w:b/>
        </w:rPr>
        <w:t>Shared claim-specific concepts:</w:t>
      </w:r>
      <w:r>
        <w:t xml:space="preserve"> climate, neutrality, sources, role; EU scope not established. This is a provisional connection, not an outcome finding.</w:t>
      </w:r>
    </w:p>
    <w:p>
      <w:pPr>
        <w:pStyle w:val="SourceNote"/>
      </w:pPr>
      <w:r>
        <w:rPr>
          <w:b/>
        </w:rPr>
        <w:t>Available abstract (not full text):</w:t>
      </w:r>
      <w:r>
        <w:t xml:space="preserve"> This article explores the evolving role of state development agencies in anchoring climate finance. It suggests that the financialization under the “Wall Street Consensus” results in a repositioning of state development agencies as facilitators of global financial flows. Focusing on Swiss-led development projects in Rajkot, a secondary city in India, the study examines how these initiatives locally “anchor” climate finance from different sources and provide technical assistance to translate it into climate-resilient infrastructure projects. The analysis reveals how Swiss development agencies shape urban climate responses in India while advancing Switzerland's position as a neutral intermediary and securing forward-looking interests in emerging climate markets. Applying conceptual perspectives on contemporary state capitalism, climate urbanism, and the financialization of development to empirical findings from Swiss development projects in Rajkot, this article pursues three objectives: (a) to investigate the facilitating role assumed by Swiss development agencies for climate-resilient interventions in Rajkot, (b) to identify how state-capitalist interests shape these projects, and (c) to enhance the understanding of how national development institutions adapt to the uneven landscape of global climate finance. It argues that Swiss development projects function as state–capital hy</w:t>
      </w:r>
    </w:p>
    <w:p>
      <w:pPr/>
      <w:r>
        <w:rPr>
          <w:b/>
        </w:rPr>
        <w:t>POSSIBLE 2025:</w:t>
      </w:r>
      <w:r>
        <w:t xml:space="preserve"> Cluster Analysis of the Transition to Climate Neutrality in the European Union — https://doi.org/10.1002/sd.70064</w:t>
      </w:r>
    </w:p>
    <w:p>
      <w:pPr/>
      <w:r>
        <w:rPr>
          <w:b/>
        </w:rPr>
        <w:t>Shared claim-specific concepts:</w:t>
      </w:r>
      <w:r>
        <w:t xml:space="preserve"> climate, neutrality, union, energy, key, achieving;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How far is the way to climate neutrality in Romanian cities — https://doi.org/10.1109/upec65436.2025.11279727</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pPr/>
      <w:r>
        <w:rPr>
          <w:b/>
        </w:rPr>
        <w:t>POSSIBLE 2025:</w:t>
      </w:r>
      <w:r>
        <w:t xml:space="preserve"> Energy Storage Requirements for Achieving Climate Neutrality: An Italian Case Study — https://doi.org/10.1109/iccep65222.2025.11143702</w:t>
      </w:r>
    </w:p>
    <w:p>
      <w:pPr/>
      <w:r>
        <w:rPr>
          <w:b/>
        </w:rPr>
        <w:t>Shared claim-specific concepts:</w:t>
      </w:r>
      <w:r>
        <w:t xml:space="preserve"> achievement, climate, neutrality, energy, renewable, sources; EU scope visible. This is a provisional connection, not an outcome finding.</w:t>
      </w:r>
    </w:p>
    <w:p>
      <w:pPr>
        <w:pStyle w:val="SourceNote"/>
      </w:pPr>
      <w:r>
        <w:rPr>
          <w:b/>
        </w:rPr>
        <w:t>Available abstract (not full text):</w:t>
      </w:r>
      <w:r>
        <w:t xml:space="preserve">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pStyle w:val="Heading2"/>
      </w:pPr>
      <w:r>
        <w:t>644. The Selection of Intermodal Transport System Scenarios in the Function of Southeastern Europe Regional Development</w:t>
      </w:r>
    </w:p>
    <w:p>
      <w:pPr>
        <w:pStyle w:val="SourceNote"/>
      </w:pPr>
      <w:r>
        <w:rPr>
          <w:b/>
        </w:rPr>
        <w:t>Original source (2021):</w:t>
      </w:r>
      <w:r>
        <w:t xml:space="preserve"> https://doi.org/10.3390/su13105590</w:t>
      </w:r>
    </w:p>
    <w:p>
      <w:pPr/>
      <w:r>
        <w:t>Original wording (abstract; indexed_source_text_not_full_document_verified):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POSSIBLE 2026:</w:t>
      </w:r>
      <w:r>
        <w:t xml:space="preserve"> Assessing the effects of restoration and conservation on gaseous carbon fluxes and climate mitigation potential across six European coastal wetlands — https://doi.org/10.1016/j.ecoleng.2026.108080</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Coastal wetlands play a substantial role in regulating Earth's climate through exchanges of greenhouse gases (GHGs). Current European policies promote widespread coastal wetland restoration to reverse historical losses and ongoing pressures. However, substantial uncertainty remains regarding how carbon dioxide (CO 2 ) and methane (CH 4 ) fluxes respond to restoration across different coastal wetland types and whether these responses translate into net climate mitigation in terms of CO 2 equivalents (CO 2 -eq). We measured simultaneous CO 2 and CH 4 fluxes using static chambers across four seasons at multiple locations spanning preserved, altered and restored sites within six European coastal wetlands of different ecological types. By comparing GHG exchanges and resulting CO 2 -eq balances across wetlands, we identified dominant biogeochemical drivers of CO 2 and CH 4 dynamics and assessed the climate mitigation potential of conservation and restoration actions. CO 2 fluxes were primarily controlled by landscape-scale vegetation cover and inundation, whereas CH 4 emissions responded to less evident changes in water quality, salinity and wetland hydrodynamics. Comparisons of CO 2 -eq balances between altered and restored sites showed that seagrass replantation was associated with significant mitigation potential under both 100-year and 20-year CH 4 warming scenarios, while eutrop</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different, potential, level;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Characterizing clinically recognized hypertrophic cardiomyopathy in six European countries using real-world data — https://doi.org/10.1093/eschf/xvag218</w:t>
      </w:r>
    </w:p>
    <w:p>
      <w:pPr/>
      <w:r>
        <w:rPr>
          <w:b/>
        </w:rPr>
        <w:t>Shared claim-specific concepts:</w:t>
      </w:r>
      <w:r>
        <w:t xml:space="preserve"> six, network, defined; EU scope visible. This is a provisional connection, not an outcome finding.</w:t>
      </w:r>
    </w:p>
    <w:p>
      <w:pPr>
        <w:pStyle w:val="SourceNote"/>
      </w:pPr>
      <w:r>
        <w:rPr>
          <w:b/>
        </w:rPr>
        <w:t>Available abstract (not full text):</w:t>
      </w:r>
      <w:r>
        <w:t xml:space="preserve"> BACKGROUND AND AIMS: Hypertrophic cardiomyopathy (HCM) is the most common inherited cardiomyopathy. However, large-scale epidemiological evidence remains scarce due to challenges in real-world disease recognition. This study aimed to characterize clinically recognized HCM and obstructive HCM (oHCM) across six European countries regarding prevalence, demographics, and clinical characteristics. METHODS: We conducted a retrospective cohort study using routinely collected healthcare data from six European countries, all mapped to the Observational Medical Outcomes Partnership (OMOP) Common Data Model within the DARWIN EU® network: CPRD-GOLD (UK), DK-DHR (Denmark), InGef RDB (Germany), NAJS (Croatia), NLHR (Norway), and SIDIAP (Spain). Clinically recognized HCM was defined based on recorded diagnoses captured in routine healthcare data, rather than on imaging-, haemodynamic-, or genotype-confirmed population screening. Adults (≥18 years) with a first recorded HCM or oHCM diagnosis after 2010 were included. We estimated annual period prevalence and described recorded comorbidities, diagnostic measurements, and treatments before, at, and after diagnosis. RESULTS: Among 40 277 individuals with HCM, 12 363 (31%) were first diagnosed with oHCM. Females were older than males at diagnosis (median 67-78 vs 57-68 years). Annual period prevalence increased over time, ranging from 0.04% (95% C</w:t>
      </w:r>
    </w:p>
    <w:p>
      <w:pPr/>
      <w:r>
        <w:rPr>
          <w:b/>
        </w:rPr>
        <w:t>POSSIBLE 2026:</w:t>
      </w:r>
      <w:r>
        <w:t xml:space="preserve"> European forest carbon and biodiversity policies have a limited win-win potential — https://doi.org/10.1038/s41467-026-68668-x</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Climate change mitigation and biodiversity conservation are key forest functions, but how to pursue them jointly in timber-managed forests is still unclear. We use a Europe-wide dataset of forest multi-taxon diversity and stand structure to (i) evaluate the importance of aboveground carbon stocks in determining species richness of six taxonomic groups; (ii) assess relationships between species richness and carbon stocks; (iii) discuss the potential to jointly enhance carbon and biodiversity and policy implications. Carbon-diversity relationships are positive for several groups, but mostly when deadwood pools are considered. Forest policies should consider the complex relationship between different carbon pools and taxonomic groups. Environmental policies emphasizing carbon sequestration in aboveground living biomass may conflict with biodiversity conservation by promoting homogeneous, fast-growing forests that fail to support species diversity of multiple groups. Sustainable forest management should acknowledge that deadwood carbon instead may translate into positive outcomes for both carbon storage and biodiversity conservation. Forests are essential for both climate change mitigation and biodiversity conservation, yet how to balance these goals in managed forests remains unclear. Here, using a Europe-wide dataset, the authors find that biodiversity increases with carbon stock</w:t>
      </w:r>
    </w:p>
    <w:p>
      <w:pPr/>
      <w:r>
        <w:rPr>
          <w:b/>
        </w:rPr>
        <w:t>POSSIBLE 2026:</w:t>
      </w:r>
      <w:r>
        <w:t xml:space="preserve"> Configurational analysis of digital transformation profiles across European countries — https://doi.org/10.14254/2071-8330.2026/19-2/6</w:t>
      </w:r>
    </w:p>
    <w:p>
      <w:pPr/>
      <w:r>
        <w:rPr>
          <w:b/>
        </w:rPr>
        <w:t>Shared claim-specific concepts:</w:t>
      </w:r>
      <w:r>
        <w:t xml:space="preserve"> six, different, infrastructure, transformation; EU scope visible. This is a provisional connection, not an outcome finding.</w:t>
      </w:r>
    </w:p>
    <w:p>
      <w:pPr>
        <w:pStyle w:val="SourceNote"/>
      </w:pPr>
      <w:r>
        <w:rPr>
          <w:b/>
        </w:rPr>
        <w:t>Available abstract (not full text):</w:t>
      </w:r>
      <w:r>
        <w:t xml:space="preserve"> Digital transformation has become an important determinant of economic development, while countries follow different structural pathways toward digital maturity. This study aims to identify digital transformation profiles of European countries using an author-developed configurational analysis framework that integrates structural economic and digital characteristics. The proposed methodology combines Min–Max normalization, aggregation of economic and digital indicators, construction of the High Digital Sector Transformation (HDST) index, fuzzy-set calibration, an original configurational profiling procedure, and profile stability assessment. Based on structural sectoral characteristics, digital infrastructure, digital governance, and innovation capacity, six digital transformation profiles were identified: Digital Service Economy, Innovation Industrial, Government-led Digitalization, Emerging Digital Economy, Knowledge-driven Economy, and Mixed Model. The findings demonstrate that countries with similar HDST levels may exhibit substantially different structural configurations, indicating the existence of multiple digital transformation pathways. The proposed configurational analysis identified recurring combinations of economic and digital characteristics associated with high levels of digital transformation, while the profiling procedure revealed stable development patterns th</w:t>
      </w:r>
    </w:p>
    <w:p>
      <w:pPr/>
      <w:r>
        <w:rPr>
          <w:b/>
        </w:rPr>
        <w:t>POSSIBLE 2026:</w:t>
      </w:r>
      <w:r>
        <w:t xml:space="preserve"> Hub-Based Transportation Planning: Network Architecture and Configuration Governance — https://doi.org/10.32996/jcsts.2026.8.8.19</w:t>
      </w:r>
    </w:p>
    <w:p>
      <w:pPr/>
      <w:r>
        <w:rPr>
          <w:b/>
        </w:rPr>
        <w:t>Shared claim-specific concepts:</w:t>
      </w:r>
      <w:r>
        <w:t xml:space="preserve"> network, configuration, logistics, transportation; EU scope not established. This is a provisional connection, not an outcome finding.</w:t>
      </w:r>
    </w:p>
    <w:p>
      <w:pPr>
        <w:pStyle w:val="SourceNote"/>
      </w:pPr>
      <w:r>
        <w:rPr>
          <w:b/>
        </w:rPr>
        <w:t>Available abstract (not full text):</w:t>
      </w:r>
      <w:r>
        <w:t xml:space="preserve"> Direct transportation, where freight moves on a single leg from origin to destination, is the most intuitive planning model but is rarely the most cost-effective at scale. Hub-based transportation planning offers an alternative: by routing freight through intermediate consolidation points, shippers can exploit economies of scale on high-volume trunk lanes, reduce vehicle underutilization on low-density last-mile segments, and enable intermodal mode changes that would be impossible under direct-only planning. This paper examines hub-based transportation planning in enterprise transportation management systems, covering the network architecture that enables it, the decision logic by which the transportation proposal algorithm evaluates hub versus direct routing, the master data configuration that makes hub planning operational, the multi-stage planning sequence that coordinates inbound and outbound legs, and the cost-benefit framework that governs when hub routing delivers genuine value. We draw on logistics network design literature and enterprise systems implementation experience to argue that hub planning is not simply a routing variant but a distinct planning paradigm with its own configuration requirements, tradeoff structure, and governance implications. Poorly configured hub networks yield results worse than direct planning; well-configured ones systematically outperform d</w:t>
      </w:r>
    </w:p>
    <w:p>
      <w:pPr/>
      <w:r>
        <w:rPr>
          <w:b/>
        </w:rPr>
        <w:t>POSSIBLE 2026:</w:t>
      </w:r>
      <w:r>
        <w:t xml:space="preserve"> European forest carbon and biodiversity policies have a limited win-win potential. — https://doi.org/10.48620/94352</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Climate change mitigation and biodiversity conservation are key forest functions, but how to pursue them jointly in timber-managed forests is still unclear. We use a Europe-wide dataset of forest multi-taxon diversity and stand structure to (i) evaluate the importance of aboveground carbon stocks in determining species richness of six taxonomic groups; (ii) assess relationships between species richness and carbon stocks; (iii) discuss the potential to jointly enhance carbon and biodiversity and policy implications. Carbon-diversity relationships are positive for several groups, but mostly when deadwood pools are considered. Forest policies should consider the complex relationship between different carbon pools and taxonomic groups. Environmental policies emphasizing carbon sequestration in aboveground living biomass may conflict with biodiversity conservation by promoting homogeneous, fast-growing forests that fail to support species diversity of multiple groups. Sustainable forest management should acknowledge that deadwood carbon instead may translate into positive outcomes for both carbon storage and biodiversity conservation.</w:t>
      </w:r>
    </w:p>
    <w:p>
      <w:pPr/>
      <w:r>
        <w:rPr>
          <w:b/>
        </w:rPr>
        <w:t>POSSIBLE 2026:</w:t>
      </w:r>
      <w:r>
        <w:t xml:space="preserve"> Couple Mobility and Employment Patterns. A Gender Perspective in Six European Countries — https://doi.org/10.1111/jomf.70063</w:t>
      </w:r>
    </w:p>
    <w:p>
      <w:pPr/>
      <w:r>
        <w:rPr>
          <w:b/>
        </w:rPr>
        <w:t>Shared claim-specific concepts:</w:t>
      </w:r>
      <w:r>
        <w:t xml:space="preserve"> six, different, level; EU scope visible. This is a provisional connection, not an outcome finding.</w:t>
      </w:r>
    </w:p>
    <w:p>
      <w:pPr>
        <w:pStyle w:val="SourceNote"/>
      </w:pPr>
      <w:r>
        <w:rPr>
          <w:b/>
        </w:rPr>
        <w:t>Available abstract (not full text):</w:t>
      </w:r>
      <w:r>
        <w:t xml:space="preserve"> ABSTRACT Objective This study investigates how different couple‐based geographical mobility strategies affect employment probabilities for men and women in six European countries from a gender perspective. Background Although geographical mobility is often linked to improved labor market outcomes, women tend to face social and economic disadvantages compared to men. This discrepancy is frequently attributed to family migration dynamics, yet the specific effects of distinct couple mobility patterns remain underexplored. Method Using retrospective life‐history data from the SHARELIFE survey (Waves 3 and 7), this study analyzes the probability of employment among 24,780 individuals aged 50+ across Sweden, Poland, Germany, France, Italy, and Spain. Linear probability panel models with fixed effects are employed to examine changes in employment before and after relocation across various couple mobility configurations, stratified by education level. Results Men consistently gain higher employment probabilities due to geographical mobility regardless of strategy. In contrast, women's employment probabilities show more diverse patterns: single movers and those with higher education tend to experience higher chances of employment, whereas those with medium or low education, particularly when following a partner's move, are more likely to face reduced employment opportunities. These patt</w:t>
      </w:r>
    </w:p>
    <w:p>
      <w:pPr/>
      <w:r>
        <w:rPr>
          <w:b/>
        </w:rPr>
        <w:t>POSSIBLE 2026:</w:t>
      </w:r>
      <w:r>
        <w:t xml:space="preserve"> Evaluating alternative trade network configurations under geopolitical risk: a multi-scale systems approach — https://doi.org/10.3389/fpos.2026.1973066</w:t>
      </w:r>
    </w:p>
    <w:p>
      <w:pPr/>
      <w:r>
        <w:rPr>
          <w:b/>
        </w:rPr>
        <w:t>Shared claim-specific concepts:</w:t>
      </w:r>
      <w:r>
        <w:t xml:space="preserve"> different, potential, network, configuration, level, infrastructure; EU scope visible. This is a provisional connection, not an outcome finding.</w:t>
      </w:r>
    </w:p>
    <w:p>
      <w:pPr>
        <w:pStyle w:val="SourceNote"/>
      </w:pPr>
      <w:r>
        <w:rPr>
          <w:b/>
        </w:rPr>
        <w:t>Available abstract (not full text):</w:t>
      </w:r>
      <w:r>
        <w:t xml:space="preserve"> Rising geopolitical risks and supply-chain disruptions have increased interest in transport-network diversification and alternative connectivity systems. This article presents a scenario-based comparison between a traditional maritime chokepoint configuration centered on the Strait of Hormuz and a prospective diversified multimodal corridor connecting the Middle East and Europe. The study is grounded in an integrated theoretical framework that combines Geopolitical Risk Theory with a systems-based approach, operationalized through a multi-scale analytical framework (macro–meso–micro). At the macro level, the analysis captures global trade structures and geopolitical risk dynamics shaping route selection. At the meso level, it examines corridor configurations, infrastructure networks, and regional connectivity patterns. At the micro level, it focuses on operational performance, including flow efficiency, disruption response, and system adaptability. This multi-level perspective allows transport networks to be analyzed as complex systems shaped by both structural and geopolitical dynamics. Methodologically, the research adopts a mixed-methods design, integrating qualitative geopolitical analysis with a quantitative, scenario-based assessment of trade flows, assumed capacity conditions, and disruption scenarios. In addition, the study incorporates a technical approach through the </w:t>
      </w:r>
    </w:p>
    <w:p>
      <w:pPr/>
      <w:r>
        <w:rPr>
          <w:b/>
        </w:rPr>
        <w:t>POSSIBLE 2026:</w:t>
      </w:r>
      <w:r>
        <w:t xml:space="preserve"> The interplay of landscape connectivity, composition and configuration in alien plant invasions across an ecological network — https://doi.org/10.1007/s10980-026-02461-5</w:t>
      </w:r>
    </w:p>
    <w:p>
      <w:pPr/>
      <w:r>
        <w:rPr>
          <w:b/>
        </w:rPr>
        <w:t>Shared claim-specific concepts:</w:t>
      </w:r>
      <w:r>
        <w:t xml:space="preserve"> network, configuration, role; EU scope not established. This is a provisional connection, not an outcome finding.</w:t>
      </w:r>
    </w:p>
    <w:p>
      <w:pPr>
        <w:pStyle w:val="SourceNote"/>
      </w:pPr>
      <w:r>
        <w:rPr>
          <w:b/>
        </w:rPr>
        <w:t>Available abstract (not full text):</w:t>
      </w:r>
      <w:r>
        <w:t xml:space="preserve"> Biological invasions are deemed to be the second most important global driver of biodiversity loss showing strong interactions with the aftermaths of habitat destruction and landscape fragmentation. The role of landscape structure in biological invasions is widely considered while its interplay with landscape connectivity is less understood. However, ecological connectivity can be equally crucial for both native and alien species, constituting the backbone of ecological network initiatives. We parsed the relationships between α and β diversity of alien and native plants, landscape structure and connectivity in the habitats composing the nodes of an EN developed in agricultural landscapes. We found contrasting effects of connectivity and landscape structure for native and alien communities. In particular, we observed a positive relationship between high connectivity and native plant diversity and a more evident influence of landscape structure in shaping alien communities. These results were often habitat-depending, showing stronger influence for woods, where alien α diversity increased with fragmentation while native richness declined. Moreover, native species diversity was more tightly linked to ecological connectivity, while alien species were mainly associated with landscape configuration. Our findings suggest that landscape planning aimed at enhancing landscape connectivity</w:t>
      </w:r>
    </w:p>
    <w:p>
      <w:pPr/>
      <w:r>
        <w:rPr>
          <w:b/>
        </w:rPr>
        <w:t>POSSIBLE 2025:</w:t>
      </w:r>
      <w:r>
        <w:t xml:space="preserve"> Exploring Different Configurations of Health Determinants in European Countries — https://doi.org/10.1002/wmh3.70011</w:t>
      </w:r>
    </w:p>
    <w:p>
      <w:pPr/>
      <w:r>
        <w:rPr>
          <w:b/>
        </w:rPr>
        <w:t>Shared claim-specific concepts:</w:t>
      </w:r>
      <w:r>
        <w:t xml:space="preserve"> six, different, potential, level; EU scope visible. This is a provisional connection, not an outcome finding.</w:t>
      </w:r>
    </w:p>
    <w:p>
      <w:pPr>
        <w:pStyle w:val="SourceNote"/>
      </w:pPr>
      <w:r>
        <w:rPr>
          <w:b/>
        </w:rPr>
        <w:t>Available abstract (not full text):</w:t>
      </w:r>
      <w:r>
        <w:t xml:space="preserve"> ABSTRACT The macro‐level determinants of health are well documented in the literature. However, the causal interrelations among these health determinants are less comprehensively understood. This study examines the potential causal relationships between health determinants and population health, measured using the Disability Adjusted Life Years (DALY) indicator. Rather than focusing on isolated causal links, this study seeks to identify causal configurations of health determinants contributing to high and low DALY levels. To this end, a fuzzy‐set qualitative comparative analysis (fsQCA) is conducted, allowing for the identification of complex causal patterns across a range of causal conditions for 25 European countries over the period 2000–2019. The findings reveal three configurations associated with high DALY levels and six configurations linked to low DALY values. Low Public health expenditures, GDP per capita, and financial development are critical factors shared by all the configurations leading to a high DALY. Other core conditions for this outcome are low private health expenditures and public debt to GDP ratio (Configurations 1 and 3) and low urbanization (Configurations 1 and 2). For low DALY, high public health expenditures (Configurations 2, 4, 5, and 6), high GDP per capita (Configurations 3, 4, 5, and 6), high financial development (Configurations 1, 2, 3, and 5), </w:t>
      </w:r>
    </w:p>
    <w:p>
      <w:pPr/>
      <w:r>
        <w:rPr>
          <w:b/>
        </w:rPr>
        <w:t>POSSIBLE 2025:</w:t>
      </w:r>
      <w:r>
        <w:t xml:space="preserve"> EuPPollNet : A European Database of Plant‐Pollinator Networks — https://doi.org/10.1111/geb.70000</w:t>
      </w:r>
    </w:p>
    <w:p>
      <w:pPr/>
      <w:r>
        <w:rPr>
          <w:b/>
        </w:rPr>
        <w:t>Shared claim-specific concepts:</w:t>
      </w:r>
      <w:r>
        <w:t xml:space="preserve"> different, level, role;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pStyle w:val="Heading2"/>
      </w:pPr>
      <w:r>
        <w:t>645. The future of polarisation in Europe: relative cosmopolitanism and democracy</w:t>
      </w:r>
    </w:p>
    <w:p>
      <w:pPr>
        <w:pStyle w:val="SourceNote"/>
      </w:pPr>
      <w:r>
        <w:rPr>
          <w:b/>
        </w:rPr>
        <w:t>Original source (2021):</w:t>
      </w:r>
      <w:r>
        <w:t xml:space="preserve"> https://doi.org/10.1186/s40309-021-00183-2</w:t>
      </w:r>
    </w:p>
    <w:p>
      <w:pPr/>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POSSIBLE 2026:</w:t>
      </w:r>
      <w:r>
        <w:t xml:space="preserve"> Martyrdom and Patience of Saint Eustathius of Mtskheta / Translation from Old Georgian, Introductory Article and Commentaries by N. Nazarov — https://doi.org/10.15407/orientw2026.03.109</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In the publication, a Ukrainian translation of one of the key texts of Old Georgian literature, The Martyrdom and Patience of St. Eustathius of Mtskheta, is presented. It was composed at the turn of the 6th and 7th centuries CE. Despite its relatively small size – approximately fifteen pages – the text is extremely rich in historical, cultural, and religious details and is highly original in terms of its literary form. The narrative concerns a craftsman (a shoemaker), a Persian by origin, who was born into the family of a Zoroastrian priest (a magus). In the thirtieth year of the reign of the Persian king Khosrow I of the Sasanian dynasty (reigned 531–579 CE), he came to Mtskheta and converted to Christianity. However, still being in his native city of Ganzak in north-western Iran he felt interest in Christianity. His apostasy from his fathers’ religion provoked outrage among the Persian colonists, who lodged complaints against him with the Sasanian administration. After interrogations, Eustathius was executed. In the course of interrogations, however, he recounted the story of his conversion, and another narrative is inserted into the story – a catechetical account of the entirety of Holy Scripture, put into the archdeacon’s mouth. Such a framed narrative form is not characteristic of other texts of the same period, whether Old Georgian or the Syriac or Byzantine hagiographies</w:t>
      </w:r>
    </w:p>
    <w:p>
      <w:pPr/>
      <w:r>
        <w:rPr>
          <w:b/>
        </w:rPr>
        <w:t>POSSIBLE 2026:</w:t>
      </w:r>
      <w:r>
        <w:t xml:space="preserve"> Large Interstellar Polarisation Survey — https://doi.org/10.1051/0004-6361/202555848</w:t>
      </w:r>
    </w:p>
    <w:p>
      <w:pPr/>
      <w:r>
        <w:rPr>
          <w:b/>
        </w:rPr>
        <w:t>Shared claim-specific concepts:</w:t>
      </w:r>
      <w:r>
        <w:t xml:space="preserve"> polarisation, two, polarised; EU scope not established. This is a provisional connection, not an outcome finding.</w:t>
      </w:r>
    </w:p>
    <w:p>
      <w:pPr>
        <w:pStyle w:val="SourceNote"/>
      </w:pPr>
      <w:r>
        <w:rPr>
          <w:b/>
        </w:rPr>
        <w:t>Available abstract (not full text):</w:t>
      </w:r>
      <w:r>
        <w:t xml:space="preserve"> Our understanding of dust in the diffuse interstellar medium remains incomplete with regard to the structure, composition, size distribution, and alignment properties of its grains. Joint observations of reddening, starlight polarisation spectra, and polarised dust emission for individual sightlines provide essential constraints on such properties. We studied a far-UV-selected sample of 96 reddening curves, for which optical linear polarisation spectra were obtained with FORS at the VLT as part of the Large Interstellar Polarisation Survey. Starlight polarisation spectra for 60 stars are presented in this work. These data are combined with Gaia distance estimates and Planck thermal dust emission. A three-component dust model is made publicly available. It consists of nanoparticles, amorphous grains, and micrometre-sized dust agglomerates, with varying axial ratios, porosities, sizes, element abundances, and alignment efficiencies that match observations. The diversity of reddening and polarisation spectra is well reproduced by prolate grains with typical axial ratios of two, a porosity of 10%, and high alignment efficiencies. Such efficiencies can be achieved with radiative torque alignment theory but not with imperfect Davis-Greenstein alignment, except when adjusting the magnetic-field orientation to maximise the polarisation. Micrometre-sized dust contributes wavelength-inde</w:t>
      </w:r>
    </w:p>
    <w:p>
      <w:pPr/>
      <w:r>
        <w:rPr>
          <w:b/>
        </w:rPr>
        <w:t>POSSIBLE 2026:</w:t>
      </w:r>
      <w:r>
        <w:t xml:space="preserve"> Introductory Thoughts About the Universal Protection of Human Rights — https://doi.org/10.71009/2026.pknb.uphr_0</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The introductory article gives a short overview of the historical evolution of the international acceptance of human rights. Signing first treaties about freedom of religion, states progressively made commitments on minority protection, citizenship issues, humanitarian law, labour law and following the trauma of World War Two, they also accepted that each human possesses inalienable rights. From this perspective, one of the greatest achievements of the 20th century international law-making is the recognition of human rights as well as ensuring their appropriate procedural guarantees. The article highlights the main fruits of the universal standard setting, the different treaty based and charter-based monitoring bodies and their activities.</w:t>
      </w:r>
    </w:p>
    <w:p>
      <w:pPr/>
      <w:r>
        <w:rPr>
          <w:b/>
        </w:rPr>
        <w:t>POSSIBLE 2026:</w:t>
      </w:r>
      <w:r>
        <w:t xml:space="preserve"> Supernova interactions with aspherical circumstellar material I: calculations of light curves, AB magnitudes, spectra, and polarisation — https://doi.org/10.48550/arxiv.2601.15428</w:t>
      </w:r>
    </w:p>
    <w:p>
      <w:pPr/>
      <w:r>
        <w:rPr>
          <w:b/>
        </w:rPr>
        <w:t>Shared claim-specific concepts:</w:t>
      </w:r>
      <w:r>
        <w:t xml:space="preserve"> after, polarisation, two; EU scope not established. This is a provisional connection, not an outcome finding.</w:t>
      </w:r>
    </w:p>
    <w:p>
      <w:pPr>
        <w:pStyle w:val="SourceNote"/>
      </w:pPr>
      <w:r>
        <w:rPr>
          <w:b/>
        </w:rPr>
        <w:t>Available abstract (not full text):</w:t>
      </w:r>
      <w:r>
        <w:t xml:space="preserve"> We present an upgraded detailed numerical calculations of supernova (SN) interactions with significantly aspherical circumstellar matter (CSM), primarily formed as a disc or bipolar lobes. The circumstellar disc can arise as a result of, for example, mass transfer in a binary, while bipolar lobes can be the result of a violent pre-explosive ejection of matter, similar to the iconic cases of luminous blue variable stars (LBVs). We numerically simulate the radiation-hydrodynamic (RHD) behaviour of interaction processes using a 2D cylindrical version of the RHD code CASTRO. We then calculate light curves, spectral patterns, and polarisation profiles, all up to a relatively long time of two years after an SN shock breakout and from different directions, using the multidimensional Monte Carlo radiation transfer (MC-RT) codes SEDONA and SIROCCO. We calculated a total of five models for the two aforementioned configurations of the surrounding CSM, for stratified density levels, comparing the simulated hydrodynamic behaviour and differences in their observable properties. RHD models exhibit similar behaviour to previous adiabatic models, but with a significantly slower expansion velocity. The calculated light curves show a relatively smooth evolution in SN-disc interaction, and declines and brightening in SN-lobes interaction. Comparing models with real events with a presumed similar p</w:t>
      </w:r>
    </w:p>
    <w:p>
      <w:pPr/>
      <w:r>
        <w:rPr>
          <w:b/>
        </w:rPr>
        <w:t>POSSIBLE 2026:</w:t>
      </w:r>
      <w:r>
        <w:t xml:space="preserve"> Architecture in the context of socio-cultural polarisation: The case of Lviv (1991-2025) — https://doi.org/10.56318/as/1.2026.09</w:t>
      </w:r>
    </w:p>
    <w:p>
      <w:pPr/>
      <w:r>
        <w:rPr>
          <w:b/>
        </w:rPr>
        <w:t>Shared claim-specific concepts:</w:t>
      </w:r>
      <w:r>
        <w:t xml:space="preserve"> article, polarisation, two, developed; EU scope visible. This is a provisional connection, not an outcome finding.</w:t>
      </w:r>
    </w:p>
    <w:p>
      <w:pPr>
        <w:pStyle w:val="SourceNote"/>
      </w:pPr>
      <w:r>
        <w:rPr>
          <w:b/>
        </w:rPr>
        <w:t>Available abstract (not full text):</w:t>
      </w:r>
      <w:r>
        <w:t xml:space="preserve"> The relevance of the research lay in examining the contemporary architectural governance of Lviv, which required a developed media component and an established dialogue between groups with opposing cultural and aesthetic views. The aim of the study was to determine the dependence of urban architecture stylistics on the moderation of public opinion and the prevention of antagonistic and hostile narratives in professional and public environments. The article examined the relationship between sociocultural polarisation and stylistic evolution of urban architecture in Lviv during 1991-2025. The example of Lviv showed that the lack of effective mediation between traditionalist and liberal positions in architectural discourse led to conflicts of values and a decline in the quality of design decisions. Based on an analysis of media and professional materials, two main phases of architectural development have been identified: postmodernism (1991-2010), characterised by a rejection of Soviet modernism and a romanticisation of historical forms, and neomodernism (2011-2025), in which modernism was reinterpreted as a symbol of European identity. Sharp criticism of neomodernist projects by the public had become a social phenomenon that had influenced architectural decisions. An example of this was the conflict surrounding the reconstruction of St. George’s Square, which ended with a comprom</w:t>
      </w:r>
    </w:p>
    <w:p>
      <w:pPr/>
      <w:r>
        <w:rPr>
          <w:b/>
        </w:rPr>
        <w:t>POSSIBLE 2026:</w:t>
      </w:r>
      <w:r>
        <w:t xml:space="preserve"> Affective polarisation in the 2023 New Zealand general election — https://doi.org/10.1080/00323187.2026.2718048</w:t>
      </w:r>
    </w:p>
    <w:p>
      <w:pPr/>
      <w:r>
        <w:rPr>
          <w:b/>
        </w:rPr>
        <w:t>Shared claim-specific concepts:</w:t>
      </w:r>
      <w:r>
        <w:t xml:space="preserve"> polarisation, polarised, consequences, democratic; EU scope not established. This is a provisional connection, not an outcome finding.</w:t>
      </w:r>
    </w:p>
    <w:p>
      <w:pPr>
        <w:pStyle w:val="SourceNote"/>
      </w:pPr>
      <w:r>
        <w:rPr>
          <w:b/>
        </w:rPr>
        <w:t>Available abstract (not full text):</w:t>
      </w:r>
      <w:r>
        <w:t xml:space="preserve"> Affective polarisation has attracted recent scholarly attention to understand trends in the difference between people’s valence towards the party they support and towards other parties. At its extreme, these trends could lead to significant political consequences including declining support for democratic norms and an increased willingness for the state to persecute political opponents. Much scholarship has focused on the United States, but recent comparative studies suggest that other countries have not reported similar increases in affective polarisation. In this paper, we examine the role of affective polarisation in the 2023 New Zealand General Election using data from the New Zealand Election Study. While controlling for alternative explanations, we find that affective polarisation has declined in Aotearoa since 2014. We also find that political interest, gender, education, and political ideology influenced the extent of affective polarisation in 2023. Finally, we report that levels of affective polarisation were higher among voters for left-leaning parties, and Te Pāti Māori especially in the 2023 election. Collectively, our results indicate that there was less affective polarisation in 2023 than in previous elections, suggesting the contemporary political environment in Aotearoa remains less polarised than in some other democracies.</w:t>
      </w:r>
    </w:p>
    <w:p>
      <w:pPr/>
      <w:r>
        <w:rPr>
          <w:b/>
        </w:rPr>
        <w:t>POSSIBLE 2025:</w:t>
      </w:r>
      <w:r>
        <w:t xml:space="preserve"> Polarisation beyond the Pandemic? — https://doi.org/10.17570/stj.2024.v10n1.18</w:t>
      </w:r>
    </w:p>
    <w:p>
      <w:pPr/>
      <w:r>
        <w:rPr>
          <w:b/>
        </w:rPr>
        <w:t>Shared claim-specific concepts:</w:t>
      </w:r>
      <w:r>
        <w:t xml:space="preserve"> article, after, polarisation; EU scope visible. This is a provisional connection, not an outcome finding.</w:t>
      </w:r>
    </w:p>
    <w:p>
      <w:pPr>
        <w:pStyle w:val="SourceNote"/>
      </w:pPr>
      <w:r>
        <w:rPr>
          <w:b/>
        </w:rPr>
        <w:t>Available abstract (not full text):</w:t>
      </w:r>
      <w:r>
        <w:t xml:space="preserve"> After some initial background information on the relation of church and state in the German context, the article examines reactions by churches and other Christian groups in Germany to the Covid-19 containment measures. While representatives of mainline churches focussed on consolation in the crisis and support state measures, a minority of radical voices acted in a polarising way, offering interpretations in terms of spiritual warfare, betrayal of the gospel, and conspiracy theories, and regarding themselves as victims of health policy. It is argued that the Christian tradition is in itself ambiguous and can be used in destructive ways, and that clarification of concepts is a task of public theology. The paper concludes by pointing out opportunities for the contribution of religions to a critical assessment of the handling of this crisis in the state and society.</w:t>
      </w:r>
    </w:p>
    <w:p>
      <w:pPr/>
      <w:r>
        <w:rPr>
          <w:b/>
        </w:rPr>
        <w:t>POSSIBLE 2025:</w:t>
      </w:r>
      <w:r>
        <w:t xml:space="preserve"> Navigating Polarisation Malta’s two-party dynamics in the 2024 EU elections — https://doi.org/10.3917/e.poeu.086.0184</w:t>
      </w:r>
    </w:p>
    <w:p>
      <w:pPr/>
      <w:r>
        <w:rPr>
          <w:b/>
        </w:rPr>
        <w:t>Shared claim-specific concepts:</w:t>
      </w:r>
      <w:r>
        <w:t xml:space="preserve"> after, polarisation, two; EU scope visible. This is a provisional connection, not an outcome finding.</w:t>
      </w:r>
    </w:p>
    <w:p>
      <w:pPr>
        <w:pStyle w:val="SourceNote"/>
      </w:pPr>
      <w:r>
        <w:rPr>
          <w:b/>
        </w:rPr>
        <w:t>Available abstract (not full text):</w:t>
      </w:r>
      <w:r>
        <w:t xml:space="preserve"> On 8 June 2024, Maltese voters joined the rest of the EU member states in selecting their sixth representatives for the European Parliament.With a population of around 563,000 over an area of 316 km² (122 sq.mi), Malta is the smallest EU member state.The governing Nationalist Party applied to join the EU in 1990; however, it took until 2004 for Malta to become a member alongside Cyprus and eight member states from Central and Eastern Europe.Since joining the EU, the role of the country's MEPs has grown more important, with increased media and political attention on their work.This was particularly true for Roberta Metsola, who was elected President of the European Parliament in 2022.Following the assassination of Daphne Caruana Galizia in 2017, debates emerged within the European Parliament regarding the rule of law, democracy, and freedom of the press in Malta 1 .These issues sparked controversies over how MEPs should approach these debates, particularly concerning the national interest.The national interest would also become a point of contention in Malta's electoral campaign for the 2024 EU Elections. Malta's political system: a two-party system with single transferable voteMalta's Political System is based on a two-party system with the governing Labour Party (PL), on the centre-left, and the main opposition party, the Nationalist Party (PN), on the centre-right.The 2024 el</w:t>
      </w:r>
    </w:p>
    <w:p>
      <w:pPr/>
      <w:r>
        <w:rPr>
          <w:b/>
        </w:rPr>
        <w:t>POSSIBLE 2025:</w:t>
      </w:r>
      <w:r>
        <w:t xml:space="preserve"> Does political polarisation undermine democratic accountability? Evidence from 28 European democracies — https://doi.org/10.1080/01402382.2025.2543600</w:t>
      </w:r>
    </w:p>
    <w:p>
      <w:pPr/>
      <w:r>
        <w:rPr>
          <w:b/>
        </w:rPr>
        <w:t>Shared claim-specific concepts:</w:t>
      </w:r>
      <w:r>
        <w:t xml:space="preserve"> polarisation, two, polarised, democratic; EU scope visible. This is a provisional connection, not an outcome finding.</w:t>
      </w:r>
    </w:p>
    <w:p>
      <w:pPr>
        <w:pStyle w:val="SourceNote"/>
      </w:pPr>
      <w:r>
        <w:rPr>
          <w:b/>
        </w:rPr>
        <w:t>Available abstract (not full text):</w:t>
      </w:r>
      <w:r>
        <w:t xml:space="preserve"> Political polarisation has drawn significant attention recently due to its potential adverse impacts. Evidence suggests that various forms of socio-political polarisation are associated with weaker democratic and economic performance. This research investigates the relationship between two types of political polarisation and macro-level accountability – that is, citizens’ ability and opportunity to select, monitor, and control their governments. Using data from the European Social Survey, World Bank, and V-Dem databases, the study analyses 202 observations from 28 European countries over twenty years. The findings indicate a negative correlation between polarisation and democratic accountability. Specifically, countries with higher levels of polarisation exhibit weaker accountability, and as a country becomes more polarised, its democratic accountability further declines. The relationship is robust across alternative operationalisations of polarisation and different model specifications. This research underscores the detrimental effects of polarisation on democratic functioning and calls for more in-depth studies to better understand this relationship.</w:t>
      </w:r>
    </w:p>
    <w:p>
      <w:pPr/>
      <w:r>
        <w:rPr>
          <w:b/>
        </w:rPr>
        <w:t>POSSIBLE 2025:</w:t>
      </w:r>
      <w:r>
        <w:t xml:space="preserve"> Polarisation: the new 'superword'. Meanings and current uses in English and Spanish — https://doi.org/10.18573/jcads.137</w:t>
      </w:r>
    </w:p>
    <w:p>
      <w:pPr/>
      <w:r>
        <w:rPr>
          <w:b/>
        </w:rPr>
        <w:t>Shared claim-specific concepts:</w:t>
      </w:r>
      <w:r>
        <w:t xml:space="preserve"> polarisation, two, consensus; EU scope visible. This is a provisional connection, not an outcome finding.</w:t>
      </w:r>
    </w:p>
    <w:p>
      <w:pPr>
        <w:pStyle w:val="SourceNote"/>
      </w:pPr>
      <w:r>
        <w:rPr>
          <w:b/>
        </w:rPr>
        <w:t>Available abstract (not full text):</w:t>
      </w:r>
      <w:r>
        <w:t xml:space="preserve"> A growing concern in most European countries, polarisation has spread far beyond the political arena and is now present in public opinion in a wide variety of social and cultural subjects, from economics to education, health, environment or religion. Rather than an enriching plurality of views, polarisation is mostly perceived as a negative trend that hinders consensus and favours conflict instead, threatening welfare, peace and even democracy. As a result, the word polarisation has become a frequent term in the press. This paper examines the way in which the word polarisation is used in a corpus of news items collected from four widely read mainstream newspapers, two Spanish and two British, all of them containing the word polarización/polarisation and published in 2022. A combination of Corpus Linguistics methods and a Critical Socio-Cognitive approach to Discourse Analysis has been followed in order to analyse the most common contexts and patterns of usage of the term in the press in these two countries, its negative semantic prosody and collocational behaviour, as well as the underlying schematic conceptualization of the phenomenon as realized in metaphors and image schemas. Even though minor differences have been found, results show significant similarities in Spanish and English, which manifest the negative evaluation associated to the term construed by its collocates, by</w:t>
      </w:r>
    </w:p>
    <w:p>
      <w:pPr/>
      <w:r>
        <w:rPr>
          <w:b/>
        </w:rPr>
        <w:t>POSSIBLE 2025:</w:t>
      </w:r>
      <w:r>
        <w:t xml:space="preserve"> Introductory words in the Russian language: typology and their classification — https://doi.org/10.37547/ijll/volume05issue01-06</w:t>
      </w:r>
    </w:p>
    <w:p>
      <w:pPr/>
      <w:r>
        <w:rPr>
          <w:b/>
        </w:rPr>
        <w:t>Shared claim-specific concepts:</w:t>
      </w:r>
      <w:r>
        <w:t xml:space="preserve"> article, introductory, definition; EU scope not established. This is a provisional connection, not an outcome finding.</w:t>
      </w:r>
    </w:p>
    <w:p>
      <w:pPr>
        <w:pStyle w:val="SourceNote"/>
      </w:pPr>
      <w:r>
        <w:rPr>
          <w:b/>
        </w:rPr>
        <w:t>Available abstract (not full text):</w:t>
      </w:r>
      <w:r>
        <w:t xml:space="preserve"> This article examines lexical and grammatical units - introductory and modal words and provides their classification. The study presents a linguistic picture that reflects the degree of study of the use of introductory words and constructions. Based on the works of leading grammarians such as Vinogradov, Shakhmatov, Peshkovsky, Paducheva, and others, the definition of introductory and modal words is formulated and their main categories are presented. The functions of introductory words in a fiction text are also studied.</w:t>
      </w:r>
    </w:p>
    <w:p>
      <w:pPr/>
      <w:r>
        <w:rPr>
          <w:b/>
        </w:rPr>
        <w:t>POSSIBLE 2025:</w:t>
      </w:r>
      <w:r>
        <w:t xml:space="preserve"> Alexander Larionov. L.N. Tolstoy and China (1945) Introductory article, text preparation, and notes by D.V. Zabotin — https://doi.org/10.22455/2541-8297-2025-37-362-397</w:t>
      </w:r>
    </w:p>
    <w:p>
      <w:pPr/>
      <w:r>
        <w:rPr>
          <w:b/>
        </w:rPr>
        <w:t>Shared claim-specific concepts:</w:t>
      </w:r>
      <w:r>
        <w:t xml:space="preserve"> article, introductory, serious; EU scope not established. This is a provisional connection, not an outcome finding.</w:t>
      </w:r>
    </w:p>
    <w:p>
      <w:pPr>
        <w:pStyle w:val="SourceNote"/>
      </w:pPr>
      <w:r>
        <w:rPr>
          <w:b/>
        </w:rPr>
        <w:t>Available abstract (not full text):</w:t>
      </w:r>
      <w:r>
        <w:t xml:space="preserve"> Alexander Larionov’s Leo Tolstoy and China is a review article that represents one of the first serious attempts to understand “the problem of a detailed study of relations between China and Tolstoy and the interaction between Tolstoy’s work and Chinese culture” in post-war literary criticism. (Its autograph and incomplete typescript were found in the collection of the Press Department of the All-Union Society for Cultural Relations with Foreign Countries, located in the State Archive of the Russian Federation.) Compared to his predecessors, such as Paul Biryukov, a Russian publicist (Tolstoi und der Orient, 1925), and Romain Rolland, a French writer (La Réponse de l’Asie à Tolstoï, 1928), Alexander Larionov broke new ground by selecting and systematically presenting a large amount of “factual material” (in his own words, “more than one copyright sheet”). In fact, for the first time, he established an ideological sequence that would later be reached by professional scholars, Derk Bodde, an American historian and sinologist (Tolstoy and China, 1950), and Alexander Shifman, a Soviet literary critic (Leo Tolstoy and the Orient, 1960 and 1971). The main research plot is structured as follows: “Tolstoy’s Writings and Publications on China” (the Chinese Wisdom, the Water Flow, the Coffee-House of Surat, the Circle of Reading, the Epistle to the Chinese, etc.); “Tolstoy’s Readings on </w:t>
      </w:r>
    </w:p>
    <w:p>
      <w:pPr>
        <w:pStyle w:val="Heading2"/>
      </w:pPr>
      <w:r>
        <w:t>646. The future of the drug phenomenon and drug monitoring in Europe until 2030</w:t>
      </w:r>
    </w:p>
    <w:p>
      <w:pPr>
        <w:pStyle w:val="SourceNote"/>
      </w:pPr>
      <w:r>
        <w:rPr>
          <w:b/>
        </w:rPr>
        <w:t>Original source (2021):</w:t>
      </w:r>
      <w:r>
        <w:t xml:space="preserve"> https://doi.org/10.1093/eurpub/ckab165.648</w:t>
      </w:r>
    </w:p>
    <w:p>
      <w:pPr/>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POSSIBLE 2026:</w:t>
      </w:r>
      <w:r>
        <w:t xml:space="preserve"> Suicidal behaviour and resilience-related factors among adolescents in Poland and war-affected Western Ukraine — https://doi.org/10.1186/s13034-026-01126-0</w:t>
      </w:r>
    </w:p>
    <w:p>
      <w:pPr/>
      <w:r>
        <w:rPr>
          <w:b/>
        </w:rPr>
        <w:t>Shared claim-specific concepts:</w:t>
      </w:r>
      <w:r>
        <w:t xml:space="preserve"> usefulness, increase, health; EU scope visible. This is a provisional connection, not an outcome finding.</w:t>
      </w:r>
    </w:p>
    <w:p>
      <w:pPr>
        <w:pStyle w:val="SourceNote"/>
      </w:pPr>
      <w:r>
        <w:rPr>
          <w:b/>
        </w:rPr>
        <w:t>Available abstract (not full text):</w:t>
      </w:r>
      <w:r>
        <w:t xml:space="preserve"> BACKGROUND: The purpose of the research was to verify compensatory and protective models of resilience [14, 27] , among adolescents from Poland and war-affected Ukraine. Guided by the socio-ecological model of resilience theory, we examined the relationship between several psychosocial risk and protective factors and suicidal behaviour among adolescents. METHOD: Data were collected via online self-report questionnaires in Autumn 2024 from 14 to 15 year olds in Western Ukraine (N = 2179) and Warsaw, the capital of Poland (N = 1154). The response rate achieved was 75% in Lviv, 73% in Drohobych and 70% in Warsaw. Suicidal behaviour was measured by a 3-item Suicidal Thoughts and Behaviours scale adapted from the MINI Kid (Sheehan et al. 2010) (α = 0.87 - 0.90). Four groups of risk factors were examined: 1/ exposure to traumatic experiences, with a 9-item index, and victimization measured by two single questions; 2/ mental health problems (symptoms of depression measured by the shortened 4-item CES-D scale, non-suicidal self-injuries measured by a single question, problems of conduct measured with a 12-item index, problematic internet use measured with the Internet Disorder Scale - Short Form (IDS9-SF); 3/ substance use (alcohol, drug, cigarette and tranquiliser use, all measured with single questions); and 4/ personality characteristics that increase vulnerability (impulsiveness, m</w:t>
      </w:r>
    </w:p>
    <w:p>
      <w:pPr/>
      <w:r>
        <w:rPr>
          <w:b/>
        </w:rPr>
        <w:t>POSSIBLE 2026:</w:t>
      </w:r>
      <w:r>
        <w:t xml:space="preserve"> Informing illicit drug policy through economic evidence: using safer drug consumption facilities in Scotland as an example — https://doi.org/10.5525/gla.thesis.85843</w:t>
      </w:r>
    </w:p>
    <w:p>
      <w:pPr/>
      <w:r>
        <w:rPr>
          <w:b/>
        </w:rPr>
        <w:t>Shared claim-specific concepts:</w:t>
      </w:r>
      <w:r>
        <w:t xml:space="preserve"> approach, increase, health; EU scope not established. This is a provisional connection, not an outcome finding.</w:t>
      </w:r>
    </w:p>
    <w:p>
      <w:pPr>
        <w:pStyle w:val="SourceNote"/>
      </w:pPr>
      <w:r>
        <w:rPr>
          <w:b/>
        </w:rPr>
        <w:t>Available abstract (not full text):</w:t>
      </w:r>
      <w:r>
        <w:t xml:space="preserve"> Background: Illicit drug use continues to increase and impact individuals’ health worldwide. Critical voices surrounding the performance of enforcement-led policies continue to grow internationally, as they have been shown to be ineffective in reducing drug-related harms and lead to high expenditure to society. Instead, some countries and voices advocate a human right and public health approach to drug policymaking. These policies include decriminalisation of drug users, and services or facilities to support them, such as safe drug consumption facilities (SDCFs). The case of the SDCFs in Scotland presents a timely and highly relevant focus for this PhD work, as its implementation in the UK remains politically contested. Such a facility allows individuals to consume illicit drugs under clinical supervision, representing a public health orientated alternative to punitive, criminalisation-based responses. Incorporating scientific evidence of the services is an essential element of an evidence-based policy, and more frequently, economic evaluation and health technology assessment are being incorporated into the assessment of public health and social policies. This thesis, therefore, explores and examines whether health economics methods can support a rational and sustainable approach to drug policy decision-making in Scotland, using SDCF as an example. Methods: A multi-methods appr</w:t>
      </w:r>
    </w:p>
    <w:p>
      <w:pPr/>
      <w:r>
        <w:rPr>
          <w:b/>
        </w:rPr>
        <w:t>POSSIBLE 2026:</w:t>
      </w:r>
      <w:r>
        <w:t xml:space="preserve"> Artigos de pesquisa original — https://doi.org/10.22533/at.ed.15953226210110</w:t>
      </w:r>
    </w:p>
    <w:p>
      <w:pPr/>
      <w:r>
        <w:rPr>
          <w:b/>
        </w:rPr>
        <w:t>Shared claim-specific concepts:</w:t>
      </w:r>
      <w:r>
        <w:t xml:space="preserve"> approach, transforming, sensitive, challenges, health; EU scope visible. This is a provisional connection, not an outcome finding.</w:t>
      </w:r>
    </w:p>
    <w:p>
      <w:pPr>
        <w:pStyle w:val="SourceNote"/>
      </w:pPr>
      <w:r>
        <w:rPr>
          <w:b/>
        </w:rPr>
        <w:t>Available abstract (not full text):</w:t>
      </w:r>
      <w:r>
        <w:t xml:space="preserve"> Globalization and increasing migratory flows have been transforming Portuguese society, presenting new challenges for public health, particularly in regions with a high concentration of immigrants, such as the Algarve.The municipality of São Brás de Alportel exhibits a significant proportion of foreign residents, highlighting the need for an in-depth characterization of their health status, lifestyle behaviors, and access to healthcare services.This study aimed to characterize the health status, risk behaviors, lifestyle habits, mental health, quality of life, and healthcare accessibility of the immigrant population residing in São Brás de Alportel, Portugal.A descriptive, cross-sectional study with a quantitative approach was conducted, including a sample of 89 immigrants recruited through snowball sampling.Data were collected using a questionnaire based on the SAIMI-2 instrument.Results indicate a predominance of individuals aged 60 years or older, mostly retired and originating from the United Kingdom.The most common health conditions were chronic diseases similar to those found in the Portuguese population, notably arterial hypertension, diabetes mellitus, and dyslipidemia.While participants generally reported good quality of life and positive mental health indicators, some risk behaviors were identified, including high alcohol consumption, smoking, and low vaccination adhe</w:t>
      </w:r>
    </w:p>
    <w:p>
      <w:pPr/>
      <w:r>
        <w:rPr>
          <w:b/>
        </w:rPr>
        <w:t>POSSIBLE 2026:</w:t>
      </w:r>
      <w:r>
        <w:t xml:space="preserve">  — https://doi.org/10.36219/bpi.2026.3</w:t>
      </w:r>
    </w:p>
    <w:p>
      <w:pPr/>
      <w:r>
        <w:rPr>
          <w:b/>
        </w:rPr>
        <w:t>Shared claim-specific concepts:</w:t>
      </w:r>
      <w:r>
        <w:t xml:space="preserve"> approach, monitoring, system; EU scope not established. This is a provisional connection, not an outcome finding.</w:t>
      </w:r>
    </w:p>
    <w:p>
      <w:pPr>
        <w:pStyle w:val="SourceNote"/>
      </w:pPr>
      <w:r>
        <w:rPr>
          <w:b/>
        </w:rPr>
        <w:t>Available abstract (not full text):</w:t>
      </w:r>
      <w:r>
        <w:t xml:space="preserve"> Oxidative stress plays an important role in the pathophysiology of obesity and cardiovascular disease, being involved in endothelial dysfunction, inflammation, lipid peroxidation, and vascular injury.The balance between reactive oxygen species and endogenous antioxidant defense mechanisms may be influenced by several metabolic and cardiovascular risk factors.In obese patients, the assessment of oxidative status may provide relevant information regarding the relationship between increased body weight, antioxidant capacity, and oxidative damage.Superoxide dismutase and glutathione peroxidase represent important enzymatic components of the antioxidant defense system, while malondialdehyde is commonly used as an indicator of lipid peroxidation.The evaluation of these biochemical parameters may contribute to a better understanding of the mechanisms underlying oxidative imbalance in obesity and its association with cardiovascular risk factors such as smoking, dyslipidemia, diabetes mellitus, and arterial hypertension.Monitoring oxidative-stress markers over time may also provide useful information regarding changes in antioxidant defense and lipid peroxidation in relation to clinical and metabolic status.The assessment of oxidative stress may therefore represent a valuable complementary approach in the evaluation of obese patients and in understanding the biological mechanisms associ</w:t>
      </w:r>
    </w:p>
    <w:p>
      <w:pPr/>
      <w:r>
        <w:rPr>
          <w:b/>
        </w:rPr>
        <w:t>POSSIBLE 2026:</w:t>
      </w:r>
      <w:r>
        <w:t xml:space="preserve"> Depression, anxiety, bipolar disorder and stress impact on fitness to drive: findings from a systematic integrative review — https://doi.org/10.1016/j.trip.2026.102200</w:t>
      </w:r>
    </w:p>
    <w:p>
      <w:pPr/>
      <w:r>
        <w:rPr>
          <w:b/>
        </w:rPr>
        <w:t>Shared claim-specific concepts:</w:t>
      </w:r>
      <w:r>
        <w:t xml:space="preserve"> increase, health, drivers; EU scope not established. This is a provisional connection, not an outcome finding.</w:t>
      </w:r>
    </w:p>
    <w:p>
      <w:pPr>
        <w:pStyle w:val="SourceNote"/>
      </w:pPr>
      <w:r>
        <w:rPr>
          <w:b/>
        </w:rPr>
        <w:t>Available abstract (not full text):</w:t>
      </w:r>
      <w:r>
        <w:t xml:space="preserve"> Having anxiety, depression, or bipolar disorder can significantly impact one’s ability to drive. However, the specific effects of these conditions on drivers’ psychophysical capacities and the likelihood of accidents are not always well documented in the scientific literature. The aim of this study is to examine the relationship between mood disorders, specifically depression, anxiety, and bipolar disorder, and driving. A systematic review on this topic was conducted and registered with PROSPERO (CRD420251023655). A systematic search was carried out in 2025 across seven scientific databases following PRISMA guidelines. Two groups of keywords were used, one for psychopathological disorders (in the title) and another for driving-related terms (in title, abstract, and keywords), adapting them to each database’s search syntax. Filters limited results to peer-reviewed reviews published in English between 2015 and 2025. On-road studies indicate that major depression, more than mild symptoms, is associated with impairments in executive functions critical for driving, while ongoing pharmacological treatment can mitigate some negative effects. Simulator studies suggest that drivers with partially remitted depression can perform comparably to healthy drivers, underscoring the importance of maintaining psychosocial functionality. Anxiety undermines self-efficacy and attentional control, p</w:t>
      </w:r>
    </w:p>
    <w:p>
      <w:pPr/>
      <w:r>
        <w:rPr>
          <w:b/>
        </w:rPr>
        <w:t>POSSIBLE 2026:</w:t>
      </w:r>
      <w:r>
        <w:t xml:space="preserve"> INTEGRATION OF PUBLIC SOCIAL REHABILITATION PROGRAMS FOR DRUG ADDICTS INTO THE STATE REGULATION SYSTEM — https://doi.org/10.31499/2618-0715.1(16).2026.355762</w:t>
      </w:r>
    </w:p>
    <w:p>
      <w:pPr/>
      <w:r>
        <w:rPr>
          <w:b/>
        </w:rPr>
        <w:t>Shared claim-specific concepts:</w:t>
      </w:r>
      <w:r>
        <w:t xml:space="preserve"> approach, system, health; EU scope not established. This is a provisional connection, not an outcome finding.</w:t>
      </w:r>
    </w:p>
    <w:p>
      <w:pPr>
        <w:pStyle w:val="SourceNote"/>
      </w:pPr>
      <w:r>
        <w:rPr>
          <w:b/>
        </w:rPr>
        <w:t>Available abstract (not full text):</w:t>
      </w:r>
      <w:r>
        <w:t xml:space="preserve"> This article addresses the critical systemic failure within Ukraine's drug addiction rehabilitation sector, examining the tension between state medical institutions and non-state, often faith-based, residential programs. It identifies a dual crisis: the widely acknowledged ineffectiveness of the state medical model, contrasted with the legal vulnerability and frequent targeting by law enforcement of alternative community centers that have gained significant expert and social trust. The research employs a mixed-method approach, combining documentary analysis of law enforcement practices (2017–2025) with a quantitative expert survey (n=100) among professionals in narcology, public health, and social work. The survey data reveals a near-unanimous expert consensus on the insufficiency of the state system (93%) and a predominant view that law enforcement raids are excessively harsh (87%). Crucially, it identifies a strong expert mandate for systemic reform: a majority supports the integration of alternative models (63%), specific licensing frameworks (62%), and an overwhelming demand for mandatory medical supervision (97%). The analysis frames this conflict through the theoretical lenses of institutional legitimacy and competing paradigms – pitting a bio-psycho-social medical model against a punitive state response. Synthesizing these findings with international standards for treatm</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agency, monitoring, challenges, health, analysed;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Welfare first: transforming harm reduction at UK festivals — https://doi.org/10.1186/s12954-025-01184-1</w:t>
      </w:r>
    </w:p>
    <w:p>
      <w:pPr/>
      <w:r>
        <w:rPr>
          <w:b/>
        </w:rPr>
        <w:t>Shared claim-specific concepts:</w:t>
      </w:r>
      <w:r>
        <w:t xml:space="preserve"> approach, transforming, challenges, health; EU scope not established. This is a provisional connection, not an outcome finding.</w:t>
      </w:r>
    </w:p>
    <w:p>
      <w:pPr>
        <w:pStyle w:val="SourceNote"/>
      </w:pPr>
      <w:r>
        <w:rPr>
          <w:b/>
        </w:rPr>
        <w:t>Available abstract (not full text):</w:t>
      </w:r>
      <w:r>
        <w:t xml:space="preserve"> BACKGROUND: A welfare-first approach to harm reduction at UK festivals is emerging as a critical strategy for enhancing festival safety. In particular, the implementation of anonymous, non-punitive drug-checking services is posited as essential for reducing drug-related harm by enabling informed decision-making. This empirical study examines the limitations of punitive drug policies and the associated risks to public health and explores the potential benefits of decriminalisation in fostering safer festival environments. METHODS: The study employed qualitative methodologies, including semi-structured interviews and questionnaires with festival attendees at three major UK festivals. This empirical data was supplemented by a review of recent studies (Ivers et al. in Ir J Med Sci 191(4):1701-1710, 2022. https://doi.org/10.1007/s11845-021-02765-2 ; Palmer Maynard in Harm Reduc J 19(1):81, 2022. https://doi.org/10.1186/s12954-022-00662-0 ; Cooney and Measham. in Drug Sci Policy Law 9, 2023. https://doi.org/10.1177/20503245231211444 ) and relevant policy documents, in order to evaluate current harm reduction practices and identify key barriers, such as stigma, social control, and criminalisation. RESULTS: Analysis revealed that integrated harm reduction measures, comprising drug-checking services, welfare support, and early intervention initiatives, significantly enhance safety by em</w:t>
      </w:r>
    </w:p>
    <w:p>
      <w:pPr/>
      <w:r>
        <w:rPr>
          <w:b/>
        </w:rPr>
        <w:t>POSSIBLE 2025:</w:t>
      </w:r>
      <w:r>
        <w:t xml:space="preserve"> (I)llicit Chains: Some New Hypotheses Regarding a Changing Global Cocaine Market — https://doi.org/10.31389/jied.274</w:t>
      </w:r>
    </w:p>
    <w:p>
      <w:pPr/>
      <w:r>
        <w:rPr>
          <w:b/>
        </w:rPr>
        <w:t>Shared claim-specific concepts:</w:t>
      </w:r>
      <w:r>
        <w:t xml:space="preserve"> approach, increase; EU scope visible. This is a provisional connection, not an outcome finding.</w:t>
      </w:r>
    </w:p>
    <w:p>
      <w:pPr>
        <w:pStyle w:val="SourceNote"/>
      </w:pPr>
      <w:r>
        <w:rPr>
          <w:b/>
        </w:rPr>
        <w:t>Available abstract (not full text):</w:t>
      </w:r>
      <w:r>
        <w:t xml:space="preserve"> International cocaine trafficking from South America has increased significantly over the past decade. Based on mixed-methods research, we hypothesize that this change has been driven primarily by the globalization of its logistics, which has led to relevant technical and political changes along the value chain. Today’s global criminal logistics connect a wider variety of producers and retailers, ensuring a market without monopoly and monopsony, although very few transnational criminal groups control the center of the value chain. Their cooperation results in a virtuous circle for illicit accumulation, in which the constant improvement in productivity in South America also leads to an increase in consumer demand in Europe and, more recently, in Africa, Asia, and Oceania. We used a mixed-methods approach to relationally analyze coherent changes in the cocaine value chain in Latin American, African, and European countries.</w:t>
      </w:r>
    </w:p>
    <w:p>
      <w:pPr/>
      <w:r>
        <w:rPr>
          <w:b/>
        </w:rPr>
        <w:t>POSSIBLE 2025:</w:t>
      </w:r>
      <w:r>
        <w:t xml:space="preserve"> Using time in prison as an ideal opportunity to treat Hepatitis C - PIONEER Framework Proposal — https://doi.org/10.18176/resp.00109</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PIONEER Framework Proposal — https://openalex.org/W7111667821</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Internet Search for Illicit Drugs in Italy: Infodemiological Analysis of Six Years of Research — https://doi.org/10.1155/ghe3/6351291</w:t>
      </w:r>
    </w:p>
    <w:p>
      <w:pPr/>
      <w:r>
        <w:rPr>
          <w:b/>
        </w:rPr>
        <w:t>Shared claim-specific concepts:</w:t>
      </w:r>
      <w:r>
        <w:t xml:space="preserve"> approach, monitoring, preparedness, health; EU scope visible. This is a provisional connection, not an outcome finding.</w:t>
      </w:r>
    </w:p>
    <w:p>
      <w:pPr>
        <w:pStyle w:val="SourceNote"/>
      </w:pPr>
      <w:r>
        <w:rPr>
          <w:b/>
        </w:rPr>
        <w:t>Available abstract (not full text):</w:t>
      </w:r>
      <w:r>
        <w:t xml:space="preserve"> This study explores the potential of Internet search data from Google Trends and Wikipedia as innovative tools for monitoring public interest and behavior related to illicit drug information. Employing a cross‐sectional study design, this research investigates the correlations between search patterns on these platforms and provides insights into public health monitoring. Our analysis indicates significant correlations between searches for various illicit drugs, with correlation coefficients ranging from 0.71 to 0.83, suggesting that these searches can not only reflect but also potentially predict public interest and shifts in drug use patterns. This approach highlights specific periods and demographics showing increased interest in drugs, thereby allowing for targeted public health interventions. The study found that searches related to drugs like cannabis, cocaine, and opioids are not only frequent but also show a tendency to be conducted in tandem, possibly due to synergistic effects. Moreover, the data underscore the importance of providing timely and accurate information to the public through authoritative online sources. With the vast reach of the Internet, ensuring that institutional websites and social networks offer correct information becomes crucial to prevent the spread of misinformation. This study supports Internet‐based data as a complementary tool to traditional </w:t>
      </w:r>
    </w:p>
    <w:p>
      <w:pPr>
        <w:pStyle w:val="Heading2"/>
      </w:pPr>
      <w:r>
        <w:t>647. The role of district heating systems to provide balancing services in the European Union</w:t>
      </w:r>
    </w:p>
    <w:p>
      <w:pPr>
        <w:pStyle w:val="SourceNote"/>
      </w:pPr>
      <w:r>
        <w:rPr>
          <w:b/>
        </w:rPr>
        <w:t>Original source (2021):</w:t>
      </w:r>
      <w:r>
        <w:t xml:space="preserve"> https://doi.org/10.1016/j.rser.2021.111853</w:t>
      </w:r>
    </w:p>
    <w:p>
      <w:pPr/>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POSSIBLE 2026:</w:t>
      </w:r>
      <w:r>
        <w:t xml:space="preserve"> Smart Energy and Energy Communities: A Review of Innovation Proposals for Global and Local Sustainability — https://doi.org/10.15446/sicel.v12.121196</w:t>
      </w:r>
    </w:p>
    <w:p>
      <w:pPr/>
      <w:r>
        <w:rPr>
          <w:b/>
        </w:rPr>
        <w:t>Shared claim-specific concepts:</w:t>
      </w:r>
      <w:r>
        <w:t xml:space="preserve"> based, energy, technical; EU scope visible. This is a provisional connection, not an outcome finding.</w:t>
      </w:r>
    </w:p>
    <w:p>
      <w:pPr>
        <w:pStyle w:val="SourceNote"/>
      </w:pPr>
      <w:r>
        <w:rPr>
          <w:b/>
        </w:rPr>
        <w:t>Available abstract (not full text):</w:t>
      </w:r>
      <w:r>
        <w:t xml:space="preserve"> This paper analyzes the development of energy communities in both international and Colombian contexts, focusing on regulatory frameworks as well as technical and social challenges. The study applies strategic tools such as SWOT and PESTEL to identify barriers and opportunities and incorporates comparative cases from Europe and Colombia. Based on these findings, the article introduces the Community Energy Manager as a socio-technical actor that integrates efficiency, smart energy management, and advanced metering, turning legal frameworks into operational conditions adapted to local realities. Results indicate that, although Colombia has made regulatory progress, the consolidation of energy communities requires stronger governance, financial sustainability, and the implementation of clear performance indicators on equity, reliability, costs, and participation</w:t>
      </w:r>
    </w:p>
    <w:p>
      <w:pPr/>
      <w:r>
        <w:rPr>
          <w:b/>
        </w:rPr>
        <w:t>POSSIBLE 2026:</w:t>
      </w:r>
      <w:r>
        <w:t xml:space="preserve"> Sustainable Solutions through Self-Sufficient Energy Houses Powered by Hybrid Renewable Energy Systems — https://doi.org/10.5772/geet.20250140</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This article analyzes the energy self-sufficiency in a paired house using a hybrid renewable energy system installed in one house and using the second house for a null energy balance. The article searches for sustainable systems reducing energy dependence on fossil fuels and greenhouse gas emissions. The study is based on the application of the fundamental equations of energy, thermal, and electrical balance for a domestic installation. This system integrates a domestic wind turbine and a photovoltaic array, assisted by a battery bank as an energy storage system to compensate for energy imbalances during a power outage. The proposed design relies exclusively on electricity to meet all thermal and electrical demands, including heating, domestic hot water, air conditioning, appliances, and lighting. The design employs an air source heat pump for domestic hot water, heating, and air conditioning; this unit directly connects to the hybrid renewable energy system, and the battery bank assists the hybrid system when needed. The battery is charged and discharged according to the daily energy balance. A simulation is performed under various operating conditions to evaluate the proposed design feasibility. The study includes experimental tests to verify the simulation’s validity and the reliability of the system design. Experimental tests show good agreement between simulation and actua</w:t>
      </w:r>
    </w:p>
    <w:p>
      <w:pPr/>
      <w:r>
        <w:rPr>
          <w:b/>
        </w:rPr>
        <w:t>POSSIBLE 2026:</w:t>
      </w:r>
      <w:r>
        <w:t xml:space="preserve"> Toward a Sustainable Energy Production System Based on Concentrated Solar Power Plants: Social and Water Availability Issues — https://doi.org/10.1021/acssuschemeng.5c11213</w:t>
      </w:r>
    </w:p>
    <w:p>
      <w:pPr/>
      <w:r>
        <w:rPr>
          <w:b/>
        </w:rPr>
        <w:t>Shared claim-specific concepts:</w:t>
      </w:r>
      <w:r>
        <w:t xml:space="preserve"> based, energy, system, potential, highest, followed; EU scope visible. This is a provisional connection, not an outcome finding.</w:t>
      </w:r>
    </w:p>
    <w:p>
      <w:pPr>
        <w:pStyle w:val="SourceNote"/>
      </w:pPr>
      <w:r>
        <w:rPr>
          <w:b/>
        </w:rPr>
        <w:t>Available abstract (not full text):</w:t>
      </w:r>
      <w:r>
        <w:t xml:space="preserve"> High Resolution Image Download MS PowerPoint Slide The green transition of energy production systems is one of the most critical tasks for society nowadays. Concentrated solar power (CSP) plants require direct normal irradiance ( DNI ) to produce electricity. Nevertheless, the highest DNI values are usually found in regions with limited water availability, which can be a sustainability issue when using cooling technologies. Furthermore, deploying new infrastructure has significant socio-economic implications, requiring careful evaluation of CSP facility locations. In this work, a multiobjective mixed-integer linear programming model is developed, considering several variables related to production (such as DNI, temperature, and available land), environmental factors (such as water consumption by cooling systems), and social concerns associated with the deployment of the facilities. The model evaluates each region of Spain to choose the optimal location for five scenarios of technology substitution. The results show that decisions prioritize DNI values and seasonal energy demand followed by investment cost and social impact, while we avoid wet-cooling technology to increase job creation. Furthermore, a fully renewable electricity system using 9 CSP plants requires an estimated investment of 785 B€ 2025, presents a competitive LCOE of 0.086–0.093 €/kWh, and has the potential to c</w:t>
      </w:r>
    </w:p>
    <w:p>
      <w:pPr/>
      <w:r>
        <w:rPr>
          <w:b/>
        </w:rPr>
        <w:t>POSSIBLE 2026:</w:t>
      </w:r>
      <w:r>
        <w:t xml:space="preserve"> Integration of electric vehicles into energy system models: A review — https://doi.org/10.1016/j.rser.2026.117078</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The growing adoption of electric vehicles (EVs) presents challenges and opportunities for the energy system, making accurate modeling of EV charging demand and its flexibility essential. EVs create a critical link between the electricity and transport sectors, both requiring models with high temporal resolution. Our review examines methods for modeling EV demand and their integration into energy system models across spatial and temporal scales. We identified 58 EV demand models and 32 integration studies spanning building- to international-scale systems. EV demand models are classified according to their methodological approaches and data sources. Our review highlights that activity-based approaches relying on travel or time use surveys are particularly effective in representing charging flexibility, as they derive empirically based flexibility windows from observed behavior. However, current approaches, mainly based on Markov chains and Monte Carlo simulations, fail to reproduce realistic weekly and seasonal patterns. Advances in generative modeling, especially through deep neural networks, show promise in capturing temporal consistency and variability, as well as integrating complementary data sources. For the integration of EVs into energy system models, we identify diverse aggregation methods, each entailing trade-offs between behavioral realism and computational tractabili</w:t>
      </w:r>
    </w:p>
    <w:p>
      <w:pPr/>
      <w:r>
        <w:rPr>
          <w:b/>
        </w:rPr>
        <w:t>POSSIBLE 2026:</w:t>
      </w:r>
      <w:r>
        <w:t xml:space="preserve"> Comparative assessment of photovoltaic waste generation across European countries — https://doi.org/10.1016/j.jclepro.2026.149253</w:t>
      </w:r>
    </w:p>
    <w:p>
      <w:pPr/>
      <w:r>
        <w:rPr>
          <w:b/>
        </w:rPr>
        <w:t>Shared claim-specific concepts:</w:t>
      </w:r>
      <w:r>
        <w:t xml:space="preserve"> based, energy, highest; EU scope visible. This is a provisional connection, not an outcome finding.</w:t>
      </w:r>
    </w:p>
    <w:p>
      <w:pPr>
        <w:pStyle w:val="SourceNote"/>
      </w:pPr>
      <w:r>
        <w:rPr>
          <w:b/>
        </w:rPr>
        <w:t>Available abstract (not full text):</w:t>
      </w:r>
      <w:r>
        <w:t xml:space="preserve"> During the 2000s, photovoltaic (PV) solar energy began a period of sustained development in many European countries. The lifespan of PV panels, which is 25-35 years, will present a significant challenge for waste management in all these countries in the coming years. This study examines photovoltaic deployment in the European countries with the highest solar PV capacity—Germany, Italy, Spain, France, and the Netherlands—and introduces a waste generation model to estimate photovoltaic waste streams up to 2035. This model is based on a Weibull distribution, and its specific parameters are discussed in order to improve the current estimations. These estimations are too outdated to include the latest PV installations, and they were developed without considering the significant increase in waste generation that began in 2018. The proposed model showed good agreement with the observed data for all analysed countries, with the exception of Spain, where the later development of photovoltaic technologies resulted in an outlying behaviour. The analysis considers the challenges and opportunities that lie ahead. By 2035, it is estimated that 230,000 tonnes of PV waste will be generated in Germany, 100,000 in Italy, 44,000 in Spain, 30,000 in France, and lastly 5000 tonnes in the Netherlands. These findings highlight the need to boost current collection rates and drive the development of re</w:t>
      </w:r>
    </w:p>
    <w:p>
      <w:pPr/>
      <w:r>
        <w:rPr>
          <w:b/>
        </w:rPr>
        <w:t>POSSIBLE 2026:</w:t>
      </w:r>
      <w:r>
        <w:t xml:space="preserve"> Computational Framework for Zbus Matrix Construction in Power Systems Based on Case-Based Algorithms — https://doi.org/10.61467/2007.1558.2027.v18i1.1453</w:t>
      </w:r>
    </w:p>
    <w:p>
      <w:pPr/>
      <w:r>
        <w:rPr>
          <w:b/>
        </w:rPr>
        <w:t>Shared claim-specific concepts:</w:t>
      </w:r>
      <w:r>
        <w:t xml:space="preserve"> based, potencia, system; EU scope not established. This is a provisional connection, not an outcome finding.</w:t>
      </w:r>
    </w:p>
    <w:p>
      <w:pPr>
        <w:pStyle w:val="SourceNote"/>
      </w:pPr>
      <w:r>
        <w:rPr>
          <w:b/>
        </w:rPr>
        <w:t>Available abstract (not full text):</w:t>
      </w:r>
      <w:r>
        <w:t xml:space="preserve"> The analysis of Electric Power Systems requires computational tools capable of handling admittance and impedance matrices accurately and efficiently. This work presents the development and implementation of MATLAB software for the construction of Ybus and Zbus matrices using the Zbus building algorithm together with Kron reduction. The proposed methodology applies the four fundamental cases of impedance matrix expansion, allowing the electrical network topology to be updated without performing complete matrix inversion processes, which helps reduce computational effort and improve processing efficiency. The software also includes matrix visualization and topological representation functions for the analysis of symmetrical and asymmetrical electrical networks. In addition, a comparative analysis was performed between the proposed implementation and conventional matrix inversion methods in order to evaluate their computational performance during matrix construction and reduction. To validate the methodology, the algorithm was tested on a five-bus power system, verifying the correct formation and reduction of the matrices. The obtained results show that the implementation provides an efficient and practical tool for matrix processing in applications such as load flow analysis, fault studies, and stability analysis in Electric Power Systems. Spanish-language metadata / Metadatos en</w:t>
      </w:r>
    </w:p>
    <w:p>
      <w:pPr/>
      <w:r>
        <w:rPr>
          <w:b/>
        </w:rPr>
        <w:t>POSSIBLE 2026:</w:t>
      </w:r>
      <w:r>
        <w:t xml:space="preserve"> Identifying the exposure of taxonomic, functional, and phylogenetic diversity of steppe birds to renewable energy development — https://doi.org/10.1111/cobi.70291</w:t>
      </w:r>
    </w:p>
    <w:p>
      <w:pPr/>
      <w:r>
        <w:rPr>
          <w:b/>
        </w:rPr>
        <w:t>Shared claim-specific concepts:</w:t>
      </w:r>
      <w:r>
        <w:t xml:space="preserve"> based, central, energy; EU scope visible. This is a provisional connection, not an outcome finding.</w:t>
      </w:r>
    </w:p>
    <w:p>
      <w:pPr>
        <w:pStyle w:val="SourceNote"/>
      </w:pPr>
      <w:r>
        <w:rPr>
          <w:b/>
        </w:rPr>
        <w:t>Available abstract (not full text):</w:t>
      </w:r>
      <w:r>
        <w:t xml:space="preserve"> Biodiversity is globally threatened by human impacts, including land-use transformation and climate change, which has prompted a rapid transition from fossil fuels to cleaner energy sources, such as photovoltaic (PV) energy. However, utility-scale PV plants require vast areas and can lead to conflicts with biodiversity conservation, making strategic planning essential. We used steppe birds, a highly threatened group occurring in lands potentially suitable for PV plants, as a model to evaluate the spatial overlap between conservation priorities and PV infrastructure. We quantified and mapped taxonomic (TD), functional (FD), and phylogenetic (PD) diversity of 26 species across one of the main strongholds of European steppe birds (mainland Spain and Balearic Islands) to identify prioritization scenarios that best preserved all steppe bird diversity facets (TD, FD, and PD) and steppe birds of conservation concern. We generated a multifaceted diversity map based on the combination of TD, FD, and PD and overlaid existing PV infrastructure to determine bird exposure areas (i.e., high multifaceted diversity with current high PV occupancy) and PV avoidance areas (high multifaceted diversity with low or no current PV occupancy). The prioritization scenario that combined TD, FD, and PD retained 68.5% of TD, 75.5% of FD, and 59.7% of PD and 62.8% of areas with species of conservation conce</w:t>
      </w:r>
    </w:p>
    <w:p>
      <w:pPr/>
      <w:r>
        <w:rPr>
          <w:b/>
        </w:rPr>
        <w:t>POSSIBLE 2026:</w:t>
      </w:r>
      <w:r>
        <w:t xml:space="preserve"> Life cycle assessment of wave energy: the Mutriku case study — https://doi.org/10.1007/s40722-026-00487-0</w:t>
      </w:r>
    </w:p>
    <w:p>
      <w:pPr/>
      <w:r>
        <w:rPr>
          <w:b/>
        </w:rPr>
        <w:t>Shared claim-specific concepts:</w:t>
      </w:r>
      <w:r>
        <w:t xml:space="preserve"> energy, policies, highest; EU scope visible. This is a provisional connection, not an outcome finding.</w:t>
      </w:r>
    </w:p>
    <w:p>
      <w:pPr>
        <w:pStyle w:val="SourceNote"/>
      </w:pPr>
      <w:r>
        <w:rPr>
          <w:b/>
        </w:rPr>
        <w:t>Available abstract (not full text):</w:t>
      </w:r>
      <w:r>
        <w:t xml:space="preserve"> Environmental impacts and the effects of climate change are becoming ever higher as the energy demand is growing, and the high dependence on fossil fuels to supply global energy needs is unquestionable. For this reason, it is necessary to increase the global percentage of renewable energy (ODS 7, target 7.2), promote access to research, technology and investments in clean energy (ODS 7, target 7.4) and integrate climate change measures into national policies, strategies and planning (ODS 13, target 13.2). In this sense, ocean energy has a relevant role, but it is necessary to identify the environmental effects it may generate. According to the later, the aim of this research is to evaluate the environmental impacts of a wave energy power plant located in Mutriku, Spain, with a Life Cycle Assessment approach. The results demonstrate that the Construction stage presents the highest environmental impacts, which reach 86.6% in climate change due to the high raw materials consumed, while energy generation is the stage with the lower environmental impacts, with 5.5% in the climate change category. For the end-of-life stage a sensitivity analysis was performed, showing that high recycling rates for all the metallic materials is not always resulting in better performance. It is concluded that it is important to mitigate the environmental impacts in the Construction stage and in the End</w:t>
      </w:r>
    </w:p>
    <w:p>
      <w:pPr/>
      <w:r>
        <w:rPr>
          <w:b/>
        </w:rPr>
        <w:t>POSSIBLE 2025:</w:t>
      </w:r>
      <w:r>
        <w:t xml:space="preserve"> SARIMA models for power evolution in photovoltaic systems — https://doi.org/10.56294/saludcyt20251971</w:t>
      </w:r>
    </w:p>
    <w:p>
      <w:pPr/>
      <w:r>
        <w:rPr>
          <w:b/>
        </w:rPr>
        <w:t>Shared claim-specific concepts:</w:t>
      </w:r>
      <w:r>
        <w:t xml:space="preserve"> based, evolution, energy, specifically; EU scope visible. This is a provisional connection, not an outcome finding.</w:t>
      </w:r>
    </w:p>
    <w:p>
      <w:pPr>
        <w:pStyle w:val="SourceNote"/>
      </w:pPr>
      <w:r>
        <w:rPr>
          <w:b/>
        </w:rPr>
        <w:t>Available abstract (not full text):</w:t>
      </w:r>
      <w:r>
        <w:t xml:space="preserve"> Introduction.- The increasing use of renewable energy in power generation systems has highlighted the need for efficient schemes to predict model parameters. In particular, photovoltaic systems require accurate tools to model and forecast solar energy generation behavior. Objective.-To formulate SARIMA models with high accuracy in fitting, explanation, and prediction of energy yields in solar photovoltaic systems, specifically focused on the plant located at Plaza del Duque de Béjar, Spain. Method.- A fitting strategy based on genetic algorithms was adopted to accelerate the estimation of the SARIMA model using hourly solar photovoltaic generation data. The auto.arima package in RStudio was employed as a methodological tool, enabling automatic selection and optimization of the best model parameters. Results.- The selected model was SARIMA (5,0,0)(2,1,0)242424, characterized by a stationary stochastic process with a clear seasonal component. The model showed remarkable estimation accuracy, with low standard errors in the autoregressive coefficients. Additionally, the model residuals were well-adjusted, displaying independence and absence of serial autocorrelation. Conclusions.- The proposed model demonstrated excellent predictive performance, supported by training error metrics (ME (Mean Error)= -1.344268 and MASE (Mean Absolute Scaled Error)= 0.7048786). Its sound mathematical </w:t>
      </w:r>
    </w:p>
    <w:p>
      <w:pPr/>
      <w:r>
        <w:rPr>
          <w:b/>
        </w:rPr>
        <w:t>POSSIBLE 2025:</w:t>
      </w:r>
      <w:r>
        <w:t xml:space="preserve"> Clean Energy Technology Observatory: Battery Technology in the European Union - 2025 Status Report on Technology Development, Trends, Value Chains and Markets — https://doi.org/10.2760/2686206</w:t>
      </w:r>
    </w:p>
    <w:p>
      <w:pPr/>
      <w:r>
        <w:rPr>
          <w:b/>
        </w:rPr>
        <w:t>Shared claim-specific concepts:</w:t>
      </w:r>
      <w:r>
        <w:t xml:space="preserve"> energy, currently, times; EU scope visible. This is a provisional connection, not an outcome finding.</w:t>
      </w:r>
    </w:p>
    <w:p>
      <w:pPr>
        <w:pStyle w:val="SourceNote"/>
      </w:pPr>
      <w:r>
        <w:rPr>
          <w:b/>
        </w:rPr>
        <w:t>Available abstract (not full text):</w:t>
      </w:r>
      <w:r>
        <w:t xml:space="preserve"> This report on batteries addresses technology development, EU research and innovation activities, global and EU markets and market players and assesses the competitiveness of the EU battery sector and its positioning in the global battery market. Special attention is given to provide a broad overview of battery technologies. This report also contains an assessment of market developments, production, trade, patenting, and sustainability of Li-ion batteries. The report shows that the EU does not have a competitive advantage over its main competitors. To change the current situation and improve the competitiveness of battery production in the EU, the following key actions should be taken to address the key drivers of competitiveness: increase the currently limited internal supply of raw and processed materials, significantly reduce the cost of energy, labour, and investment, urgently develop skilled and experienced work force, simplify legislation reduce times to set up new production and secure demand for EU-produced batteries. The EU is also not leading anymore in battery research. Despite this, the EU makes an effort to build its battery sector and increase its ability to cover at least part of battery demand from internal sources. This applies mainly to the high-performance batteries for premium-class Electric Vehicles (EVs), while batteries for lower-classes EVs and stationar</w:t>
      </w:r>
    </w:p>
    <w:p>
      <w:pPr/>
      <w:r>
        <w:rPr>
          <w:b/>
        </w:rPr>
        <w:t>POSSIBLE 2025:</w:t>
      </w:r>
      <w:r>
        <w:t xml:space="preserve"> Study on the implementation of battery systems in a renewable energy plant for energy supply in the paper industry — https://openalex.org/W7111806992</w:t>
      </w:r>
    </w:p>
    <w:p>
      <w:pPr/>
      <w:r>
        <w:rPr>
          <w:b/>
        </w:rPr>
        <w:t>Shared claim-specific concepts:</w:t>
      </w:r>
      <w:r>
        <w:t xml:space="preserve"> based, energy, system, potential, technical; EU scope visible. This is a provisional connection, not an outcome finding.</w:t>
      </w:r>
    </w:p>
    <w:p>
      <w:pPr>
        <w:pStyle w:val="SourceNote"/>
      </w:pPr>
      <w:r>
        <w:rPr>
          <w:b/>
        </w:rPr>
        <w:t>Available abstract (not full text):</w:t>
      </w:r>
      <w:r>
        <w:t xml:space="preserve"> This master’s Thesis examines the feasibility of integrating battery energy storage into a hybrid renewable energy project designed for an industrial-scale paper mill. Developed in academic collaboration with SAICA Paper, the project is based on a confidential plan for a hybrid energy system composed of 30 MWp of photovoltaic and 50 MW of wind capacity, intended to partially cover the energy demand of the Paper Machine 9 (PM9) production line at SAICA’s flagship plant in El Burgo de Ebro, Spain. Although not yet implemented, the hybrid system has been internally analyzed by the company and provides the basis for a detailed simulation using real hourly consumption data and generation profiles. The main objective is to analyze the potential for self-consumption optimization and the role of battery storage in reducing grid dependence and renewable energy curtailment. In conclusion, the proposed storage solution proves to be technically viable, financially sound, and environmentally beneficial. The project has successfully met its objectives, thanks to a robust analytical approach, iterative optimization, and the development of a practical tool to enhance decision-making. The results obtained lay a solid foundation for the real-world implementation of BESS in industrial renewable integration projects like the one analyzed at SAICA. The study will assess the technical and economic v</w:t>
      </w:r>
    </w:p>
    <w:p>
      <w:pPr/>
      <w:r>
        <w:rPr>
          <w:b/>
        </w:rPr>
        <w:t>POSSIBLE 2025:</w:t>
      </w:r>
      <w:r>
        <w:t xml:space="preserve"> TRADE AND DIPLOMATIC RELATIONS BETWEEN CHILE AND INDIA: EVOLUTION, IMPACTS, AND PERSPECTIVES — https://doi.org/10.5354/0719-9368.2025.78440</w:t>
      </w:r>
    </w:p>
    <w:p>
      <w:pPr/>
      <w:r>
        <w:rPr>
          <w:b/>
        </w:rPr>
        <w:t>Shared claim-specific concepts:</w:t>
      </w:r>
      <w:r>
        <w:t xml:space="preserve"> evolution, beyond, potential; EU scope not established. This is a provisional connection, not an outcome finding.</w:t>
      </w:r>
    </w:p>
    <w:p>
      <w:pPr>
        <w:pStyle w:val="SourceNote"/>
      </w:pPr>
      <w:r>
        <w:rPr>
          <w:b/>
        </w:rPr>
        <w:t>Available abstract (not full text):</w:t>
      </w:r>
      <w:r>
        <w:t xml:space="preserve"> This document analyzes the commercial and diplomatic relations between Chile and India, highlighting their evolution, impacts, and perspectives. It highlights the growth of bilateral trade, driven by the Partial Scope Agreement (PSA) of 2006 and its expansion in 2017. Chile has experienced a significant increase in exports to India, diversifying its portfolio beyond copper, although copper remains a key product. India, as an emerging power, represents an attractive market for Chile due to its growing purchasing power and diversified demand. Additionally, the document explores the opportunities and challenges of this relationship, including diplomatic, cultural, and socio-environmental aspects. It examines the presence of Indian companies in Chile and vice versa, as well as the economic and social impact of these investments. Strategic recommendations are proposed to strengthen trade ties, diversify exchanges, and improve mutual perception between both countries. The importance of optimizing logistics, analyzing trade agreements, expanding into strategic sectors, and fostering academic cooperation and knowledge transfer is emphasized. In conclusion, the potential for continued growth in Chile-India relations is underscored, provided that existing challenges are addressed and emerging opportunities are leveraged.</w:t>
      </w:r>
    </w:p>
    <w:p>
      <w:pPr>
        <w:pStyle w:val="Heading2"/>
      </w:pPr>
      <w:r>
        <w:t>648. The role of transmission and energy storage in European decarbonization towards 2050</w:t>
      </w:r>
    </w:p>
    <w:p>
      <w:pPr>
        <w:pStyle w:val="SourceNote"/>
      </w:pPr>
      <w:r>
        <w:rPr>
          <w:b/>
        </w:rPr>
        <w:t>Original source (2021):</w:t>
      </w:r>
      <w:r>
        <w:t xml:space="preserve"> https://doi.org/10.1016/j.energy.2021.122159</w:t>
      </w:r>
    </w:p>
    <w:p>
      <w:pPr/>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POSSIBLE 2026:</w:t>
      </w:r>
      <w:r>
        <w:t xml:space="preserve"> Synthetic Impersonation in the Power Sector — https://doi.org/10.33445/sds.2026.16.4.11</w:t>
      </w:r>
    </w:p>
    <w:p>
      <w:pPr/>
      <w:r>
        <w:rPr>
          <w:b/>
        </w:rPr>
        <w:t>Shared claim-specific concepts:</w:t>
      </w:r>
      <w:r>
        <w:t xml:space="preserve"> power, sector, analyses; EU scope not established. This is a provisional connection, not an outcome finding.</w:t>
      </w:r>
    </w:p>
    <w:p>
      <w:pPr>
        <w:pStyle w:val="SourceNote"/>
      </w:pPr>
      <w:r>
        <w:rPr>
          <w:b/>
        </w:rPr>
        <w:t>Available abstract (not full text):</w:t>
      </w:r>
      <w:r>
        <w:t xml:space="preserve">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pPr/>
      <w:r>
        <w:rPr>
          <w:b/>
        </w:rPr>
        <w:t>POSSIBLE 2026:</w:t>
      </w:r>
      <w:r>
        <w:t xml:space="preserve"> Analysing drivers and interdependencies in European electricity markets using XAI — https://openalex.org/W7165218583</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Analysing drivers and interdependencies in European electricity markets using XAI — https://doi.org/10.48550/arxiv.2606.19118</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Assessing the Market Value of Power Forecasting of Hybrid Power Plants in the Iberian Electricity Market — https://doi.org/10.1109/eem68581.2026.11589605</w:t>
      </w:r>
    </w:p>
    <w:p>
      <w:pPr/>
      <w:r>
        <w:rPr>
          <w:b/>
        </w:rPr>
        <w:t>Shared claim-specific concepts:</w:t>
      </w:r>
      <w:r>
        <w:t xml:space="preserve"> power, share, electricity, wind, energy, targets; EU scope visible. This is a provisional connection, not an outcome finding.</w:t>
      </w:r>
    </w:p>
    <w:p>
      <w:pPr>
        <w:pStyle w:val="SourceNote"/>
      </w:pPr>
      <w:r>
        <w:rPr>
          <w:b/>
        </w:rPr>
        <w:t>Available abstract (not full text):</w:t>
      </w:r>
      <w:r>
        <w:t xml:space="preserve"> ABSTRACT: This study evaluates the technical and economic performance of wind power plants hybridised with solar photovoltaic (PV) under two 2030 Iberian electricity market scenarios dominated by renewable energy, developed within the Man0EUvRE project. A power forecasting model was optimised to maximise their market value, considering participation in both day-ahead and balancing markets. Compared to wind-only power plants, hybridisation improves forecast accuracy due to the complementary generation profiles of wind and solar PV. As a result, revenue losses due to imbalance penalties decrease by 1528%, enabling the prices captured to increase by up to 6%. The hybrid configurations also achieved the highest market remuneration. However, as the share of low marginal cost technologies increases in the electricity markets, captured prices are expected to decline. These results demonstrate the benefits of hybridising the existing wind power plants, which can provide a short-term and efficient solution to support the ambitious European decarbonisation targets while enhancing both operational performance and their market value.</w:t>
      </w:r>
    </w:p>
    <w:p>
      <w:pPr/>
      <w:r>
        <w:rPr>
          <w:b/>
        </w:rPr>
        <w:t>POSSIBLE 2026:</w:t>
      </w:r>
      <w:r>
        <w:t xml:space="preserve"> Practices and Mechanisms of Payment for Electricity Transmission and Distribution Services in the European Union — https://openalex.org/W7168440883</w:t>
      </w:r>
    </w:p>
    <w:p>
      <w:pPr/>
      <w:r>
        <w:rPr>
          <w:b/>
        </w:rPr>
        <w:t>Shared claim-specific concepts:</w:t>
      </w:r>
      <w:r>
        <w:t xml:space="preserve"> power, sector, share, electricity, energy, union; EU scope visible. This is a provisional connection, not an outcome finding.</w:t>
      </w:r>
    </w:p>
    <w:p>
      <w:pPr>
        <w:pStyle w:val="SourceNote"/>
      </w:pPr>
      <w:r>
        <w:rPr>
          <w:b/>
        </w:rPr>
        <w:t>Available abstract (not full text):</w:t>
      </w:r>
      <w:r>
        <w:t xml:space="preserve"> The paper examines approaches to the design of tariffs for electricity transmission and distribution services in the European Union (EU) countries. Special attention is paid to the impact of the EU legal and regulatory framework and market integration processes on the structure and mechanisms of payment for network services. Based on the analysis of European practice, a number of conclusions are drawn that may be relevant for further improvement of tariff policy in the power sector. Background. In the context of the formation of a unified energy market in the EU, the issues of efficient operation of electricity transmission and distribution systems are of particular importance. The development of integrated energy systems, the increasing share of Renewable Energy Sources (RES), and the need to ensure the reliability of power supply require the improvement of mechanisms for paying for network services. Materials and Methods. The legal and regulatory framework, the used tariff formation models, are examined, and a comparative analysis of the approaches applied in various EU member states is conducted. Results. As part of this study, a comprehensive analysis of practices and mechanisms for payment of electricity transmission and distribution services was carried out, on the basis of which the main trends and issues in the field of tariff setting were identified. Conclusions. The c</w:t>
      </w:r>
    </w:p>
    <w:p>
      <w:pPr/>
      <w:r>
        <w:rPr>
          <w:b/>
        </w:rPr>
        <w:t>POSSIBLE 2026:</w:t>
      </w:r>
      <w:r>
        <w:t xml:space="preserve"> Scalable Optimisation and Learning Frameworks for Aggregator Participation in European Electricity Markets — https://openalex.org/W7219418485</w:t>
      </w:r>
    </w:p>
    <w:p>
      <w:pPr/>
      <w:r>
        <w:rPr>
          <w:b/>
        </w:rPr>
        <w:t>Shared claim-specific concepts:</w:t>
      </w:r>
      <w:r>
        <w:t xml:space="preserve"> power, electricity, energy, union; EU scope visible. This is a provisional connection, not an outcome finding.</w:t>
      </w:r>
    </w:p>
    <w:p>
      <w:pPr>
        <w:pStyle w:val="SourceNote"/>
      </w:pPr>
      <w:r>
        <w:rPr>
          <w:b/>
        </w:rPr>
        <w:t>Available abstract (not full text):</w:t>
      </w:r>
      <w:r>
        <w:t xml:space="preserve"> The transition towards renewable-dominated power systems underscores the critical importance of demand-side flexibility, with aggregators increasingly recognised by European Union regulators as key intermediaries between prosumers and electricity markets. However, the practical implementation of aggregator business models in European markets remains hindered by three major challenges: (i) the computational burden of complex bid structures such as block orders, (ii) scalable modelling of prosumer price responsiveness, and (iii) robust uncertainty quantification for flexibility forecasts that meet compliance standards such as P90 or 90% confidence levels. This thesis, jointly funded by The University of Adelaide and Watts A/S (Denmark), addresses these challenges by advancing tractable reformulations and applying machine learning techniques across these domains. First, tractable mathematical formulations for block orders are proposed, tailored to aggregator participation in day-ahead markets. The formulations overcome the limitations of the state-of-the-art methods, enhancing scalability and applicability. Second, an optimisation with a constraint learning framework is introduced to capture prosumer responsiveness, embedding deep neural networks based on Rectified Linear Unit (ReLU) as surrogate models within aggregator bidding problems. A novel linear programming relaxation for </w:t>
      </w:r>
    </w:p>
    <w:p>
      <w:pPr/>
      <w:r>
        <w:rPr>
          <w:b/>
        </w:rPr>
        <w:t>POSSIBLE 2026:</w:t>
      </w:r>
      <w:r>
        <w:t xml:space="preserve"> The electricity system value of the local acceptance of onshore wind in Europe — https://openalex.org/W7148177161</w:t>
      </w:r>
    </w:p>
    <w:p>
      <w:pPr/>
      <w:r>
        <w:rPr>
          <w:b/>
        </w:rPr>
        <w:t>Shared claim-specific concepts:</w:t>
      </w:r>
      <w:r>
        <w:t xml:space="preserve"> power, electricity, wind, energy;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2026:</w:t>
      </w:r>
      <w:r>
        <w:t xml:space="preserve"> Differentiated impacts of climate physical risks on the Indian power sector — https://doi.org/10.1016/j.isci.2026.115697</w:t>
      </w:r>
    </w:p>
    <w:p>
      <w:pPr/>
      <w:r>
        <w:rPr>
          <w:b/>
        </w:rPr>
        <w:t>Shared claim-specific concepts:</w:t>
      </w:r>
      <w:r>
        <w:t xml:space="preserve"> power, sector, presents, climate; EU scope not established. This is a provisional connection, not an outcome finding.</w:t>
      </w:r>
    </w:p>
    <w:p>
      <w:pPr>
        <w:pStyle w:val="SourceNote"/>
      </w:pPr>
      <w:r>
        <w:rPr>
          <w:b/>
        </w:rPr>
        <w:t>Available abstract (not full text):</w:t>
      </w:r>
      <w:r>
        <w:t xml:space="preserve"> As India faces decarbonization and climate hazards, analyzing financial implications of climate-related risks for power sector is critical. This study presents a forward-looking, location focused, technology-wise analysis of physical climate risks for Indian power companies using novel asset-level methodologies. To assess physical risks, particularly flood exposure, we use spatially explicit modeling across 424 power-generating assets representing over 90% of India's capacity. Monte Carlo simulations reveal that without protective infrastructure, average losses exceed 19%, with 99th percentile tail risks surpassing 24%. However, investment in 100-year flood protection reduces average losses to under 1% and tail risks to below 2%. Results show that the effectiveness of risk mitigation varies significantly by technology and geography, with coal and gas assets benefiting most from protective investments, and coastal regions like Kerala and Gujarat showing highest vulnerabilities. This study provides a comprehensive empirical quantification of physical climate risks for Indian power firms at asset levels.</w:t>
      </w:r>
    </w:p>
    <w:p>
      <w:pPr/>
      <w:r>
        <w:rPr>
          <w:b/>
        </w:rPr>
        <w:t>POSSIBLE 2026:</w:t>
      </w:r>
      <w:r>
        <w:t xml:space="preserve"> Independent Expert Review of the Work "Digital Transformation of Ukraine's Electric Power Sector and Its Integration into the European Energy Area" — https://doi.org/10.5281/zenodo.22795337</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Independent Expert Review of the Work "Digital Transformation of Ukraine's Electric Power Sector and Its Integration into the European Energy Area" — https://doi.org/10.5281/zenodo.22795338</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Bidding Aggregated Flexibility in European Electricity Auctions — https://doi.org/10.1109/tempr.2026.3714683</w:t>
      </w:r>
    </w:p>
    <w:p>
      <w:pPr/>
      <w:r>
        <w:rPr>
          <w:b/>
        </w:rPr>
        <w:t>Shared claim-specific concepts:</w:t>
      </w:r>
      <w:r>
        <w:t xml:space="preserve"> power, electricity, energy; EU scope visible. This is a provisional connection, not an outcome finding.</w:t>
      </w:r>
    </w:p>
    <w:p>
      <w:pPr>
        <w:pStyle w:val="SourceNote"/>
      </w:pPr>
      <w:r>
        <w:rPr>
          <w:b/>
        </w:rPr>
        <w:t>Available abstract (not full text):</w:t>
      </w:r>
      <w:r>
        <w:t xml:space="preserve"> Bidding flexibility in day-ahead and intraday auctions would enable decentralized flexible resources, such as electric vehicles and heat pumps, to efficiently align their consumption with the intermittent generation of renewable energy. However, because these resources are individually too small to participate in those auctions directly, an aggregator (e.g., a utility) must act on their behalf. This requires aggregating many decentralized resources, which is a computationally challenging task. In this paper, we propose a computationally efficient and highly accurate method that is readily applicable to European day-ahead and intraday auctions. Distinct from existing methods, we aggregate only economically relevant power profiles, identified through price forecasts. The resulting flexibility is then conveyed to the market operator via exclusive groups of block bids. We evaluate our method for a utility serving the Swiss town of Losone, where flexibility from multiple heat pumps distributed across the grid must be aggregated and bid in the Swiss day-ahead auction. Results show that our method aggregates accurately, achieving 98% of the theoretically possible cost savings. This aggregation accuracy remains stable even as the number of heat pumps increases, while computation time grows only linearly, demonstrating strong scalability.</w:t>
      </w:r>
    </w:p>
    <w:p>
      <w:pPr/>
      <w:r>
        <w:rPr>
          <w:b/>
        </w:rPr>
        <w:t>POSSIBLE 2026:</w:t>
      </w:r>
      <w:r>
        <w:t xml:space="preserve"> Risk Assessment of Large Language Model Implementation in the Electric Power Sector of Ukraine — https://doi.org/10.47852/bonviewaia62027195</w:t>
      </w:r>
    </w:p>
    <w:p>
      <w:pPr/>
      <w:r>
        <w:rPr>
          <w:b/>
        </w:rPr>
        <w:t>Shared claim-specific concepts:</w:t>
      </w:r>
      <w:r>
        <w:t xml:space="preserve"> power, sector, presents, energy; EU scope not established. This is a provisional connection, not an outcome finding.</w:t>
      </w:r>
    </w:p>
    <w:p>
      <w:pPr>
        <w:pStyle w:val="SourceNote"/>
      </w:pPr>
      <w:r>
        <w:rPr>
          <w:b/>
        </w:rPr>
        <w:t>Available abstract (not full text):</w:t>
      </w:r>
      <w:r>
        <w:t xml:space="preserve"> This study explored the key aspects and risks associated with the implementation of large language models (LLMs) in the electric power sector of Ukraine. We propose a unique taxonomy of risks, along with a hierarchical structure that enables their assessment using the analytic hierarchy process (AHP) developed by T. Saaty. The LLM lifecycle is described with a focus on both human and technological factors (from knowledge selection and training to operational deployment). The study addresses critical concerns related to confabulations, sensitive information leakage, compliance with personal data protection regulations, and the safeguarding of trade secrets. The paper highlights the importance of employing tools for hallucination detection, sentiment analysis, and legal compliance monitoring. A separate section presents an in-depth analysis of LLMs’ readiness to accurately digitize graphical content—such as schematics, diagrams, and technical drawings, which are common for documentation in the energy sector worldwide. A series of experiments using the state-of-the-art generative AI systems revealed significant limitations in interpreting complex diagrams, logical structures, and semantic relationships between elements. The findings demonstrate both the potential and the critical limitations of LLMs in energy-related applications, particularly in processing graphical content, maki</w:t>
      </w:r>
    </w:p>
    <w:p>
      <w:pPr>
        <w:pStyle w:val="Heading2"/>
      </w:pPr>
      <w:r>
        <w:t>649. Towards net zero CO2 in 2050: An emission reduction pathway for organic soils in Germany</w:t>
      </w:r>
    </w:p>
    <w:p>
      <w:pPr>
        <w:pStyle w:val="SourceNote"/>
      </w:pPr>
      <w:r>
        <w:rPr>
          <w:b/>
        </w:rPr>
        <w:t>Original source (2021):</w:t>
      </w:r>
      <w:r>
        <w:t xml:space="preserve"> https://doi.org/10.19189/map.2020.snpg.sta.1951</w:t>
      </w:r>
    </w:p>
    <w:p>
      <w:pPr/>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pathway, also, direct;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APPELLATE BODY OF THE WORLD TRADE ORGANIZATION CRISIS: CONSEQUENCES AND PATHWAYS TO REFORM — https://openalex.org/W7216665610</w:t>
      </w:r>
    </w:p>
    <w:p>
      <w:pPr/>
      <w:r>
        <w:rPr>
          <w:b/>
        </w:rPr>
        <w:t>Shared claim-specific concepts:</w:t>
      </w:r>
      <w:r>
        <w:t xml:space="preserve"> requires, interim, all; EU scope not established. This is a provisional connection, not an outcome finding.</w:t>
      </w:r>
    </w:p>
    <w:p>
      <w:pPr>
        <w:pStyle w:val="SourceNote"/>
      </w:pPr>
      <w:r>
        <w:rPr>
          <w:b/>
        </w:rPr>
        <w:t>Available abstract (not full text):</w:t>
      </w:r>
      <w:r>
        <w:t xml:space="preserve"> The paralysis of the World Trade Organization's Appellate Body since December 2019 has precipitated the gravest institutional crisis in the history of the multilateral trading system. The inability of WTO Members to agree on new appointments has rendered the appellate mechanism non-functional, leaving the dispute settlement system without its supreme judicial layer and creating a legal vacuum that no interim arrangement has yet adequately filled. This article examines the structural, political, and legal dimensions of this crisis, tracing the origins of Member State dissatisfaction with the Appellate Body, particularly the sustained objections of the United States concerning judicial overreach, procedural delays, and the treatment of trade remedy disciplines. The article analyses the Multi-Party Interim Appeal Arbitration Arrangement and evaluates its adequacy as a substitute for the Appellate Body. It further examines the various reform proposals advanced by WTO Members and academic commentators, assessing their feasibility and implications for the future architecture of multilateral trade governance. Special attention is paid to the interests of developing country Members, who stand to lose most from the erosion of the rules-based trading system. The article argues that durable reform requires a negotiated political settlement among major trading powers that balances rule-of-</w:t>
      </w:r>
    </w:p>
    <w:p>
      <w:pPr/>
      <w:r>
        <w:rPr>
          <w:b/>
        </w:rPr>
        <w:t>POSSIBLE 2026:</w:t>
      </w:r>
      <w:r>
        <w:t xml:space="preserve"> BUILDING A COMPULSORY MEDIATION PATHWAY: BULGARIA AS A LIVE EXPERIMENT IN DISPUTE SYSTEM DESIGN ? — https://doi.org/10.33327/ajee-18-9.2-a000194</w:t>
      </w:r>
    </w:p>
    <w:p>
      <w:pPr/>
      <w:r>
        <w:rPr>
          <w:b/>
        </w:rPr>
        <w:t>Shared claim-specific concepts:</w:t>
      </w:r>
      <w:r>
        <w:t xml:space="preserve"> pathway, ultimate, all, also; EU scope visible. This is a provisional connection, not an outcome finding.</w:t>
      </w:r>
    </w:p>
    <w:p>
      <w:pPr>
        <w:pStyle w:val="SourceNote"/>
      </w:pPr>
      <w:r>
        <w:rPr>
          <w:b/>
        </w:rPr>
        <w:t>Available abstract (not full text):</w:t>
      </w:r>
      <w:r>
        <w:t xml:space="preserve"> Background: Bulgaria has had a statutory mediation framework for over two decades, yet mediation remains underused compared with court adjudication. In the context of judicial reform and caseload reduction, Bulgaria adopted rules in 2023 that introduced mandatory judicial mediation pursuant to which parties to pending court proceedings are required to attend a free-of-charge mediation information session of up to three hours before the first open hearing. The provision was scheduled to come into force on 1 July 2024. On that date, however, the Bulgarian Constitutional Court (Decision No. 11 of 1 July 2024, Constitutional Case No. 11/2024) declared the core provisions of the reform unconstitutional, reviving the question of how far the legislature can require a mediation step without impairing access to justice. In July 2025, Bulgaria adopted a revised model centred on mandatory participation in a mediation information meeting during pending proceedings for specified categories of disputes subject to additional referral by judges. This article analyses the new model, positions it within European approaches, and identifies design requirements for legislation that can stimulate mediation uptake without creating procedural barriers. Method: The article employs doctrinal and comparative legal analysis. It examines the 2025 amendments to the Bulgarian Civil Procedure Code and the Med</w:t>
      </w:r>
    </w:p>
    <w:p>
      <w:pPr/>
      <w:r>
        <w:rPr>
          <w:b/>
        </w:rPr>
        <w:t>POSSIBLE 2026:</w:t>
      </w:r>
      <w:r>
        <w:t xml:space="preserve"> Intracerebral recordings in humans reveal gradual emergence of musical beat representation across the dorsal auditory pathway — https://doi.org/10.64898/2026.05.22.727121</w:t>
      </w:r>
    </w:p>
    <w:p>
      <w:pPr/>
      <w:r>
        <w:rPr>
          <w:b/>
        </w:rPr>
        <w:t>Shared claim-specific concepts:</w:t>
      </w:r>
      <w:r>
        <w:t xml:space="preserve"> gradual, pathway, also, direct; EU scope not established. This is a provisional connection, not an outcome finding.</w:t>
      </w:r>
    </w:p>
    <w:p>
      <w:pPr>
        <w:pStyle w:val="SourceNote"/>
      </w:pPr>
      <w:r>
        <w:rPr>
          <w:b/>
        </w:rPr>
        <w:t>Available abstract (not full text):</w:t>
      </w:r>
      <w:r>
        <w:t xml:space="preserve"> Abstract When experiencing music, humans readily perceive and move along with a periodic beat. This ability has been proposed to rely on an enhanced representation of the beat periodicity in brain activity. However, whether this beat representation is achieved in sensory areas or whether it involves associative brain regions remains debated. Here, we addressed this question using intracerebral depth electrodes implanted in 13 human individuals to record local field potentials directly inside the brain. Participants were presented with an acoustic rhythm known to induce perception of a consistent beat across Western adults. The rhythmic stimulus elicited significant responses in a number of areas, especially superior temporal, parietal and frontal cortices located along the dorsal auditory pathway. Notably, these regions, including the primary auditory cortex but also frontal motor regions, showed significantly enhanced beat periodicity as compared to a biomimetic model of subcortical auditory processing. This beat representation was further sharpened in the inferior parietal lobe, indicating that this associative region may play a key role in the mapping between rhythmic inputs and perceptual templates of beat, in line with its posited function as a sensory-motor interface. Together, these findings provide direct evidence for a gradual transformation of rhythmic sensory input i</w:t>
      </w:r>
    </w:p>
    <w:p>
      <w:pPr/>
      <w:r>
        <w:rPr>
          <w:b/>
        </w:rPr>
        <w:t>POSSIBLE 2026:</w:t>
      </w:r>
      <w:r>
        <w:t xml:space="preserve"> Re‐Interpreting Genetic Offset: Quantifying the Least Required Evolutionary Rate Under Climate Change at the Mediterranean Range Margin of European Beech — https://doi.org/10.1111/eva.70230</w:t>
      </w:r>
    </w:p>
    <w:p>
      <w:pPr/>
      <w:r>
        <w:rPr>
          <w:b/>
        </w:rPr>
        <w:t>Shared claim-specific concepts:</w:t>
      </w:r>
      <w:r>
        <w:t xml:space="preserve"> pathway, all, forest; EU scope visible. This is a provisional connection, not an outcome finding.</w:t>
      </w:r>
    </w:p>
    <w:p>
      <w:pPr>
        <w:pStyle w:val="SourceNote"/>
      </w:pPr>
      <w:r>
        <w:rPr>
          <w:b/>
        </w:rPr>
        <w:t>Available abstract (not full text):</w:t>
      </w:r>
      <w:r>
        <w:t xml:space="preserve"> ABSTRACT European beech ( Fagus sylvatica L.) spans a wide range of European climates and exhibits evidence of local adaptation, which supports its persistence under diverse conditions. We analysed 18 populations—distributed across an altitude gradient on the southwestern geographic range edge of the species—using landscape genomics to assess their adaptive variation and vulnerability to future climatic conditions. We uncovered weak but structured genetic differentiation, revealing three main climate‐tied genetic groups. Combining multiple Genotype–Environment Association (GEA) approaches—linear, such as Latent Factor Mixed Models (LFMM) or Redundancy Analyses (RDA), and non‐linear (Gradient Forest)—we identified 373 Single Nucleotide Polymorphisms (SNPs) detected by all GEA methods as being putatively associated with climate gradients. Using the Gradient Forest model, we mapped genetic offset across all 21st century periods under a key climate scenario: Shared Socioeconomic Pathway (SSP) 5, forcing 8.5 W/m 2 (SSP585) and across all SSPs for 2061–2080, identifying Pyrenean and pre‐Pyrenean regions as maladaptation hotspots. To capture temporal dynamics, we introduce a novel approach to interpret genetic offset. The Required Evolutionary Rate (REvoRate) quantifies the minimum genetic change per year needed to keep pace with projected climates. Joint interpretation of offset and </w:t>
      </w:r>
    </w:p>
    <w:p>
      <w:pPr/>
      <w:r>
        <w:rPr>
          <w:b/>
        </w:rPr>
        <w:t>POSSIBLE 2026:</w:t>
      </w:r>
      <w:r>
        <w:t xml:space="preserve"> Plurality in transformative change: Three co‐created pathways toward nature‐positive Europe(s) — https://doi.org/10.1002/pan3.70418</w:t>
      </w:r>
    </w:p>
    <w:p>
      <w:pPr/>
      <w:r>
        <w:rPr>
          <w:b/>
        </w:rPr>
        <w:t>Shared claim-specific concepts:</w:t>
      </w:r>
      <w:r>
        <w:t xml:space="preserve"> pathway, milestones, all, land; EU scope visible. This is a provisional connection, not an outcome finding.</w:t>
      </w:r>
    </w:p>
    <w:p>
      <w:pPr>
        <w:pStyle w:val="SourceNote"/>
      </w:pPr>
      <w:r>
        <w:rPr>
          <w:b/>
        </w:rPr>
        <w:t>Available abstract (not full text):</w:t>
      </w:r>
      <w:r>
        <w:t xml:space="preserve"> 1.The accelerating decline of biodiversity necessitates transformative change to protect nature and society, requiring innovative actions and governance strategies. This paper focuses on developing diverse transformative pathways for biodiversity in Europe and advancing methodologies for co-creating these pathways to inform such actions and governance strategies in a transformative and anticipatory manner.2.Three distinct pathways for a nature-positive Europe from 2024 to 2050 were co-created with 23 participants during a 2.5-day workshop, through backcasting and by using the Nature Futures Framework. Post-workshop interviews with nine participants helped map their understanding of transformative change and its connection to the pathways. The pathways and interviews were then analysed to understand the main patterns of change in the pathways.3.The analysis identifies distinct patterns of transformative change, each shaped by participants’ views on how change might unfold over time, as reflected in pathway actions and milestones. The first pathway, called Dòigh Nàdair, centres on the institutionalisation of biocultural principles, community stewardship, and redistribution toward rural economies, with early emphasis on phasing out unsustainable practices, shifting societal norms through education, and later embedding polycentric and watershed-based governance. The second, NaturAl</w:t>
      </w:r>
    </w:p>
    <w:p>
      <w:pPr/>
      <w:r>
        <w:rPr>
          <w:b/>
        </w:rPr>
        <w:t>POSSIBLE 2026:</w:t>
      </w:r>
      <w:r>
        <w:t xml:space="preserve"> Improving policy development processes and Decentralised Rural Proofing in Living Labs (RUSTIK Horizon Europe) — https://openalex.org/W7172076088</w:t>
      </w:r>
    </w:p>
    <w:p>
      <w:pPr/>
      <w:r>
        <w:rPr>
          <w:b/>
        </w:rPr>
        <w:t>Shared claim-specific concepts:</w:t>
      </w:r>
      <w:r>
        <w:t xml:space="preserve"> requires, following, use, also; EU scope visible. This is a provisional connection, not an outcome finding.</w:t>
      </w:r>
    </w:p>
    <w:p>
      <w:pPr>
        <w:pStyle w:val="SourceNote"/>
      </w:pPr>
      <w:r>
        <w:rPr>
          <w:b/>
        </w:rPr>
        <w:t>Available abstract (not full text):</w:t>
      </w:r>
      <w:r>
        <w:t xml:space="preserve"> Rural areas are diverse, and this diversity underpins their capacity to respond to pressing ecological, digital, and socio-economic transitions through local resources, functions and knowledge (RUSTIK D1.1, 2023). While this diversity is an important asset that can strengthen resilience and benefit rural communities, understanding and embedding it into policy and practice remains challenging. Most existing policies rely on established metrics and indicator systems that often fail to capture the complexity and diversity of rurality and rural transition challenges. Evidence gaps arise not only because data are rarely collected at the scale where meaningful disparities, needs or capacities become visible, but also because policymaking continues to rely predominantly on traditional quantitative data (RUSTIK D4.1, 2023). Addressing these transition challenges therefore requires more holistic approaches that draw on a wider range of data sources and forms of knowledge, as well as tools that enable data to be used more effectively in policymaking. Rural areas are increasingly recognised as active sites of experimentation. Living Labs (LLs) and similar experimental approaches can support transition processes through iterative learning and practice-based innovation, while supporting policy learning by producing policy-relevant data, evidence or capacities (Suitner, 2024; Kim et al., 202</w:t>
      </w:r>
    </w:p>
    <w:p>
      <w:pPr/>
      <w:r>
        <w:rPr>
          <w:b/>
        </w:rPr>
        <w:t>POSSIBLE 2026:</w:t>
      </w:r>
      <w:r>
        <w:t xml:space="preserve"> Beyond permanent urban redevelopment: The unintended consequences of temporary brownfield use — https://doi.org/10.1080/02513625.2025.2583843</w:t>
      </w:r>
    </w:p>
    <w:p>
      <w:pPr/>
      <w:r>
        <w:rPr>
          <w:b/>
        </w:rPr>
        <w:t>Shared claim-specific concepts:</w:t>
      </w:r>
      <w:r>
        <w:t xml:space="preserve"> interim, ultimate, use, also; EU scope visible. This is a provisional connection, not an outcome finding.</w:t>
      </w:r>
    </w:p>
    <w:p>
      <w:pPr>
        <w:pStyle w:val="SourceNote"/>
      </w:pPr>
      <w:r>
        <w:rPr>
          <w:b/>
        </w:rPr>
        <w:t>Available abstract (not full text):</w:t>
      </w:r>
      <w:r>
        <w:t xml:space="preserve"> This paper examines the phenomenon of temporary use of brownfields in European cities, exploring its potential benefits, challenges, and externalities. Brownfields, abandoned and often contaminated industrial sites, represent underutilised resources within urban landscapes. While permanent redevelopment of brownfields remains the ultimate goal, temporary use has emerged as a strategy to activate these spaces, generating social, economic, and environmental benefits in the interim. Through a review of case studies from post-communist cities in Eastern Europe as well as Western European cities with a focus on reunified Berlin, we analyse different approaches to temporary use, from spontaneous community-led initiatives to planned municipal projects. This analysis allows us to identify specific differences in approaches to temporary use projects between Eastern and Western Europe generating different benefits and externalities. The aim of the article is to identify, describe, and generalise particularly negative externalities related to various forms of temporary use of brownfields affecting their overall value, taking into account the character, place, time, and other socio-economic contexts to improve the design, implementation, and management of such projects by considering each region’s unique characteristics and needs. The paper identifies key factors contributing to successful</w:t>
      </w:r>
    </w:p>
    <w:p>
      <w:pPr/>
      <w:r>
        <w:rPr>
          <w:b/>
        </w:rPr>
        <w:t>POSSIBLE 2026:</w:t>
      </w:r>
      <w:r>
        <w:t xml:space="preserve"> The Idea of a ‘Gradual Enlargement’ Process — https://doi.org/10.54237/profnet.2026.mpeesiitw_iv.5</w:t>
      </w:r>
    </w:p>
    <w:p>
      <w:pPr/>
      <w:r>
        <w:rPr>
          <w:b/>
        </w:rPr>
        <w:t>Shared claim-specific concepts:</w:t>
      </w:r>
      <w:r>
        <w:t xml:space="preserve"> gradual, ultimate, all; EU scope visible. This is a provisional connection, not an outcome finding.</w:t>
      </w:r>
    </w:p>
    <w:p>
      <w:pPr>
        <w:pStyle w:val="SourceNote"/>
      </w:pPr>
      <w:r>
        <w:rPr>
          <w:b/>
        </w:rPr>
        <w:t>Available abstract (not full text):</w:t>
      </w:r>
      <w:r>
        <w:t xml:space="preserve"> A European cooperation that can (re)unify the geographical and cultural facets of Europe has been the dream and vision since its very early foundation in the wake of the Cold War. Even starkly different visions have all formulated the reunification as the ultimate political objective of Europe. Therefore, the continuous enlargements, based on geopolitical realities and possibilities, has accompanied the evolution of the European integration until the ‘Big Bang’ or the ‘great enlargement’ of East-Central Europe in 2004, 2007, and 2013. Further enlargements pose more serious economic and geopolitical difficulties, and the prolonged processes have created dilemma vis-à-vis the candidate countries in the Western Balkan and Eastward regions. In light of this historical context, this study aims to examine the concept and objectives of ‘gradual integration’. It evaluates the positions of both the supranational institutions as well as the individual Member States while drawing a conclusion on the potential ways forward.</w:t>
      </w:r>
    </w:p>
    <w:p>
      <w:pPr/>
      <w:r>
        <w:rPr>
          <w:b/>
        </w:rPr>
        <w:t>POSSIBLE 2025:</w:t>
      </w:r>
      <w:r>
        <w:t xml:space="preserve"> Examining innovative designs of agri-environmental schemes in Europe: A case comparison of impact pathways — https://doi.org/10.1016/j.ecoser.2025.101728</w:t>
      </w:r>
    </w:p>
    <w:p>
      <w:pPr/>
      <w:r>
        <w:rPr>
          <w:b/>
        </w:rPr>
        <w:t>Shared claim-specific concepts:</w:t>
      </w:r>
      <w:r>
        <w:t xml:space="preserve"> all, grassland, water, also; EU scope visible. This is a provisional connection, not an outcome finding.</w:t>
      </w:r>
    </w:p>
    <w:p>
      <w:pPr>
        <w:pStyle w:val="SourceNote"/>
      </w:pPr>
      <w:r>
        <w:rPr>
          <w:b/>
        </w:rPr>
        <w:t>Available abstract (not full text):</w:t>
      </w:r>
      <w:r>
        <w:t xml:space="preserve"> Agri-environmental schemes (AES), a subtype of payments for ecosystem services (PES), aim to address Europe’s environmental and climate objectives by incentivising farmers to maintain or shift to farming practices that deliver additional ecosystem services (ES). We develop a theory of change (ToC) for AES, reviewing nine European case studies at different implementation stages, yet all featuring innovative contract solutions to increase ES provision (e.g., water quality, pollination) and enhance bird and grassland biodiversity. Mirroring ecosystem and geographic variety across Europe, we analyse observed strengths and weaknesses in designing, implementing, and evaluating AES, and flag emerging research gaps. Using the comparative case study (CCS) method to analyse case-specific secondary data, we highlight the importance of local contextualization and management customization across landscapes, differentiating contract types to target variable farmer groups. Some regionally implemented schemes outside the EU’s Common Agricultural Policy (CAP) framework emphasize trust-building and prove well-tailored to local conditions. New result-based schemes may achieve both farmer uptake and incremental ES delivery, depending on ES types and costs. Spatial coordination incentives (agglomeration bonuses and thresholds) stimulate farmer uptake, but their cost effectiveness remains undocument</w:t>
      </w:r>
    </w:p>
    <w:p>
      <w:pPr/>
      <w:r>
        <w:rPr>
          <w:b/>
        </w:rPr>
        <w:t>POSSIBLE 2025:</w:t>
      </w:r>
      <w:r>
        <w:t xml:space="preserve"> European Security, Borders, Crime and EU Law — https://doi.org/10.47907/europeansecurityborderscrimeandeulaw/livro</w:t>
      </w:r>
    </w:p>
    <w:p>
      <w:pPr/>
      <w:r>
        <w:rPr>
          <w:b/>
        </w:rPr>
        <w:t>Shared claim-specific concepts:</w:t>
      </w:r>
      <w:r>
        <w:t xml:space="preserve"> all, surface, also; EU scope visible. This is a provisional connection, not an outcome finding.</w:t>
      </w:r>
    </w:p>
    <w:p>
      <w:pPr>
        <w:pStyle w:val="SourceNote"/>
      </w:pPr>
      <w:r>
        <w:rPr>
          <w:b/>
        </w:rPr>
        <w:t>Available abstract (not full text):</w:t>
      </w:r>
      <w:r>
        <w:t xml:space="preserve"> Borders: imaginary lines with very real consequences -legal, social, existential.Crossing them entails risks, both for the resident population and for the foreigner.In Portuguese, risco denotes both risk and a line drawn on a surface, as, for instance, a dividing mark traced on the ground.Hence the expression pisar o risco (to step on the line), meaning imminent transgression (the crossing) that exposes the agent to risk.This linguistic peculiarity (I know of no other language in which this semantic overlap exists) is a vivid reminder that the border is more than a geopolitical device -it is also a calculation of exposure.Where a line is drawn, something is at stake -for the entitled and the non-ayant droit alike.The border becomes, for all parties, a symbolic locus of security (i.e., the successful management of risk), which, paradoxically, may drive them to adopt diametrically opposite behaviour: if need be, foreigners might be prepared to intrude illegally, whereas territorials might push them back illegally.Borders are thus sites of power, vulnerability, crime and uncertainty.Over the last decade, the challenges they pose have grown more complex -empirically and normatively -prompting the Instituto Jurídico/UCILeR to host a seminar on the subject on 18 June 2024.We were privileged to welcome a distinguished group of scholars and practitioners, joined by invi ted guests and </w:t>
      </w:r>
    </w:p>
    <w:p>
      <w:pPr/>
      <w:r>
        <w:rPr>
          <w:b/>
        </w:rPr>
        <w:t>POSSIBLE 2025:</w:t>
      </w:r>
      <w:r>
        <w:t xml:space="preserve"> A Taxonomy of Climate Change and Health Solutions Pathways: Development Of A Strategic Policy Framework — https://openalex.org/W7112181422</w:t>
      </w:r>
    </w:p>
    <w:p>
      <w:pPr/>
      <w:r>
        <w:rPr>
          <w:b/>
        </w:rPr>
        <w:t>Shared claim-specific concepts:</w:t>
      </w:r>
      <w:r>
        <w:t xml:space="preserve"> pathway, use, water, direct; EU scope not established. This is a provisional connection, not an outcome finding.</w:t>
      </w:r>
    </w:p>
    <w:p>
      <w:pPr>
        <w:pStyle w:val="SourceNote"/>
      </w:pPr>
      <w:r>
        <w:rPr>
          <w:b/>
        </w:rPr>
        <w:t>Available abstract (not full text):</w:t>
      </w:r>
      <w:r>
        <w:t xml:space="preserve"> Climate change is increasingly being recognized as the single most significant threat facing global health. Urgency is now growing globally to address the health impacts of this threat. However, despite this momentum, existing frameworks fail to integrate climate change and health (CC&amp;H) pathways with solutions and targets. This applied research project aimed to bridge this gap and create a solutions-focused policy tool to support global health practice. Through a literature review and semi-structured interviews with global philanthropic organizations, the research identified key challenges and opportunities. Findings revealed that CC&amp;H pathways can be well articulated but that a comprehensive current understanding of the burden of disease associated with CC&amp;H pathways remains elusive. In addition, a lack of formal CC&amp;H strategies amongst philanthropic organizations exists. Many organizations are grappling with how to define and evaluate their CC&amp;H work while overlooking existing global development agenda goals and targets. Overall, a persistent state of confusion prevails. Investment into the conditions for CC&amp;H solutions to emerge independently of direct philanthropic support was identified as a major conclusion of this project. Philanthropy must invest both directly in CC&amp;H solutions AND indirectly in the conditions that will enable CC&amp;H innovation to occur. Investments must</w:t>
      </w:r>
    </w:p>
    <w:p>
      <w:pPr>
        <w:pStyle w:val="Heading2"/>
      </w:pPr>
      <w:r>
        <w:t>650. Ukrainian Migration Aspirations towards Germany: Analysis and Development Scenarios</w:t>
      </w:r>
    </w:p>
    <w:p>
      <w:pPr>
        <w:pStyle w:val="SourceNote"/>
      </w:pPr>
      <w:r>
        <w:rPr>
          <w:b/>
        </w:rPr>
        <w:t>Original source (2021):</w:t>
      </w:r>
      <w:r>
        <w:t xml:space="preserve"> https://doi.org/10.18778/1508-2008.24.04</w:t>
      </w:r>
    </w:p>
    <w:p>
      <w:pPr/>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POSSIBLE 2026:</w:t>
      </w:r>
      <w:r>
        <w:t xml:space="preserve"> Soil quality assessment based on agrochemical indicators and optimized multiple linear regression — https://doi.org/10.12911/22998993/215563</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pPr/>
      <w:r>
        <w:rPr>
          <w:b/>
        </w:rPr>
        <w:t>POSSIBLE 2026:</w:t>
      </w:r>
      <w:r>
        <w:t xml:space="preserve"> Multiple Linear Regression-Enhanced RGB-based Luminescence Thermometry for High-sensitivity Thermal Readout — https://doi.org/10.48550/arxiv.2609.15102</w:t>
      </w:r>
    </w:p>
    <w:p>
      <w:pPr/>
      <w:r>
        <w:rPr>
          <w:b/>
        </w:rPr>
        <w:t>Shared claim-specific concepts:</w:t>
      </w:r>
      <w:r>
        <w:t xml:space="preserve"> based, multiple, regression, approach; EU scope not established. This is a provisional connection, not an outcome finding.</w:t>
      </w:r>
    </w:p>
    <w:p>
      <w:pPr>
        <w:pStyle w:val="SourceNote"/>
      </w:pPr>
      <w:r>
        <w:rPr>
          <w:b/>
        </w:rPr>
        <w:t>Available abstract (not full text):</w:t>
      </w:r>
      <w:r>
        <w:t xml:space="preserve"> The practical implementation of phosphors for luminescence-based thermal sensing and imaging requires simple, user-friendly approaches that enable convenient and sensitive temperature readout. To the best of our knowledge, this is the first demonstration of combining RGB-based thermal imaging using a conventional digital camera with multiple linear regression (MLR) to achieve straightforward and highly sensitive temperature determination and spatially resolved thermal imaging. Importantly, the implementation of the MLR approach enhances the relative sensitivity by more than 3-fold, compared with conventional analysis based solely on the G/R or B/R intensity ratios. The application of Ca3Al2O6:Mn2+-Ce3+ as a luminescent temperature probe, in which the intensity ratio between the Ce3+ and Mn2+ emission bands exhibits a pronounced temperature dependence, enables temperature readout through several complementary approaches. These include conventional luminescence intensity ratio thermometry (SR = 1.46% K-1), analysis of the CIE 1931 chromaticity coordinates (SRx = 0.45% K-1 and SRy = 0.14% K-1), as well as RGB-based thermal sensing and imaging using a digital camera. This multimodal optical response, together with the accessibility of camera-based readout and the substantial sensitivity enhancement enabled by MLR, establishes a practical strategy for spatially resolved luminescence</w:t>
      </w:r>
    </w:p>
    <w:p>
      <w:pPr/>
      <w:r>
        <w:rPr>
          <w:b/>
        </w:rPr>
        <w:t>POSSIBLE 2026:</w:t>
      </w:r>
      <w:r>
        <w:t xml:space="preserve"> Information Support for Socio-Economic Policy in Ukraine: From Fragmented Data to Evidence-Based Decisions in the Context of European Approaches — https://doi.org/10.15407/dse2026.01.061</w:t>
      </w:r>
    </w:p>
    <w:p>
      <w:pPr/>
      <w:r>
        <w:rPr>
          <w:b/>
        </w:rPr>
        <w:t>Shared claim-specific concepts:</w:t>
      </w:r>
      <w:r>
        <w:t xml:space="preserve"> based, multiple, article; EU scope visible. This is a provisional connection, not an outcome finding.</w:t>
      </w:r>
    </w:p>
    <w:p>
      <w:pPr>
        <w:pStyle w:val="SourceNote"/>
      </w:pPr>
      <w:r>
        <w:rPr>
          <w:b/>
        </w:rPr>
        <w:t>Available abstract (not full text):</w:t>
      </w:r>
      <w:r>
        <w:t xml:space="preserve"> The article examines the challenges of information support for Ukraine’s socio-economic policy in the context of moving from fragmented and untimely data toward an integrated information field capable of enabling evidence-based and data-driven governance across policy design, implementation, monitoring, and evaluation. It is shown that during 2014— 2021, gaps in statistical and administrative data (lack of censuses, limited capacity to conduct international surveys, underdeveloped administrative registry systems, lack of comprehensive statistics on IDPs) have led to poor data quality and institutional fragmentation of data. Following Russia’s full-scale invasion, the situation further deteriorated due to the suspension or substantial limitation of multiple official statistical operations, increasing reliance on alternative sources that are often partial and unevenly verifiable. As a consequence, strategic documents and public programmes face heightened risks of setting goals and target indicators on an insufficiently robust empirical basis. The purpose of the article is the identification of the EU regulatory and peculiarities of legal regulation regarding the main aspects of data collection, processing, storage, and use, and to justify the main directions for the formation of modern information support (information field) for socio-economic policy in Ukraine. The main research</w:t>
      </w:r>
    </w:p>
    <w:p>
      <w:pPr/>
      <w:r>
        <w:rPr>
          <w:b/>
        </w:rPr>
        <w:t>POSSIBLE 2026:</w:t>
      </w:r>
      <w:r>
        <w:t xml:space="preserve"> Overparameterized multiple linear regression as hyper-curve fitting — https://doi.org/10.1088/2632-2153/ae911b</w:t>
      </w:r>
    </w:p>
    <w:p>
      <w:pPr/>
      <w:r>
        <w:rPr>
          <w:b/>
        </w:rPr>
        <w:t>Shared claim-specific concepts:</w:t>
      </w:r>
      <w:r>
        <w:t xml:space="preserve"> multiple, regression, approach; EU scope not established. This is a provisional connection, not an outcome finding.</w:t>
      </w:r>
    </w:p>
    <w:p>
      <w:pPr>
        <w:pStyle w:val="SourceNote"/>
      </w:pPr>
      <w:r>
        <w:rPr>
          <w:b/>
        </w:rPr>
        <w:t>Available abstract (not full text):</w:t>
      </w:r>
      <w:r>
        <w:t xml:space="preserve"> Abstract This work demonstrates that applying a fixed-effect multiple linear regression model to an overparameterized dataset is mathematically equivalent to fitting a hyper-curve parameterized by a single scalar. This reformulation shifts the focus from global coefficients to individual predictors, allowing each to be modeled as a function of a common parameter. We prove that this overparameterized linear framework can yield exact predictions even when the underlying data contains nonlinear dependencies that violate classical linear assumptions. By employing parameterization in terms of the dependent variable and a monomial basis, we validate this approach on both synthetic and experimental datasets. Our results show that the hyper-curve perspective provides a robust framework for regularizing problems with noisy predictors and offers a systematic method for identifying and removing ‘improper’ predictors that degrade model generalizability.</w:t>
      </w:r>
    </w:p>
    <w:p>
      <w:pPr/>
      <w:r>
        <w:rPr>
          <w:b/>
        </w:rPr>
        <w:t>POSSIBLE 2026:</w:t>
      </w:r>
      <w:r>
        <w:t xml:space="preserve"> Observations of Gravity Wave Packets Using a Multiple Balloon, Multiple Linear Regression Technique — https://doi.org/10.1029/2026jd046534</w:t>
      </w:r>
    </w:p>
    <w:p>
      <w:pPr/>
      <w:r>
        <w:rPr>
          <w:b/>
        </w:rPr>
        <w:t>Shared claim-specific concepts:</w:t>
      </w:r>
      <w:r>
        <w:t xml:space="preserve"> multiple, regression; EU scope not established. This is a provisional connection, not an outcome finding.</w:t>
      </w:r>
    </w:p>
    <w:p>
      <w:pPr>
        <w:pStyle w:val="SourceNote"/>
      </w:pPr>
      <w:r>
        <w:rPr>
          <w:b/>
        </w:rPr>
        <w:t>Available abstract (not full text):</w:t>
      </w:r>
      <w:r>
        <w:t xml:space="preserve"> Abstract Typical climate model resolutions preclude the explicit simulation of most of the spectrum of atmospheric gravity waves (GWs). Climate models must therefore rely on GW parameterizations, which observations help constrain. Between 2011 and 2021, Loon LLC launched thousands of balloons, some of which flew close enough together to be affected by the same GW packet. These groups provide sufficient information to estimate the wavenumbers of GW packets. We identify 23 distinct GW packets seen by groups of four or more balloons using Wavelet analysis. For each GW packet, we perform a multiple linear regression using the balloons' spacing and phase offset to estimate the horizontal and vertical wavenumbers, which we use to calculate the phase speed and group velocity. Across the 23 packets found, we observe mostly low‐frequency GWs that propagate primarily meridionally. From packet properties and ERA5 reanalysis data, we test for proximity to convective and shear instabilities and find no preference for either. These results serve as a proof of concept for a novel GW property estimation technique.</w:t>
      </w:r>
    </w:p>
    <w:p>
      <w:pPr/>
      <w:r>
        <w:rPr>
          <w:b/>
        </w:rPr>
        <w:t>POSSIBLE 2026:</w:t>
      </w:r>
      <w:r>
        <w:t xml:space="preserve"> A study on carbon emission prediction of multi-energy complementary power system based on multiple linear regression model — https://doi.org/10.1186/s13021-026-00399-4</w:t>
      </w:r>
    </w:p>
    <w:p>
      <w:pPr/>
      <w:r>
        <w:rPr>
          <w:b/>
        </w:rPr>
        <w:t>Shared claim-specific concepts:</w:t>
      </w:r>
      <w:r>
        <w:t xml:space="preserve"> based, multiple, regression, structure; EU scope not established. This is a provisional connection, not an outcome finding.</w:t>
      </w:r>
    </w:p>
    <w:p>
      <w:pPr>
        <w:pStyle w:val="SourceNote"/>
      </w:pPr>
      <w:r>
        <w:rPr>
          <w:b/>
        </w:rPr>
        <w:t>Available abstract (not full text):</w:t>
      </w:r>
      <w:r>
        <w:t xml:space="preserve"> The multi-energy complementary power system achieves comprehensive and synergistic utilization of diverse energy sources, generating large-scale and distributed operational data. This introduces challenges in leveraging operational data for accurate and efficient carbon emission prediction. To effectively process the large-scale distributed operational data of power systems, identify key influencing factors, and achieve high-precision carbon emission prediction, this study investigates a carbon emission prediction method for multi-energy complementary power systems based on a multiple linear regression model. The structure of the multi-energy complementary power system is analyzed, and its carbon emission intensity is calculated. Based on the analysis results, preliminary selection of carbon emission influencing factors is conducted. A multiple linear regression model is constructed with the selected factors as independent variables and carbon emissions as the dependent variable. By performing significance tests on each independent variable, key influencing factors are identified, yielding an optimized multiple linear regression model. The model is integrated into the MapReduce parallel framework to expand computational scalability, enabling parallel processing of large-scale distributed power system data while ensuring prediction efficiency. The results demonstrate that the se</w:t>
      </w:r>
    </w:p>
    <w:p>
      <w:pPr/>
      <w:r>
        <w:rPr>
          <w:b/>
        </w:rPr>
        <w:t>POSSIBLE 2026:</w:t>
      </w:r>
      <w:r>
        <w:t xml:space="preserve"> Modeling soil volumetric water content based on climatic factors in the Tripoli region (Libya) using multiple linear regression — https://doi.org/10.1007/s44288-026-00773-2</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Climate scientists have been interested in the causes of the significant rise in temperatures, resulting in cold and heat waves, and consequently, periods of drought and flooding in various parts of the world. Our current study highlights the impact of climatic factors on soil moisture in the city of Tripoli, Libya. While many climatic variables affect volumetric water content of the soil, statistical analysis revealed a high degree of correlation between these factors, exceeding VIF values. Therefore, the focus was on relative humidity, average soil temperature at four levels, and precipitation. A strong positive correlation was found between volumetric water content of the soil, relative humidity, and precipitation (r = 0.638 and 0.528, respectively). However, the correlation with temperature was inverse (r = − 0.559) during the study period (2001–2024). Using multiple regression to determine the most significant factor affecting volumetric water content of the soil, precipitation was found to be the most influential ( $$\beta =4.22\times {10}^{-4}$$ ). Increasing the amount of precipitation by (1 mm), the average soil moisture rises directly by 0.000422 at a significance level of P &lt;0.001.</w:t>
      </w:r>
    </w:p>
    <w:p>
      <w:pPr/>
      <w:r>
        <w:rPr>
          <w:b/>
        </w:rPr>
        <w:t>POSSIBLE 2026:</w:t>
      </w:r>
      <w:r>
        <w:t xml:space="preserve"> From the Single European Act to the One Europe, One Market Agenda. — https://doi.org/10.22370/pe.2026.20.5851</w:t>
      </w:r>
    </w:p>
    <w:p>
      <w:pPr/>
      <w:r>
        <w:rPr>
          <w:b/>
        </w:rPr>
        <w:t>Shared claim-specific concepts:</w:t>
      </w:r>
      <w:r>
        <w:t xml:space="preserve"> based, multiple, approach, article;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Multiple linear and logistic regression analysis: a SmartPLS 4 software tutorial — https://doi.org/10.1057/s41270-026-00466-2</w:t>
      </w:r>
    </w:p>
    <w:p>
      <w:pPr/>
      <w:r>
        <w:rPr>
          <w:b/>
        </w:rPr>
        <w:t>Shared claim-specific concepts:</w:t>
      </w:r>
      <w:r>
        <w:t xml:space="preserve"> multiple, regression; EU scope not established. This is a provisional connection, not an outcome finding.</w:t>
      </w:r>
    </w:p>
    <w:p>
      <w:pPr>
        <w:pStyle w:val="SourceNote"/>
      </w:pPr>
      <w:r>
        <w:rPr>
          <w:b/>
        </w:rPr>
        <w:t>Available abstract (not full text):</w:t>
      </w:r>
      <w:r>
        <w:t xml:space="preserve"> Abstract This tutorial and case study provides a comprehensive, step-by-step guide to conducting multiple and logistic regression analyses using SmartPLS 4. Although SmartPLS is primarily known for partial least squares structural equation modeling (PLS-SEM), its latest version includes features that enable researchers to perform and visualize regression analyses effectively. The tutorial introduces the theoretical foundations of both standard multiple and logistic regression, outlines the main stages of model specification and estimation, and demonstrates how to implement these analyses within the SmartPLS environment. Emphasis is placed on key analytical decisions, such as model design, assumption testing, interpretation of coefficients, and goodness-of-fit measures. Practical examples and graphical outputs are included to illustrate the implementation process and to enhance understanding of the results.</w:t>
      </w:r>
    </w:p>
    <w:p>
      <w:pPr/>
      <w:r>
        <w:rPr>
          <w:b/>
        </w:rPr>
        <w:t>POSSIBLE 2026:</w:t>
      </w:r>
      <w:r>
        <w:t xml:space="preserve"> Particle Swarm Optimization based hybrid Deep Learning approach: Evidence from Europe for Predicting Air Quality Index — https://doi.org/10.53799/5gm39s77</w:t>
      </w:r>
    </w:p>
    <w:p>
      <w:pPr/>
      <w:r>
        <w:rPr>
          <w:b/>
        </w:rPr>
        <w:t>Shared claim-specific concepts:</w:t>
      </w:r>
      <w:r>
        <w:t xml:space="preserve"> based, regression, approach; EU scope visible. This is a provisional connection, not an outcome finding.</w:t>
      </w:r>
    </w:p>
    <w:p>
      <w:pPr>
        <w:pStyle w:val="SourceNote"/>
      </w:pPr>
      <w:r>
        <w:rPr>
          <w:b/>
        </w:rPr>
        <w:t>Available abstract (not full text):</w:t>
      </w:r>
      <w:r>
        <w:t xml:space="preserve"> Air pollution remains a worldwide concern, and traditional machine-learning models often struggle to capture the complex, nonlinear relationships between the Air Quality Index (AQI) and its influencing variables. This study proposes two Particle Swarm Optimization (PSO) - based hybrid deep-learning approaches for predicting AQI by incorporating the necessary variables. In the current study, one approach uses PSO, deep learning, and Linear Regression (LR) for feature selection, feature extraction, and AQI prediction, respectively, while the other employs PSO to optimize hyperparameters of deep learning. The study examines wind speed and direction using wind rose diagrams and evaluates the features' contributions using the Shapley Additive exPlanations (SHAP) analysis. Using the Wilcoxon signed-rank test, statistical validation shows that both approaches outperform existing methods at 34 monitoring locations. Specifically, the first approach is effective for 19 locations, with an average R² of 97.0%, while the second approach performs best for 33 locations, with an average R² of 98.17%. Our findings recommend implementing region-specific air quality policies across Europe. It will aid policymakers in designing targeted, effective, and data-driven interventions to improve public health and environmental resilience across Europe.</w:t>
      </w:r>
    </w:p>
    <w:p>
      <w:pPr/>
      <w:r>
        <w:rPr>
          <w:b/>
        </w:rPr>
        <w:t>POSSIBLE 2026:</w:t>
      </w:r>
      <w:r>
        <w:t xml:space="preserve"> A Multiple Linear Regression Approach to Understanding the Role of Financial Institutions in Economic Development — https://doi.org/10.4236/tel.2026.163034</w:t>
      </w:r>
    </w:p>
    <w:p>
      <w:pPr/>
      <w:r>
        <w:rPr>
          <w:b/>
        </w:rPr>
        <w:t>Shared claim-specific concepts:</w:t>
      </w:r>
      <w:r>
        <w:t xml:space="preserve"> multiple, regression, approach; EU scope not established. This is a provisional connection, not an outcome finding.</w:t>
      </w:r>
    </w:p>
    <w:p>
      <w:pPr>
        <w:pStyle w:val="SourceNote"/>
      </w:pPr>
      <w:r>
        <w:rPr>
          <w:b/>
        </w:rPr>
        <w:t>Available abstract (not full text):</w:t>
      </w:r>
      <w:r>
        <w:t xml:space="preserve"> The main purpose of this paper is to understand the role of financial institutions in economic development. Both the primary and secondary sources of data were used in the course of this study. The study also makes use of the qualitative data in the form of literature and for data analysis in various stages in the study. The secondary data collected were analysed using EViews version 8. The findings from the study revealed that Domestic Credit to Private Sector (DCPS) has a negative relationship on the Gross Domestic Product (GDP) with a coefficient value of (?0.364423). The data further revealed that this relationship is highly insignificant (p-value of 0.4454 and t-stats of ?0.766265). The study also shows that there is also a non-significant relationship between DCPS and GDP (r = ?0.032771 and p-value = 0.9006). The findings from the study revealed that Deposit Interest Rates (DIR) have a positive coefficient value of (1.771626), which is also highly significant (p-value of 0.0040 and t-stats of 2.951361) on the Gross Domestic Product (GDP). The study also revealed that there is a significant relationship between DIR and GDP (r = 0.368847 and p-value = 0.1451).</w:t>
      </w:r>
    </w:p>
    <w:p>
      <w:pPr/>
      <w:r>
        <w:rPr>
          <w:b/>
        </w:rPr>
        <w:t>POSSIBLE 2025:</w:t>
      </w:r>
      <w:r>
        <w:t xml:space="preserve"> Signal-Based Trading Strategy for SPY ETF: A Multiple Linear Regression Approach — https://doi.org/10.70693/rwsk.v1i2.552</w:t>
      </w:r>
    </w:p>
    <w:p>
      <w:pPr/>
      <w:r>
        <w:rPr>
          <w:b/>
        </w:rPr>
        <w:t>Shared claim-specific concepts:</w:t>
      </w:r>
      <w:r>
        <w:t xml:space="preserve"> multiple, regression, approach, major; EU scope visible. This is a provisional connection, not an outcome finding.</w:t>
      </w:r>
    </w:p>
    <w:p>
      <w:pPr>
        <w:pStyle w:val="SourceNote"/>
      </w:pPr>
      <w:r>
        <w:rPr>
          <w:b/>
        </w:rPr>
        <w:t>Available abstract (not full text):</w:t>
      </w:r>
      <w:r>
        <w:t xml:space="preserve">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pPr>
        <w:pStyle w:val="Heading2"/>
      </w:pPr>
      <w:r>
        <w:t>651. Where is the EU headed given its current climate policy? A stakeholder-driven model inter-comparison</w:t>
      </w:r>
    </w:p>
    <w:p>
      <w:pPr>
        <w:pStyle w:val="SourceNote"/>
      </w:pPr>
      <w:r>
        <w:rPr>
          <w:b/>
        </w:rPr>
        <w:t>Original source (2021):</w:t>
      </w:r>
      <w:r>
        <w:t xml:space="preserve"> https://doi.org/10.1016/j.scitotenv.2021.148549</w:t>
      </w:r>
    </w:p>
    <w:p>
      <w:pPr/>
      <w:r>
        <w:t>Original wording (abstract; indexed_source_text_not_full_document_verified):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POSSIBLE 2025:</w:t>
      </w:r>
      <w:r>
        <w:t xml:space="preserve"> The Rise of Social Science Infrastructures in Europe and Italy — https://doi.org/10.1007/978-3-032-07005-0_5</w:t>
      </w:r>
    </w:p>
    <w:p>
      <w:pPr/>
      <w:r>
        <w:rPr>
          <w:b/>
        </w:rPr>
        <w:t>Shared claim-specific concepts:</w:t>
      </w:r>
      <w:r>
        <w:t xml:space="preserve"> currently, framework, achieve; EU scope visible. This is a provisional connection, not an outcome finding.</w:t>
      </w:r>
    </w:p>
    <w:p>
      <w:pPr>
        <w:pStyle w:val="SourceNote"/>
      </w:pPr>
      <w:r>
        <w:rPr>
          <w:b/>
        </w:rPr>
        <w:t>Available abstract (not full text):</w:t>
      </w:r>
      <w:r>
        <w:t xml:space="preserve"> Abstract Probabilistic panel infrastructures are becoming essential components of Europe’s social science research ecosystem. Their methodological rigour, capacity for longitudinal tracking, and alignment with FAIR (Findable, Accessible, Interoperable, Reusable) principles make them particularly well-suited to addressing the complexity of contemporary societal dynamics. Italy, in alignment with broader European trends, is adopting and developing such infrastructures by integrating advanced statistical tools, digital innovation, and open science practices. This chapter discusses the role of the European Commission, the European Strategy Forum on Research Infrastructures—ESFRI Roadmap, the European Research Infrastructure Consortium (ERIC) legal framework and the European Open Science Cloud (EOSC) environment, underlining how social science in Italy is aligning and evolving to achieve the standards indicated by mayor longitudinal social science research infrastructures. This chapter serves as an introduction to key European social research infrastructures that are further explored in the following chapters. It briefly presents the Survey of Health, Ageing and Retirement in Europe (SHARE-ERIC) and the Consortium of European Social Science Data Archives (CESSDA-ERIC) as foundational tools for Open Science in the social sciences and outlines the implementation of international surve</w:t>
      </w:r>
    </w:p>
    <w:p>
      <w:pPr/>
      <w:r>
        <w:rPr>
          <w:b/>
        </w:rPr>
        <w:t>POSSIBLE 2025:</w:t>
      </w:r>
      <w:r>
        <w:t xml:space="preserve"> Diversity of biomass usage pathways to achieve emissions targets in the European energy system — https://doi.org/10.1038/s41560-024-01693-6</w:t>
      </w:r>
    </w:p>
    <w:p>
      <w:pPr/>
      <w:r>
        <w:rPr>
          <w:b/>
        </w:rPr>
        <w:t>Shared claim-specific concepts:</w:t>
      </w:r>
      <w:r>
        <w:t xml:space="preserve"> emissions, range, rather, achieve; EU scope visible. This is a provisional connection, not an outcome finding.</w:t>
      </w:r>
    </w:p>
    <w:p>
      <w:pPr>
        <w:pStyle w:val="SourceNote"/>
      </w:pPr>
      <w:r>
        <w:rPr>
          <w:b/>
        </w:rPr>
        <w:t>Available abstract (not full text):</w:t>
      </w:r>
      <w:r>
        <w:t xml:space="preserve"> Abstract Biomass is a versatile renewable energy source that can be used in all parts of the energy system, but it is a limited resource and usage needs prioritisation. Here we use a sector-coupled European energy system model to explore the range of cost-effective near-optimal solutions for achieving stringent emissions targets. We show that provision of biogenic carbon rather than energy is the main value of biomass, with the energy system cost increasing by 20% if biomass is excluded. It is not crucial in which sector biomass is used if it is combined with carbon capture to enable negative emissions and e-fuel production. A shortage of renewable electricity or hydrogen primarily increases the value of biomass for fuel production, which appears as the marginal abatement option and is most sensitive to uncertainties. Biomass usage is significantly affected if the biomass is associated with upstream emissions.</w:t>
      </w:r>
    </w:p>
    <w:p>
      <w:pPr/>
      <w:r>
        <w:rPr>
          <w:b/>
        </w:rPr>
        <w:t>POSSIBLE 2025:</w:t>
      </w:r>
      <w:r>
        <w:t xml:space="preserve"> Still on track for electrification? A qualitative comparative analysis of e-mobility policy mixes in 14 European cities — https://doi.org/10.1016/j.urbmob.2025.100114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A major concern for policymakers in European cities is to identify the right policy mix that promotes the diffusion of battery electric vehicles (BEV's). Existing research focuses mainly on the effect of fiscal policies at the national, aggregated level. Consequently, less is known about policy mixes that include monetary and non-monetary policies implemented at both the national and local level. Building on prior research, we deploy a two-step fuzzy-set Qualitative Comparative Analysis (fsQCA) of BEV policies in 14 European cities to identify policy mixes that successfully promote the urban adoption of BEV's. We find two policy mixes that promote BEV uptake. First, recurring monetary and non-monetary policies that address behavioral aspects of BEV-usage at the local level in conjunction with monetary incentives for home and workplace charging points as well as on-street residential charging points successfully propel BEV uptake. Second, the presence of monetary incentives for home and workplace charging points, as well as on-street residential charging points in conjunction with policies disincentivizing conventional car usage promote the adoption of BEV's. Our study shows that BEV policies must be tailored carefully across different policy levels and individually to BEV-user contexts in cities. QCA provides a helpful tool for evaluating BEV policy mixes.</w:t>
      </w:r>
    </w:p>
    <w:p>
      <w:pPr/>
      <w:r>
        <w:rPr>
          <w:b/>
        </w:rPr>
        <w:t>POSSIBLE 2024:</w:t>
      </w:r>
      <w:r>
        <w:t xml:space="preserve"> Tracking Loop Current Eddies in the Gulf of Mexico Using Satellite-Derived Chlorophyll-a — https://doi.org/10.3390/rs16122234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During the period of 2018–2022, there were six named Loop Current Eddy (LCE) shedding events in the central Gulf of Mexico (GoM). LCEs form when a large anticyclonic eddy (AE) separates from the main Loop Current (LC) and propagates westward. In doing so, each LCE traps and advects warmer, saltier waters with lower Chlorophyll-a (Chl-a) concentrations than the surrounding Gulf waters. This difference in water mass permits the study of the effectiveness of using Chl-a from satellite-derived ocean color to identify LCEs in the GoM. In this work, we apply an eddy-tracking algorithm to Chl-a to detect LCEs, which we have validated against the traditional sea surface height-(SSH) based eddy-tracking approach with three datasets. We apply a closed-contour eddy-tracking algorithm to the SSH of two model products (HYbrid Coordination Ocean Model; HYCOM and Nucleus for European Modelling of the Ocean; NEMO) and absolute dynamic topography (ADT) from altimetry, as well as satellite-derived Chl-a data to identify the six named LCEs from 2018 to 2022. We find that Chl-a best characterizes LCEs in the summertime due to a basin-wide increase in the horizontal gradient of Chl-a, which permits a more clearly defined eddy edge. This study demonstrates that Chl-a can be effectively used to identify and track LC and LCEs in the GoM, serving as a promising source of information for regional data a</w:t>
      </w:r>
    </w:p>
    <w:p>
      <w:pPr/>
      <w:r>
        <w:rPr>
          <w:b/>
        </w:rPr>
        <w:t>POSSIBLE 2024:</w:t>
      </w:r>
      <w:r>
        <w:t xml:space="preserve"> A unifying modelling of multiple land degradation pathways in Europe — https://doi.org/10.1038/s41467-024-48252-x</w:t>
      </w:r>
    </w:p>
    <w:p>
      <w:pPr/>
      <w:r>
        <w:rPr>
          <w:b/>
        </w:rPr>
        <w:t>Shared claim-specific concepts:</w:t>
      </w:r>
      <w:r>
        <w:t xml:space="preserve"> find, currently, goals;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Ancient and modern DNA track temporal and spatial population dynamics in the European fallow deer since the Eemian interglacial — https://doi.org/10.1038/s41598-023-48112-6</w:t>
      </w:r>
    </w:p>
    <w:p>
      <w:pPr/>
      <w:r>
        <w:rPr>
          <w:b/>
        </w:rPr>
        <w:t>Shared claim-specific concepts:</w:t>
      </w:r>
      <w:r>
        <w:t xml:space="preserve"> find, currently, track, far, range; EU scope visible. This is a provisional connection, not an outcome finding.</w:t>
      </w:r>
    </w:p>
    <w:p>
      <w:pPr>
        <w:pStyle w:val="SourceNote"/>
      </w:pPr>
      <w:r>
        <w:rPr>
          <w:b/>
        </w:rPr>
        <w:t>Available abstract (not full text):</w:t>
      </w:r>
      <w:r>
        <w:t xml:space="preserve"> Anthropogenic factors have impacted the diversity and evolutionary trajectory of various species. This can be through factors such as pressure on population size or range, habitat fragmentation, or extensive manipulation and translocation. Here we use time-calibrated data to better understand the pattern and processes of evolution in the heavily manipulated European fallow deer (Dama dama). During the Pleistocene, fallow deer had a broad distribution across Europe and were found as far north as Britain during the Eemian interglacial. The last glacial period saw fallow deer retreat to southern refugia and they did not disperse north afterwards. Their recolonisation was mediated by people and, from northern Europe and the British Isles, fallow deer were transported around the world. We use ancient and modern mitochondrial DNA (mtDNA) and mitogenomic data from Eemian Britain to assess the pattern of change in distribution and lineage structure across Europe over time. We find founder effects and mixed lineages in the northern populations, and stability over time for populations in southern Europe. The Eemian sample was most similar to a lineage currently in Italy, suggesting an early establishment of the relevant refuge. We consider the implications for the integration of anthropogenic and natural processes towards a better understanding of the evolution of fallow deer in Europe.</w:t>
      </w:r>
    </w:p>
    <w:p>
      <w:pPr/>
      <w:r>
        <w:rPr>
          <w:b/>
        </w:rPr>
        <w:t>POSSIBLE 2023:</w:t>
      </w:r>
      <w:r>
        <w:t xml:space="preserve"> Portfolio Performance of European Target Prices — https://doi.org/10.3390/jrfm16080347</w:t>
      </w:r>
    </w:p>
    <w:p>
      <w:pPr/>
      <w:r>
        <w:rPr>
          <w:b/>
        </w:rPr>
        <w:t>Shared claim-specific concepts:</w:t>
      </w:r>
      <w:r>
        <w:t xml:space="preserve"> find, target, well, achieve; EU scope visible. This is a provisional connection, not an outcome finding.</w:t>
      </w:r>
    </w:p>
    <w:p>
      <w:pPr>
        <w:pStyle w:val="SourceNote"/>
      </w:pPr>
      <w:r>
        <w:rPr>
          <w:b/>
        </w:rPr>
        <w:t>Available abstract (not full text):</w:t>
      </w:r>
      <w:r>
        <w:t xml:space="preserve"> This paper examines the performance of actively managed portfolios constructed using target price recommendations provided by analysts. We propose two methods for constructing portfolios based on Bloomberg’s 12-month target price consensus, which serves as a signal to buy or sell assets. Using a sample of 50 European stocks over a 19-year period (from 1 April 2004 to 31 March 2023), we compare the performance of target-price-based portfolios to traditional alternatives, such as a naïve homogeneous portfolio and the Eurostoxx 50 index, as well as to passive portfolios based on average recommendations. We also look into the mean-variance efficiency of these portfolios and find that all exhibit similar levels of efficiency, which are well below the performance of the theoretical tangent portfolios. Our results indicate that target-price-based portfolios show performance very close to that of the naïve homogeneous portfolio. Even the passive “average” target price portfolios, which require previous knowledge of targets for the entire investment period, are unable to outperform the naïve portfolio. Our main findings are based on a 15-year investment horizon but are robust when considering smaller maturities and out-of-sample data. We also investigate the impact of rebalancing on portfolio performance and find that it does pay off in the long run (over an 8-year investment period), b</w:t>
      </w:r>
    </w:p>
    <w:p>
      <w:pPr/>
      <w:r>
        <w:rPr>
          <w:b/>
        </w:rPr>
        <w:t>POSSIBLE 2023:</w:t>
      </w:r>
      <w:r>
        <w:t xml:space="preserve"> The consolidated European synthesis of CO 2 emissions and removals for the European Union and United Kingdom: 1990–2020 — https://doi.org/10.5194/essd-15-4295-2023</w:t>
      </w:r>
    </w:p>
    <w:p>
      <w:pPr/>
      <w:r>
        <w:rPr>
          <w:b/>
        </w:rPr>
        <w:t>Shared claim-specific concepts:</w:t>
      </w:r>
      <w:r>
        <w:t xml:space="preserve"> find, currently, yet, emissions, well, framework; EU scope visible. This is a provisional connection, not an outcome finding.</w:t>
      </w:r>
    </w:p>
    <w:p>
      <w:pPr>
        <w:pStyle w:val="SourceNote"/>
      </w:pPr>
      <w:r>
        <w:rPr>
          <w:b/>
        </w:rPr>
        <w:t>Available abstract (not full text):</w:t>
      </w:r>
      <w:r>
        <w:t xml:space="preserve"> Abstract. Quantification of land surface-atmosphere fluxes of carbon dioxide (CO2) fluxes and their trends and uncertainties is essential for monitoring progress of the EU27+UK bloc as it strives to meet ambitious targets determined by both international agreements and internal regulation. This study provides a consolidated synthesis of fossil sources (CO2 fossil) and natural sources and sinks over land (CO2 land) using bottom-up (BU) and top-down (TD) approaches for the European Union and United Kingdom (EU27+UK), updating earlier syntheses (Petrescu et al., 2020, 2021b). Given the wide scope of the work and the variety of approaches involved, this study aims to answer essential questions identified in the previous syntheses and understand the differences between datasets, particularly for poorly characterized fluxes from managed ecosystems. The work integrates updated emission inventory data, process-based model results, data-driven sectoral model results, and inverse modeling estimates, extending the previous period 1990–2018 to the year 2020 to the extent possible. BU and TD products are compared with European National Greenhouse Gas Inventories (NGHGIs) reported by Parties including the year 2019 under the United Nations Framework Convention on Climate Change (UNFCCC). The uncertainties of the EU27+UK NGHGI were evaluated using the standard deviation reported by the EU Mem</w:t>
      </w:r>
    </w:p>
    <w:p>
      <w:pPr/>
      <w:r>
        <w:rPr>
          <w:b/>
        </w:rPr>
        <w:t>POSSIBLE 2023:</w:t>
      </w:r>
      <w:r>
        <w:t xml:space="preserve"> Impact of Circular Economy Measures in the European Union Built Environment on a Net-Zero Target — https://doi.org/10.1007/s43615-023-00257-2</w:t>
      </w:r>
    </w:p>
    <w:p>
      <w:pPr/>
      <w:r>
        <w:rPr>
          <w:b/>
        </w:rPr>
        <w:t>Shared claim-specific concepts:</w:t>
      </w:r>
      <w:r>
        <w:t xml:space="preserve"> find, target, emissions, goals; EU scope visible. This is a provisional connection, not an outcome finding.</w:t>
      </w:r>
    </w:p>
    <w:p>
      <w:pPr>
        <w:pStyle w:val="SourceNote"/>
      </w:pPr>
      <w:r>
        <w:rPr>
          <w:b/>
        </w:rPr>
        <w:t>Available abstract (not full text):</w:t>
      </w:r>
      <w:r>
        <w:t xml:space="preserve"> Abstract Environmental benefits of circular economy (CE) measures, such as waste reduction, need to be weighed against the urgent need to reduce CO2 emissions to zero, in line with the Paris Agreement climate goals of 1.5–2 °C. Several studies have quantified CO2 emissions associated with CE measures in the construction sector in different EU countries, with the literature’s focus ranging from bricks and insulation products, to individual buildings, to the entire construction sector. We find that there is a lack of synthesis and comparison of such studies to each other and to the EU CO2 emission reduction targets, showing a need for estimating the EU-wide mitigation potential of CE strategies. To evaluate the contribution that CE strategies can make to reducing the EU’s emissions, we scale up the CO2 emission estimates from the existing studies to the EU level and compare them to each other, from both construction-element and sector-wide perspectives. Our analysis shows that average CO2 savings from sector-wide estimates (mean 39.28 Mt CO2 eq./year) slightly exceeded construction-element savings (mean 25.06 Mt CO2 eq./year). We also find that a conservative estimate of 234 Mt CO2 eq./year in combined emission savings from CE strategies targeting construction elements can significantly contribute towards managing the EU’s remaining carbon budget. While this is a significant miti</w:t>
      </w:r>
    </w:p>
    <w:p>
      <w:pPr/>
      <w:r>
        <w:rPr>
          <w:b/>
        </w:rPr>
        <w:t>POSSIBLE 2023:</w:t>
      </w:r>
      <w:r>
        <w:t xml:space="preserve"> Climate targets in European timber-producing countries conflict with goals on forest ecosystem services and biodiversity — https://doi.org/10.1038/s43247-023-00771-z</w:t>
      </w:r>
    </w:p>
    <w:p>
      <w:pPr/>
      <w:r>
        <w:rPr>
          <w:b/>
        </w:rPr>
        <w:t>Shared claim-specific concepts:</w:t>
      </w:r>
      <w:r>
        <w:t xml:space="preserve"> target, region, goals; EU scope visible. This is a provisional connection, not an outcome finding.</w:t>
      </w:r>
    </w:p>
    <w:p>
      <w:pPr>
        <w:pStyle w:val="SourceNote"/>
      </w:pPr>
      <w:r>
        <w:rPr>
          <w:b/>
        </w:rPr>
        <w:t>Available abstract (not full text):</w:t>
      </w:r>
      <w:r>
        <w:t xml:space="preserve"> Abstract The European Union (EU) set clear climate change mitigation targets to reach climate neutrality, accounting for forests and their woody biomass resources. We investigated the consequences of increased harvest demands resulting from EU climate targets. We analysed the impacts on national policy objectives for forest ecosystem services and biodiversity through empirical forest simulation and multi-objective optimization methods. We show that key European timber-producing countries – Finland, Sweden, Germany (Bavaria) – cannot fulfil the increased harvest demands linked to the ambitious 1.5°C target. Potentials for harvest increase only exists in the studied region Norway. However, focusing on EU climate targets conflicts with several national policies and causes adverse effects on multiple ecosystem services and biodiversity. We argue that the role of forests and their timber resources in achieving climate targets and societal decarbonization should not be overstated. Our study provides insight for other European countries challenged by conflicting policies and supports policymakers.</w:t>
      </w:r>
    </w:p>
    <w:p>
      <w:pPr/>
      <w:r>
        <w:rPr>
          <w:b/>
        </w:rPr>
        <w:t>POSSIBLE 2023:</w:t>
      </w:r>
      <w:r>
        <w:t xml:space="preserve"> The Precipitation Characteristics of Mesoscale Convective Systems Over Europe — https://doi.org/10.1029/2023jd039045</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Abstract Mesoscale convective systems (MCSs) are common over Europe and can produce severe weather, including extreme precipitation that leads to flash floods. The few studies analyzing the climatological characteristics of MCSs over Europe are either focusing on only few years of data or on limited subareas. Using the recent Integrated MultisatellitE Retrievals for Global Precipitation Measurement (IMERG) satellite precipitation climatology, we identify and track MCSs for 16 years over Europe. The tracking algorithm relies on the overlap of precipitation features between consecutive time steps and, unlike previous studies, uses lightning data to distinguish convective from stratiform rain patches, which can reduce potential identification errors. We analyze this new European MCS climatology to characterize MCS precipitation properties and conclude the following results: MCSs overall occur most frequently over the Mediterranean and Atlantic during fall and winter, whereas during summer, they concentrate over the continent. Typically, more than a third of seasonal precipitation can be attributed to MCSs, and their contribution to extreme precipitation is even greater, often exceeding 60%. MCSs over the continent display a clear diurnal cycle peak during the afternoon, and some continental areas also show a second, nocturnal peak. The MCS diurnal cycle for coastal and oceanic reg</w:t>
      </w:r>
    </w:p>
    <w:p>
      <w:pPr/>
      <w:r>
        <w:rPr>
          <w:b/>
        </w:rPr>
        <w:t>POSSIBLE 2023:</w:t>
      </w:r>
      <w:r>
        <w:t xml:space="preserve"> Compact Transformer Tracker with Correlative Masked Modeling — https://doi.org/10.1609/aaai.v37i2.25327</w:t>
      </w:r>
    </w:p>
    <w:p>
      <w:pPr/>
      <w:r>
        <w:rPr>
          <w:b/>
        </w:rPr>
        <w:t>Shared claim-specific concepts:</w:t>
      </w:r>
      <w:r>
        <w:t xml:space="preserve"> find, target, framework, exploring; EU scope not established. This is a provisional connection, not an outcome finding.</w:t>
      </w:r>
    </w:p>
    <w:p>
      <w:pPr>
        <w:pStyle w:val="SourceNote"/>
      </w:pPr>
      <w:r>
        <w:rPr>
          <w:b/>
        </w:rPr>
        <w:t>Available abstract (not full text):</w:t>
      </w:r>
      <w:r>
        <w:t xml:space="preserve"> Transformer framework has been showing superior performances in visual object tracking for its great strength in information aggregation across the template and search image with the well-known attention mechanism. Most recent advances focus on exploring attention mechanism variants for better information aggregation. We find these schemes are equivalent to or even just a subset of the basic self-attention mechanism. In this paper, we prove that the vanilla self-attention structure is sufficient for information aggregation, and structural adaption is unnecessary. The key is not the attention structure, but how to extract the discriminative feature for tracking and enhance the communication between the target and search image. Based on this finding, we adopt the basic vision transformer (ViT) architecture as our main tracker and concatenate the template and search image for feature embedding. To guide the encoder to capture the invariant feature for tracking, we attach a lightweight correlative masked decoder which reconstructs the original template and search image from the corresponding masked tokens. The correlative masked decoder serves as a plugin for the compact transformer tracker and is skipped in inference. Our compact tracker uses the most simple structure which only consists of a ViT backbone and a box head, and can run at 40 fps. Extensive experiments show the propos</w:t>
      </w:r>
    </w:p>
    <w:p>
      <w:pPr>
        <w:pStyle w:val="Heading2"/>
      </w:pPr>
      <w:r>
        <w:t>652. A Game for All Seasons: Lessons and Learnings from the JRC’s Scenario Exploration System</w:t>
      </w:r>
    </w:p>
    <w:p>
      <w:pPr>
        <w:pStyle w:val="SourceNote"/>
      </w:pPr>
      <w:r>
        <w:rPr>
          <w:b/>
        </w:rPr>
        <w:t>Original source (2020):</w:t>
      </w:r>
      <w:r>
        <w:t xml:space="preserve"> https://doi.org/10.1177/1946756719890524</w:t>
      </w:r>
    </w:p>
    <w:p>
      <w:pPr/>
      <w:r>
        <w:t>Original wording (abstract; indexed_source_text_not_full_document_verified): It was originally geared at engaging EU policy-makers with scenarios in a facilitated process with a low learning curve.</w:t>
      </w:r>
    </w:p>
    <w:p>
      <w:pPr/>
      <w:r>
        <w:rPr>
          <w:b/>
        </w:rPr>
        <w:t>POSSIBLE 2022:</w:t>
      </w:r>
      <w:r>
        <w:t xml:space="preserve"> How not to manage crises in the European Union — https://doi.org/10.1093/ia/iiac064</w:t>
      </w:r>
    </w:p>
    <w:p>
      <w:pPr/>
      <w:r>
        <w:rPr>
          <w:b/>
        </w:rPr>
        <w:t>Shared claim-specific concepts:</w:t>
      </w:r>
      <w:r>
        <w:t xml:space="preserve"> engaging, policy-makers, process; EU scope visible. This is a provisional connection, not an outcome finding.</w:t>
      </w:r>
    </w:p>
    <w:p>
      <w:pPr>
        <w:pStyle w:val="SourceNote"/>
      </w:pPr>
      <w:r>
        <w:rPr>
          <w:b/>
        </w:rPr>
        <w:t>Available abstract (not full text):</w:t>
      </w:r>
      <w:r>
        <w:t xml:space="preserve"> Abstract The process of European integration has often been used as either a model or an anti-model for other regional integration experiences. This article discusses the European Union's shortcomings in crisis management, arguing that valuable ‘how not to’ lessons can be drawn by dissecting the initial stages of the eurozone crisis and the COVID–19 pandemic as ‘moments of truth’. The main policy mistakes committed at the onset of both crises are explored devoting special attention to the role played by the hiatus between research and policy, as well as the inadequacies, biases and hubris of academic analyses. Ideally, comprehensive reforms would be required to equip the EU with the competences and tools needed for effective crisis management. The article concludes that, in the absence of such comprehensive reforms, the only option left to policy-makers engaging in crisis management will be to seek a pragmatic middle ground between supranationalism and intergovernmentalism on a case-by-case basis.</w:t>
      </w:r>
    </w:p>
    <w:p>
      <w:pPr/>
      <w:r>
        <w:rPr>
          <w:b/>
        </w:rPr>
        <w:t>POSSIBLE 2021:</w:t>
      </w:r>
      <w:r>
        <w:t xml:space="preserve"> Metamorphosis: a different history of the Union — https://doi.org/10.1017/9781788214247.003</w:t>
      </w:r>
    </w:p>
    <w:p>
      <w:pPr/>
      <w:r>
        <w:rPr>
          <w:b/>
        </w:rPr>
        <w:t>Shared claim-specific concepts:</w:t>
      </w:r>
      <w:r>
        <w:t xml:space="preserve"> originally, geared, engaging, process; EU scope visible. This is a provisional connection, not an outcome finding.</w:t>
      </w:r>
    </w:p>
    <w:p>
      <w:pPr>
        <w:pStyle w:val="SourceNote"/>
      </w:pPr>
      <w:r>
        <w:rPr>
          <w:b/>
        </w:rPr>
        <w:t>Available abstract (not full text):</w:t>
      </w:r>
      <w:r>
        <w:t xml:space="preserve"> Every true history is contemporary history. Benedetto Croce, Theory and History of Historiography Rules-politics and events-politics The feeling that the slightest hiccough can take the European Union to the edge of the abyss is attributable to the metamorphosis it has undergone over recent decades, from a structure devoted purely to “rules-politics” to a set-up also capable of engaging in “events-politics”. But insight into this gradual transformation is lacking. We will not understand the new Europe as long as we continue to look through the lens of the old. That a revolution is happening before our eyes is the central tenet of this book. Over the past 30 years the operating procedure of the Union has changed fundamentally, with regard not just to who takes the decisions, and how and where they are taken, but to the way the Union is perceived, the way people observe European politics and why now more than ever they are demanding a direct say in a shared political life. It is a process of slow trends, shifting power relations and altered mentalities. All these changes have been accelerated, and sometimes exposed, by the acute shock of the pandemic. The urgency of the Covid crisis makes an interim analysis indispensable. What is happening? What has changed? The institutions of the Union were originally designed principally to create a market and keep it in balance. This rules-p</w:t>
      </w:r>
    </w:p>
    <w:p>
      <w:pPr>
        <w:pStyle w:val="Heading2"/>
      </w:pPr>
      <w:r>
        <w:t>653. A comparison of three transformation pathways towards a sustainable European society - An integrated analysis from an energy system perspective</w:t>
      </w:r>
    </w:p>
    <w:p>
      <w:pPr>
        <w:pStyle w:val="SourceNote"/>
      </w:pPr>
      <w:r>
        <w:rPr>
          <w:b/>
        </w:rPr>
        <w:t>Original source (2020):</w:t>
      </w:r>
      <w:r>
        <w:t xml:space="preserve"> https://doi.org/10.1016/j.esr.2020.100461</w:t>
      </w:r>
    </w:p>
    <w:p>
      <w:pPr/>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POSSIBLE 2026:</w:t>
      </w:r>
      <w:r>
        <w:t xml:space="preserve"> The impacts of the covidfencing phenomenon in three European cross border regions — https://doi.org/10.1080/09654313.2026.2655883</w:t>
      </w:r>
    </w:p>
    <w:p>
      <w:pPr/>
      <w:r>
        <w:rPr>
          <w:b/>
        </w:rPr>
        <w:t>Shared claim-specific concepts:</w:t>
      </w:r>
      <w:r>
        <w:t xml:space="preserve"> looks, three, role; EU scope visible. This is a provisional connection, not an outcome finding.</w:t>
      </w:r>
    </w:p>
    <w:p>
      <w:pPr>
        <w:pStyle w:val="SourceNote"/>
      </w:pPr>
      <w:r>
        <w:rPr>
          <w:b/>
        </w:rPr>
        <w:t>Available abstract (not full text):</w:t>
      </w:r>
      <w:r>
        <w:t xml:space="preserve">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pPr/>
      <w:r>
        <w:rPr>
          <w:b/>
        </w:rPr>
        <w:t>POSSIBLE 2026:</w:t>
      </w:r>
      <w:r>
        <w:t xml:space="preserve"> Mnemonic Devices Used by Iraqi Distinguished Students — https://doi.org/10.63797/5nanjq38</w:t>
      </w:r>
    </w:p>
    <w:p>
      <w:pPr/>
      <w:r>
        <w:rPr>
          <w:b/>
        </w:rPr>
        <w:t>Shared claim-specific concepts:</w:t>
      </w:r>
      <w:r>
        <w:t xml:space="preserve"> distinguished, one, role, all; EU scope not established. This is a provisional connection, not an outcome finding.</w:t>
      </w:r>
    </w:p>
    <w:p>
      <w:pPr>
        <w:pStyle w:val="SourceNote"/>
      </w:pPr>
      <w:r>
        <w:rPr>
          <w:b/>
        </w:rPr>
        <w:t>Available abstract (not full text):</w:t>
      </w:r>
      <w:r>
        <w:t xml:space="preserve"> Mnemonic devices are special techniques or strategies consciously used to improve memory. They help employ information already stored in long-term memory in order to make memorization an easier task. All specialists in the field of education and methodology agree about the important role such strategies play in improving students storing and later recall of information. The present study firstly aims at exploring mnemonic strategies used by Iraqi distinguished students. The second aim is that the researcher wants to shed light on the types of mnemonics devices used by male and those adopted by female students. To achieve aims of the study the researcher constructs a questionnaire. A closed type of questionnaire consists of (32) items with five Likert options built by the researcher. Each item of the questionnaire reflects one of the mnemonic strategies that can be used by student when they want to memorize and retrieve information. The whole population of the present study includes the fifth stage students of secondary schools for distinguished students for boys and girls in the city of Karbala governorate during the academic year 2023-2024. The sample of the present study consists of (165) students (male and female) and this represent all the distinguished students in fifth secondary stage in Karbala city in the academic year 2023-2024.</w:t>
      </w:r>
    </w:p>
    <w:p>
      <w:pPr/>
      <w:r>
        <w:rPr>
          <w:b/>
        </w:rPr>
        <w:t>POSSIBLE 2026:</w:t>
      </w:r>
      <w:r>
        <w:t xml:space="preserve"> Civil Disobedience Across Contexts - Gandhi’s Methods and Eastern European Resistance Movements — https://doi.org/10.58944/mmnt9341</w:t>
      </w:r>
    </w:p>
    <w:p>
      <w:pPr/>
      <w:r>
        <w:rPr>
          <w:b/>
        </w:rPr>
        <w:t>Shared claim-specific concepts:</w:t>
      </w:r>
      <w:r>
        <w:t xml:space="preserve"> application, looks, three; EU scope visible. This is a provisional connection, not an outcome finding.</w:t>
      </w:r>
    </w:p>
    <w:p>
      <w:pPr>
        <w:pStyle w:val="SourceNote"/>
      </w:pPr>
      <w:r>
        <w:rPr>
          <w:b/>
        </w:rPr>
        <w:t>Available abstract (not full text):</w:t>
      </w:r>
      <w:r>
        <w:t xml:space="preserve"> This paper looks at how civil disobedience was practised by Mahatma Gandhi and how the non-violence strategy paralleled or influenced twentieth-century peaceful revolutions in Eastern Europe, such as the Solidarity Movement in Poland, the Velvet Revolution in Czechoslovakia, and the Peaceful Revolution in East Germany. 1 Dr Parvesh Kumar is Assistant Professor in the Department of Political Science at Kurukshetra University, Kurukshetra, Haryana, India. He specialises in Political Thought, Indian Government and Politics, Comparative Politics, and International Relations, with a research focus on Gandhian Philosophy. He has contributed to the study of Gandhian political theory and its contemporary relevance, with particular attention to comparative political frameworks and the global reception of Gandhian thought. 2 Daksh is a Ph.D. Research Scholar in the Department of Political Science at Kurukshetra University, Kurukshetra, Haryana, India. His doctoral research specialises in Political Thought, Indian Government and Politics, Comparative Politics, and International Relations, with a particular focus on Gandhian Philosophy and its application to contemporary political, societal, and cross-cultural challenges. POLIS No. 25, ISSUE 1/ 2026 49 In a qualitative historical-comparative design, the study uses the primary sources of Gandhi, movement documents and secondary sources of a</w:t>
      </w:r>
    </w:p>
    <w:p>
      <w:pPr/>
      <w:r>
        <w:rPr>
          <w:b/>
        </w:rPr>
        <w:t>POSSIBLE 2025:</w:t>
      </w:r>
      <w:r>
        <w:t xml:space="preserve"> Celebrating its past, European Medicines Agency looks to the future of public communication — https://doi.org/10.56012/jkzv5290</w:t>
      </w:r>
    </w:p>
    <w:p>
      <w:pPr/>
      <w:r>
        <w:rPr>
          <w:b/>
        </w:rPr>
        <w:t>Shared claim-specific concepts:</w:t>
      </w:r>
      <w:r>
        <w:t xml:space="preserve"> looks, three, one; EU scope visible. This is a provisional connection, not an outcome finding.</w:t>
      </w:r>
    </w:p>
    <w:p>
      <w:pPr>
        <w:pStyle w:val="SourceNote"/>
      </w:pPr>
      <w:r>
        <w:rPr>
          <w:b/>
        </w:rPr>
        <w:t>Available abstract (not full text):</w:t>
      </w:r>
      <w:r>
        <w:t xml:space="preserve">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pPr/>
      <w:r>
        <w:rPr>
          <w:b/>
        </w:rPr>
        <w:t>POSSIBLE 2025:</w:t>
      </w:r>
      <w:r>
        <w:t xml:space="preserve"> A Comprehensive Review of Solar Photovoltaic Systems: Scope, Technologies, Applications, Progress, Challenges, and Recommendations — https://doi.org/10.1109/access.2025.3558539</w:t>
      </w:r>
    </w:p>
    <w:p>
      <w:pPr/>
      <w:r>
        <w:rPr>
          <w:b/>
        </w:rPr>
        <w:t>Shared claim-specific concepts:</w:t>
      </w:r>
      <w:r>
        <w:t xml:space="preserve"> looks, three, one, energy; EU scope visible. This is a provisional connection, not an outcome finding.</w:t>
      </w:r>
    </w:p>
    <w:p>
      <w:pPr>
        <w:pStyle w:val="SourceNote"/>
      </w:pPr>
      <w:r>
        <w:rPr>
          <w:b/>
        </w:rPr>
        <w:t>Available abstract (not full text):</w:t>
      </w:r>
      <w:r>
        <w:t xml:space="preserve">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pPr/>
      <w:r>
        <w:rPr>
          <w:b/>
        </w:rPr>
        <w:t>POSSIBLE 2025:</w:t>
      </w:r>
      <w:r>
        <w:t xml:space="preserve"> Taxonomical Analysis of Alternative Energy Sources Application in Road Transport in the European Union Countries — https://doi.org/10.3390/en18164228</w:t>
      </w:r>
    </w:p>
    <w:p>
      <w:pPr/>
      <w:r>
        <w:rPr>
          <w:b/>
        </w:rPr>
        <w:t>Shared claim-specific concepts:</w:t>
      </w:r>
      <w:r>
        <w:t xml:space="preserve"> application, looks, energy; EU scope visible. This is a provisional connection, not an outcome finding.</w:t>
      </w:r>
    </w:p>
    <w:p>
      <w:pPr>
        <w:pStyle w:val="SourceNote"/>
      </w:pPr>
      <w:r>
        <w:rPr>
          <w:b/>
        </w:rPr>
        <w:t>Available abstract (not full text):</w:t>
      </w:r>
      <w:r>
        <w:t xml:space="preserve"> Currently, the market for cars based on alternative fuels is developing very dynamically, which is caused by the growing needs in the field of environmental protection and the desire to reduce dependence on fossil fuels. Many countries have introduced various forms of support for people who decide to buy an electric or a hybrid car. The European Union has also introduced increasingly restrictive CO2 emission standards, which accelerates the transition to alternative drives. The main research question in the paper was how the market for alternative energy sources in transport is developing in individual countries of the community, what the infrastructure looks like, and whether there is a large diversity in this field in the countries under study. The taxonomic methods (the TOPSIS method and the cluster analysis) have been applied for the research. The data were taken from Eurostat and the European Alternative Fuels Observatory statistical data. The analysis allowed an identification of key regularities that characterize the process of transformation of road transport in the European Union. Firstly, there is a clear division in countries with a high level of electrification (clusters I, IV, and VI) and countries that prefer gas drives (cluster V) or that are at an early stage of transformation (clusters II and III). Secondly, a strong relationship between the development of char</w:t>
      </w:r>
    </w:p>
    <w:p>
      <w:pPr/>
      <w:r>
        <w:rPr>
          <w:b/>
        </w:rPr>
        <w:t>POSSIBLE 2024:</w:t>
      </w:r>
      <w:r>
        <w:t xml:space="preserve"> European Union Funds – Application Perspective — https://doi.org/10.33067/se.1.2024.1</w:t>
      </w:r>
    </w:p>
    <w:p>
      <w:pPr/>
      <w:r>
        <w:rPr>
          <w:b/>
        </w:rPr>
        <w:t>Shared claim-specific concepts:</w:t>
      </w:r>
      <w:r>
        <w:t xml:space="preserve"> application, but, all; EU scope visible. This is a provisional connection, not an outcome finding.</w:t>
      </w:r>
    </w:p>
    <w:p>
      <w:pPr>
        <w:pStyle w:val="SourceNote"/>
      </w:pPr>
      <w:r>
        <w:rPr>
          <w:b/>
        </w:rPr>
        <w:t>Available abstract (not full text):</w:t>
      </w:r>
      <w:r>
        <w:t xml:space="preserve">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pPr/>
      <w:r>
        <w:rPr>
          <w:b/>
        </w:rPr>
        <w:t>POSSIBLE 2024:</w:t>
      </w:r>
      <w:r>
        <w:t xml:space="preserve"> European instruments for the deportation of foreigners and their uses by France and Switzerland: the application of the Dublin III Regulation and Eurodac — https://doi.org/10.4324/9781003533313-7</w:t>
      </w:r>
    </w:p>
    <w:p>
      <w:pPr/>
      <w:r>
        <w:rPr>
          <w:b/>
        </w:rPr>
        <w:t>Shared claim-specific concepts:</w:t>
      </w:r>
      <w:r>
        <w:t xml:space="preserve"> application, looks, three, clearly; EU scope visible. This is a provisional connection, not an outcome finding.</w:t>
      </w:r>
    </w:p>
    <w:p>
      <w:pPr>
        <w:pStyle w:val="SourceNote"/>
      </w:pPr>
      <w:r>
        <w:rPr>
          <w:b/>
        </w:rPr>
        <w:t>Available abstract (not full text):</w:t>
      </w:r>
      <w:r>
        <w:t xml:space="preserve"> The European Union put in place instruments for the deportation of foreigners that gained much importance. This article describes the multiplicity and diversity of these instruments. To analyse them more clearly, it distinguishes three types: legal, organisational and technological. The article equally points to the increasing relevance of technological tools, especially the use of biometrics. It also looks at how a founding member of the EU, France, and an associated country, Switzerland, utilise these European instruments to deport foreigners by focusing on the Dublin III Regulation as well as the Eurodac database, jointly referred to as the Dublin System. Grounding on a comparative study combining documentary analysis and semi-structured interviews and participant observation, this article describes the similarities and differences in the use of the Dublin System in these two countries. Moreover, it also reveals these countries’ specificities with regard to the roles played by local and national administrative bodies, and associative actors. The paper ends by concluding that to fully understand the deportation process in the European context as well as in certain countries, a multifaceted approach is required to make sense of the various interactions taking place between local, national and supranational frameworks, actors and practices.</w:t>
      </w:r>
    </w:p>
    <w:p>
      <w:pPr/>
      <w:r>
        <w:rPr>
          <w:b/>
        </w:rPr>
        <w:t>POSSIBLE 2024:</w:t>
      </w:r>
      <w:r>
        <w:t xml:space="preserve"> Impact of bank financial technology on the performance of banks in the European Union — https://doi.org/10.24294/jipd.v8i9.8053</w:t>
      </w:r>
    </w:p>
    <w:p>
      <w:pPr/>
      <w:r>
        <w:rPr>
          <w:b/>
        </w:rPr>
        <w:t>Shared claim-specific concepts:</w:t>
      </w:r>
      <w:r>
        <w:t xml:space="preserve"> application, looks, three, likely, take, all; EU scope visible. This is a provisional connection, not an outcome finding.</w:t>
      </w:r>
    </w:p>
    <w:p>
      <w:pPr>
        <w:pStyle w:val="SourceNote"/>
      </w:pPr>
      <w:r>
        <w:rPr>
          <w:b/>
        </w:rPr>
        <w:t>Available abstract (not full text):</w:t>
      </w:r>
      <w:r>
        <w:t xml:space="preserve"> This article examines how financial technology determines bank performance in different EU countries. The answer to that question would allow banks to choose their development policy. The paper focuses on the main and most popular bank services that are linked to financial technology. A SWOT analysis of FinTech is also presented to show the benefits and drawbacks of FinTech. FinTech-based services are very diverse and are provided by financial firms and banks alike. This paper looks at the financial technology provided by banks: internet usage (internet banking), number of ATMs, credit transfers in a country, percentage of the population in a country holding a debit or credit card and whether that population has received or made a digital payment. Using the multi-criteria assessment methods of CRITIC and EDAS, the authors analysed and compared the countries of the European Union and the financial technology used in them. As a result of the application of these methods, the EU countries under consideration were ranked in terms of the use of financial technology. Subsequently, three banks from different countries with different levels of the use of financial technology were selected for the study. For these banks, financial ratios of profitability were calculated to characterise their performance. Correlation and pairwise regression analyses between the banks’ profitability ratio</w:t>
      </w:r>
    </w:p>
    <w:p>
      <w:pPr/>
      <w:r>
        <w:rPr>
          <w:b/>
        </w:rPr>
        <w:t>POSSIBLE 2023:</w:t>
      </w:r>
      <w:r>
        <w:t xml:space="preserve"> EU enlargement in wartime Europe: three dimensions and scenarios — https://doi.org/10.1080/21582041.2023.2289661</w:t>
      </w:r>
    </w:p>
    <w:p>
      <w:pPr/>
      <w:r>
        <w:rPr>
          <w:b/>
        </w:rPr>
        <w:t>Shared claim-specific concepts:</w:t>
      </w:r>
      <w:r>
        <w:t xml:space="preserve"> three, but, active;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2023:</w:t>
      </w:r>
      <w:r>
        <w:t xml:space="preserve"> Hidden Quantum Memory: Is Memory There When Somebody Looks? — https://doi.org/10.22331/q-2023-04-27-991</w:t>
      </w:r>
    </w:p>
    <w:p>
      <w:pPr/>
      <w:r>
        <w:rPr>
          <w:b/>
        </w:rPr>
        <w:t>Shared claim-specific concepts:</w:t>
      </w:r>
      <w:r>
        <w:t xml:space="preserve"> looks, but, one; EU scope not established. This is a provisional connection, not an outcome finding.</w:t>
      </w:r>
    </w:p>
    <w:p>
      <w:pPr>
        <w:pStyle w:val="SourceNote"/>
      </w:pPr>
      <w:r>
        <w:rPr>
          <w:b/>
        </w:rPr>
        <w:t>Available abstract (not full text):</w:t>
      </w:r>
      <w:r>
        <w:t xml:space="preserve"> In classical physics, memoryless dynamics and Markovian statistics are one and the same. This is not true for quantum dynamics, first and foremost because quantum measurements are invasive. Going beyond measurement invasiveness, here we derive a novel distinction between classical and quantum processes, namely the possibility of hidden quantum memory . While Markovian statistics of classical processes can always be reproduced by a memoryless dynamical model, our main result shows that this is not true in quantum mechanics: We first provide an example of quantum non-Markovianity whose manifestation depends on whether or not a previous measurement is performed – an impossible phenomenon for memoryless dynamics; we then strengthen this result by demonstrating statistics that are Markovian independent of how they are probed, but are nonetheless s t i l l incompatible with memoryless quantum dynamics. Thus, we establish the existence of Markovian statistics gathered by probing a quantum process that nevertheless f u n d a m e n t a l l y require memory for their creation.</w:t>
      </w:r>
    </w:p>
    <w:p>
      <w:pPr/>
      <w:r>
        <w:rPr>
          <w:b/>
        </w:rPr>
        <w:t>POSSIBLE 2023:</w:t>
      </w:r>
      <w:r>
        <w:t xml:space="preserve"> Adaptation of the food choice questionnaire using a design thinking approach and application to rice consumption by the major European consumers — https://doi.org/10.1016/j.foodqual.2023.104951</w:t>
      </w:r>
    </w:p>
    <w:p>
      <w:pPr/>
      <w:r>
        <w:rPr>
          <w:b/>
        </w:rPr>
        <w:t>Shared claim-specific concepts:</w:t>
      </w:r>
      <w:r>
        <w:t xml:space="preserve"> application, three, consumers; EU scope visible. This is a provisional connection, not an outcome finding.</w:t>
      </w:r>
    </w:p>
    <w:p>
      <w:pPr>
        <w:pStyle w:val="SourceNote"/>
      </w:pPr>
      <w:r>
        <w:rPr>
          <w:b/>
        </w:rPr>
        <w:t>Available abstract (not full text):</w:t>
      </w:r>
      <w:r>
        <w:t xml:space="preserve"> Portugal, the largest rice consumer in Europe, is witnessing an increase in imported rice, prompting a need to understand the underlying reasons for this rise. The Food Choice Questionnaire (FCQ) has been adapted to particular cases, however, the procedure isn’t standardized. A method based on Design Thinking—a user-centred problem-solving approach—and the use of images in the association technique, was developed and presented to Portuguese rice consumers, comprised of three phases. In the Inspiration phase, the FCQ items and others retrieved from interviews were converted into images through an online survey. In the Ideation phase, eight Portuguese rice consumer consensus-groups performed card-sorting and word association exercises based on these images and an evoked context regarding rice. In the Implementation phase, the generated words were compared to the original FCQ items. The method was revealed to be valuable in adapting the FCQ in a structured manner that can be employed to other realities. The adapted FCQ consisted of 33 items (including 12 new) and was presented to 371 Portuguese rice consumers. An exploratory factorial analysis revealed six factors, where Sensory Appeal, followed by Convenience, and Health &amp; Nutrition were the most relevant. A cluster analysis based on consumption patterns, when compared to the rice choice determinants, revealed three consumer grou</w:t>
      </w:r>
    </w:p>
    <w:p>
      <w:pPr>
        <w:pStyle w:val="Heading2"/>
      </w:pPr>
      <w:r>
        <w:t>654. A review on European Union’s strategy for plastics in a circular economy and its impact on food safety</w:t>
      </w:r>
    </w:p>
    <w:p>
      <w:pPr>
        <w:pStyle w:val="SourceNote"/>
      </w:pPr>
      <w:r>
        <w:rPr>
          <w:b/>
        </w:rPr>
        <w:t>Original source (2020):</w:t>
      </w:r>
      <w:r>
        <w:t xml:space="preserve"> https://doi.org/10.1016/j.jclepro.2020.125263</w:t>
      </w:r>
    </w:p>
    <w:p>
      <w:pPr/>
      <w:r>
        <w:t>Original wording (abstract; indexed_source_text_not_full_document_verified): Unless possible substitutes to multi-layer plastics offering the same level of food protection can be developed then there will be detrimental effects on food quality, safety and shelf-life, which will lead to increased food waste, additional food costs and a reduction in the variety and availability of certain foods. One of the strategies outlined is that by 2030, all plastic packaging placed on the EU market is either reusable or can be recycled in a cost-effective manner.</w:t>
      </w:r>
    </w:p>
    <w:p>
      <w:pPr/>
      <w:r>
        <w:rPr>
          <w:b/>
        </w:rPr>
        <w:t>POSSIBLE 2026:</w:t>
      </w:r>
      <w:r>
        <w:t xml:space="preserve"> Systemic Interdependencies of Circular Plastics Ecosystems — https://doi.org/10.55845/joce-2026-3594</w:t>
      </w:r>
    </w:p>
    <w:p>
      <w:pPr/>
      <w:r>
        <w:rPr>
          <w:b/>
        </w:rPr>
        <w:t>Shared claim-specific concepts:</w:t>
      </w:r>
      <w:r>
        <w:t xml:space="preserve"> plastics, same, reduction; EU scope not established. This is a provisional connection, not an outcome finding.</w:t>
      </w:r>
    </w:p>
    <w:p>
      <w:pPr>
        <w:pStyle w:val="SourceNote"/>
      </w:pPr>
      <w:r>
        <w:rPr>
          <w:b/>
        </w:rPr>
        <w:t>Available abstract (not full text):</w:t>
      </w:r>
      <w:r>
        <w:t xml:space="preserve"> This paper examines how circular economy ecosystems (CEEs) are enacted by investigating systemic interdependencies within emergent circular plastics ecosystems (CPEs). We present a qualitative case study on the plastics industry and show how systemic interdependencies, regulation, technology, markets, consumer behaviour, and collaboration form mutually reinforcing yet contradictory dynamics that shape plastic circularity outcomes. The findings reveal a set of core paradoxes at the heart of circular plastics transitions. Regulation operates as a layered and sometimes conflicting force, technological pathways are contested, market structures remain fragile and fragmented, and consumer participation is inconsistent. At the same time, collaboration proves fragile and difficult to sustain. Taken together, these systemic interdependencies generate what we term the “recycling for nothing paradox”, in that despite significant investments in the recycling, reuse, and reduction of plastics, misalignments across the ecosystem dilute or neutralize progress and limit the transformative impact. Conceptually, this paper advances CEE research by framing CPEs as enacted, adaptive, and contested processes embedded in material-specific contexts. Practically, this paper underscores the need to address the systemic contradictions rather than isolated drivers of plastics circularity to enable the ef</w:t>
      </w:r>
    </w:p>
    <w:p>
      <w:pPr/>
      <w:r>
        <w:rPr>
          <w:b/>
        </w:rPr>
        <w:t>POSSIBLE 2026:</w:t>
      </w:r>
      <w:r>
        <w:t xml:space="preserve"> Strategies for recycled plastics content verification — https://doi.org/10.1016/j.aiepr.2026.100284</w:t>
      </w:r>
    </w:p>
    <w:p>
      <w:pPr/>
      <w:r>
        <w:rPr>
          <w:b/>
        </w:rPr>
        <w:t>Shared claim-specific concepts:</w:t>
      </w:r>
      <w:r>
        <w:t xml:space="preserve"> plastics, then, waste; EU scope visible. This is a provisional connection, not an outcome finding.</w:t>
      </w:r>
    </w:p>
    <w:p>
      <w:pPr>
        <w:pStyle w:val="SourceNote"/>
      </w:pPr>
      <w:r>
        <w:rPr>
          <w:b/>
        </w:rPr>
        <w:t>Available abstract (not full text):</w:t>
      </w:r>
      <w:r>
        <w:t xml:space="preserve"> : The transition from a linear to a circular plastics economy depends on credible verification of recycled content claims. However, regulatory thresholds emerging under the EU Packaging and Packaging Waste Regulation, the UK Plastic Packaging Tax, and the Australian Consumer Law have exceeded the current analytical capability required to substantiate them. This challenge is most acute for mechanically recycled polyolefins, which dominate plastic packaging by volume yet remain chemically indistinguishable from virgin material and carry processing history confounds that single technique measurements cannot resolve. This review examines analytical barriers to recycled-content verification and distinguishes polymer blend quantification from the more difficult task of verifying recycled provenance. Spectroscopic, thermal, rheological, molecular, chromatographic, and fractionation techniques are evaluated as descriptor generating tools, with emphasis on their limitations under realistic industrial variability. The review then explains a three-layer verification methodology comprising calibration with representative virgin and recyclate standards, predictive modelling with data fusion, and confidence bounded reporting. Based on this methodology, six analysis-assisted deployment workflows are proposed, with emphasis on their maturity, validation requirements, limitations, and implement</w:t>
      </w:r>
    </w:p>
    <w:p>
      <w:pPr/>
      <w:r>
        <w:rPr>
          <w:b/>
        </w:rPr>
        <w:t>POSSIBLE 2025:</w:t>
      </w:r>
      <w:r>
        <w:t xml:space="preserve"> An Overview of Circular Economy Approaches for Plastics — https://doi.org/10.21926/rpm.2503011</w:t>
      </w:r>
    </w:p>
    <w:p>
      <w:pPr/>
      <w:r>
        <w:rPr>
          <w:b/>
        </w:rPr>
        <w:t>Shared claim-specific concepts:</w:t>
      </w:r>
      <w:r>
        <w:t xml:space="preserve"> multi-layer, plastics, food, waste; EU scope not established. This is a provisional connection, not an outcome finding.</w:t>
      </w:r>
    </w:p>
    <w:p>
      <w:pPr>
        <w:pStyle w:val="SourceNote"/>
      </w:pPr>
      <w:r>
        <w:rPr>
          <w:b/>
        </w:rPr>
        <w:t>Available abstract (not full text):</w:t>
      </w:r>
      <w:r>
        <w:t xml:space="preserve"> Plastic pollution has received worldwide attention due to its extensive environmental and health implications. The circular economy has emerged as a potential solution to plastic pollution. This overview comprehensively presents different plastic circular economy approaches and discusses their advantages, disadvantages, and implementation challenges. It highlights that the current plastic circular economy approaches primarily comprise mechanical recycling, chemical recycling, bio-based and biodegradable plastics, extended producer responsibility, deposit-refund schemes and take-back systems, design for circularity, and digital and smart waste management. Mechanical recycling is more well-established than chemical recycling but could downcycle plastic waste. Chemical recycling may facilitate the achievement of the closed-loop circular economy. Bio-based plastics can compete with food production and the biodegradable ones may require controlled composting conditions, though they come from renewable feedstocks. Extended producer responsibility promotes recycling and a shift toward sustainable materials but faces inadequate regulations and enforcement. Deposit-refund schemes and take-back systems are tied to extended producer responsibilities and depend on consumer awareness, infrastructure development, and regulatory enforcement. Design for circularity facilitates plastic reuse, r</w:t>
      </w:r>
    </w:p>
    <w:p>
      <w:pPr/>
      <w:r>
        <w:rPr>
          <w:b/>
        </w:rPr>
        <w:t>POSSIBLE 2024:</w:t>
      </w:r>
      <w:r>
        <w:t xml:space="preserve"> Overview of 37 Tear Substitutes in Europe Based on Various Physicochemical Parameters — https://doi.org/10.1007/s40123-024-01023-9</w:t>
      </w:r>
    </w:p>
    <w:p>
      <w:pPr/>
      <w:r>
        <w:rPr>
          <w:b/>
        </w:rPr>
        <w:t>Shared claim-specific concepts:</w:t>
      </w:r>
      <w:r>
        <w:t xml:space="preserve"> substitutes, developed, there; EU scope visible. This is a provisional connection, not an outcome finding.</w:t>
      </w:r>
    </w:p>
    <w:p>
      <w:pPr>
        <w:pStyle w:val="SourceNote"/>
      </w:pPr>
      <w:r>
        <w:rPr>
          <w:b/>
        </w:rPr>
        <w:t>Available abstract (not full text):</w:t>
      </w:r>
      <w:r>
        <w:t xml:space="preserve"> Dry eye disease (DED) is one of the most prevalent eye conditions worldwide, with artificial tears serving as a primary treatment option. Despite their wide availability on the European market, there is a lack of established classifications based on their physicochemical properties. The aim of our study was therefore (i) to develop an analytical method that measures the concentration and the molecular weight (MW) of the hyaluronic acid (HA) in commercialized products, and (ii) to propose an overview based on their various physicochemical parameters. The intrinsic viscosity and MW of the HA, as well as osmolarity, pH, rheological profile, and viscosity, were measured or determined. A specific method was developed to measure the average intrinsic viscosity and HA content using a liquid size-exclusion chromatography system. The MW was determined using the Mark–Houwink equation. Thirty-seven products commercialized in Europe were analyzed, with 21 of them containing HA. The HA MW was lowest (300 kDa) for Thealose ® , Thealoz Duo ® Gel, and Hyabak ® , and highest (1300 kDa) for Vismed ® Multi, Vismed ® Gel, and Neovis ® Gel. The pH values varied between 5.94 for Treovis ® and 8.06 for Systane ® Ultra. Osmolarity ranged between 148 mOsm/L and 325 mOsm/L for Neovis ® and Treovis ® , respectively. Viscosity was highly variable, ranging from 0.38 mPas·s for Hylolipid ® to 337.47 mPas·s </w:t>
      </w:r>
    </w:p>
    <w:p>
      <w:pPr/>
      <w:r>
        <w:rPr>
          <w:b/>
        </w:rPr>
        <w:t>POSSIBLE 2024:</w:t>
      </w:r>
      <w:r>
        <w:t xml:space="preserve"> The U.S. plastics recycling economy : — https://doi.org/10.6028/nist.ams.100-64</w:t>
      </w:r>
    </w:p>
    <w:p>
      <w:pPr/>
      <w:r>
        <w:rPr>
          <w:b/>
        </w:rPr>
        <w:t>Shared claim-specific concepts:</w:t>
      </w:r>
      <w:r>
        <w:t xml:space="preserve"> plastics, level, increased, waste; EU scope not established. This is a provisional connection, not an outcome finding.</w:t>
      </w:r>
    </w:p>
    <w:p>
      <w:pPr>
        <w:pStyle w:val="SourceNote"/>
      </w:pPr>
      <w:r>
        <w:rPr>
          <w:b/>
        </w:rPr>
        <w:t>Available abstract (not full text):</w:t>
      </w:r>
      <w:r>
        <w:t xml:space="preserve"> This report builds upon NIST AMS 100-48 (Thomas 2022), which examined the economics of increased circularity in the economy, focusing on the processes, forces, and decision making that result in an unsustainable economy. This report further discusses the current state of plastics recycling, manufacturing, usage, and waste handling in the United States. It discusses and compares state level recycling programs along with national recycling programs in other countries, particularly those with high plastic recycling rates. The report also examines the potential for chemical recycling to address the plastics recycling problem. Finally, it summarizes the stakeholders in the plastic recycling economy, including incentives, barriers, and challenges to increasing recycling or recycled content use.</w:t>
      </w:r>
    </w:p>
    <w:p>
      <w:pPr/>
      <w:r>
        <w:rPr>
          <w:b/>
        </w:rPr>
        <w:t>POSSIBLE 2024:</w:t>
      </w:r>
      <w:r>
        <w:t xml:space="preserve"> Post-industrial plastics side stream recycling — https://openalex.org/W7132953632</w:t>
      </w:r>
    </w:p>
    <w:p>
      <w:pPr/>
      <w:r>
        <w:rPr>
          <w:b/>
        </w:rPr>
        <w:t>Shared claim-specific concepts:</w:t>
      </w:r>
      <w:r>
        <w:t xml:space="preserve"> plastics, quality, waste; EU scope not established. This is a provisional connection, not an outcome finding.</w:t>
      </w:r>
    </w:p>
    <w:p>
      <w:pPr>
        <w:pStyle w:val="SourceNote"/>
      </w:pPr>
      <w:r>
        <w:rPr>
          <w:b/>
        </w:rPr>
        <w:t>Available abstract (not full text):</w:t>
      </w:r>
      <w:r>
        <w:t xml:space="preserve"> Polyolefin pellet production generates a considerable amount of post-industrial materials, which are materials separated from waste streams during the manufacturing process. These materials represent a resource with great potential for promoting more efficient raw material use. This thesis investigates the feasibility of incorporating post-industrial waste from polypropylene compounding processes with prime grades, aiming to maintain the product performance while enhancing circular material use and creating economic value from the side streams. Conducted in collaboration with Borealis Polymers Oy, this study also explores the best practices, current policies, and industry trends in side stream recycling of polyolefins. Pilot-scale compounding experiments were performed on two commercial polypropylene grades, incorporating up to 10 weight percent of post-industrial recycled content across four batches for each grade. The quality assessment compared the properties of the recycled compounds with those of the prime grades. Test methods were selected based on the end-use application and predetermined performance standards. The objective was to address whether the inclusion of post-industrial content could maintain the performance of the grade. The experiments demonstrated that incorporation of post-industrial materials with prime resins did not significantly alter product properties</w:t>
      </w:r>
    </w:p>
    <w:p>
      <w:pPr/>
      <w:r>
        <w:rPr>
          <w:b/>
        </w:rPr>
        <w:t>POSSIBLE 2023:</w:t>
      </w:r>
      <w:r>
        <w:t xml:space="preserve"> Hydrothermal Treatment of Waste Plastics: An Environmental Impact Study — https://doi.org/10.1007/s10924-023-02792-3</w:t>
      </w:r>
    </w:p>
    <w:p>
      <w:pPr/>
      <w:r>
        <w:rPr>
          <w:b/>
        </w:rPr>
        <w:t>Shared claim-specific concepts:</w:t>
      </w:r>
      <w:r>
        <w:t xml:space="preserve"> plastics, waste, reduction; EU scope not established. This is a provisional connection, not an outcome finding.</w:t>
      </w:r>
    </w:p>
    <w:p>
      <w:pPr>
        <w:pStyle w:val="SourceNote"/>
      </w:pPr>
      <w:r>
        <w:rPr>
          <w:b/>
        </w:rPr>
        <w:t>Available abstract (not full text):</w:t>
      </w:r>
      <w:r>
        <w:t xml:space="preserve"> Abstract This paper presents the attributional life cycle assessment results of a study of plastic recycling using hydrothermal treatment (HTT), a chemical recycling technology. HTT was investigated due to its potential to address current gaps in the plastic recycling system, largely due to several plastic packaging materials and formats that are currently not processed by traditional mechanical recycling technologies. As society transitions towards a net-zero-based circular economy, assessments should be conducted with a futuristic outlook, preventing costly mistakes by employing the right technologies in the right areas. The results using ReCiPe 2016 impact assessment methodology shows HTT with a GWP of 478 kg CO2 eq. per tonne can generate up to 80% reduction in climate change impacts when compared with comparable end-of-life treatment technologies whilst conserving material with the system. Additionally, the GWP could be reduced by up to 57% by changing how electricity is generated for on-site consumption. This represents a new understanding of the chemical recycling of polymers by establishing a prospective life cycle assessment study that looks to introduce a step-change in the recycling system and highlights the benefits of introducing this technology as opposed to the current model of disposal through incineration or landfill.</w:t>
      </w:r>
    </w:p>
    <w:p>
      <w:pPr/>
      <w:r>
        <w:rPr>
          <w:b/>
        </w:rPr>
        <w:t>POSSIBLE 2022:</w:t>
      </w:r>
      <w:r>
        <w:t xml:space="preserve"> The challenge of plastics in a circular perspective — https://doi.org/10.3389/frsc.2022.920242</w:t>
      </w:r>
    </w:p>
    <w:p>
      <w:pPr/>
      <w:r>
        <w:rPr>
          <w:b/>
        </w:rPr>
        <w:t>Shared claim-specific concepts:</w:t>
      </w:r>
      <w:r>
        <w:t xml:space="preserve"> possible, plastics, waste; EU scope visible. This is a provisional connection, not an outcome finding.</w:t>
      </w:r>
    </w:p>
    <w:p>
      <w:pPr>
        <w:pStyle w:val="SourceNote"/>
      </w:pPr>
      <w:r>
        <w:rPr>
          <w:b/>
        </w:rPr>
        <w:t>Available abstract (not full text):</w:t>
      </w:r>
      <w:r>
        <w:t xml:space="preserve"> Although plastic is a very important material in our economy and lifestyle, we need to deal with its pervasive impact and the huge amount of plastic waste produced, especially in the urban context. In Italy, the production of plastic waste is about 4.8 million tons with a share of 31.4% sent for recycling, 32.8% sent to Waste to Energy facilities and 35.8% sent to landfill. The negative effects of plastic waste have to be mitigated by means of prevention and other measures aimed at a transition to sustainable production and consumption patterns. The presented perspective takes advantage of the work done in the framework of the Italian Circular Economy Stakeholders Platform (ICESP) and identifies regulatory and technical criticalities in the sector, while defining strategic actions to be implemented along the entire value chain of plastics in the short, medium and long term perspective, with the aim of outlining possible mitigation solutions. From the snapshot of the ongoing advancement of the circular economy in the plastic sector, within the Italian urban context, suggestions can be gained for a strategy based on a systemic life cycle approach.</w:t>
      </w:r>
    </w:p>
    <w:p>
      <w:pPr/>
      <w:r>
        <w:rPr>
          <w:b/>
        </w:rPr>
        <w:t>POSSIBLE 2022:</w:t>
      </w:r>
      <w:r>
        <w:t xml:space="preserve"> Innovations Toward the Valorization of Plastics Waste — https://doi.org/10.1146/annurev-matsci-081320-032344</w:t>
      </w:r>
    </w:p>
    <w:p>
      <w:pPr/>
      <w:r>
        <w:rPr>
          <w:b/>
        </w:rPr>
        <w:t>Shared claim-specific concepts:</w:t>
      </w:r>
      <w:r>
        <w:t xml:space="preserve"> plastics, waste, additional; EU scope not established. This is a provisional connection, not an outcome finding.</w:t>
      </w:r>
    </w:p>
    <w:p>
      <w:pPr>
        <w:pStyle w:val="SourceNote"/>
      </w:pPr>
      <w:r>
        <w:rPr>
          <w:b/>
        </w:rPr>
        <w:t>Available abstract (not full text):</w:t>
      </w:r>
      <w:r>
        <w:t xml:space="preserve"> Plastics are an extremely important class of materials that are prevalent in all facets of society; however, their widespread use over time, combined with limited end-of-life strategies, has led to increasing levels of waste accumulation. Although currently considered a burden, plastics waste is potentially an untapped feedstock for numerous chemical and manufacturing processes. In this review, we discuss the state of the art of approaches for valorization of plastics waste from a materials research perspective, including previous efforts to utilize plastics waste and recent innovations that have opportunities to add significant value. Although additional progress is necessary, we present several diverse capabilities and strategies for valorization that, when brought together, address end-of-life challenges for plastics at every stage of design and product consumption. In short, a materials research–based framework offers a unique perspective to address the urgent issues posed by plastics, unlocking the potential of polymers and plastics waste.</w:t>
      </w:r>
    </w:p>
    <w:p>
      <w:pPr/>
      <w:r>
        <w:rPr>
          <w:b/>
        </w:rPr>
        <w:t>POSSIBLE 2022:</w:t>
      </w:r>
      <w:r>
        <w:t xml:space="preserve"> Design for Recycling Strategies Based on the Life Cycle Assessment and End of Life Options of Plastics in a Circular Economy — https://doi.org/10.1002/macp.202200046</w:t>
      </w:r>
    </w:p>
    <w:p>
      <w:pPr/>
      <w:r>
        <w:rPr>
          <w:b/>
        </w:rPr>
        <w:t>Shared claim-specific concepts:</w:t>
      </w:r>
      <w:r>
        <w:t xml:space="preserve"> plastics, offering, waste; EU scope not established. This is a provisional connection, not an outcome finding.</w:t>
      </w:r>
    </w:p>
    <w:p>
      <w:pPr>
        <w:pStyle w:val="SourceNote"/>
      </w:pPr>
      <w:r>
        <w:rPr>
          <w:b/>
        </w:rPr>
        <w:t>Available abstract (not full text):</w:t>
      </w:r>
      <w:r>
        <w:t xml:space="preserve"> Abstract The plastic economy, despite offering unique properties in fulfilling the functions of products in different industrial sectors over decades, has so far been mainly linear, that is, “take‐make and dispose” with only a small fraction of plastics being recycled worldwide. With ever‐increasing circular economy initiatives and the urge to conserve resources and prevent plastic pollution from affecting ecosystems, more emphasis on the resource recovery of plastic products after its use has been made over the last few years. It is necessary for manufacturers to understand the value chain as early as the design phase while manufacturing and distributing plastic products across the world. The current study provides an overview of the status quo of plastic waste management and analyzes the Life Cycle Assessment (LCA) studies of different End‐of‐Life (EoL) options for plastics. Based on the LCA studies, a preliminary, country‐specific Circular Footprint (CF) is calculated and Design for Recycling (DfR) strategies are identified. Results show that the environmental impacts of different EoL options differ significantly for different plastics. The CF highlights the lack of data regarding the composition and recovery of plastics in different countries thus showing the necessity to consider the whole lifecycle when quantifying the environmental impacts of plastics.</w:t>
      </w:r>
    </w:p>
    <w:p>
      <w:pPr/>
      <w:r>
        <w:rPr>
          <w:b/>
        </w:rPr>
        <w:t>POSSIBLE 2022:</w:t>
      </w:r>
      <w:r>
        <w:t xml:space="preserve"> Electrochemical treatment of wastewater to remove contaminants from the production and disposal of plastics: a review — https://doi.org/10.1007/s10311-022-01497-8</w:t>
      </w:r>
    </w:p>
    <w:p>
      <w:pPr/>
      <w:r>
        <w:rPr>
          <w:b/>
        </w:rPr>
        <w:t>Shared claim-specific concepts:</w:t>
      </w:r>
      <w:r>
        <w:t xml:space="preserve"> plastics, developed, additional; EU scope not established. This is a provisional connection, not an outcome finding.</w:t>
      </w:r>
    </w:p>
    <w:p>
      <w:pPr>
        <w:pStyle w:val="SourceNote"/>
      </w:pPr>
      <w:r>
        <w:rPr>
          <w:b/>
        </w:rPr>
        <w:t>Available abstract (not full text):</w:t>
      </w:r>
      <w:r>
        <w:t xml:space="preserve"> Abstract Wastewater is major source of contaminants originating from the production, usage, and disposal of plastic materials. Due to their poor biodegradability of these contaminants in municipal wastewater treatment plants, additional advanced oxidation processes such as electrochemical treatments have been developed to improve the standard biological treatment. Here we review the applications of electrochemical treatments of wastewater for the removal of the following plastic contaminants: bisphenol A, phthalic acid esters, and benzotriazoles. We present the effectiveness of treatment in terms of contaminant removal and mineralization; the identification of transformation products; toxicity assessment; and process energy requirements. In the present review, we have focused on the applications of electrochemical treatments of wastewater for the removal of three important groups of contaminants originating mainly from plastics: bisphenol A, phthalic acid esters, and benzotriazoles. The review focuses on the research of electrochemical treatments for these contaminants from the last five years. The papers are assessed from the point of i) effectiveness of treatment in terms of contaminant removal and mineralization; ii) identification of transformation products; iii) toxicity assessment; iv) processes’ energy requirements. Electrochemical treatments were confirmed to be a viabl</w:t>
      </w:r>
    </w:p>
    <w:p>
      <w:pPr/>
      <w:r>
        <w:rPr>
          <w:b/>
        </w:rPr>
        <w:t>POSSIBLE 2021:</w:t>
      </w:r>
      <w:r>
        <w:t xml:space="preserve"> Environmental performance comparison of bioplastics and petrochemical plastics: A review of life cycle assessment (LCA) methodological decisions — https://doi.org/10.1016/j.resconrec.2021.105451</w:t>
      </w:r>
    </w:p>
    <w:p>
      <w:pPr/>
      <w:r>
        <w:rPr>
          <w:b/>
        </w:rPr>
        <w:t>Shared claim-specific concepts:</w:t>
      </w:r>
      <w:r>
        <w:t xml:space="preserve"> unless, plastics, there; EU scope not established. This is a provisional connection, not an outcome finding.</w:t>
      </w:r>
    </w:p>
    <w:p>
      <w:pPr>
        <w:pStyle w:val="SourceNote"/>
      </w:pPr>
      <w:r>
        <w:rPr>
          <w:b/>
        </w:rPr>
        <w:t>Available abstract (not full text):</w:t>
      </w:r>
      <w:r>
        <w:t xml:space="preserve"> There is currently a shift from petrochemical to bio-based plastics (bioplastics). The application of comprehensive and appropriately designed LCA studies are imperative to provide clear evidence on the comparative sustainability of bioplastics. This review explores the growing collective of LCA studies that compare the environmental footprints of specific bioplastics against those of petrochemical plastics. 44 relevant studies published between 2011 and 2020 were reviewed to explore important methodological choices regarding impact category selection, inventory completeness (e.g. inclusion of additives), boundary definition (e.g. inclusion of land-use change impacts), representation of biogenic carbon, choice of end-of-life scenarios, type of LCA, and the application of uncertainty analysis. Good practice examples facilitated identification of common gaps and weaknesses in LCA studies applied to benchmark bioplastics against petrochemical plastics. Many studies did not provide a holistic picture of the environmental impacts of bioplastic products, thereby potentially supporting misleading conclusions. For comprehensive evaluation of bioplastic sustainability, we recommend that LCA practitioners: embrace more detailed and transparent reporting of LCI data within plastic LCA studies; adopt a comprehensive impact assessment methodology pertaining to all priority environmental cha</w:t>
      </w:r>
    </w:p>
    <w:p>
      <w:pPr>
        <w:pStyle w:val="Heading2"/>
      </w:pPr>
      <w:r>
        <w:t>655. A ‘futures’ approach towards the wellbeing of future generations in Wales and beyond</w:t>
      </w:r>
    </w:p>
    <w:p>
      <w:pPr>
        <w:pStyle w:val="SourceNote"/>
      </w:pPr>
      <w:r>
        <w:rPr>
          <w:b/>
        </w:rPr>
        <w:t>Original source (2020):</w:t>
      </w:r>
      <w:r>
        <w:t xml:space="preserve"> https://doi.org/10.1093/eurpub/ckaa165.1289</w:t>
      </w:r>
    </w:p>
    <w:p>
      <w:pPr/>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POSSIBLE 2026:</w:t>
      </w:r>
      <w:r>
        <w:t xml:space="preserve"> Why We Care About Understanding: Competence through Predictive Compression — https://doi.org/10.48550/arxiv.2609.04962</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What is the relation between understanding and compression, and why does human understanding take such a heavily compressed form? Across information theory, machine learning, and AI research, a substantial tradition identifies understanding with compression-a thought captured in Gregory Chaitin's dictum that "comprehension is compression." Philosophers, by contrast, have characterized understanding in terms of grasping connections, giving explanations, and handling novelty. This paper bridges the two pictures through three interlocking theses. The first concerns the concept of understanding: it serves as an efficient proxy for a distinctive form of robust competence, enabling us to identify whom to trust and whom to learn from. The second concerns the state of understanding: to understand a domain is to possess a mental model of its relational structure that enables prediction, and what enables prediction enables compression, because what becomes predictable need not be stored separately. Compression is therefore not identical with comprehension, but its representational shadow. The third concerns the characteristically human form of understanding: the fiduciary and transmission functions highlighted by the first thesis impose pressures of demonstrability and transmissibility that drive human understanding toward principled simplicity. The resulting framework explains both the </w:t>
      </w:r>
    </w:p>
    <w:p>
      <w:pPr/>
      <w:r>
        <w:rPr>
          <w:b/>
        </w:rPr>
        <w:t>POSSIBLE 2026:</w:t>
      </w:r>
      <w:r>
        <w:t xml:space="preserve"> Prevalence of complementary and alternative medicine use among osteoarthritis patients in a developing country and their level of satisfaction — https://doi.org/10.1038/s41598-026-37826-y</w:t>
      </w:r>
    </w:p>
    <w:p>
      <w:pPr/>
      <w:r>
        <w:rPr>
          <w:b/>
        </w:rPr>
        <w:t>Shared claim-specific concepts:</w:t>
      </w:r>
      <w:r>
        <w:t xml:space="preserve"> about, developing, alternative; EU scope not established. This is a provisional connection, not an outcome finding.</w:t>
      </w:r>
    </w:p>
    <w:p>
      <w:pPr>
        <w:pStyle w:val="SourceNote"/>
      </w:pPr>
      <w:r>
        <w:rPr>
          <w:b/>
        </w:rPr>
        <w:t>Available abstract (not full text):</w:t>
      </w:r>
      <w:r>
        <w:t xml:space="preserve"> Complementary and alternative medicine (CAM) refers to nonconventional methods used to treat diseases and has been gaining global acceptance, including in Palestine. The growing interest in CAM and its various modalities highlights the need to understand its prevalence, types, and associated patient satisfaction among osteoarthritis (OA) patients. A cross-sectional study was conducted among OA patients attending hospitals in the study setting. Eligible participants were interviewed face-to-face via a structured questionnaire adapted from a previous regional study and developed on the basis of a comprehensive literature review. The data collected included sociodemographic characteristics, CAM use, and satisfaction levels. Of the 399 participants, 252 (63.2%) reported using CAM for OA management. Commonly used therapies include herbal medicine (49.9%), dietary supplements (26.6%), and various forms of prophetic medicine. Most CAM users reported a noticeable level of satisfaction with the therapies they used. CAM use is prevalent among OA patients in northern Palestine. This highlights the need to increase public awareness of CAM practices and their potential interactions with conventional treatments. Healthcare providers should stay informed about CAM options to guide patients appropriately. Further research is needed to establish stronger evidence regarding the efficacy and safe</w:t>
      </w:r>
    </w:p>
    <w:p>
      <w:pPr/>
      <w:r>
        <w:rPr>
          <w:b/>
        </w:rPr>
        <w:t>POSSIBLE 2025:</w:t>
      </w:r>
      <w:r>
        <w:t xml:space="preserve"> Developing an alternative medium for in-space biomanufacturing — https://doi.org/10.1038/s41467-025-56088-2</w:t>
      </w:r>
    </w:p>
    <w:p>
      <w:pPr/>
      <w:r>
        <w:rPr>
          <w:b/>
        </w:rPr>
        <w:t>Shared claim-specific concepts:</w:t>
      </w:r>
      <w:r>
        <w:t xml:space="preserve"> developing, alternative, sustainable; EU scope not established. This is a provisional connection, not an outcome finding.</w:t>
      </w:r>
    </w:p>
    <w:p>
      <w:pPr>
        <w:pStyle w:val="SourceNote"/>
      </w:pPr>
      <w:r>
        <w:rPr>
          <w:b/>
        </w:rPr>
        <w:t>Available abstract (not full text):</w:t>
      </w:r>
      <w:r>
        <w:t xml:space="preserve"> In-space biomanufacturing provides a sustainable solution to facilitate long-term, self-sufficient human habitation in extraterrestrial environments. However, its dependence on Earth-supplied feedstocks renders in-space biomanufacturing economically nonviable. Here, we develop a process termed alternative feedstock-driven in-situ biomanufacturing (AF-ISM) to alleviate dependence on Earth-based resupply of feedstocks. Specifically, we investigate three alternative feedstocks (AF)-Martian and Lunar regolith, post-consumer polyethylene terephthalate, and fecal waste-to develop an alternative medium for lycopene production using Rhodococcus jostii PET strain S6 (RPET S6). Our results show that RPET S6 could directly utilize regolith simulant particles as mineral replacements, while the addition of anaerobically pretreated fecal waste synergistically supported its cell growth. Additionally, lycopene production using AF under microgravity conditions achieved levels comparable to those on Earth. Furthermore, an economic analysis shows significant lycopene production cost reductions using AF-ISM versus conventional methods. Overall, this work highlights the viability of AF-ISM for in-space biomanufacturing.</w:t>
      </w:r>
    </w:p>
    <w:p>
      <w:pPr/>
      <w:r>
        <w:rPr>
          <w:b/>
        </w:rPr>
        <w:t>POSSIBLE 2025:</w:t>
      </w:r>
      <w:r>
        <w:t xml:space="preserve"> Alternative Worlds — https://doi.org/10.4324/9781003342816-16</w:t>
      </w:r>
    </w:p>
    <w:p>
      <w:pPr/>
      <w:r>
        <w:rPr>
          <w:b/>
        </w:rPr>
        <w:t>Shared claim-specific concepts:</w:t>
      </w:r>
      <w:r>
        <w:t xml:space="preserve"> about, but, developing, alternative, them, different; EU scope not established. This is a provisional connection, not an outcome finding.</w:t>
      </w:r>
    </w:p>
    <w:p>
      <w:pPr>
        <w:pStyle w:val="SourceNote"/>
      </w:pPr>
      <w:r>
        <w:rPr>
          <w:b/>
        </w:rPr>
        <w:t>Available abstract (not full text):</w:t>
      </w:r>
      <w:r>
        <w:t xml:space="preserve"> While philosophers think in terms of ‘possible worlds’, it remains unclear what criteria would be good to distinguish such worlds from ‘impossible worlds’. In contrast, scientists need to make these judgements as a regular part of their ongoing work, yet such judgements are rarely straightforward. Scientists habitually develop accounts of their worlds in ways which enable them to explore and understand their phenomena by constructing and using models of those phenomena, by developing counterfactual alternatives to them, and even by designing and engineering versions of them. Each of these different modes of work develops alternative accounts of the world, and uses them to explore the implications of those accounts. By analysing a set of modelling and counterfactual cases from economic science, it becomes clear that these ‘alternative world’ constructions can be judged as plausible or well-reasoned according to the scientists&amp;s; knowledge (both empirical and theoretical) about the phenomena of their world. There are no simple rules of rejection or acceptance of the alternative world account, but the analysis here suggests ways to expand the domains of judgement on possible world accounts.</w:t>
      </w:r>
    </w:p>
    <w:p>
      <w:pPr/>
      <w:r>
        <w:rPr>
          <w:b/>
        </w:rPr>
        <w:t>POSSIBLE 2025:</w:t>
      </w:r>
      <w:r>
        <w:t xml:space="preserve"> Developing Bioderived CO2-Responsive Polymers as Alternatives to Petroleum-derived Polymers — https://openalex.org/W7127210612</w:t>
      </w:r>
    </w:p>
    <w:p>
      <w:pPr/>
      <w:r>
        <w:rPr>
          <w:b/>
        </w:rPr>
        <w:t>Shared claim-specific concepts:</w:t>
      </w:r>
      <w:r>
        <w:t xml:space="preserve"> about, but, developing, alternative, sustainable, different; EU scope not established. This is a provisional connection, not an outcome finding.</w:t>
      </w:r>
    </w:p>
    <w:p>
      <w:pPr>
        <w:pStyle w:val="SourceNote"/>
      </w:pPr>
      <w:r>
        <w:rPr>
          <w:b/>
        </w:rPr>
        <w:t>Available abstract (not full text):</w:t>
      </w:r>
      <w:r>
        <w:t xml:space="preserve"> Petroleum-derived materials have become essential to society but are detrimental to the Earth. Every day, billions of liters of crude oil are extracted from the Earth, refined, and used as fuel or as starting materials for chemicals and materials. Petroleum is currently an abundant resource but is finite, which means that it will eventually be depleted in the future. Society must prepare for the future by examining renewable resources as alternative starting materials for sustainable material development to ensure that future generations can meet their needs as we currently do. Petroleum-derived products are used for a variety of purposes, all of which contribute some amount of harm to the environment, but petroleum-derived plastic materials receive more scrutiny than many other materials. Plastic makes up a percentage of petrochemical production. However, due to low recycling rates, a significant portion of plastic ends up in the environment. Plastic is persistent in the environment and the damage it causes through chemical leaching and microplastics has raised many societal concerns. Reducing the environmental harm from material production and usage requires knowledge about where the most harm is coming from. A life cycle assessment (LCA) can quantify the harm done by a material during its lifespan. This is a necessary but cumbersome process that can slow the development of n</w:t>
      </w:r>
    </w:p>
    <w:p>
      <w:pPr/>
      <w:r>
        <w:rPr>
          <w:b/>
        </w:rPr>
        <w:t>POSSIBLE 2025:</w:t>
      </w:r>
      <w:r>
        <w:t xml:space="preserve"> Defining complementary and alternative medicine — https://doi.org/10.1007/s11019-025-10291-6</w:t>
      </w:r>
    </w:p>
    <w:p>
      <w:pPr/>
      <w:r>
        <w:rPr>
          <w:b/>
        </w:rPr>
        <w:t>Shared claim-specific concepts:</w:t>
      </w:r>
      <w:r>
        <w:t xml:space="preserve"> not, about, alternative; EU scope not established. This is a provisional connection, not an outcome finding.</w:t>
      </w:r>
    </w:p>
    <w:p>
      <w:pPr>
        <w:pStyle w:val="SourceNote"/>
      </w:pPr>
      <w:r>
        <w:rPr>
          <w:b/>
        </w:rPr>
        <w:t>Available abstract (not full text):</w:t>
      </w:r>
      <w:r>
        <w:t xml:space="preserve"> Discourse about Complementary and alternative medicine (CAM) is also controversial in several respects, including terminology. Understanding and using the term 'CAM' precisely remains necessary in some discussions. This article provides a contribution to a terminologically more reflected debate about CAM. Analytical methods are applied to analyse 'CAM' conceptually: reasons to define CAM are discussed, common definitions are critically analysed in light of argumentative plausibility, and typical conceptual needs in the debate about CAM are described. Based on this, an evidence definition of CAM is sketched. Complementary and alternative medicine is typically defined by positive attributes or (more usefully) by unconventionality. While the latter provides a viable definitional strategy, several questions remain regarding the logic and applicability. Attempts to improve CAM definitions should consider (a) presenting necessary and sufficient conditions, (b) separating 'complementary', 'alternative' and 'integrative', (c) understanding 'CAM' relative to specific diseases and (d) being explicit about possible changes of the CAM status. These requirements are used to develop a definition of CAM centring around the notion of probable specific effectiveness-a definitional strategy that might solve flaws in the current CAM discourse by spelling out some of the reasons why certain practi</w:t>
      </w:r>
    </w:p>
    <w:p>
      <w:pPr/>
      <w:r>
        <w:rPr>
          <w:b/>
        </w:rPr>
        <w:t>POSSIBLE 2025:</w:t>
      </w:r>
      <w:r>
        <w:t xml:space="preserve"> Minority Cultures and the Cosmopolitan Alternative — https://doi.org/10.36646/mjlr.25.3.4.minority</w:t>
      </w:r>
    </w:p>
    <w:p>
      <w:pPr/>
      <w:r>
        <w:rPr>
          <w:b/>
        </w:rPr>
        <w:t>Shared claim-specific concepts:</w:t>
      </w:r>
      <w:r>
        <w:t xml:space="preserve"> not, about, but, alternative, come; EU scope not established. This is a provisional connection, not an outcome finding.</w:t>
      </w:r>
    </w:p>
    <w:p>
      <w:pPr>
        <w:pStyle w:val="SourceNote"/>
      </w:pPr>
      <w:r>
        <w:rPr>
          <w:b/>
        </w:rPr>
        <w:t>Available abstract (not full text):</w:t>
      </w:r>
      <w:r>
        <w:t xml:space="preserve"> I have chosen not to talk in this Article about the warning that Rushdie is sounding in his essay In Good Faith, but to discuss more affirmatively the image of the modern self that he conveys. Still, I hope that we do not lose sight of the warning. The communitarianism that can sound cozy and attractive in a book by Robert Bellah or Michael Sandel can be blinding, dangerous, and disruptive in the real world, where communities do not come ready-packaged and where communal allegiances are as much ancient hatreds of one's neighbors as immemorial traditions of culture.</w:t>
      </w:r>
    </w:p>
    <w:p>
      <w:pPr/>
      <w:r>
        <w:rPr>
          <w:b/>
        </w:rPr>
        <w:t>POSSIBLE 2025:</w:t>
      </w:r>
      <w:r>
        <w:t xml:space="preserve"> Developing alternative and complementary IP strategies case study — https://doi.org/10.2826/295248</w:t>
      </w:r>
    </w:p>
    <w:p>
      <w:pPr/>
      <w:r>
        <w:rPr>
          <w:b/>
        </w:rPr>
        <w:t>Shared claim-specific concepts:</w:t>
      </w:r>
      <w:r>
        <w:t xml:space="preserve"> about, developing, alternative; EU scope visible. This is a provisional connection, not an outcome finding.</w:t>
      </w:r>
    </w:p>
    <w:p>
      <w:pPr>
        <w:pStyle w:val="SourceNote"/>
      </w:pPr>
      <w:r>
        <w:rPr>
          <w:b/>
        </w:rPr>
        <w:t>Available abstract (not full text):</w:t>
      </w:r>
      <w:r>
        <w:t xml:space="preserve"> A German SME connected with the India IP SME Helpdesk team in a prominent Food and Beverages exhibition. During the discussion with the Helpdesk team, the German SME explained key elements of their innovative disinfecting and organic preservative products. The main issues which concerned the German SME were : - Whether patent applications filed in Europe could be extended to India, and additionally they wanted to know the procedure to protect the inventions in India. - Furthermore, they enquired about procedures to obtain the required clearances for the sale of antimicrobial agents in India, and the potential establishment of a subsidiary entity in India.</w:t>
      </w:r>
    </w:p>
    <w:p>
      <w:pPr/>
      <w:r>
        <w:rPr>
          <w:b/>
        </w:rPr>
        <w:t>POSSIBLE 2025:</w:t>
      </w:r>
      <w:r>
        <w:t xml:space="preserve"> Bee Pollen as an Alternative to Growth Promoters in Poultry Production in Developing Countries: A Narrative Review — https://openalex.org/W7220090217</w:t>
      </w:r>
    </w:p>
    <w:p>
      <w:pPr/>
      <w:r>
        <w:rPr>
          <w:b/>
        </w:rPr>
        <w:t>Shared claim-specific concepts:</w:t>
      </w:r>
      <w:r>
        <w:t xml:space="preserve"> about, developing, alternative; EU scope not established. This is a provisional connection, not an outcome finding.</w:t>
      </w:r>
    </w:p>
    <w:p>
      <w:pPr>
        <w:pStyle w:val="SourceNote"/>
      </w:pPr>
      <w:r>
        <w:rPr>
          <w:b/>
        </w:rPr>
        <w:t>Available abstract (not full text):</w:t>
      </w:r>
      <w:r>
        <w:t xml:space="preserve"> Bee pollen, which is a rich food source with numerous health benefits, has become a desirable feed additive due to concerns about antibiotic resistance, drug residues, and environmental impacts, especially in developing countries that need animal protein. The aim of this study is to show the effects of bee pollen as an alternative to growth stimulants in poultry production. To achieve this objective, a narrative review method was employed, which provides a comprehensive understanding of the topic by collecting, analyzing, and synthesizing findings from previous research. The research findings indicate that adding bee pollen to poultry diets improves weight gain, feed conversion ratio, gut health, and boosts the immune system. It is prebiotic, antimicrobial, and antioxidant properties reduce pathogens and improve the quality of meat and eggs. However, the diversity of composition, excessive cost, and scalability limitations are challenges for its widespread use. Further research is essential for standardization and cost-effectiveness evaluation.</w:t>
      </w:r>
    </w:p>
    <w:p>
      <w:pPr/>
      <w:r>
        <w:rPr>
          <w:b/>
        </w:rPr>
        <w:t>POSSIBLE 2025:</w:t>
      </w:r>
      <w:r>
        <w:t xml:space="preserve"> Does concern about falling predict future falls in older adults? A systematic review and meta-analysis — https://doi.org/10.1093/ageing/afaf089</w:t>
      </w:r>
    </w:p>
    <w:p>
      <w:pPr/>
      <w:r>
        <w:rPr>
          <w:b/>
        </w:rPr>
        <w:t>Shared claim-specific concepts:</w:t>
      </w:r>
      <w:r>
        <w:t xml:space="preserve"> not, about, different; EU scope not established. This is a provisional connection, not an outcome finding.</w:t>
      </w:r>
    </w:p>
    <w:p>
      <w:pPr>
        <w:pStyle w:val="SourceNote"/>
      </w:pPr>
      <w:r>
        <w:rPr>
          <w:b/>
        </w:rPr>
        <w:t>Available abstract (not full text):</w:t>
      </w:r>
      <w:r>
        <w:t xml:space="preserve"> BACKGROUND: The 2022 World Falls Guidelines recommend assessing concerns (or 'fears') about falling in multifactorial fall risk assessments. However, the evidence base for this recommendation is limited. This review evaluated the evidence for concerns about falling as an independent predictor of future falls, applying the Bradford Hill criteria for causality. METHODS: Systematic review and meta-analyses were conducted (PROSPERO registration ID: CRD42023387212). MEDLINE, CINAHL Plus, Web of Science and PsycINFO were searched for studies examining associations between baseline concerns about falling and future falls in older adults (minimum 6-month follow-up). Meta-analyses examined associations between concerns about falling and future falls. Risk of bias was assessed using an adapted Newcastle Ottawa Scale for cohort studies, and evidence certainty was rated with GRADE. RESULTS: About 53 studies, comprising 75,076 participants, were included. Meta-analysis showed significant independent association between baseline concerns and future falls when using the Falls Efficacy Scale-International to assess concerns (full scale version, pooled OR = 1.03 [95% CI = 1.02-1.05] per 1-point increase; short scale version, pooled OR = 1.08 [95% CI = 1.05-1.11]). Significant associations were also observed when using single-item measures of concerns (pooled OR = 1.60 [95% CI = 1.36-1.89] for h</w:t>
      </w:r>
    </w:p>
    <w:p>
      <w:pPr/>
      <w:r>
        <w:rPr>
          <w:b/>
        </w:rPr>
        <w:t>POSSIBLE 2025:</w:t>
      </w:r>
      <w:r>
        <w:t xml:space="preserve"> Who cares about caring? Gender stereotypes about communal values emerge early and predict boys’ prosocial preferences. — https://doi.org/10.1037/dev0001908</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 379; 92 girls, 287 boys; majority White and East Asian or Pacific Islander). We assessed children's stereotypes about communal values (Studies 1 and 2; e.g., "Who do you think cares more about always helping other people, even if it takes effort? Boys or girls?"), as well as the extent to which children themselves (a) valued communion and (b) displayed interest in communal activities (Study 2). In both studies, we found that children older than 6 consistently associated communal values with girls more than with boys. Younger children, in contrast, exhibited an ingroup bias-they associated communal values with their own gender. Study 2, which included only boys, found that endorsement of stereotypes associating communal values with girls predicted lower personal endorsement of communal values and lower interest in communal activities among boys older, but not younger, than 6. These results suggest that gender stereotypes about communal values are learned early and predict boys' disengagement from communal domains. Implications for gender differences in values and behavior are discussed. (PsycInfo Database Record (c) 2025 APA, all rights reserved).</w:t>
      </w:r>
    </w:p>
    <w:p>
      <w:pPr/>
      <w:r>
        <w:rPr>
          <w:b/>
        </w:rPr>
        <w:t>POSSIBLE 2025:</w:t>
      </w:r>
      <w:r>
        <w:t xml:space="preserve"> Developing an Alternative Calculation Method for the Smart Readiness Indicator Based on Genetic Programming and Linear Regression — https://doi.org/10.3390/buildings15101675</w:t>
      </w:r>
    </w:p>
    <w:p>
      <w:pPr/>
      <w:r>
        <w:rPr>
          <w:b/>
        </w:rPr>
        <w:t>Shared claim-specific concepts:</w:t>
      </w:r>
      <w:r>
        <w:t xml:space="preserve"> about, developing, alternative; EU scope visible. This is a provisional connection, not an outcome finding.</w:t>
      </w:r>
    </w:p>
    <w:p>
      <w:pPr>
        <w:pStyle w:val="SourceNote"/>
      </w:pPr>
      <w:r>
        <w:rPr>
          <w:b/>
        </w:rPr>
        <w:t>Available abstract (not full text):</w:t>
      </w:r>
      <w:r>
        <w:t xml:space="preserve"> The European Union is planning to introduce a new tool for evaluating smart solutions in buildings—the Smart Readiness Indicator (SRI). As 54 energy efficiency categories must be evaluated, the triage process can be long and time-intensive. Altogether, 228 data points (or inputs) about the smartness of the buildings are required to complete the evaluation. The present paper proposes an alternative calculation method based on genetic programming (GP) for the calculation of Domains and linear regression (LR) for the calculation of Impact Factors and the total SRI score of the building. This novel calculation requires 20% (Domain ventilation and dynamic building envelope) to 75% (Domain cooling) fewer inputs than the original methodology. The present study evaluated 223 case study buildings, and 7 genetic programming models and 8 linear regression models were generated based on the results. The generated results are precise; the relative deviation from the experimental data for Domain scores (modelled with GP) ranged from 0.9% to 2.9%. The R2 for the LR models was 0.75 for most models (with two exceptions, with one with a value of 0.57 and the other with a value of 0.98). The developed method is scalable and could be used for preliminary and portfolio-level screening at early-stage assessments.</w:t>
      </w:r>
    </w:p>
    <w:p>
      <w:pPr>
        <w:pStyle w:val="Heading2"/>
      </w:pPr>
      <w:r>
        <w:t>656. Advancing tools to promote health equity across European Union regions: the EURO-HEALTHY project</w:t>
      </w:r>
    </w:p>
    <w:p>
      <w:pPr>
        <w:pStyle w:val="SourceNote"/>
      </w:pPr>
      <w:r>
        <w:rPr>
          <w:b/>
        </w:rPr>
        <w:t>Original source (2020):</w:t>
      </w:r>
      <w:r>
        <w:t xml:space="preserve"> https://doi.org/10.1186/s12961-020-0526-y</w:t>
      </w:r>
    </w:p>
    <w:p>
      <w:pPr/>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POSSIBLE 2026:</w:t>
      </w:r>
      <w:r>
        <w:t xml:space="preserve"> POLISH POPULISM AND THE COUNCIL OF EUROPE: HOW POLAND IS FAILING TO ADHERE TO ITS CORE OBLIGATIONS AND WHAT IT MEANS — https://doi.org/10.52340/gjes.2022.01.06</w:t>
      </w:r>
    </w:p>
    <w:p>
      <w:pPr/>
      <w:r>
        <w:rPr>
          <w:b/>
        </w:rPr>
        <w:t>Shared claim-specific concepts:</w:t>
      </w:r>
      <w:r>
        <w:t xml:space="preserve"> three, failing, policies; EU scope visible. This is a provisional connection, not an outcome finding.</w:t>
      </w:r>
    </w:p>
    <w:p>
      <w:pPr>
        <w:pStyle w:val="SourceNote"/>
      </w:pPr>
      <w:r>
        <w:rPr>
          <w:b/>
        </w:rPr>
        <w:t>Available abstract (not full text):</w:t>
      </w:r>
      <w:r>
        <w:t xml:space="preserve">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pPr/>
      <w:r>
        <w:rPr>
          <w:b/>
        </w:rPr>
        <w:t>POSSIBLE 2026:</w:t>
      </w:r>
      <w:r>
        <w:t xml:space="preserve"> Racial logics of irregular migration in Europe — https://doi.org/10.5281/zenodo.18693464</w:t>
      </w:r>
    </w:p>
    <w:p>
      <w:pPr/>
      <w:r>
        <w:rPr>
          <w:b/>
        </w:rPr>
        <w:t>Shared claim-specific concepts:</w:t>
      </w:r>
      <w:r>
        <w:t xml:space="preserve"> three, produced, inequalities, status, policies; EU scope visible. This is a provisional connection, not an outcome finding.</w:t>
      </w:r>
    </w:p>
    <w:p>
      <w:pPr>
        <w:pStyle w:val="SourceNote"/>
      </w:pPr>
      <w:r>
        <w:rPr>
          <w:b/>
        </w:rPr>
        <w:t>Available abstract (not full text):</w:t>
      </w:r>
      <w:r>
        <w:t xml:space="preserve"> This report examines how race and racism shape the production, governance, and lived experience of migrants’ irregularity across Europe. Drawing on comparative research in Finland, Germany, Italy, the Netherlands, Poland, and the United Kingdom, it analyses how racial logics operate within migration, labour, and welfare systems, and in the narratives and perceptions that sustain them. The study forms part of the Horizon Europe and UKRI-funded Improving the Living and Labour Conditions of Irregularised Migrant Households in Europe (I-CLAIM) project. Across these contexts, racism does not merely operate beneath the surface of law and policy: it structures how access to rights, belonging, and worth are organised. The report conceptualises racism as systemic: not as a set of individual prejudices, but as a structural logic embedded in legal frameworks, bureaucratic routines, everyday governance, as well as the daily practices and lived experiences of migrants. Visa systems, sponsorship mechanisms, welfare conditionality, and structural exclusion reproduce racial hierarchies despite formal commitments to equality. Bureaucratic discretion weaponise administrative procedures into mechanisms of control, while labour regimes transform dependency into economic value. These processes collectively reproduce a racialised governance of mobility. The analysis spans three interconnected domain</w:t>
      </w:r>
    </w:p>
    <w:p>
      <w:pPr/>
      <w:r>
        <w:rPr>
          <w:b/>
        </w:rPr>
        <w:t>POSSIBLE 2026:</w:t>
      </w:r>
      <w:r>
        <w:t xml:space="preserve"> Leaving Earth behind: the semiotics of the failing planet in NewSpace online corporate imagery — https://doi.org/10.1080/09505431.2025.2607358</w:t>
      </w:r>
    </w:p>
    <w:p>
      <w:pPr/>
      <w:r>
        <w:rPr>
          <w:b/>
        </w:rPr>
        <w:t>Shared claim-specific concepts:</w:t>
      </w:r>
      <w:r>
        <w:t xml:space="preserve"> three, failing, status; EU scope not established. This is a provisional connection, not an outcome finding.</w:t>
      </w:r>
    </w:p>
    <w:p>
      <w:pPr>
        <w:pStyle w:val="SourceNote"/>
      </w:pPr>
      <w:r>
        <w:rPr>
          <w:b/>
        </w:rPr>
        <w:t>Available abstract (not full text):</w:t>
      </w:r>
      <w:r>
        <w:t xml:space="preserve"> Computer-generated imagery (CGI) of Earth published online by the private space industry, or ‘NewSpace’, produces understandings of a failing planet to justify the commercialisation of space and terrestrial extractivism. Drawing on the iconic blue-marble genre of 20th-century NASA Earth photography and more recent digital globe imagery linked to modelling and spectacularising climate crisis, NewSpace CGI contributes to an emergent ‘sociotechnical imaginary’ – a collectively held technology-driven vision of the future with practical applications – that anticipates departure from Earth for some by allowing for disaster capitalism on a planetary scale. Semiotic analysis of a sample of images obtained from the Blue Origin, SpaceX and Virgin Galactic websites in 2019-20 identified three representational themes that reconstruct Earth as anachronistic and inhospitable: a parting perspective in which Earth is depicted as a point of departure; Earth as incidental to futuristic space technologies; compulsory ultrablue colouration that evokes an untenably pristine environment. Together, these formal and stylistic elements constitute a new convention for Earth representation common across the NewSpace sector that crystallises a broader shift in the ontological status of Earth in the context of 21st-century climate crisis, from home planet – a place of return – to failing planet of origin t</w:t>
      </w:r>
    </w:p>
    <w:p>
      <w:pPr/>
      <w:r>
        <w:rPr>
          <w:b/>
        </w:rPr>
        <w:t>POSSIBLE 2025:</w:t>
      </w:r>
      <w:r>
        <w:t xml:space="preserve"> European cloud computing policy: failing in Europe to succeed nationally? — https://doi.org/10.1080/01402382.2025.2491962</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pPr/>
      <w:r>
        <w:rPr>
          <w:b/>
        </w:rPr>
        <w:t>POSSIBLE 2025:</w:t>
      </w:r>
      <w:r>
        <w:t xml:space="preserve"> Controlling European money for failing banks: designing the European Stability Mechanism as banking union’s financial backstop — https://doi.org/10.1080/07036337.2025.2512579</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three, failing, inequalities;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ESAIC focused guidelines for the management of the failing epidural during labour epidural analgesia — https://doi.org/10.1097/eja.0000000000002108</w:t>
      </w:r>
    </w:p>
    <w:p>
      <w:pPr/>
      <w:r>
        <w:rPr>
          <w:b/>
        </w:rPr>
        <w:t>Shared claim-specific concepts:</w:t>
      </w:r>
      <w:r>
        <w:t xml:space="preserve"> produced, failing, finally; EU scope visible. This is a provisional connection, not an outcome finding.</w:t>
      </w:r>
    </w:p>
    <w:p>
      <w:pPr>
        <w:pStyle w:val="SourceNote"/>
      </w:pPr>
      <w:r>
        <w:rPr>
          <w:b/>
        </w:rPr>
        <w:t>Available abstract (not full text):</w:t>
      </w:r>
      <w:r>
        <w:t xml:space="preserve"> BACKGROUND: Labour epidural analgesia reportedly fails in up to 10 to 25% of cases. A joint taskforce of European Society of Anaesthesiology and Intensive Care (ESAIC) experts was created to develop this focused guideline on the management of failing epidural analgesia in a previously well functioning epidural catheter. DESIGN: Six clinical questions were defined using a PICO (Population/Intervention/Comparison/Outcome) strategy to conduct a systematic literature search. The questions pertained to clinical management of failing epidural (PICOs 1, 2 and 3), human resource and team training (PICOs 4 and 5) and clinical management of a failing epidural for intrapartum caesarean delivery (PICO 6). The taskforce produced recommendations and clinical practice statements (CPS) and validated them through a Delphi process. The final version of the guideline was submitted to all ESAIC members for critical review and approved by the Guidelines Committee and the ESAIC Board of Directors. RESULTS: In the initial search, 3737 titles were identified, 93 were retained for complete article analysis and 56 were finally allocated to the PICOs. The full-text analysis of the selected articles precluded extraction of significant data for all PICOs except for PICO 6, for which six articles were identified. Based on the experience, knowledge and opinion of the experts, the task force proposed and vali</w:t>
      </w:r>
    </w:p>
    <w:p>
      <w:pPr/>
      <w:r>
        <w:rPr>
          <w:b/>
        </w:rPr>
        <w:t>POSSIBLE 2025:</w:t>
      </w:r>
      <w:r>
        <w:t xml:space="preserve"> Cultural innovation can increase and maintain biodiversity: A case study from medieval Europe — https://doi.org/10.1073/pnas.2506266122</w:t>
      </w:r>
    </w:p>
    <w:p>
      <w:pPr/>
      <w:r>
        <w:rPr>
          <w:b/>
        </w:rPr>
        <w:t>Shared claim-specific concepts:</w:t>
      </w:r>
      <w:r>
        <w:t xml:space="preserve"> case, maintain; EU scope visible. This is a provisional connection, not an outcome finding.</w:t>
      </w:r>
    </w:p>
    <w:p>
      <w:pPr>
        <w:pStyle w:val="SourceNote"/>
      </w:pPr>
      <w:r>
        <w:rPr>
          <w:b/>
        </w:rPr>
        <w:t>Available abstract (not full text):</w:t>
      </w:r>
      <w:r>
        <w:t xml:space="preserve"> Numerous research efforts have used paleoecological data to reconstruct past biodiversity in Europe. In these projects, researchers have identified increases in biodiversity over the Holocene and hinted at a positive correlation with human population. These are important findings but are not easily translated into effective biodiversity conservation and restoration policy. We argue that, in order to better inform policymaking, studies of past biodiversity dynamics should include analyses of contemporaneous cultural phenomena in order to identify and describe specific anthropogenic drivers of past biodiversity changes. We present an example here, a case study from the Lake Constance region (southwestern Germany), one of the core areas of the Carolingian Empire, the foundational political structure of modern Europe. This uniquely well-documented region offers six fossil pollen profiles characterized by high taxonomic and chronological resolution, archaeobotanical evidence from hundreds of excavation sites, and historical records describing population, commerce, and agriculture dating from the mid-700s CE. These data indicate that a major, sustained increase in plant diversity occurred in the Lake Constance region between 500 and 1000 CE, the formative period of medieval civilization. Plant diversity reached a 4,000-y peak around 1000 CE, making the medieval period a plant diversi</w:t>
      </w:r>
    </w:p>
    <w:p>
      <w:pPr/>
      <w:r>
        <w:rPr>
          <w:b/>
        </w:rPr>
        <w:t>POSSIBLE 2025:</w:t>
      </w:r>
      <w:r>
        <w:t xml:space="preserve"> UK—A Century of Failing (and Sometimes Succeeding) at Value Capture — https://doi.org/10.3390/land14050936</w:t>
      </w:r>
    </w:p>
    <w:p>
      <w:pPr/>
      <w:r>
        <w:rPr>
          <w:b/>
        </w:rPr>
        <w:t>Shared claim-specific concepts:</w:t>
      </w:r>
      <w:r>
        <w:t xml:space="preserve"> three, failing, policies; EU scope not established. This is a provisional connection, not an outcome finding.</w:t>
      </w:r>
    </w:p>
    <w:p>
      <w:pPr>
        <w:pStyle w:val="SourceNote"/>
      </w:pPr>
      <w:r>
        <w:rPr>
          <w:b/>
        </w:rPr>
        <w:t>Available abstract (not full text):</w:t>
      </w:r>
      <w:r>
        <w:t xml:space="preserve"> The United Kingdom has had a series of unsuccessful attempts at securing land value capture in 1909, 1947, 1967, and 1975. The 1909 land duties would have taxed increases in land values irrespective of the source. The latter three combined public bodies, acquiring development land with levies on developers. For them, value uplift was limited to that arising from the granting of planning consent. None of the measures were fully implemented and were reversed by incoming governments. One of the key problems with value capture policies has been the lack of political consensus. Since 1979, consensus has developed around the use of three types of value capture instruments. Development corporations have been created for the regeneration of local areas by acquiring development land and improving it. Local authorities have been able to use planning obligations and community infrastructure levies to oblige developers to mitigate externalities. Governments have made it clear that these are not to be used as value capture devices and therefore are really applications of the polluter pays principle. Thirdly, there are national taxes that fall on increases in the value of land, namely, business rates, stamp duty land tax, capital gains tax, and inheritance tax.</w:t>
      </w:r>
    </w:p>
    <w:p>
      <w:pPr/>
      <w:r>
        <w:rPr>
          <w:b/>
        </w:rPr>
        <w:t>POSSIBLE 2025:</w:t>
      </w:r>
      <w:r>
        <w:t xml:space="preserve"> Continuing recovery of wolves in Europe — https://doi.org/10.1371/journal.pstr.0000158</w:t>
      </w:r>
    </w:p>
    <w:p>
      <w:pPr/>
      <w:r>
        <w:rPr>
          <w:b/>
        </w:rPr>
        <w:t>Shared claim-specific concepts:</w:t>
      </w:r>
      <w:r>
        <w:t xml:space="preserve"> increasing, sustainable, policies;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Sustainable solutions: exploring trade-offs in marine protected areas from six European case sites — https://doi.org/10.1038/s44183-025-00167-w</w:t>
      </w:r>
    </w:p>
    <w:p>
      <w:pPr/>
      <w:r>
        <w:rPr>
          <w:b/>
        </w:rPr>
        <w:t>Shared claim-specific concepts:</w:t>
      </w:r>
      <w:r>
        <w:t xml:space="preserve"> three, produced, case, increasing, sustainable; EU scope visible. This is a provisional connection, not an outcome finding.</w:t>
      </w:r>
    </w:p>
    <w:p>
      <w:pPr>
        <w:pStyle w:val="SourceNote"/>
      </w:pPr>
      <w:r>
        <w:rPr>
          <w:b/>
        </w:rPr>
        <w:t>Available abstract (not full text):</w:t>
      </w:r>
      <w:r>
        <w:t xml:space="preserve"> Maritime Spatial Planning (MSP) is a crucial tool for the sustainable use of ocean resources, requiring the negotiation of trade-offs among ecological, economic, and social interests. This study validates a participatory four-block methodology—preparation, option setting, trade-off negotiation and implementation—applied across six European case sites within the MSP4BIO project. It produced practical guidance—especially for the ‘Trade-off Negotiation’ phase, in a participatory context. This process was operationalized across the sites through three core phases: (I) preparation, (II) collaborative engagement with stakeholders, and (III) post-meeting consolidation. Participatory mapping tools such as SeaSketch were used to visualize spatial conflicts and support stakeholder engagement. Findings show that trade-offs are highly context-specific, requiring flexible, data-driven, and inclusive decision-making processes. Common challenges include data limitations, varying technical capacities, and the need for stronger integration of MSP and Marine Protected Areas (MPAs). A qualitative cross-case comparison emphasized the importance of harmonized and adaptive methods to support participatory governance, and ecological resilience in the face of climate change and increasing anthropogenic pressures on marine environments. This study is the first operational test in case sites, across six</w:t>
      </w:r>
    </w:p>
    <w:p>
      <w:pPr/>
      <w:r>
        <w:rPr>
          <w:b/>
        </w:rPr>
        <w:t>POSSIBLE 2025:</w:t>
      </w:r>
      <w:r>
        <w:t xml:space="preserve"> EXPANDING POLITICAL GOALS: AMERICA’S FAILING STRATEGY IN UKRAINE WAR — https://doi.org/10.54690/ndujournal.39.223</w:t>
      </w:r>
    </w:p>
    <w:p>
      <w:pPr/>
      <w:r>
        <w:rPr>
          <w:b/>
        </w:rPr>
        <w:t>Shared claim-specific concepts:</w:t>
      </w:r>
      <w:r>
        <w:t xml:space="preserve"> failing, case, states, maintain; EU scope not established. This is a provisional connection, not an outcome finding.</w:t>
      </w:r>
    </w:p>
    <w:p>
      <w:pPr>
        <w:pStyle w:val="SourceNote"/>
      </w:pPr>
      <w:r>
        <w:rPr>
          <w:b/>
        </w:rPr>
        <w:t>Available abstract (not full text):</w:t>
      </w:r>
      <w:r>
        <w:t xml:space="preserve"> Understanding the political goal of a war is essential, as it helps assess the nature of the conflict, its likely duration, the risks adversaries are willing to take, and the costs they are prepared to bear. A political goal can be offensive, as seen in the case of U.S. civil and military support for Ukraine and NATO’s enlargement, which Russia perceives as provocative, aiming to diminish its strategic buffer zone. Conversely, a political goal can be defensive, as in Russia’s efforts to maintain its sphere of influence over Ukraine, which it has consistently regarded as a red line. Setting the right political objective in war is crucial, as it shapes strategic decisions, the defense of vital national interests, and ultimately, the difference between victory and defeat. This paper analyzes the United States' political goal in the war in Ukraine and examines its implications for how the conflict might end.</w:t>
      </w:r>
    </w:p>
    <w:p>
      <w:pPr>
        <w:pStyle w:val="Heading2"/>
      </w:pPr>
      <w:r>
        <w:t>657. Alpine Tundra Contraction under Future Warming Scenarios in Europe</w:t>
      </w:r>
    </w:p>
    <w:p>
      <w:pPr>
        <w:pStyle w:val="SourceNote"/>
      </w:pPr>
      <w:r>
        <w:rPr>
          <w:b/>
        </w:rPr>
        <w:t>Original source (2020):</w:t>
      </w:r>
      <w:r>
        <w:t xml:space="preserve"> https://doi.org/10.3390/atmos11070698</w:t>
      </w:r>
    </w:p>
    <w:p>
      <w:pPr/>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POSSIBLE 2026:</w:t>
      </w:r>
      <w:r>
        <w:t xml:space="preserve"> Evaluating Climate Regimes and Their Temporal Evolution in ERA5-Driven EURO-CORDEX CMIP6 Simulations — https://doi.org/10.5194/ems2026-512</w:t>
      </w:r>
    </w:p>
    <w:p>
      <w:pPr/>
      <w:r>
        <w:rPr>
          <w:b/>
        </w:rPr>
        <w:t>Shared claim-specific concepts:</w:t>
      </w:r>
      <w:r>
        <w:t xml:space="preserve"> regional, climate, simulations, euro-cordex, representing, between; EU scope visible. This is a provisional connection, not an outcome finding.</w:t>
      </w:r>
    </w:p>
    <w:p>
      <w:pPr>
        <w:pStyle w:val="SourceNote"/>
      </w:pPr>
      <w:r>
        <w:rPr>
          <w:b/>
        </w:rPr>
        <w:t>Available abstract (not full text):</w:t>
      </w:r>
      <w:r>
        <w:t xml:space="preserve"> Climate classifications are useful tools for assessing climate variability and change, as they aggregate multiple variables into discrete climate types representing regions with homogeneous characteristics, often corresponding to vegetation zones or eco-regions. The Köppen–Trewartha classification (KTC) defines climate regimes using temperature- and precipitation-based thresholds, synthesising conditions into discrete and comparable units for analysing their spatial distribution and temporal evolution. In this study, we assess how well the new generation of EURO-CORDEX regional climate simulations driven by ERA5 reanalysis within the CMIP6 framework reproduces the observed distribution of KTC climate types across Europe. As part of the coordinated EURO-CORDEX evaluation effort, individual model simulations are compared against observational reference data representing observed climate conditions and their evolution. This enables an assessment of how well each simulation reproduces the distribution of major European climate types and their boundaries. We further investigate how these patterns evolve over time, focusing on shifts in climate regimes and their spatial structure. The analysis is complemented by time series diagnostics of climate type occurrence and spatial extent. Particular attention is given to systematic biases in the extent and boundaries of selected climate typ</w:t>
      </w:r>
    </w:p>
    <w:p>
      <w:pPr/>
      <w:r>
        <w:rPr>
          <w:b/>
        </w:rPr>
        <w:t>POSSIBLE 2026:</w:t>
      </w:r>
      <w:r>
        <w:t xml:space="preserve"> Evaluation of historical simulations in the HCLIM43-ALADIN regional climate downscaling ensemble over Europe in the EURO-CORDEX-CMIP6 framework — https://doi.org/10.5281/zenodo.22813643</w:t>
      </w:r>
    </w:p>
    <w:p>
      <w:pPr/>
      <w:r>
        <w:rPr>
          <w:b/>
        </w:rPr>
        <w:t>Shared claim-specific concepts:</w:t>
      </w:r>
      <w:r>
        <w:t xml:space="preserve"> used, regional, climate, simulations, grid, between; EU scope visible. This is a provisional connection, not an outcome finding.</w:t>
      </w:r>
    </w:p>
    <w:p>
      <w:pPr>
        <w:pStyle w:val="SourceNote"/>
      </w:pPr>
      <w:r>
        <w:rPr>
          <w:b/>
        </w:rPr>
        <w:t>Available abstract (not full text):</w:t>
      </w:r>
      <w:r>
        <w:t xml:space="preserve"> Regional climate downscaling has historically been complementary to global climate models, providing higher-resolution data for local-scale studies and climate services. We use the regional climate model HCLIM43-ALADIN to downscale six CMIP6 global models in eight simulations on a 12.5-km resolution European domain. This is the HCLIM community contribution to the EURO-CORDEX-CMIP6 multi-model downscaling ensemble involving several regional climate models and soon to be available publicly via the Earth System Grid Federation. We document the HCLIM43-ALADIN ensemble and evaluate the simulated results during the historical time period 1991−2020 against the gridded station observations E-OBS and the reanalyses CERRA, CERRA-Land, and ERA5, focusing on near-surface temperature and precipitation. In winter in the global climate model-driven HCLIM simulations, a cold bias of about 3 °C and underestimated precipitation by about 25% are present in North Europe, and a warm bias of about 1 °C and overestimated precipitation of about 50% are present in Central and Southern Europe. In summer, a cold bias of about 1 °C and overestimated precipitation of about 25% are present in Northern Europe, and a warm bias of about 2 °C is present in Central and Southern Europe. Overestimated precipitation by about 200% is present in parts of Southern Europe, but this value is also amplified by the very l</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regional, climate, euro-cordex;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New ensemble of regional climate projections for Europe — https://doi.org/10.5281/zenodo.20340839</w:t>
      </w:r>
    </w:p>
    <w:p>
      <w:pPr/>
      <w:r>
        <w:rPr>
          <w:b/>
        </w:rPr>
        <w:t>Shared claim-specific concepts:</w:t>
      </w:r>
      <w:r>
        <w:t xml:space="preserve"> used, regional, climate, simulations, euro-cordex, together;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ClimRisk.eu: Regional climate projections for Europe — https://doi.org/10.5194/ems2026-518</w:t>
      </w:r>
    </w:p>
    <w:p>
      <w:pPr/>
      <w:r>
        <w:rPr>
          <w:b/>
        </w:rPr>
        <w:t>Shared claim-specific concepts:</w:t>
      </w:r>
      <w:r>
        <w:t xml:space="preserve"> regional, climate, together;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Dynamical downscaling of EC-Earth3-Veg over the EURO-CORDEX domain with WRF: A contribution to CORDEX-CORE Phase II — https://doi.org/10.5194/egusphere-egu26-23171</w:t>
      </w:r>
    </w:p>
    <w:p>
      <w:pPr/>
      <w:r>
        <w:rPr>
          <w:b/>
        </w:rPr>
        <w:t>Shared claim-specific concepts:</w:t>
      </w:r>
      <w:r>
        <w:t xml:space="preserve"> used, regional, climate, simulations, euro-cordex, present; EU scope visible. This is a provisional connection, not an outcome finding.</w:t>
      </w:r>
    </w:p>
    <w:p>
      <w:pPr>
        <w:pStyle w:val="SourceNote"/>
      </w:pPr>
      <w:r>
        <w:rPr>
          <w:b/>
        </w:rPr>
        <w:t>Available abstract (not full text):</w:t>
      </w:r>
      <w:r>
        <w:t xml:space="preserve"> The broader Euro-Mediterranean region, encompassing most of Europe as well as parts of North Africa and the Middle East, has been identified by the IPCC as one of the fastest-warming regions globally. At the same time, it has experienced a marked increase in the frequency and intensity of extreme weather events, including heatwaves and droughts. Reliable regional climate information is therefore essential for understanding ongoing changes and supporting climate impact assessments. Within the framework of the World Climate Research Programme (WCRP), CORDEX provides coordinated regional climate model (RCM) simulations to advance regional climate downscaling and its applications. Over the past two decades, it has generated standardized datasets to support analyses of present and future climate extremes, trends, and impacts on society, ecosystems, and agriculture across fourteen continental-scale domains, covering nearly all global land areas. Following the CMIP5-driven CORDEX simulations used in the latest IPCC Assessment Report, the newly launched CMIP6-driven CORDEX initiative is expected to further populate community data repositories and contribute to the next IPCC assessment. In the present study, we evaluate historical simulations over the EURO-CORDEX domain, obtained by dynamically downscaling the CMIP6 EC-Earth3-Veg Earth system model using the Weather Research and Forecas</w:t>
      </w:r>
    </w:p>
    <w:p>
      <w:pPr/>
      <w:r>
        <w:rPr>
          <w:b/>
        </w:rPr>
        <w:t>POSSIBLE 2026:</w:t>
      </w:r>
      <w:r>
        <w:t xml:space="preserve"> EURO-SUPREME: A large-ensemble dataset of sub-daily precipitation extremes from EURO-CORDEX — https://doi.org/10.5194/egusphere-egu26-1954</w:t>
      </w:r>
    </w:p>
    <w:p>
      <w:pPr/>
      <w:r>
        <w:rPr>
          <w:b/>
        </w:rPr>
        <w:t>Shared claim-specific concepts:</w:t>
      </w:r>
      <w:r>
        <w:t xml:space="preserve"> regional, climate, simulations, euro-cordex, rcp8, warming; EU scope visible. This is a provisional connection, not an outcome finding.</w:t>
      </w:r>
    </w:p>
    <w:p>
      <w:pPr>
        <w:pStyle w:val="SourceNote"/>
      </w:pPr>
      <w:r>
        <w:rPr>
          <w:b/>
        </w:rPr>
        <w:t>Available abstract (not full text):</w:t>
      </w:r>
      <w:r>
        <w:t xml:space="preserve"> Extreme precipitation poses an increasing risk through flooding, infrastructure damage and loss of life, with further intensification expected under ongoing global warming. Reliable quantification of current and future extreme precipitation requires large ensembles of climate simulations at sufficiently high spatial and temporal resolution.Here, we present EURO-SUPREME (EURO-SUb-daily PRecipitation extrEMEs), a new large-ensemble dataset of sub-daily precipitation extremes derived from the EURO-CORDEX EUR-11 (0.11°) simulations. The dataset is based on regional climate model (RCM) downscalings of CMIP5 global climate models and provides annual maximum precipitation accumulations for durations ranging from 1 to 72 hours. It combines evaluation simulations with a 35-member ensemble of historical and future projections under the RCP8.5 scenario, resulting in nearly 5,000 simulation years.We evaluate the dataset across multiple European regions and disentangle the relative contributions of the driving global models and RCMs to biases in extreme precipitation characteristics. In addition, we demonstrate the use of EURO-SUPREME as a benchmark for convection-permitting climate simulations, illustrated by a case study over Belgium. Finally, we analyse projected changes in the intensity and frequency of extreme precipitation events as a function of global warming level.EURO-SUPREME prov</w:t>
      </w:r>
    </w:p>
    <w:p>
      <w:pPr/>
      <w:r>
        <w:rPr>
          <w:b/>
        </w:rPr>
        <w:t>POSSIBLE 2026:</w:t>
      </w:r>
      <w:r>
        <w:t xml:space="preserve"> Projected changes of heatwave occurrences and characteristics in Hungary using raw and bias-corrected EURO-CORDEX simulations — https://doi.org/10.5194/egusphere-egu26-348</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 clear sign of climate change is the increased frequency of certain weather and climate extremes, which trend can be observed in the South-Eastern European region, including the Carpathian Basin. Heatwaves are among those weather related phenomena that pose serious health risks, being not only dangerous to the human body but also to natural ecosystems and various sectors of the economy. These periods are expected to occur more frequently, with greater intensity and longer duration in the future, in addition, heatwave days may appear earlier in the year and become more frequent after the end of summer. In this study a heatwave detection method is introduced based on daily mean temperature thresholds optimalized for Hungary. Three main characteristics are counted: duration, intensity and the highest daily mean temperature during the heatwave originally performed on daily measurement data series of a given station. This method was implemented for fine scale regional climate model (RCM) simulations through using grid cell averages for the location of interest. For this research 5 RCMs of the EURO-CORDEX initiative were chosen (CCLM, HIRHAM, RACMO, RCA, REMO) available at a horizontal resolution of 0.11° following the RCP8.5 scenario. Beside the raw simulations, different bias-corrected versions of the above-mentioned RCMs were analysed, namely: the RCM projections available from t</w:t>
      </w:r>
    </w:p>
    <w:p>
      <w:pPr/>
      <w:r>
        <w:rPr>
          <w:b/>
        </w:rPr>
        <w:t>POSSIBLE 2026:</w:t>
      </w:r>
      <w:r>
        <w:t xml:space="preserve"> Optimisation of ICON-CLM for the EURO-CORDEX domain: developments, sensitivities, tuning — https://doi.org/10.3929/ethz-c-000802466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Optimisation of ICON-CLM for the EURO-CORDEX domain: developments, sensitivities, tuning — https://doi.org/10.5194/gmd-19-5439-2026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Abstract. Optimising the model performance to reduce model biases is a challenging task in global and regional climate modelling, especially relevant for free-running climate change simulations. This challenge is addressed in the present study through a systematic RCM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2-m temperature. During this process, the sensitivity of the model to changes of 29 model parameters and their physical consistency was tested and investigated. Comparing the results of optimisation by expert judgement with LiMMo showed that the latter not only confirms the expert judgement focusing on a priori known highly sensitive parameters, but additionally, it allows a model configuration fine-tuning with an explicit control over the tuning process and makes parameter combinations more efficient. With reference to the default ICON numerical weather prediction (NWP) configuration, the model optimisation yielded significant improvements for a real climate m</w:t>
      </w:r>
    </w:p>
    <w:p>
      <w:pPr/>
      <w:r>
        <w:rPr>
          <w:b/>
        </w:rPr>
        <w:t>POSSIBLE 2026:</w:t>
      </w:r>
      <w:r>
        <w:t xml:space="preserve"> Optimisation of ICON-CLM for the EURO-CORDEX domain: developments, sensitivities, tuning — https://doi.org/10.5445/ir/1000194820</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Urban climate evaluation in the upcoming generation of CMIP6-Driven EURO-CORDEX regional climate simulations — https://doi.org/10.1016/j.uclim.2026.103103</w:t>
      </w:r>
    </w:p>
    <w:p>
      <w:pPr/>
      <w:r>
        <w:rPr>
          <w:b/>
        </w:rPr>
        <w:t>Shared claim-specific concepts:</w:t>
      </w:r>
      <w:r>
        <w:t xml:space="preserve"> regional, climate, simulations, euro-cordex; EU scope visible. This is a provisional connection, not an outcome finding.</w:t>
      </w:r>
    </w:p>
    <w:p>
      <w:pPr>
        <w:pStyle w:val="SourceNote"/>
      </w:pPr>
      <w:r>
        <w:rPr>
          <w:b/>
        </w:rPr>
        <w:t>Available abstract (not full text):</w:t>
      </w:r>
      <w:r>
        <w:t xml:space="preserve"> The latest EURO-CORDEX simulations, downscaling CMIP6 GCMs, provide an improved representation of urban areas compared to the previous CORDEX-CMIP5 generation, partly motivated by the increasing demand for urban-scale climate information for adaptation and planning, as reflected in the IPCC Special Report on Climate Change and Cities. In this study, we evaluate the ERA5-driven EURO-CORDEX ensemble (CMIP6 generation) for its ability to represent urban areas and simulate urban climate across nearly 100 European cities. We further assess the sensitivity of urban–rural contrasts to geographical location and urban parameterization schemes. Results show that the urban heat island effect is captured in most cities, with a more realistic representation in models that include urban canopy schemes. The urban dry island effect and wind speed attenuation are also identified, although they exhibit greater inter-model variability than temperature. Models identify spatial patterns across the analyzed cities, including geographical climatic gradients, the urban cool island effect in arid regions, and coastal influences. Comparison with observations highlights challenges in evaluating RCMs, underscoring the need for dense and representative observational networks or alternative approaches. This work provides the first systematic evaluation of urban climate representation in EURO-CORDEX, identif</w:t>
      </w:r>
    </w:p>
    <w:p>
      <w:pPr>
        <w:pStyle w:val="Heading2"/>
      </w:pPr>
      <w:r>
        <w:t>658. Assessing the EU’s 2030 Climate and Energy Policy Framework: Incremental change toward radical transformation?</w:t>
      </w:r>
    </w:p>
    <w:p>
      <w:pPr>
        <w:pStyle w:val="SourceNote"/>
      </w:pPr>
      <w:r>
        <w:rPr>
          <w:b/>
        </w:rPr>
        <w:t>Original source (2020):</w:t>
      </w:r>
      <w:r>
        <w:t xml:space="preserve"> https://doi.org/10.1111/reel.12358</w:t>
      </w:r>
    </w:p>
    <w:p>
      <w:pPr/>
      <w:r>
        <w:t>Original wording (abstract; indexed_source_text_not_full_document_verified):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POSSIBLE 2026:</w:t>
      </w:r>
      <w:r>
        <w:t xml:space="preserve"> Protecting Wildlife in Europe: A Comprehensive Analysis of Legislative Frameworks and Their Shortcomings — https://doi.org/10.1080/13880292.2025.2619363</w:t>
      </w:r>
    </w:p>
    <w:p>
      <w:pPr/>
      <w:r>
        <w:rPr>
          <w:b/>
        </w:rPr>
        <w:t>Shared claim-specific concepts:</w:t>
      </w:r>
      <w:r>
        <w:t xml:space="preserve"> article, provides, comprehensive, law, also, explores; EU scope visible. This is a provisional connection, not an outcome finding.</w:t>
      </w:r>
    </w:p>
    <w:p>
      <w:pPr>
        <w:pStyle w:val="SourceNote"/>
      </w:pPr>
      <w:r>
        <w:rPr>
          <w:b/>
        </w:rPr>
        <w:t>Available abstract (not full text):</w:t>
      </w:r>
      <w:r>
        <w:t xml:space="preserve"> This article provides a critical and comprehensive analysis of the legislative frameworks governing wildlife protection in Britain and Europe, highlighting both their strengths and persistent shortcomings. At the European level, the analysis considers the Habitats Directive and the recently adopted EU Nature Restoration Law, which imposes legally binding restoration targets for ecosystems and aims to address the ongoing biodiversity crisis. The article also explores the regulatory environment surrounding wildlife trade, including the implementation of CITES through EU regulations and the challenges posed by illegal trafficking and moves on to examine the foundational statutes in Britain, notably the Wildlife and Countryside Act 1981, which serves as the principal mechanism for the protection of wild species and habitats, and its integration of key European directives such as the Birds and Habitats Directives. Despite the existence of robust legislative instruments and the establishment of the Natura 2000 network—the largest coordinated protected area network globally—significant gaps remain. These include inconsistent implementation at the domestic level, enforcement challenges, and the dilution of original European standards during national transposition. The analysis reveals that the effectiveness of these frameworks is often undermined by political, economic, and social pres</w:t>
      </w:r>
    </w:p>
    <w:p>
      <w:pPr/>
      <w:r>
        <w:rPr>
          <w:b/>
        </w:rPr>
        <w:t>POSSIBLE 2026:</w:t>
      </w:r>
      <w:r>
        <w:t xml:space="preserve"> Trade unions in the European Union — https://doi.org/10.20396/rbest.v7i00.21016</w:t>
      </w:r>
    </w:p>
    <w:p>
      <w:pPr/>
      <w:r>
        <w:rPr>
          <w:b/>
        </w:rPr>
        <w:t>Shared claim-specific concepts:</w:t>
      </w:r>
      <w:r>
        <w:t xml:space="preserve"> article, provides, union; EU scope visible. This is a provisional connection, not an outcome finding.</w:t>
      </w:r>
    </w:p>
    <w:p>
      <w:pPr>
        <w:pStyle w:val="SourceNote"/>
      </w:pPr>
      <w:r>
        <w:rPr>
          <w:b/>
        </w:rPr>
        <w:t>Available abstract (not full text):</w:t>
      </w:r>
      <w:r>
        <w:t xml:space="preserve"> This article assesses changes in the situation of trade unions in the European Union (EU) between 2000 and 2020, building on a previous publication by the European Trade Union Institute (ETUI) on European trade unionism (Waddington &amp; Hoffmann, 2000) and incorporating an analysis of the impact of the adoption of the euro and successive EU enlargements. The analysis argues that the viability of trade unionism in some national variants of the European social model is under threat. The text consists of five sections, plus an introduction and concluding remarks. Section 1 provides a historical perspective: it revisits the labor movement of the “golden age” and describes the challenge posed by the neoliberal agenda in the last quarter of the 20th century. The subsequent sections outline the changes that have taken place since the year 2000 in line with the neoliberal project: in the labor market (section 2); in economic outcomes (section 3); in collective bargaining (section 4); and in unionization and mobilization (section 5). Finally, the paper highlights the characteristics that distinguish the recent trajectories of trade unionism in EU member states.</w:t>
      </w:r>
    </w:p>
    <w:p>
      <w:pPr/>
      <w:r>
        <w:rPr>
          <w:b/>
        </w:rPr>
        <w:t>POSSIBLE 2026:</w:t>
      </w:r>
      <w:r>
        <w:t xml:space="preserve"> Change of Sporting Nationality in Athletics in the Context of European Union Law — https://openalex.org/W7164874266</w:t>
      </w:r>
    </w:p>
    <w:p>
      <w:pPr/>
      <w:r>
        <w:rPr>
          <w:b/>
        </w:rPr>
        <w:t>Shared claim-specific concepts:</w:t>
      </w:r>
      <w:r>
        <w:t xml:space="preserve"> article, provides, comprehensive, union, law, framework; EU scope visible. This is a provisional connection, not an outcome finding.</w:t>
      </w:r>
    </w:p>
    <w:p>
      <w:pPr>
        <w:pStyle w:val="SourceNote"/>
      </w:pPr>
      <w:r>
        <w:rPr>
          <w:b/>
        </w:rPr>
        <w:t>Available abstract (not full text):</w:t>
      </w:r>
      <w:r>
        <w:t xml:space="preserve"> Change of Sporting Nationality in Athletics in the Context of European Union Law Abstract This thesis provides a comprehensive analysis of the phenomenon of changing national affiliation in the context of athletics, with a focus on and through the lens of EU law. In an era of increasing globalization and ever-greater professional mobility among athletes, the rules of international sports federations constitute a fundamental regulatory framework that can affect the fundamental rights of individuals. The main objective of this thesis is to critically assess the rules of WA and their compliance with the key pillars of EU law, in particular the principle of free movement of workers (Article 45 TFEU Treaty on the Functioning of the European Union, hereinafter referred to as "TFEU"), the prohibition of discrimination based on nationality (Article 18 TFEU), and EU competition rules (Articles 101 and 102 TFEU). The introductory section is devoted to a theoretical definition of the concept of citizenship in contrast to the specific institution of sports nationality. Attention is then turned to the doctrine of sports autonomy and its limits, as defined by the case law of the Court of Justice of the EU, particularly in the context of applying the proportionality test. The core of the thesis consists of a detailed...</w:t>
      </w:r>
    </w:p>
    <w:p>
      <w:pPr/>
      <w:r>
        <w:rPr>
          <w:b/>
        </w:rPr>
        <w:t>POSSIBLE 2026:</w:t>
      </w:r>
      <w:r>
        <w:t xml:space="preserve"> Convergence and divergence: strategic narratives and relationality across the African Union/European Union Partnership — https://doi.org/10.1080/23745118.2026.2639999</w:t>
      </w:r>
    </w:p>
    <w:p>
      <w:pPr/>
      <w:r>
        <w:rPr>
          <w:b/>
        </w:rPr>
        <w:t>Shared claim-specific concepts:</w:t>
      </w:r>
      <w:r>
        <w:t xml:space="preserve"> article, provides, union, ongoing; EU scope visible. This is a provisional connection, not an outcome finding.</w:t>
      </w:r>
    </w:p>
    <w:p>
      <w:pPr>
        <w:pStyle w:val="SourceNote"/>
      </w:pPr>
      <w:r>
        <w:rPr>
          <w:b/>
        </w:rPr>
        <w:t>Available abstract (not full text):</w:t>
      </w:r>
      <w:r>
        <w:t xml:space="preserve"> The international system is in a transitional period with competing strategic narratives attempting to influence the trajectory of this change. The European Union (EU) has emerged as a significant voice in this transition and is positioning itself as a more global actor particularly in its relationship with the African Union (AU). Drawing from a wide range of policy documents, this article examines AU strategic narratives on a changing international system, the role of Africa within it, and its relationship with the EU in order to ascertain the level of convergence and divergence in their approaches and preferences. Addressing the under-examined area of African strategic narratives, this research provides an empirical contribution in updating understandings of AU strategic narratives regarding the international system and its ongoing partnership with the EU. Furthermore, this article introduces the idea of ‘Relational Narratives’ as a means to operationalise understandings of strategic narratives in international relations, which can provide further insights into narrative development and co-construction between parties. As the AU/EU navigate an increasingly multipolar system and increase the frequency of their interaction, better understandings of the relational dynamics and points of friction therein present opportunities for more effective cooperation and inter-regional gove</w:t>
      </w:r>
    </w:p>
    <w:p>
      <w:pPr/>
      <w:r>
        <w:rPr>
          <w:b/>
        </w:rPr>
        <w:t>POSSIBLE 2026:</w:t>
      </w:r>
      <w:r>
        <w:t xml:space="preserve"> The European Union — https://doi.org/10.60054/peu.2026.13.20-34</w:t>
      </w:r>
    </w:p>
    <w:p>
      <w:pPr/>
      <w:r>
        <w:rPr>
          <w:b/>
        </w:rPr>
        <w:t>Shared claim-specific concepts:</w:t>
      </w:r>
      <w:r>
        <w:t xml:space="preserve"> article, union, framework, pandemic;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Addressing Medical Deserts in Europe: Lessons From a Comparative Analysis — https://doi.org/10.1111/hex.70606</w:t>
      </w:r>
    </w:p>
    <w:p>
      <w:pPr/>
      <w:r>
        <w:rPr>
          <w:b/>
        </w:rPr>
        <w:t>Shared claim-specific concepts:</w:t>
      </w:r>
      <w:r>
        <w:t xml:space="preserve"> article, comprehensive, overview, framework, also; EU scope visible. This is a provisional connection, not an outcome finding.</w:t>
      </w:r>
    </w:p>
    <w:p>
      <w:pPr>
        <w:pStyle w:val="SourceNote"/>
      </w:pPr>
      <w:r>
        <w:rPr>
          <w:b/>
        </w:rPr>
        <w:t>Available abstract (not full text):</w:t>
      </w:r>
      <w:r>
        <w:t xml:space="preserve"> BACKGROUND: European countries face a common problem of medical deserts-areas where the population has limited access to healthcare services. OBJECTIVE: This article aims to define medical deserts and provide an in-depth overview of the factors driving desertification and the solutions applied to reduce its negative consequences across six European countries: the Netherlands, Spain, Poland, Croatia, Germany and Ireland. METHODS: Applied methods include five consecutive steps: (1) development of a case study template; (2) defining criteria and selecting case study countries, (3) desk research, (4) consultation with national experts and (5) comparative analysis. RESULTS: There is no formally recognised definition of medical deserts in all the analysed countries. Nevertheless, the concept is often associated with sparsely populated, isolated areas with limited access to healthcare services. The factors driving desertification are similar across the six countries and include: ageing and depopulation, health workforce deficits, unattractive working conditions and geographical factors. Solutions implemented to mitigate the negative effects of medical deserts can be classified into several broad categories: health workforce planning and monitoring, training and career pathways, innovative healthcare models, support mechanisms and infrastructure development. CONCLUSIONS: The factors dr</w:t>
      </w:r>
    </w:p>
    <w:p>
      <w:pPr/>
      <w:r>
        <w:rPr>
          <w:b/>
        </w:rPr>
        <w:t>POSSIBLE 2026:</w:t>
      </w:r>
      <w:r>
        <w:t xml:space="preserve"> Application of Article 2 of the European Convention on Human Rights in conditions of armed conflict: the practice of the ECtHR — https://doi.org/10.61345/1339-7915.2025.5.9</w:t>
      </w:r>
    </w:p>
    <w:p>
      <w:pPr/>
      <w:r>
        <w:rPr>
          <w:b/>
        </w:rPr>
        <w:t>Shared claim-specific concepts:</w:t>
      </w:r>
      <w:r>
        <w:t xml:space="preserve"> article, provides, comprehensive, law; EU scope visible. This is a provisional connection, not an outcome finding.</w:t>
      </w:r>
    </w:p>
    <w:p>
      <w:pPr>
        <w:pStyle w:val="SourceNote"/>
      </w:pPr>
      <w:r>
        <w:rPr>
          <w:b/>
        </w:rPr>
        <w:t>Available abstract (not full text):</w:t>
      </w:r>
      <w:r>
        <w:t xml:space="preserve"> The article provides a comprehensive analysis of the application of Article 2 of the European Convention on Human Rights in armed conflict based on the practice of the European Court of Human Rights. The content of the substantive and procedural obligations of the state to protect the right to life is examined, the criteria of “absolute necessity” and proportionality are determined as key standards for the lawful use of lethal force. The correlation of the norms of international humanitarian law and international human rights law in the context of regulating the right to life during armed conflicts is analyzed, in particular the principle of lex specialis and the concept of “military necessity”. Special attention is paid to the procedural aspect of Article 2 of the ECHR - the obligation of the state to conduct an effective official investigation into each case of deprivation of life, including in extraterritorial conditions and in situations of enforced disappearance. Based on the analysis of key decisions of the ECHR - in the cases of McCann and Others v. the United Kingdom, Ergi v. Turkey, Isaeva v. Russia, Georgia v. Russia, Hanan v. Germany, Cyprus v. Turkey, Varnava and Others v. Turkey, “Ukraine and the Netherlands v. Russia” — formulated conclusions regarding the obligations of the state in the field of protecting the right to life of the civilian population in condition</w:t>
      </w:r>
    </w:p>
    <w:p>
      <w:pPr/>
      <w:r>
        <w:rPr>
          <w:b/>
        </w:rPr>
        <w:t>POSSIBLE 2026:</w:t>
      </w:r>
      <w:r>
        <w:t xml:space="preserve"> THE BURDEN OF HIGH TAXATION ON ADVOCATES' FEES: A COMPREHENSIVE COMPARATIVE ANALYSIS OF UZBEKISTAN, CIS, EUROPEAN, AND US PRACTICE AND LEGISLATIVE REFORMS — https://doi.org/10.61796/ijblps.v3i9.559</w:t>
      </w:r>
    </w:p>
    <w:p>
      <w:pPr/>
      <w:r>
        <w:rPr>
          <w:b/>
        </w:rPr>
        <w:t>Shared claim-specific concepts:</w:t>
      </w:r>
      <w:r>
        <w:t xml:space="preserve"> article, provides, comprehensive, law, framework; EU scope visible. This is a provisional connection, not an outcome finding.</w:t>
      </w:r>
    </w:p>
    <w:p>
      <w:pPr>
        <w:pStyle w:val="SourceNote"/>
      </w:pPr>
      <w:r>
        <w:rPr>
          <w:b/>
        </w:rPr>
        <w:t>Available abstract (not full text):</w:t>
      </w:r>
      <w:r>
        <w:t xml:space="preserve"> Objective: This article provides a comprehensive and systematic analysis of the heavy tax burden imposed on advocates' fees in the Republic of Uzbekistan (totaling 24% from personal income and social taxes) and the resulting challenges of the shadow economy and informal cash transactions. Method: A deep comparative study of the taxation of legal services across CIS countries (Russia, Kazakhstan), Europe (Germany, United Kingdom), and the United States is conducted. Results: Based on the findings, concrete theoretical and legislative proposals are developed to amend the Law "On Advocacy" and the Tax Code to introduce a specialized simplified tax regime and a system of professional tax deductions for advocates. Novelty: The novelty of this article lies in integrating a comparative analysis of advocates’ taxation across CIS countries, Europe, and the United States with the specific problem of the 24% tax burden on advocates’ fees in Uzbekistan. The study goes beyond identifying the tax burden by linking it to the risks of shadow economic activity and informal cash transactions and translating the comparative findings into concrete legislative proposals. In particular, the proposed specialized simplified tax regime and professional tax deduction system provide a specific legal and fiscal framework tailored to advocates in Uzbekistan.</w:t>
      </w:r>
    </w:p>
    <w:p>
      <w:pPr/>
      <w:r>
        <w:rPr>
          <w:b/>
        </w:rPr>
        <w:t>POSSIBLE 2026:</w:t>
      </w:r>
      <w:r>
        <w:t xml:space="preserve"> The E-Commerce Market in Poland and European Union Countries in the Context of Changes in European Union Regulations and Devlopment Prospects — https://doi.org/10.31743/ppe.19381</w:t>
      </w:r>
    </w:p>
    <w:p>
      <w:pPr/>
      <w:r>
        <w:rPr>
          <w:b/>
        </w:rPr>
        <w:t>Shared claim-specific concepts:</w:t>
      </w:r>
      <w:r>
        <w:t xml:space="preserve"> article, union, also, prospects, light; EU scope visible. This is a provisional connection, not an outcome finding.</w:t>
      </w:r>
    </w:p>
    <w:p>
      <w:pPr>
        <w:pStyle w:val="SourceNote"/>
      </w:pPr>
      <w:r>
        <w:rPr>
          <w:b/>
        </w:rPr>
        <w:t>Available abstract (not full text):</w:t>
      </w:r>
      <w:r>
        <w:t xml:space="preserve"> The purpose of this article is to analyze the development of the e-commerce market in Poland and the European Union (EU) and to assess selected EU tax regulations introduced in response to VAT non-compliance and the shadow economy in online trade. The research question is whether the available empirical and institutional evidence indicates that the VAT e-commerce package and related reporting mechanisms have strengthened VAT compliance and reduced competitive distortions in cross-border e-commerce. The study combines a review of EU and Polish legislation with a descriptive analysis of the number of Polish entities whose principal activity was classified under PKD 47.91.Z in 2017–2023 and their financial results, supplemented by ex-post evidence on the operation of OSS/IOSS and DAC7 published up to 2026. The results indicate that the reforms improved the mechanisms for collecting VAT and increased tax transparency, while empirical evidence also points to a measurable effect of the reform on Chinese online exports to the EU. At the same time, the available data do not permit a precise estimate of the reduction in the overall e-commerce VAT gap or shadow economy, and the reforms create compliance and administrative costs, particularly for platform operators. Consequently, the balance of the reforms may be assessed as positive, but this conclusion should be interpreted in light of </w:t>
      </w:r>
    </w:p>
    <w:p>
      <w:pPr/>
      <w:r>
        <w:rPr>
          <w:b/>
        </w:rPr>
        <w:t>POSSIBLE 2025:</w:t>
      </w:r>
      <w:r>
        <w:t xml:space="preserve"> The Palestinian Refugee, Article 1D and Evolving Jurisprudence from Europe: a Practitioner’s Perspective — https://doi.org/10.1163/15718166-12340198</w:t>
      </w:r>
    </w:p>
    <w:p>
      <w:pPr/>
      <w:r>
        <w:rPr>
          <w:b/>
        </w:rPr>
        <w:t>Shared claim-specific concepts:</w:t>
      </w:r>
      <w:r>
        <w:t xml:space="preserve"> abstract, article, provides, overview, law, framework; EU scope visible. This is a provisional connection, not an outcome finding.</w:t>
      </w:r>
    </w:p>
    <w:p>
      <w:pPr>
        <w:pStyle w:val="SourceNote"/>
      </w:pPr>
      <w:r>
        <w:rPr>
          <w:b/>
        </w:rPr>
        <w:t>Available abstract (not full text):</w:t>
      </w:r>
      <w:r>
        <w:t xml:space="preserve">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provides, comprehensive, overview, pandemic;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Nuisance Law and Human Rights: Brigding the Gap Between Article 8 and Article 1 of Protocol No. 1 to the European Convention on Human Rights — https://doi.org/10.37232/sp.2025b</w:t>
      </w:r>
    </w:p>
    <w:p>
      <w:pPr/>
      <w:r>
        <w:rPr>
          <w:b/>
        </w:rPr>
        <w:t>Shared claim-specific concepts:</w:t>
      </w:r>
      <w:r>
        <w:t xml:space="preserve"> article, comprehensive, law; EU scope visible. This is a provisional connection, not an outcome finding.</w:t>
      </w:r>
    </w:p>
    <w:p>
      <w:pPr>
        <w:pStyle w:val="SourceNote"/>
      </w:pPr>
      <w:r>
        <w:rPr>
          <w:b/>
        </w:rPr>
        <w:t>Available abstract (not full text):</w:t>
      </w:r>
      <w:r>
        <w:t xml:space="preserve"> The European Court of Human Rights typically addresses nuisance claims, such as those concerning noise or pollution, under Article 8 of the European Convention on Human Rights, which protects the right to one’s home, among other interests. Conversely, such claims are generally excluded from the scope of property protection under Article 1 of Protocol No. 1. This article challenges this approach, arguing that it results from a narrow interpretation of ownership and leaves gaps in protection. The two provisions can complement each other and provide more comprehensive protection for interests that warrant protection. The article concludes by proposing a dual-framework approach where nuisance is analysed under both provisions.</w:t>
      </w:r>
    </w:p>
    <w:p>
      <w:pPr>
        <w:pStyle w:val="Heading2"/>
      </w:pPr>
      <w:r>
        <w:t>659. Assessing the future medical cost burden for the European health systems under alternative exposure-to-risks scenarios</w:t>
      </w:r>
    </w:p>
    <w:p>
      <w:pPr>
        <w:pStyle w:val="SourceNote"/>
      </w:pPr>
      <w:r>
        <w:rPr>
          <w:b/>
        </w:rPr>
        <w:t>Original source (2020):</w:t>
      </w:r>
      <w:r>
        <w:t xml:space="preserve"> https://doi.org/10.1371/journal.pone.0238565</w:t>
      </w:r>
    </w:p>
    <w:p>
      <w:pPr/>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POSSIBLE 2026:</w:t>
      </w:r>
      <w:r>
        <w:t xml:space="preserve"> Has the agricultural productivity increased after European Union enlargements in Central European countries? Evidence from four countries' cereal production — https://doi.org/10.17221/156/2023-agricecon</w:t>
      </w:r>
    </w:p>
    <w:p>
      <w:pPr/>
      <w:r>
        <w:rPr>
          <w:b/>
        </w:rPr>
        <w:t>Shared claim-specific concepts:</w:t>
      </w:r>
      <w:r>
        <w:t xml:space="preserve"> between, overall, expected, three; EU scope visible. This is a provisional connection, not an outcome finding.</w:t>
      </w:r>
    </w:p>
    <w:p>
      <w:pPr>
        <w:pStyle w:val="SourceNote"/>
      </w:pPr>
      <w:r>
        <w:rPr>
          <w:b/>
        </w:rPr>
        <w:t>Available abstract (not full text):</w:t>
      </w:r>
      <w:r>
        <w:t xml:space="preserve"> It was widely expected that following European Union's enlargement in 2004, farmers in new member states would improve their performance by increasing the efficiency of their production processes. In this study, using the Farm Accountancy Data Network data, we look at changes in total factor productivity, a measure which captures how efficiently and intensely inputs are utilised in production, that took place in farms producing cereals in the Czech Republic, Hungary, Poland, and Slovenia between 2004 and 2017. We find that in all four countries total factor productivity increased in the first years after the accession, but later declined. Overall, in the three former countries, total factor productivity in 2017 was higher than observed in 2004, whereas in Slovenia it was lower. This pattern largely corresponds to the dynamics observed with technological change: an initial technological progress was followed by a technological regress. Our results also suggest that over time farmers faced increasing problems with finding an optimal size of their operation. Finally, we observe that the technologies adopted on the farms were not used in an efficient way.</w:t>
      </w:r>
    </w:p>
    <w:p>
      <w:pPr/>
      <w:r>
        <w:rPr>
          <w:b/>
        </w:rPr>
        <w:t>POSSIBLE 2026:</w:t>
      </w:r>
      <w:r>
        <w:t xml:space="preserve"> MULTILEVEL GOVERNANCE IN THE IMPLEMENTATION OF CONCEPT OF HEALTHCARE SYSTEM DEVELOPMENT IN THE CONTEXT OF EUROPEAN INTEGRATION — https://doi.org/10.63776/medlaw2026.45.1.karamyshevd</w:t>
      </w:r>
    </w:p>
    <w:p>
      <w:pPr/>
      <w:r>
        <w:rPr>
          <w:b/>
        </w:rPr>
        <w:t>Shared claim-specific concepts:</w:t>
      </w:r>
      <w:r>
        <w:t xml:space="preserve"> between, overall, healthcare, increase, based; EU scope visible. This is a provisional connection, not an outcome finding.</w:t>
      </w:r>
    </w:p>
    <w:p>
      <w:pPr>
        <w:pStyle w:val="SourceNote"/>
      </w:pPr>
      <w:r>
        <w:rPr>
          <w:b/>
        </w:rPr>
        <w:t>Available abstract (not full text):</w:t>
      </w:r>
      <w:r>
        <w:t xml:space="preserve"> Abstract. The purpose of the study was to develop a model for managing the healthcare system in Ukraine based on the adaptation of European standards. The methodology included a detailed analysis of the European Union (EU) regulations, such as the Association Agreement between Ukraine and the European Union, concerning the implementation of European standards in the healthcare sector. The results of the study show that the harmonization of Ukrainian legislation with EU standards has a positive impact on the quality of healthcare services and the development of the overall healthcare system. Significant challenges have been identified, such as the difficulty of adapting European norms to the realities of the Ukrainian healthcare system, the lack of proper coordination between central and regional levels of government, and the low efficiency of monitoring the implemented reforms. Based on the results of the study, a model for improving multilevel governance was developed, which proposes the creation of a more flexible system of interaction between all levels of government, so facilitating the implementation of reforms and improve healthcare indicators in Ukraine in the context of European integration. In addition to the identified advantages and disadvantages, the study determined that the strategic development of the healthcare system in Ukraine in the context of European integr</w:t>
      </w:r>
    </w:p>
    <w:p>
      <w:pPr/>
      <w:r>
        <w:rPr>
          <w:b/>
        </w:rPr>
        <w:t>POSSIBLE 2026:</w:t>
      </w:r>
      <w:r>
        <w:t xml:space="preserve"> Mapping Healthcare System Complexity in the European Union: A Perspective on Resources, Determinants, and Outcomes — https://doi.org/10.3390/systems14050578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The transformation of healthcare systems presents a key challenge for EU Member States, as they face growing population needs, resource pressures, and ongoing health disparities among communities. Using a systems-thinking approach provides a suitable framework for analyzing how healthcare resources, behavioral and social health determinants, and overall population outcomes are interconnected. This study aims to explore these relationships from a systemic viewpoint within health communities across the European Union. The research employs a cross-sectional approach, utilizing aggregated data from all 27 EU Member States. It involves descriptive and factor analyses to create composite indices of healthcare resources, positive health determinants, and health outcomes. Furthermore, it uses a univariate Generalized Linear Model (GLM) and multilayer perceptron neural networks to model nonlinear relationships among variables. Cluster analysis is also conducted to classify Member States into different health performance typologies. The results emphasize connections between healthcare system resources and population health outcomes, illustrating how positive determinants impact health status and highlighting structural differences across European communities. The results indicate relevant associations between healthcare system resources and population health outcomes, whereas the analysi</w:t>
      </w:r>
    </w:p>
    <w:p>
      <w:pPr/>
      <w:r>
        <w:rPr>
          <w:b/>
        </w:rPr>
        <w:t>POSSIBLE 2026:</w:t>
      </w:r>
      <w:r>
        <w:t xml:space="preserve"> Artificial Intelligence in European Healthcare — https://doi.org/10.1553/easac-feam_report_ai-in-healthcare_2026</w:t>
      </w:r>
    </w:p>
    <w:p>
      <w:pPr/>
      <w:r>
        <w:rPr>
          <w:b/>
        </w:rPr>
        <w:t>Shared claim-specific concepts:</w:t>
      </w:r>
      <w:r>
        <w:t xml:space="preserve"> overall, healthcare, increase, trends, best, predictions;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between, healthcare, spending, three, factors, trends;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Social diversity and access to healthcare in Europe — https://doi.org/10.1186/s12889-020-09494-8?sharing_token=_tr8ytllayfixgtzx9--fw_bpe1tbhcbnbw3buzi2rmjzgjgykgkagc13zxrohk4n9ameg9bedkjbz4eli74em0vydj22n0duymsiwvhjn95e_vmg5498ch4pivxijvzakqqkufh-0pem-euo3c-bvug6bjdmzkz2gehocuylh0%3d</w:t>
      </w:r>
    </w:p>
    <w:p>
      <w:pPr/>
      <w:r>
        <w:rPr>
          <w:b/>
        </w:rPr>
        <w:t>Shared claim-specific concepts:</w:t>
      </w:r>
      <w:r>
        <w:t xml:space="preserve"> between, healthcare, three, based; EU scope visible. This is a provisional connection, not an outcome finding.</w:t>
      </w:r>
    </w:p>
    <w:p>
      <w:pPr>
        <w:pStyle w:val="SourceNote"/>
      </w:pPr>
      <w:r>
        <w:rPr>
          <w:b/>
        </w:rPr>
        <w:t>Available abstract (not full text):</w:t>
      </w:r>
      <w:r>
        <w:t xml:space="preserve"> Background: Social diversity can affect healthcare outcomes in situations when access to healthcare is limited for specific groups.Although the principle of equality is one of the central topics on the agenda of the European Union (EU), its scope in the field of healthcare, however, is relatively unexplored.The aim of this study is to identify and systematically analyze primary and secondary legislation of the EU Institutions that concern the issue of access to healthcare for various minority groups.In our research, we have concentrated on three features of diversity: a) gender identity and sexual orientation, b) race and ethnicity, and c) religion or belief.Method and materials: For the purpose of this analysis, we conducted a search of database Eur-Lex, the official website of European Union law and other public documents of the European Union, based on specific keywords accompanied by review of secondary literature.Relevant documents were examined with regard to the research topic.Our search covered documents that were in force between 13 December 2007 and 31 July 2019.Results: Generally, the EU legal system prohibits discrimination on grounds of religion or belief, racial or ethnic origin, sex, and sexual orientation.However, with regard to the issue of non-discrimination in access to healthcare EU secondary law provides protection against discrimination only on the grounds</w:t>
      </w:r>
    </w:p>
    <w:p>
      <w:pPr/>
      <w:r>
        <w:rPr>
          <w:b/>
        </w:rPr>
        <w:t>POSSIBLE 2026:</w:t>
      </w:r>
      <w:r>
        <w:t xml:space="preserve"> Relationship between atrial fibrillation ablation and gross domestic product across Europe — https://doi.org/10.1093/europace/euaf309</w:t>
      </w:r>
    </w:p>
    <w:p>
      <w:pPr/>
      <w:r>
        <w:rPr>
          <w:b/>
        </w:rPr>
        <w:t>Shared claim-specific concepts:</w:t>
      </w:r>
      <w:r>
        <w:t xml:space="preserve"> between, overall, expected, increase, burden, based; EU scope visible. This is a provisional connection, not an outcome finding.</w:t>
      </w:r>
    </w:p>
    <w:p>
      <w:pPr>
        <w:pStyle w:val="SourceNote"/>
      </w:pPr>
      <w:r>
        <w:rPr>
          <w:b/>
        </w:rPr>
        <w:t>Available abstract (not full text):</w:t>
      </w:r>
      <w:r>
        <w:t xml:space="preserve"> Atrial fibrillation (AF) is the most common sustained arrhythmia, and its prevalence is steadily increasing and expected to further increase, driven by population aging, cardiometabolic comorbidities, and improved detection.1–3 Atrial fibrillation is associated with substantial morbidity—including stroke, heart failure, and hospitalizations—and mortality, making effective management a public health priority.4,5 Over the past decade, the therapeutic landscape for AF has evolved: contemporary international guidelines emphasize early rhythm control strategies and, in appropriately selected patients, endorse AF catheter ablation (AF CA) as a first-line option to reduce AF burden and improve quality of life.4,5 Moreover, AF CA may also improve patients’ prognosis.4,5 Nevertheless, access to advanced rhythm control therapies remains uneven across world regions and even within European countries; population-based analyses and pan-European atlases document wide heterogeneity in electrophysiology (EP) capacity and AF CA availability, with socioeconomic and sex-related disparities in uptake.6,7 These differences in infrastructure and access may translate into variable patient pathways, costs, and outcomes; moreover, the direct and indirect economic burden of AF care is substantial, underscoring the relevance of system-level constraints.8 Against this backdrop, understanding how macroleve</w:t>
      </w:r>
    </w:p>
    <w:p>
      <w:pPr/>
      <w:r>
        <w:rPr>
          <w:b/>
        </w:rPr>
        <w:t>POSSIBLE 2026:</w:t>
      </w:r>
      <w:r>
        <w:t xml:space="preserve"> Social connectedness, loneliness and preventive healthcare utilisation: a multilevel study of cancer screening in Europe using SHARE data — https://doi.org/10.1007/s11135-026-03001-8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Abstract Population ageing has increased the importance of preventive healthcare utilisation, while highlighting persistent social differences in preventive services participation. This study examines whether structural and subjective dimensions of social frailty, captured respectively by limited social connectedness and loneliness, are associated with preventive healthcare utilisation among older adults in Europe. Using harmonised data from Wave 9 of the Survey of Health, Ageing and Retirement in Europe (SHARE), the analysis covers individuals aged 50 and over in 22 European countries. Multilevel logistic regression models are estimated to assess the association between the two selected dimensions and participation in mammography and colorectal cancer screening, while accounting for individual-level demographic, socioeconomic and health-related characteristics, as well as cross-national heterogeneity. The results show that limited social connectedness is consistently associated with higher risks of colorectal cancer screening and mammography non-attendance, whereas loneliness displays a weaker and more outcome-specific association, being related to mammography but not to colorectal cancer screening on average. Moreover, the strength of the association between social connectedness and preventive healthcare utilisation varies across countries, indicating the relevance of nationa</w:t>
      </w:r>
    </w:p>
    <w:p>
      <w:pPr/>
      <w:r>
        <w:rPr>
          <w:b/>
        </w:rPr>
        <w:t>POSSIBLE 2026:</w:t>
      </w:r>
      <w:r>
        <w:t xml:space="preserve"> Healthcare utilisation among migrants in the Netherlands’ unique hybrid healthcare system: the HELIUS study — https://doi.org/10.1136/bmjgh-2025-020024</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BACKGROUND: Migrants in Europe often face barriers to healthcare, contributing to poorer health outcomes. While healthcare utilisation has been studied within Beveridge systems (eg, the UK) and Bismarck systems (eg, Germany), less is known about healthcare use by migrants within the Netherlands' hybrid model. The Dutch model combines a Bismarckian base with Beveridge-like supplements. We investigated the use of general practitioner (GP) services, specialist care, allied health services and complementary medicine among major migrant groups in Amsterdam (South Asian Surinamese, African Surinamese, Ghanaian, Turkish and Moroccan origin) compared with the Dutch-origin population. METHODS: We used pre-pandemic Healthy Life in an Urban Setting data (2015; n=21 614) to avoid biases from intra-COVID-19 and post-COVID-19 healthcare disruptions/alterations. Structured questionnaires assessed healthcare use and reasons for seeking care. Poisson regression with a log link and robust (sandwich) standard errors examined associations between migration background and healthcare utilisation, adjusting for demographics, acculturation, health literacy, lifestyle and chronic conditions. Sensitivity analyses explored motivations for care use and overall health status. RESULTS: All migrant groups reported higher or similar use of GP services compared with the Dutch-origin population. Most migrant gr</w:t>
      </w:r>
    </w:p>
    <w:p>
      <w:pPr/>
      <w:r>
        <w:rPr>
          <w:b/>
        </w:rPr>
        <w:t>POSSIBLE 2026:</w:t>
      </w:r>
      <w:r>
        <w:t xml:space="preserve"> Corruption and public healthcare quality in the European Union: Evidence from Europe’s regions — https://doi.org/10.1016/j.healthpol.2026.105693</w:t>
      </w:r>
    </w:p>
    <w:p>
      <w:pPr/>
      <w:r>
        <w:rPr>
          <w:b/>
        </w:rPr>
        <w:t>Shared claim-specific concepts:</w:t>
      </w:r>
      <w:r>
        <w:t xml:space="preserve"> between, healthcare, based; EU scope visible. This is a provisional connection, not an outcome finding.</w:t>
      </w:r>
    </w:p>
    <w:p>
      <w:pPr>
        <w:pStyle w:val="SourceNote"/>
      </w:pPr>
      <w:r>
        <w:rPr>
          <w:b/>
        </w:rPr>
        <w:t>Available abstract (not full text):</w:t>
      </w:r>
      <w:r>
        <w:t xml:space="preserve"> BACKGROUND: Corruption in the public healthcare sector can undermine the efficient allocation of resources and negatively affect health outcomes. In the European Union (EU), it may take several forms including bribes to medical professionals in return for medical attention, public procurement corruption, or improper relationships between healthcare staff and suppliers of drugs or equipment. However, empirical evidence on its impact remains limited. OBJECTIVE: This study aims to assess the relationship between corruption in public healthcare and the quality of public healthcare services across EU regions. METHODS: Using data from 165 regions in 19 EU countries over the period 2010 to 2021, we conduct a quantitative panel analysis based on perceptions-based measures of corruption in public healthcare and the quality of public health services. To address endogeneity concerns, we apply fixed effects, instrumental variable techniques, and control for a broad range of potential confounders. RESULTS: The results suggest that corruption in public healthcare may undermine the quality of public healthcare services. CONCLUSIONS: These findings suggest that targeted anti-corruption efforts should be a priority for policymakers seeking to improve healthcare quality in regions where corruption is more prevalent.</w:t>
      </w:r>
    </w:p>
    <w:p>
      <w:pPr/>
      <w:r>
        <w:rPr>
          <w:b/>
        </w:rPr>
        <w:t>POSSIBLE 2026:</w:t>
      </w:r>
      <w:r>
        <w:t xml:space="preserve"> State Aid and Healthcare: Between Competition and Constitutionalism — https://doi.org/10.1007/978-94-6265-723-6_2</w:t>
      </w:r>
    </w:p>
    <w:p>
      <w:pPr/>
      <w:r>
        <w:rPr>
          <w:b/>
        </w:rPr>
        <w:t>Shared claim-specific concepts:</w:t>
      </w:r>
      <w:r>
        <w:t xml:space="preserve"> between, healthcare, three; EU scope visible. This is a provisional connection, not an outcome finding.</w:t>
      </w:r>
    </w:p>
    <w:p>
      <w:pPr>
        <w:pStyle w:val="SourceNote"/>
      </w:pPr>
      <w:r>
        <w:rPr>
          <w:b/>
        </w:rPr>
        <w:t>Available abstract (not full text):</w:t>
      </w:r>
      <w:r>
        <w:t xml:space="preserve"> The recent state aid cases of Dôvera and Casa Regina Apostolorum demonstrate how competition and healthcare remains a contentious issue, highlighting tensions between both economic and social aspects, and EU and Member State competences. The approach taken by the EU courts typically emphasises total non-applicability of the state aid rules, although partial immunity via the Services of General Economic Interest (SGEI) mechanism is gaining greater recognition via cases such as Brussels Hospitals and successive Commission SGEI “packages”. With the State Aid Temporary Framework—introduced in response to the COVID-19 pandemic—support for various healthcare activities was facilitated via the Article 107(3) TFEU justifications. This chapter suggests that these three aspects—from non-applicability, via SGEI, to Article 107(3) TFEU—can offer further insight into where market forces can usefully be deployed in healthcare reform, and where these may have a detrimental effect. However, further understanding can be gained from examining constitutional aspects—not only Member State competence for healthcare under Article 168(7) TFEU, but also perceptions of “competence creep” at EU level regarding national healthcare, and implications for both levels of developing a European Health Union. This chapter advances discussions in this area by juxtaposing “competition” and “constitutionalism” per</w:t>
      </w:r>
    </w:p>
    <w:p>
      <w:pPr/>
      <w:r>
        <w:rPr>
          <w:b/>
        </w:rPr>
        <w:t>POSSIBLE 2026:</w:t>
      </w:r>
      <w:r>
        <w:t xml:space="preserve"> The impact of health risks on healthcare expenditure in European countries — https://doi.org/10.1007/s10198-026-01902-x</w:t>
      </w:r>
    </w:p>
    <w:p>
      <w:pPr/>
      <w:r>
        <w:rPr>
          <w:b/>
        </w:rPr>
        <w:t>Shared claim-specific concepts:</w:t>
      </w:r>
      <w:r>
        <w:t xml:space="preserve"> between, healthcare, spending, factors; EU scope visible. This is a provisional connection, not an outcome finding.</w:t>
      </w:r>
    </w:p>
    <w:p>
      <w:pPr>
        <w:pStyle w:val="SourceNote"/>
      </w:pPr>
      <w:r>
        <w:rPr>
          <w:b/>
        </w:rPr>
        <w:t>Available abstract (not full text):</w:t>
      </w:r>
      <w:r>
        <w:t xml:space="preserve"> Population health affects the sustainability of socio-economic development, the perceived personal risks being alcohol consumption, smoking and obesity, greenhouse gas emissions representing a common environmental risk. The aim of this research article is to examine the potential impact of risk factors on national health expenditure over the period 2013-2021 in selected European countries divided into several groups according to health risk indicators. We examine two basic models - a harmful consumption model and an environmental model, the main dependent variable being total healthcare expenditure. To analyse partial relationships between risky behaviour or air pollution and healthcare spending, linear panel regression models were constructed assessing how country characteristics contribute to explaining the variation in healthcare costs. The results of this study suggest that sustainable health financing would benefit from more effective prevention of increased unhealthy consumption.</w:t>
      </w:r>
    </w:p>
    <w:p>
      <w:pPr>
        <w:pStyle w:val="Heading2"/>
      </w:pPr>
      <w:r>
        <w:t>660. Backcasting for desirable futures in Finnish forest-based firms</w:t>
      </w:r>
    </w:p>
    <w:p>
      <w:pPr>
        <w:pStyle w:val="SourceNote"/>
      </w:pPr>
      <w:r>
        <w:rPr>
          <w:b/>
        </w:rPr>
        <w:t>Original source (2020):</w:t>
      </w:r>
      <w:r>
        <w:t xml:space="preserve"> https://doi.org/10.1108/fs-01-2020-0005</w:t>
      </w:r>
    </w:p>
    <w:p>
      <w:pPr/>
      <w:r>
        <w:t>Original wording (abstract; indexed_source_text_not_full_document_verified): In these desirable futures, expanded businesses will be based on strong knowledge.</w:t>
      </w:r>
    </w:p>
    <w:p>
      <w:pPr/>
      <w:r>
        <w:rPr>
          <w:b/>
        </w:rPr>
        <w:t>POSSIBLE 2025:</w:t>
      </w:r>
      <w:r>
        <w:t xml:space="preserve"> Entrepreneurship for Self-Reliance: Examining the role of Perceived Desirability in the relationship between Social Capital and Entrepreneurial Resilience among small business owners in Nasarawa State, Nigeria — https://doi.org/10.47505/ijrss.2025.11.14</w:t>
      </w:r>
    </w:p>
    <w:p>
      <w:pPr/>
      <w:r>
        <w:rPr>
          <w:b/>
        </w:rPr>
        <w:t>Shared claim-specific concepts:</w:t>
      </w:r>
      <w:r>
        <w:t xml:space="preserve"> businesses, based, knowledge; EU scope not established. This is a provisional connection, not an outcome finding.</w:t>
      </w:r>
    </w:p>
    <w:p>
      <w:pPr>
        <w:pStyle w:val="SourceNote"/>
      </w:pPr>
      <w:r>
        <w:rPr>
          <w:b/>
        </w:rPr>
        <w:t>Available abstract (not full text):</w:t>
      </w:r>
      <w:r>
        <w:t xml:space="preserve"> This study examined the mediating role of perceived desirability in the relationship between social capital and entrepreneurial resilience amongsmall business owners in Nasarawa State, Nigeria. Cross-sectional research approach was usedand a total of 384 comprising 77 (46.1%) males and 207 (53.9%) females within the age range of 20 –70 years and mean age of 43.00(SD=9.08) participants were selected through a multi-stage sampling technique for the study. Perceived Social Capital Scale, perceived Desirability and Entrepreneurialresilience Scales were used for data collection. Results showed that there is a significant indirect effect of family social capital on entrepreneurial resilience through perceived desirability(β=8186; BootSE=.1668; 95%CI (.4932 to 1.1481). The results also revealed that there is a significant indirect effect of community social capital on entrepreneurial resilience through perceived desirability(β=6446; BootSE=.1024; 95%CI (.4520 to .8494). Furthermore, the relationship between perceived peer social capital and entrepreneurial resiliencewas mediated by perceived desirability (β=.7052; BootSE=.0909; 95%CI (.3361 to .6900). It was concluded that perceived desirability is a significant factor that strengthen the relationship between perceived social capital and entrepreneurial resilience amongsmall business owners in Nasarawa State. Based on the findings, it</w:t>
      </w:r>
    </w:p>
    <w:p>
      <w:pPr/>
      <w:r>
        <w:rPr>
          <w:b/>
        </w:rPr>
        <w:t>POSSIBLE 2024:</w:t>
      </w:r>
      <w:r>
        <w:t xml:space="preserve"> Technology‐Driven Business Ethics — https://doi.org/10.1002/9781394234028.ch20</w:t>
      </w:r>
    </w:p>
    <w:p>
      <w:pPr/>
      <w:r>
        <w:rPr>
          <w:b/>
        </w:rPr>
        <w:t>Shared claim-specific concepts:</w:t>
      </w:r>
      <w:r>
        <w:t xml:space="preserve"> desirable, expanded, businesses; EU scope not established. This is a provisional connection, not an outcome finding.</w:t>
      </w:r>
    </w:p>
    <w:p>
      <w:pPr>
        <w:pStyle w:val="SourceNote"/>
      </w:pPr>
      <w:r>
        <w:rPr>
          <w:b/>
        </w:rPr>
        <w:t>Available abstract (not full text):</w:t>
      </w:r>
      <w:r>
        <w:t xml:space="preserve">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pPr/>
      <w:r>
        <w:rPr>
          <w:b/>
        </w:rPr>
        <w:t>POSSIBLE 2024:</w:t>
      </w:r>
      <w:r>
        <w:t xml:space="preserve"> Knowledge and Prizes — https://doi.org/10.1093/9780191976766.003.0012</w:t>
      </w:r>
    </w:p>
    <w:p>
      <w:pPr/>
      <w:r>
        <w:rPr>
          <w:b/>
        </w:rPr>
        <w:t>Shared claim-specific concepts:</w:t>
      </w:r>
      <w:r>
        <w:t xml:space="preserve"> desirable, based, knowledge; EU scope not established. This is a provisional connection, not an outcome finding.</w:t>
      </w:r>
    </w:p>
    <w:p>
      <w:pPr>
        <w:pStyle w:val="SourceNote"/>
      </w:pPr>
      <w:r>
        <w:rPr>
          <w:b/>
        </w:rPr>
        <w:t>Available abstract (not full text):</w:t>
      </w:r>
      <w:r>
        <w:t xml:space="preserve"> Abstract This chapter examines two leading theories of rational belief, the Lockean view and the explanationist view. The first is appealing because it fits with some independently plausible claims about the ways that rational persons pursue their aims. The second is appealing because it seems to account for intuitions that cause trouble for the Lockean view. While fitting the intuitive data is desirable, the trouble is that the explanationist view seems to clash with theoretical beliefs about what rationality must be like. The chapter argues that upon further examination, the intuitive appeal of the explanationist view starts to diminish. It also argues that these further intuitions that spell trouble for the explanationist spell trouble for any theory that is not expectationist. It proposes a novel expectationist theory of rational belief that improves upon the Lockean and the explanationist views. It argues that recent defences of the Lockean view contain an important insight. A substantive theory of rational response should be based on a suitable theory of prizes and a suitable theory of how we should pursue prizes in the face of uncertainty. Most theories of rational belief typically take for granted a truth-centred picture of epistemic prizes (e.g. that epistemic desirability and undesirability can be fully understood in terms of accuracy) and then differ in terms of how </w:t>
      </w:r>
    </w:p>
    <w:p>
      <w:pPr/>
      <w:r>
        <w:rPr>
          <w:b/>
        </w:rPr>
        <w:t>POSSIBLE 2024:</w:t>
      </w:r>
      <w:r>
        <w:t xml:space="preserve"> Expanding financial inclusion participation in Muslim-dominated communities through Islamic finance products (IFP) adoption — https://doi.org/10.1108/jiabr-09-2023-0308</w:t>
      </w:r>
    </w:p>
    <w:p>
      <w:pPr/>
      <w:r>
        <w:rPr>
          <w:b/>
        </w:rPr>
        <w:t>Shared claim-specific concepts:</w:t>
      </w:r>
      <w:r>
        <w:t xml:space="preserve"> desirable, strong, knowledge; EU scope not established. This is a provisional connection, not an outcome finding.</w:t>
      </w:r>
    </w:p>
    <w:p>
      <w:pPr>
        <w:pStyle w:val="SourceNote"/>
      </w:pPr>
      <w:r>
        <w:rPr>
          <w:b/>
        </w:rPr>
        <w:t>Available abstract (not full text):</w:t>
      </w:r>
      <w:r>
        <w:t xml:space="preserve"> Purpose This study aims to expand the theory of planned behaviour (TPB) to understand determinants of financial inclusion participation behaviour through the mediating effect of Islamic finance product (IFP) adoption. Design/methodology/approach A quantitative research design was deployed using primary data from a survey conducted within the Muslim-dominated regions in Nigeria, which was analysed using partial least squares structural equation modelling. Findings It was found that the original TPB variables, attitude, subjective norms, perceived behavioural control (PBC) and behavioural intention have strong positive influences on financial inclusion participation behaviour, however, among the new variables, government support and IFPs adoption directly influence, while awareness and access to banking and digital channels were not. Furthermore, IFPs adoption significantly mediates the relationship between attitude, behavioural intention, government support and access to banking and digital channels and financial inclusion participation, but it failed to mediate that of subjective norms, PBC and awareness. Research limitations/implications These findings imply the need to establish more Islamic financial institutions or conventional banks to introduce IFPs in Muslim-dominated regions in Nigeria, as such products are desirable in expanding financial inclusion. While such is being</w:t>
      </w:r>
    </w:p>
    <w:p>
      <w:pPr/>
      <w:r>
        <w:rPr>
          <w:b/>
        </w:rPr>
        <w:t>POSSIBLE 2023:</w:t>
      </w:r>
      <w:r>
        <w:t xml:space="preserve"> Immunitas and (un)desirable teacher knowledge in teacher education — https://doi.org/10.1111/ejed.12577</w:t>
      </w:r>
    </w:p>
    <w:p>
      <w:pPr/>
      <w:r>
        <w:rPr>
          <w:b/>
        </w:rPr>
        <w:t>Shared claim-specific concepts:</w:t>
      </w:r>
      <w:r>
        <w:t xml:space="preserve"> desirable, based, knowledge; EU scope visible. This is a provisional connection, not an outcome finding.</w:t>
      </w:r>
    </w:p>
    <w:p>
      <w:pPr>
        <w:pStyle w:val="SourceNote"/>
      </w:pPr>
      <w:r>
        <w:rPr>
          <w:b/>
        </w:rPr>
        <w:t>Available abstract (not full text):</w:t>
      </w:r>
      <w:r>
        <w:t xml:space="preserve"> Abstract Since the latter half of the 20th century many political efforts and initiatives have been launched to ensure that teacher education provides teachers with a positive (orderly) knowledge base. This includes things like professional teacher standards and notions like ‘best practices’ and ‘evidence‐based practice’. Building on the work of Esposito and with inspiration from psychoanalytic theory, we argue that today's educational policy can be seen as an attempt to immunise (teacher) education from risks associated with negativity ‐ disorderly, disruptive and ‘destructive’ matters that can problematise and question the normal order of things within political debates and policy‐based reforms. Drawing on examples from England and Denmark – contexts in which the authors work – we demonstrate how a dichotomy between desirable sound/healthy knowledge and undesirable unsound/unhealthy knowledge exist within teacher education. We examine how this produces epistemic injustice in that negative modes of thought and practice are rendered invisible, unthinkable and illegitimate. Being able to traverse such injustice, teachers must be encouraged to approach any and all sources of influence on their professional knowledge base with a sort of agonistic pragmatism, which may allow them to be faithful to the ethico‐political situation they are engaged in. What we suggest in this regard is</w:t>
      </w:r>
    </w:p>
    <w:p>
      <w:pPr/>
      <w:r>
        <w:rPr>
          <w:b/>
        </w:rPr>
        <w:t>POSSIBLE 2023:</w:t>
      </w:r>
      <w:r>
        <w:t xml:space="preserve"> Revisiting the UN reform: between the desirable and the achievable — https://doi.org/10.20542/2307-1494-2023-2-11-24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The article explores whether the United Nations reform should give priority to its structures and modus operandi at the decisionmaking level, to ensure its role as a serious deliberative institution capable of guiding its vastly expanded operational arm with the necessary wisdom and vision. It is argued that the main test for the UN in the area of international peace and security should not be in its effectiveness in mobilising resources for humanitarian assistance, peacekeeping etc., but rather the quality of decisionmaking capable of preventing political tensions from deterioration into humanitarian disasters and from their descent into armed conflicts. The analysis shows the contrast between two models of the UN reform. One was an ambitious plan for an overall systemic design based on the idea of rebalancing of the principal organs of the UN through “the three councils approach”, under review of the High Level Panel on Threats, Challenges and Change back in the mid-2000s. While the main parts of the plan were not accepted and it only led to a “half way reform”, it is argued that its lessons are useful to keep in mind in approaching the question of the UN reform today. A simpler suggested model concerns the currently discussed composition of the UN Security Council. A moderate and more pragmatic approach is proposed, based on keeping the veto power intact, expanding the categ</w:t>
      </w:r>
    </w:p>
    <w:p>
      <w:pPr/>
      <w:r>
        <w:rPr>
          <w:b/>
        </w:rPr>
        <w:t>POSSIBLE 2023:</w:t>
      </w:r>
      <w:r>
        <w:t xml:space="preserve"> Game on! A state-of-the-art overview of doing business with gamification — https://doi.org/10.1016/j.techfore.2023.122988</w:t>
      </w:r>
    </w:p>
    <w:p>
      <w:pPr/>
      <w:r>
        <w:rPr>
          <w:b/>
        </w:rPr>
        <w:t>Shared claim-specific concepts:</w:t>
      </w:r>
      <w:r>
        <w:t xml:space="preserve"> expanded, businesses, knowledge; EU scope not established. This is a provisional connection, not an outcome finding.</w:t>
      </w:r>
    </w:p>
    <w:p>
      <w:pPr>
        <w:pStyle w:val="SourceNote"/>
      </w:pPr>
      <w:r>
        <w:rPr>
          <w:b/>
        </w:rPr>
        <w:t>Available abstract (not full text):</w:t>
      </w:r>
      <w:r>
        <w:t xml:space="preserve"> Gamification is the act of applying game-design elements to transform activities, products, services, and systems in a way that provides the kind of experiences similar to those offered by games. These elements include badges, points, and leaderboards to motivate and reward problem solving activities and processes. Both businesses and business researchers are increasingly interested in the application of gamification. In this regard, this review aims to offer a state-of-the-art overview of gamification in business, revealing its current trends and future directions. Using business research on gamification published in the last decade (2012–2022) found on Scopus and Web of Science, we conduct a performance analysis to illuminate the field's performance (publication productivity and impact) alongside its key contributors (journals, authors, and countries) as well as a science mapping using a co-citation analysis to locate knowledge foundations, and bibliographic coupling and keyword co-occurrence analysis to reveal major themes in business gamification. Our exploration has unearthed gamification's pervasive influence across business domains, from enhancing learning and fostering innovation to empowering marketing strategies and catalyzing transformation. Gamification has also made significant inroads into management practices, driving engagement, influencing behavioral outcomes, </w:t>
      </w:r>
    </w:p>
    <w:p>
      <w:pPr/>
      <w:r>
        <w:rPr>
          <w:b/>
        </w:rPr>
        <w:t>POSSIBLE 2022:</w:t>
      </w:r>
      <w:r>
        <w:t xml:space="preserve"> ENTREPRENEURS' SKILL OF HANDLING TECHNOLOGY IN AGRO AND GENERAL BUSINESSES — https://doi.org/10.37231/apj.2022.5.1.312</w:t>
      </w:r>
    </w:p>
    <w:p>
      <w:pPr/>
      <w:r>
        <w:rPr>
          <w:b/>
        </w:rPr>
        <w:t>Shared claim-specific concepts:</w:t>
      </w:r>
      <w:r>
        <w:t xml:space="preserve"> desirable, expanded, businesses, knowledge; EU scope not established. This is a provisional connection, not an outcome finding.</w:t>
      </w:r>
    </w:p>
    <w:p>
      <w:pPr>
        <w:pStyle w:val="SourceNote"/>
      </w:pPr>
      <w:r>
        <w:rPr>
          <w:b/>
        </w:rPr>
        <w:t>Available abstract (not full text):</w:t>
      </w:r>
      <w:r>
        <w:t xml:space="preserve">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pPr/>
      <w:r>
        <w:rPr>
          <w:b/>
        </w:rPr>
        <w:t>POSSIBLE 2021:</w:t>
      </w:r>
      <w:r>
        <w:t xml:space="preserve"> Social entrepreneurial intentions and motivational drivers among business students — https://doi.org/10.51680/ev.34.1.4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r>
        <w:rPr>
          <w:b/>
        </w:rPr>
        <w:t>POSSIBLE 2021:</w:t>
      </w:r>
      <w:r>
        <w:t xml:space="preserve"> Conceptualization of SMEs’ business resilience: A systematic literature review — https://doi.org/10.1080/23311975.2021.1938347</w:t>
      </w:r>
    </w:p>
    <w:p>
      <w:pPr/>
      <w:r>
        <w:rPr>
          <w:b/>
        </w:rPr>
        <w:t>Shared claim-specific concepts:</w:t>
      </w:r>
      <w:r>
        <w:t xml:space="preserve"> businesses, based, knowledge; EU scope not established. This is a provisional connection, not an outcome finding.</w:t>
      </w:r>
    </w:p>
    <w:p>
      <w:pPr>
        <w:pStyle w:val="SourceNote"/>
      </w:pPr>
      <w:r>
        <w:rPr>
          <w:b/>
        </w:rPr>
        <w:t>Available abstract (not full text):</w:t>
      </w:r>
      <w:r>
        <w:t xml:space="preserve"> Attention for business resilience research in the academic world has increased considerably, despite fragmented literature on definitions, measurements, and of variables influencing the concept. Therefore, there is a need to take stock of current knowledge on the areas and structure them to lay the foundation in this field. We also give due attention to the resilience of SMEs in a highly vulnerable setting (i.e., developing countries), as the nature of this settings requires resilience research attention (in terms of rate of recurrence and complexity of disruptions). We deployed a well-structured systematic review procedure. This paper offers (1) an overview of SMEs resilience literature from 2000 to November 2018 comprising 118 articles, and (2) special attention, within that overview, to developing countries. This review concludes that resilience literature is very much varied in its definitions and measurements, and is inconclusive about its influencing factors. Furthermore, little resilience research has focused upon the context of SMEs in developing countries, which is perhaps surprising given the contribution made by these businesses in such a setting. Based on the review results, we describe distinguishing features of resilience; give options to extend the theoretical foundations of research into resilience in the future.</w:t>
      </w:r>
    </w:p>
    <w:p>
      <w:pPr>
        <w:pStyle w:val="Heading2"/>
      </w:pPr>
      <w:r>
        <w:t>661. Brexit and Its Impact on Poland’s Policy Towards Europe – An Attempt to Forecast</w:t>
      </w:r>
    </w:p>
    <w:p>
      <w:pPr>
        <w:pStyle w:val="SourceNote"/>
      </w:pPr>
      <w:r>
        <w:rPr>
          <w:b/>
        </w:rPr>
        <w:t>Original source (2020):</w:t>
      </w:r>
      <w:r>
        <w:t xml:space="preserve"> https://doi.org/10.33067/se.2.2020.5</w:t>
      </w:r>
    </w:p>
    <w:p>
      <w:pPr/>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POSSIBLE 2026:</w:t>
      </w:r>
      <w:r>
        <w:t xml:space="preserve"> Freedom of Expression and speech threatened in Europe — https://doi.org/10.52224/21845263/rev45a4</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Differentiating early European psychobiography—An Eastern European contribution. — https://doi.org/10.1037/hop0000317</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pPr/>
      <w:r>
        <w:rPr>
          <w:b/>
        </w:rPr>
        <w:t>POSSIBLE 2026:</w:t>
      </w:r>
      <w:r>
        <w:t xml:space="preserve"> The carbon footprint of the hard coal sector in Poland in the context of the evolution of the European Union’s climate neutrality policy — https://doi.org/10.46873/2300-3960.1506</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The topic of the article is the carbon footprint of coal as a primary source of energy. In light of climate change and the energy transition in the European Union, it is increasingly important to analyse the carbon footprint of individual economic sectors. The aim of this review article is to present an analysis of the carbon footprint of the hard coal sector in Poland against the background of the EU’s climate neutrality policy. The paper reviews EU strategic documents, such as the European Green Deal, the ”Fit for 55” package, and the REPowerEU and Clean Industrial Deal initiatives, in terms of their impact on the functioning of the coal sector. It also presents a methodology for calculating the carbon footprint in terms of life cycle assessment (LCA), taking into account different scopes of greenhouse gas emissions according to the GHG Protocol. The article uses databases from the Instrat Foundation, Eurelectric – the Association of the Power Industry, the Polish Geological Institute, the Energy Market Agency, Ember – Electricity Data Explorer and the National Centre for Emissions Management. Using the latest available data from 2018 to 2024, the paper analyses changes in Poland’s and the EU’s energy mix and highlights the importance of the coal sector’s transition in the context of decarbonisation. The challenges associated with mine closures, the social transformation of m</w:t>
      </w:r>
    </w:p>
    <w:p>
      <w:pPr/>
      <w:r>
        <w:rPr>
          <w:b/>
        </w:rPr>
        <w:t>POSSIBLE 2026:</w:t>
      </w:r>
      <w:r>
        <w:t xml:space="preserve"> Contemporary institutional challenges in national innovation policy governance in Poland and Sweden in the context of the European Union’s competitiveness — https://doi.org/10.31338/1641-2478pe.3.26.6</w:t>
      </w:r>
    </w:p>
    <w:p>
      <w:pPr/>
      <w:r>
        <w:rPr>
          <w:b/>
        </w:rPr>
        <w:t>Shared claim-specific concepts:</w:t>
      </w:r>
      <w:r>
        <w:t xml:space="preserve"> article, presents, poland, political, union; EU scope visible. This is a provisional connection, not an outcome finding.</w:t>
      </w:r>
    </w:p>
    <w:p>
      <w:pPr>
        <w:pStyle w:val="SourceNote"/>
      </w:pPr>
      <w:r>
        <w:rPr>
          <w:b/>
        </w:rPr>
        <w:t>Available abstract (not full text):</w:t>
      </w:r>
      <w:r>
        <w:t xml:space="preserve"> This article presents a theory-informed benchmark comparison of national innovation policy governance in Poland and Sweden, and it also examines how governance capacity is associated with EU competitiveness. The study combines conceptual analysis, official institutional documents and data from European Innovation Scoreboard 2026. The comparison is focused on five governance dimensions: political anchoring, stakeholder architecture, links between strategy and instruments, demand-side capacity, transparency and institutional learning. Sweden is chosen for the analysis as a historical functional benchmark, while Poland is assessed in the institutional form introduced on 4 November 2025 by Prime Minister’s Order no. 62 amending the order establishing the Council for Innovation. The evidence indicates that the innovation gap is associated not only with expenditure, but also with coordination, participation, transparency and implementation capacity.</w:t>
      </w:r>
    </w:p>
    <w:p>
      <w:pPr/>
      <w:r>
        <w:rPr>
          <w:b/>
        </w:rPr>
        <w:t>POSSIBLE 2026:</w:t>
      </w:r>
      <w:r>
        <w:t xml:space="preserve"> The European Union and the Challenge of the Democratic Cosmopolis — https://doi.org/10.58603/yaia5129</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article seeks to clarify the crisis currently experienced by the European Union and to explore possible avenues for overcoming it. Taking Cosmosystemic Gnoseology as the method of analysis, the article presents three theoretical models considered pivotal for organizing post-state-centric reality, with the aim of addressing the challenge that the prospect of the democratic cosmopolis poses for the EU. It is argued that an axiologically neutral position presupposes liberating thought from the dominant political and constitutional ideology of modernity. This, in turn, requires that, before the article's central problem is addressed, reflexive questions be posed about how modern thought conceives the notion of politics, both at the intra-societal and at the inter-state level. The article then analyses, first, Thomas Hobbes's theoretical approach to the Christian commonwealth; second, Immanuel Kant's federation of free states; and third, Rigas Velestinlis's oecumenical state. These three models of political constitution are assessed for their points of similarity and difference with the present structure of the EU, as well as for the possibilities they open up for finding effective solutions to the crisis it faces. On this basis, the article determines whether any of these theoretical models can respond to contemporary political developments and to the fundamental challenge tha</w:t>
      </w:r>
    </w:p>
    <w:p>
      <w:pPr/>
      <w:r>
        <w:rPr>
          <w:b/>
        </w:rPr>
        <w:t>POSSIBLE 2026:</w:t>
      </w:r>
      <w:r>
        <w:t xml:space="preserve"> Colonialism as a Non-Evident Issue in Cultural Diplomacy in Europe — https://doi.org/10.1007/978-3-032-32360-6_6</w:t>
      </w:r>
    </w:p>
    <w:p>
      <w:pPr/>
      <w:r>
        <w:rPr>
          <w:b/>
        </w:rPr>
        <w:t>Shared claim-specific concepts:</w:t>
      </w:r>
      <w:r>
        <w:t xml:space="preserve"> article, presents, three, poland, consequences, potential; EU scope visible. This is a provisional connection, not an outcome finding.</w:t>
      </w:r>
    </w:p>
    <w:p>
      <w:pPr>
        <w:pStyle w:val="SourceNote"/>
      </w:pPr>
      <w:r>
        <w:rPr>
          <w:b/>
        </w:rPr>
        <w:t>Available abstract (not full text):</w:t>
      </w:r>
      <w:r>
        <w:t xml:space="preserve"> In line with cosmopolitan approaches, cultural diplomacy has the potential to foster dialogue in international relations. While involving people of different languages and nationalities in cultural events, it constructs a platform for understanding. But has cultural diplomacy been ready to confront difficult topics like the consequences of colonialism? Is such an issue of relevance for trans-European cultural diplomacy? This article presents early results of a study on the presence of colonial and postcolonial discourses in the cultural diplomacy of three countries: Germany, Poland, and Ukraine (a non-evident choice for studying the topic). As such, the article’s objective is to reveal where the discourses come together and where they drift apart. The assumption—that the cultural diplomacy of European countries will reflect how the chosen countries have dealt with colonialism or their own colonial past—was confirmed only partially. Using Cultural Diplomacy Analysis, the article comparatively presents the domestic factors and international developments that led to the presence or absence of colonial issues in cultural diplomacy.</w:t>
      </w:r>
    </w:p>
    <w:p>
      <w:pPr/>
      <w:r>
        <w:rPr>
          <w:b/>
        </w:rPr>
        <w:t>POSSIBLE 2026:</w:t>
      </w:r>
      <w:r>
        <w:t xml:space="preserve"> A feminist decolonial challenge to European Union’s gender governance: knowledge hierarchies and exclusion in the European Parliament — https://doi.org/10.1080/09589236.2026.2648725</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paper critically examines the European Union’s (EU) gender equality policies through a decolonial feminist lens, focusing on how epistemic hierarchies are reproduced within the gender equality discourse of the European Parliament (EP), which presents itself as a progressive actor and moral authority on gender equality. Drawing on existing critiques of the EU’s instrumental and neoliberal approaches to gender, the paper analyses 42 texts adopted by the EP during its 9th parliamentary term (2019–2024). The analysis identifies three recurring patterns: the instrumentalisation of gender equality, the monopolization of feminist knowledge, and the managerialisation of equality through technocratic procedures. Drawing on the concepts of epistemic resistance, decolonial praxis, and epistemic accountability, the article examines where dominant gender-equality framings are momentarily disrupted, transformative engagement with marginalized knowledges is foreclosed, and responsibility for structural inequalities is displaced or depoliticized. While recognizing the EU’s historical gender equality achievements, the article argues that persistent epistemic hierarchies limit transformative change and carry political risks. It concludes by calling for a decolonial feminist reorientation grounded in pluralized knowledge production, relational accountability, and reciprocal engagement as con</w:t>
      </w:r>
    </w:p>
    <w:p>
      <w:pPr/>
      <w:r>
        <w:rPr>
          <w:b/>
        </w:rPr>
        <w:t>POSSIBLE 2026:</w:t>
      </w:r>
      <w:r>
        <w:t xml:space="preserve"> SOCIAL PUBLIC PROCUREMENT AS A STATE POLICY INSTRUMENT STIMULATING THE DEVELOPMENT OF THE SOCIAL ECONOMY IN POLAND — https://doi.org/10.5604/01.3001.0055.9660</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Social public procurement (socially responsible public procurement) is an approach that involves taking social considerations into account when awarding public contracts. The European Union has been promoting this approach for over 20 years to support the achievement of various social policy objectives. Social public procurement employs solutions that allow for the consideration of social aspects provided for in EU public procurement law. Such mechanisms have been present in Polish law for nearly 17 years, and the state promotes their use in public procurement. Supporting the development of the social economy is one of the various objectives served by social public procurement. From the perspective of the Polish state, this is the most important goal. Examples of social public procurement in Poland to date have demonstrated its effectiveness in achieving this objective; however, the limited scale of its application remains a challenge. In addition to explaining the concept of social public procurement and the legal mechanisms that allow for the inclusion of social considerations, this article presents information on the current state of its implementation and offers recommendations for promoting its wider use as a tool to support the development of the social economy in Poland.</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poland, union;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2026:</w:t>
      </w:r>
      <w:r>
        <w:t xml:space="preserve"> Quality assessment of legal discourse in European directives — https://doi.org/10.59168/cdcm7372</w:t>
      </w:r>
    </w:p>
    <w:p>
      <w:pPr/>
      <w:r>
        <w:rPr>
          <w:b/>
        </w:rPr>
        <w:t>Shared claim-specific concepts:</w:t>
      </w:r>
      <w:r>
        <w:t xml:space="preserve"> article, presents, union; EU scope visible. This is a provisional connection, not an outcome finding.</w:t>
      </w:r>
    </w:p>
    <w:p>
      <w:pPr>
        <w:pStyle w:val="SourceNote"/>
      </w:pPr>
      <w:r>
        <w:rPr>
          <w:b/>
        </w:rPr>
        <w:t>Available abstract (not full text):</w:t>
      </w:r>
      <w:r>
        <w:t xml:space="preserve"> This article presents the application of a quality assessment grid to the analysis of legal discourse in European Union Directives, with a focus on the identification of nouns and noun collocations that present structural differences across language versions. Originally designed for evaluating the quality of official documents translated in Romanian courts of law, the grid is here adapted and deployed in a didactic framework within a Blended Intensive Programme (BIP) involving twenty-five students from seven different European language communities (Romanian, Spanish, Italian, French, Bulgarian, Polish, and English). The study uses “Council Implementing Decision (EU) 2025/539 of 18 March 2025” as its primary corpus. Through a structured three-phase workshop, students applied the grid to compare the English source text with the version written in their own language, then shared and compared results collectively. The findings demonstrate that the grid constitutes an effective pedagogical instrument for rendering visible the structural specificities of EU legal discourse and for developing multilingual legal literacy among translation and language students.</w:t>
      </w:r>
    </w:p>
    <w:p>
      <w:pPr/>
      <w:r>
        <w:rPr>
          <w:b/>
        </w:rPr>
        <w:t>POSSIBLE 2026:</w:t>
      </w:r>
      <w:r>
        <w:t xml:space="preserve"> Plan for a Structural Peace and a New European Security Architecture — https://doi.org/10.5281/zenodo.18623705</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This document presents a comprehensive three‑phase strategy for resolving the Russo‑Ukrainian conflict and establishing a new European security architecture. Building on the military framework outlined in Towards a United European Army (DOI: 10.5281/zenodo.17350350), the proposal integrates political, diplomatic, and legal mechanisms to create a stable and resilient continental order. The plan introduces: 1) a Foundational Peace Compromise based on a contextual territorial freeze, a verified Russian withdrawal, and a legally binding snap‑back mechanism; 2) a Reinforced EU Association pathway for Ukraine under Article 49 TEU, including observer rights in EU institutions and a 100‑km Special Security Zone monitored by OSCE/EU; 3) a New European Security Architecture built on a Complementary EU‑NATO Defence Protocol (Art. 51 UN Charter), the creation of a European Pillar of NATO, and a redefined Ukrainian constitutional neutrality. The proposal offers a realistic alternative to perpetual conflict, linking peace, EU integration, and European strategic autonomy into a coherent and actionable framework.</w:t>
      </w:r>
    </w:p>
    <w:p>
      <w:pPr/>
      <w:r>
        <w:rPr>
          <w:b/>
        </w:rPr>
        <w:t>POSSIBLE 2026:</w:t>
      </w:r>
      <w:r>
        <w:t xml:space="preserve"> The Cybersecurity Policy of Poland, Finland, and Sweden and their Impact on Regional Security — https://doi.org/10.7206/kp.2080-1084.848</w:t>
      </w:r>
    </w:p>
    <w:p>
      <w:pPr/>
      <w:r>
        <w:rPr>
          <w:b/>
        </w:rPr>
        <w:t>Shared claim-specific concepts:</w:t>
      </w:r>
      <w:r>
        <w:t xml:space="preserve"> article, poland, shows, political; EU scope visible. This is a provisional connection, not an outcome finding.</w:t>
      </w:r>
    </w:p>
    <w:p>
      <w:pPr>
        <w:pStyle w:val="SourceNote"/>
      </w:pPr>
      <w:r>
        <w:rPr>
          <w:b/>
        </w:rPr>
        <w:t>Available abstract (not full text):</w:t>
      </w:r>
      <w:r>
        <w:t xml:space="preserve"> This article analyses the cybersecurity policies of Poland, Finland, and Sweden within the context of the contemporary European security environment.States operating in a highly digitalised and contested environment increasingly embed cybersecurity within core security policy rather than treating it as a separate technical domain.The analysis draws on selected legal acts and strategic documents and applies a systemic and comparative approach to identify both shared instruments and country-specific institutional solutions.The findings indicate that cybersecurity is closely linked to the protection of critical infrastructure, the continuity of public administration and the ability of institutions to function under conditions of disruption and external pressure.However, differences emerge in how similar assumptions are translated into organisational and coordination mechanisms, reflecting distinct administrative traditions, security cultures and geopolitical positions.The article also shows that NATO membership reinforces the political importance of cybersecurity without fundamentally altering the underlying logic of national policies.</w:t>
      </w:r>
    </w:p>
    <w:p>
      <w:pPr>
        <w:pStyle w:val="Heading2"/>
      </w:pPr>
      <w:r>
        <w:t>662. Brexit deal and demographics drag on long‐term outlook</w:t>
      </w:r>
    </w:p>
    <w:p>
      <w:pPr>
        <w:pStyle w:val="SourceNote"/>
      </w:pPr>
      <w:r>
        <w:rPr>
          <w:b/>
        </w:rPr>
        <w:t>Original source (2020):</w:t>
      </w:r>
      <w:r>
        <w:t xml:space="preserve"> https://doi.org/10.1111/1468-0319.12461</w:t>
      </w:r>
    </w:p>
    <w:p>
      <w:pPr/>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POSSIBLE 2026:</w:t>
      </w:r>
      <w:r>
        <w:t xml:space="preserve"> Damage — https://doi.org/10.1093/he/9780198949695.003.0035</w:t>
      </w:r>
    </w:p>
    <w:p>
      <w:pPr/>
      <w:r>
        <w:rPr>
          <w:b/>
        </w:rPr>
        <w:t>Shared claim-specific concepts:</w:t>
      </w:r>
      <w:r>
        <w:t xml:space="preserve"> result, damage, trade, potential, related; EU scope not established. This is a provisional connection, not an outcome finding.</w:t>
      </w:r>
    </w:p>
    <w:p>
      <w:pPr>
        <w:pStyle w:val="SourceNote"/>
      </w:pPr>
      <w:r>
        <w:rPr>
          <w:b/>
        </w:rPr>
        <w:t>Available abstract (not full text):</w:t>
      </w:r>
      <w:r>
        <w:t xml:space="preserve">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pPr/>
      <w:r>
        <w:rPr>
          <w:b/>
        </w:rPr>
        <w:t>POSSIBLE 2026:</w:t>
      </w:r>
      <w:r>
        <w:t xml:space="preserve"> Geopolitical and climate change risks affect FDI inflows: a bayesian panel data analysis — https://doi.org/10.1080/15140326.2026.2691367</w:t>
      </w:r>
    </w:p>
    <w:p>
      <w:pPr/>
      <w:r>
        <w:rPr>
          <w:b/>
        </w:rPr>
        <w:t>Shared claim-specific concepts:</w:t>
      </w:r>
      <w:r>
        <w:t xml:space="preserve"> trade, fdi, inflows, but; EU scope not established. This is a provisional connection, not an outcome finding.</w:t>
      </w:r>
    </w:p>
    <w:p>
      <w:pPr>
        <w:pStyle w:val="SourceNote"/>
      </w:pPr>
      <w:r>
        <w:rPr>
          <w:b/>
        </w:rPr>
        <w:t>Available abstract (not full text):</w:t>
      </w:r>
      <w:r>
        <w:t xml:space="preserve"> This study examines the simultaneous and interactive effects of geopolitical risk and climate change risk on foreign direct investment inflows across 43 economies during the period 2002–2023. Methodologically, we employ the Bayesian estimation technique, providing a robust, nuanced quantification of uncertainty compared to traditional frequentist approaches. Results reveal a significant negative impact of climate change risks on inward FDI, while GPR exhibits a positive “safe haven” effect. Furthermore, institutional quality, labor force size, and trade openness are identified as primary drivers, whereas import tariffs act as a deterrent. Our findings suggest that because FDI involves long-term, sunk-cost investments, host countries must move beyond evaluating risks in isolation. We argue that institutional reforms not only safeguard investor rights but also enhance climate resilience for multinational corporations. This research offers a refined risk assessment framework for navigating dual geopolitical and environmental challenges.</w:t>
      </w:r>
    </w:p>
    <w:p>
      <w:pPr/>
      <w:r>
        <w:rPr>
          <w:b/>
        </w:rPr>
        <w:t>POSSIBLE 2026:</w:t>
      </w:r>
      <w:r>
        <w:t xml:space="preserve"> The effect of renewable energy, gender inequality, human capital, and FDI inflows on sustainable economic growth: an analysis of BRICS countries — https://doi.org/10.3389/fenrg.2025.1696468</w:t>
      </w:r>
    </w:p>
    <w:p>
      <w:pPr/>
      <w:r>
        <w:rPr>
          <w:b/>
        </w:rPr>
        <w:t>Shared claim-specific concepts:</w:t>
      </w:r>
      <w:r>
        <w:t xml:space="preserve"> fdi, inflows; EU scope not established. This is a provisional connection, not an outcome finding.</w:t>
      </w:r>
    </w:p>
    <w:p>
      <w:pPr>
        <w:pStyle w:val="SourceNote"/>
      </w:pPr>
      <w:r>
        <w:rPr>
          <w:b/>
        </w:rPr>
        <w:t>Available abstract (not full text):</w:t>
      </w:r>
      <w:r>
        <w:t xml:space="preserve"> Sustainable economic growth is one of the main pillars of sustainable development, together with the environment and society. Therefore, unveiling the factors behind sustainable economic growth is vital for the design of economic, educational, and social policies. This study investigates the role of renewable energy use, gender inequality, human capital, and foreign direct investment (FDI) inflows on sustainable economic growth in the BRICS countries during the period of 2000–2021 by using novel cointegration and causality tests. The findings of the causality test point out a feedback interplay among renewable energy use, gender inequality, and indicators of sustainable economic growth and a unidirectional causality from human capital and FDI inflows to indicators of sustainable economic growth. Furthermore, the consequences of the cointegration test unveil that the use of renewable energy, human capital, and FDI inflows positively impact sustainable economic growth, while gender inequality negatively affects sustainable economic growth. In conclusion, our results highlight the significant roles of renewable energy, human capital, and FDI inflows, along with gender equality, in achieving sustainable economic growth.</w:t>
      </w:r>
    </w:p>
    <w:p>
      <w:pPr/>
      <w:r>
        <w:rPr>
          <w:b/>
        </w:rPr>
        <w:t>POSSIBLE 2026:</w:t>
      </w:r>
      <w:r>
        <w:t xml:space="preserve"> Does Corruption Dent Investment? Evidence from the 1MDB Scandal and Malaysian FDI Inflows in ASEAN-5, 2000–2024 — https://doi.org/10.47353/ecbis.v4i6.587</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study examines whether the 1MDB scandal produced a detectable effect on Malaysian foreign direct investment (FDI) inflows relative to its ASEAN peers. Furthermore, this research uses a two-way fixed-effects Difference-in-Differences (DiD) design over 2000–2024, treating Malaysia as the treated unit and 2015, the year the scandal was officially exposed, as the treatment cutoff. An annual panel dataset sourced from the World Bank is employed, with GDP per capita growth, unemployment, and trade openness incorporated as control variables. According to the results, the interaction term (MALAYSIA × POST2015) remains positive across all four estimators, Pooled OLS, Fixed Effects, Random Effects, and TWFE DiD, yet never reaches statistical significance at the 5% level. Moreover, a Hausman test confirms Fixed Effects as the preferred specification, and a battery of post-diagnostic tests, namely Breusch-Pagan, Wooldridge, and VIF, indicates no heteroskedasticity, serial correlation, or multicollinearity concerns. A placebo test shifting the treatment year to 2012 likewise yields an insignificant coefficient, thereby reinforcing the credibility of the main finding. In short, those numbers suggest that Malaysia's accumulated macroeconomic reputation, principally driven by robust GDP per capita growth, absorbed the reputational shock of the 1MDB scandal without a statistically detectab</w:t>
      </w:r>
    </w:p>
    <w:p>
      <w:pPr/>
      <w:r>
        <w:rPr>
          <w:b/>
        </w:rPr>
        <w:t>POSSIBLE 2026:</w:t>
      </w:r>
      <w:r>
        <w:t xml:space="preserve"> Beyond the Verdict: FDI Consequences of ICSID Arbitration in South Asia — https://openalex.org/W7216962468</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research paper considers whether investment arbitration outcome at International Centre of Settlement of Investment Disputes (ICSID) has any effects on future foreign direct investment (FDI) in South Asian economies. Although, existing literature is mainly concerned with the existence of bilateral investment treaties (BITs), little has been done to establish the economic implications of real-life outcomes of arbitrations. This paper uses fixed effects panel estimation on a balanced sample of five South Asian countries for the years 2000-2022 to determine the effect of losing ICSID cases and the size of damages awarded on future inflows of FDI. The empirical findings offer strong support to the idea that negative ICSID arbitration outcomes are a strong deterrent of future FDI inflows. In particular, the loss in an arbitration case causes statistically and economically significant negative impact on FDI. Furthermore, hefty monetary awards enhance the negative impact. These results are stronger in other specifications and sensitivity tests. The behaviour of control variables is consistent with theoretical expectations. Thus, market size, trade openness, macroeconomic stability and healthy political institutions are significant in shaping investment decisions. The research adds to investment treaties literature by showing that credibility in international investments governanc</w:t>
      </w:r>
    </w:p>
    <w:p>
      <w:pPr/>
      <w:r>
        <w:rPr>
          <w:b/>
        </w:rPr>
        <w:t>POSSIBLE 2026:</w:t>
      </w:r>
      <w:r>
        <w:t xml:space="preserve"> Decoupling strength-damage trade-offs in additively manufactured alloys via engineered strain gradient — https://doi.org/10.1007/s10483-026-3386-8</w:t>
      </w:r>
    </w:p>
    <w:p>
      <w:pPr/>
      <w:r>
        <w:rPr>
          <w:b/>
        </w:rPr>
        <w:t>Shared claim-specific concepts:</w:t>
      </w:r>
      <w:r>
        <w:t xml:space="preserve"> damage, but; EU scope not established. This is a provisional connection, not an outcome finding.</w:t>
      </w:r>
    </w:p>
    <w:p>
      <w:pPr>
        <w:pStyle w:val="SourceNote"/>
      </w:pPr>
      <w:r>
        <w:rPr>
          <w:b/>
        </w:rPr>
        <w:t>Available abstract (not full text):</w:t>
      </w:r>
      <w:r>
        <w:t xml:space="preserve"> Abstract The strength and damage tolerance of additively manufactured (AM) alloys are significantly influenced by their heterogeneous microstructures. However, establishing quantitative relationships between these microstructural characteristics and the resulting mechanical properties remains a challenge. Here, a microstructure-based mechanical model is established based on the heterogeneous grain distribution within the melt pool, with particular emphasis on the strain gradient effect arising from the deformation incompatibility between distinct grain regions. The strengthening mechanisms and local deformation response of AM alloys are elucidated with the finite element method (FEM). The strain gradient effect generated by the deformation incompatibility between the columnar and equiaxed grain regions enhances the local stress near the equiaxed-columnar interface, which is an important reason for the overall work hardening. Concurrently, the local stress concentration makes it easier to reach the critical stress for microcrack nucleation at the interface, leading to failure and a lack of synergy between the strength and damage tolerance. The prediction of the crack initiation location based on the simulation results is consistent with the previous experiments. By further quantitatively predicting the comprehensive effects of melt pool size on strength, strain hardening, and da</w:t>
      </w:r>
    </w:p>
    <w:p>
      <w:pPr/>
      <w:r>
        <w:rPr>
          <w:b/>
        </w:rPr>
        <w:t>POSSIBLE 2025:</w:t>
      </w:r>
      <w:r>
        <w:t xml:space="preserve"> Assessing The Effects of GDP and FDI Inflows on Carbon Dioxide Emission — https://doi.org/10.21776/jdess.2025.04.1.22</w:t>
      </w:r>
    </w:p>
    <w:p>
      <w:pPr/>
      <w:r>
        <w:rPr>
          <w:b/>
        </w:rPr>
        <w:t>Shared claim-specific concepts:</w:t>
      </w:r>
      <w:r>
        <w:t xml:space="preserve"> damage, fdi, inflows; EU scope not established. This is a provisional connection, not an outcome finding.</w:t>
      </w:r>
    </w:p>
    <w:p>
      <w:pPr>
        <w:pStyle w:val="SourceNote"/>
      </w:pPr>
      <w:r>
        <w:rPr>
          <w:b/>
        </w:rPr>
        <w:t>Available abstract (not full text):</w:t>
      </w:r>
      <w:r>
        <w:t xml:space="preserve"> Indonesia is one of the world's largest emitters of carbon dioxide. This aligns with the Environmental Kuznets Curve (EKC) hypothesis, which states that economic growth initially causes environmental damage. This study uses the Error Correction Model (ECM) with time series data from 2002-2022 to definitively examine the relationship between sectoral GDP and FDI inflows with CO2 emissions in Indonesia. The results show that sectoral GDP significantly negatively affects CO2 emissions in the long and short run. In contrast, the quadratic form of GDP has a positive effect, indicating an anomaly in the expected EKC pattern. Moreover, FDI inflows significantly affect CO2 emissions only in the long run. These findings highlight the urgent need for policymakers to implement environmentally sustainable economic development strategies in Indonesia. Abstrak Indonesia merupakan salah satu penghasil emisi karbon dioksida terbesar di dunia. Hal ini sejalan dengan hipotesis Environmental Kuznets Curve (EKC) di mana pertumbuhan ekonomi pada awalnya akan menyebabkan kerusakan lingkungan. Penelitian ini menggunakan Error Correction Model (ECM) dengan periode data dari tahun 2002-2022 untuk menguji secara definitif hubungan antara PDB sektoral dan FDI Inflows dengan emisi CO2 di Indonesia. Hasil penelitian menunjukkan bahwa PDB sektoral memiliki pengaruh negatif yang signifikan terhadap emisi CO2</w:t>
      </w:r>
    </w:p>
    <w:p>
      <w:pPr/>
      <w:r>
        <w:rPr>
          <w:b/>
        </w:rPr>
        <w:t>POSSIBLE 2025:</w:t>
      </w:r>
      <w:r>
        <w:t xml:space="preserve"> FDI inflows and carbon emissions: new global evidence — https://doi.org/10.1007/s43621-025-01292-9</w:t>
      </w:r>
    </w:p>
    <w:p>
      <w:pPr/>
      <w:r>
        <w:rPr>
          <w:b/>
        </w:rPr>
        <w:t>Shared claim-specific concepts:</w:t>
      </w:r>
      <w:r>
        <w:t xml:space="preserve"> result, fdi, inflows; EU scope not established. This is a provisional connection, not an outcome finding.</w:t>
      </w:r>
    </w:p>
    <w:p>
      <w:pPr>
        <w:pStyle w:val="SourceNote"/>
      </w:pPr>
      <w:r>
        <w:rPr>
          <w:b/>
        </w:rPr>
        <w:t>Available abstract (not full text):</w:t>
      </w:r>
      <w:r>
        <w:t xml:space="preserve"> This study investigates the environmental consequences of foreign direct investment (FDI) inflows, focusing on their impact on carbon (CO2) emissions. The findings indicate that FDI inflows significantly contribute to increased CO2 emissions, both in total quantity and intensity. Low- and middle-income nations are disproportionately affected. Additionally, higher levels of institutional quality, financial development, and technological innovation amplify the positive relationship between FDI and emissions. This positive link can be explained by the scale effect, where increased economic activity from FDI leads to higher energy use and emissions. This study also reveals the dual role of institutional quality, financial development, and technological innovation in moderating the environmental impact of FDI. While these factors facilitate growth and attract investment, they can also result in increased emissions if sustainability is not prioritized. These findings offer meaningful implications for policymakers seeking to balance economic growth with sustainability, especially in regions vulnerable to increased emissions due to FDI.</w:t>
      </w:r>
    </w:p>
    <w:p>
      <w:pPr/>
      <w:r>
        <w:rPr>
          <w:b/>
        </w:rPr>
        <w:t>POSSIBLE 2025:</w:t>
      </w:r>
      <w:r>
        <w:t xml:space="preserve"> Are Determinants Of Fdi Inflows Subject To Political And Pandemic Issues? Empirical Evidence From Vietnam — https://doi.org/10.2991/978-94-6463-694-9_5</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Foreign direct investment (FDI) plays an important role in economic growth and social innovation in developing countries, which are always thirsty for investment capital.Its role is expressed through promoting transformation, restructuring the economy, developing human resources, providing new production technology and improving quality of life.Therefore, FDI is always considered a top concern of governments of developing countries.The impact of FDI capital flows is unstable and changes depending on influencing factors such as macroeconomic factors, socio-political factors... Previously, studies based on this relationship were mostly implemented in developed economies and were considered quite little in developing countries like Vietnam.On the other hand, research results among authors are inconsistent.Our research aims to analyze the determinants of FDI flows into Vietnam in the period 1996-2021, focusing on political stability and the covid-19 epidemic, thereby drawing out applicable policies in the current post-COVID economic recovery context. Research purpose:This research is aimed at figuring out critical factors influencing the decision of foreign investors to pour money into Vietnam from 1996 to 2021 with a special focus on pandemic and political issuses.Based on empirical results, we aim to offer policy implications and recommendations for relevant stakeholders. Researc</w:t>
      </w:r>
    </w:p>
    <w:p>
      <w:pPr/>
      <w:r>
        <w:rPr>
          <w:b/>
        </w:rPr>
        <w:t>POSSIBLE 2025:</w:t>
      </w:r>
      <w:r>
        <w:t xml:space="preserve"> Culture as Collateral Damage? Evidence From the Impact of Sanctions on Cultural Trade — https://doi.org/10.1111/twec.70012</w:t>
      </w:r>
    </w:p>
    <w:p>
      <w:pPr/>
      <w:r>
        <w:rPr>
          <w:b/>
        </w:rPr>
        <w:t>Shared claim-specific concepts:</w:t>
      </w:r>
      <w:r>
        <w:t xml:space="preserve"> damage, trade, potential; EU scope visible. This is a provisional connection, not an outcome finding.</w:t>
      </w:r>
    </w:p>
    <w:p>
      <w:pPr>
        <w:pStyle w:val="SourceNote"/>
      </w:pPr>
      <w:r>
        <w:rPr>
          <w:b/>
        </w:rPr>
        <w:t>Available abstract (not full text):</w:t>
      </w:r>
      <w:r>
        <w:t xml:space="preserve"> ABSTRACT We examine how various types of sanctions—trade, financial, military, arms and travel—affect trade in cultural goods, and, for comparison, in non‐cultural goods. We find that trade sanctions have significant negative impacts on cultural and non‐cultural trade. The magnitude and nature of these impacts vary depending on the type and coverage of trade sanctions. Furthermore, our study reveals significant collateral damage to bilateral cultural trade caused by arms, military assistance, financial and travel sanctions. Conversely, non‐cultural trade is primarily influenced by financial and travel sanctions. Examining the origins of sanctions provides deeper insights into their diverse impacts. Specifically, our analysis highlights that the United States (U.S.)‐imposed sanctions across various types have significant unintended consequences for bilateral U.S. cultural trade with sanctioned countries. Similarly, both U.S. and European Union (EU) sanctions, regardless of their type, exert a substantial impact on their non‐cultural trade with sanctioned countries. Although sanctions may be justified from a political standpoint, our findings underscore the importance for policymakers to prioritise the promotion of cultural trade and its potential role in peacebuilding efforts once sanctions are lifted.</w:t>
      </w:r>
    </w:p>
    <w:p>
      <w:pPr/>
      <w:r>
        <w:rPr>
          <w:b/>
        </w:rPr>
        <w:t>POSSIBLE 2025:</w:t>
      </w:r>
      <w:r>
        <w:t xml:space="preserve"> Foreign trade resilience during wartime — https://doi.org/10.4324/9781003503255-8</w:t>
      </w:r>
    </w:p>
    <w:p>
      <w:pPr/>
      <w:r>
        <w:rPr>
          <w:b/>
        </w:rPr>
        <w:t>Shared claim-specific concepts:</w:t>
      </w:r>
      <w:r>
        <w:t xml:space="preserve"> result, damage, trade, potential; EU scope not established. This is a provisional connection, not an outcome finding.</w:t>
      </w:r>
    </w:p>
    <w:p>
      <w:pPr>
        <w:pStyle w:val="SourceNote"/>
      </w:pPr>
      <w:r>
        <w:rPr>
          <w:b/>
        </w:rPr>
        <w:t>Available abstract (not full text):</w:t>
      </w:r>
      <w:r>
        <w:t xml:space="preserve"> One of the components of the stability of the national economy is foreign trade resilience, which consists of maintaining the state’s presence in international markets through foreign trade exchange while preventing a critical size of the negative balance. Among other things, the military actions led to the risk of losing Ukraine’s export potential. Export-oriented industries suffered catastrophic losses, with a number of facilities lost forever. It is primarily about the metallurgical, chemical, and machine-building sectors of the economy. Significant damage is caused to the relationship with contractor companies and commercial cooperation of enterprises as a result of logistical obstacles, military pollution of territories, damage, and destruction of transport infrastructure. Another risk is the significant destruction of infrastructure or the complication of transport logistics. Ukrainian manufacturers lose or have significantly reduced access to export markets as a result of a significant narrowing of export supply channels. At the same time, competition for the access to transport and logistics capacities is growing at the inter-industry level, as well as between exporters of the same industry. There are significant risks of increased logistics costs for exporters due to constant military threats, systematic targeted destruction of export supply channels, ongoing blockade </w:t>
      </w:r>
    </w:p>
    <w:p>
      <w:pPr/>
      <w:r>
        <w:rPr>
          <w:b/>
        </w:rPr>
        <w:t>POSSIBLE 2025:</w:t>
      </w:r>
      <w:r>
        <w:t xml:space="preserve"> The Hidden Cost of Global Trade: Evidence from Plastic Waste Trade and Its Ecological Ramifications Across Major Waste-Trading Nations — https://doi.org/10.3390/su17136176</w:t>
      </w:r>
    </w:p>
    <w:p>
      <w:pPr/>
      <w:r>
        <w:rPr>
          <w:b/>
        </w:rPr>
        <w:t>Shared claim-specific concepts:</w:t>
      </w:r>
      <w:r>
        <w:t xml:space="preserve"> damage, trade, lower, but; EU scope not established. This is a provisional connection, not an outcome finding.</w:t>
      </w:r>
    </w:p>
    <w:p>
      <w:pPr>
        <w:pStyle w:val="SourceNote"/>
      </w:pPr>
      <w:r>
        <w:rPr>
          <w:b/>
        </w:rPr>
        <w:t>Available abstract (not full text):</w:t>
      </w:r>
      <w:r>
        <w:t xml:space="preserve"> The rapid expansion of plastic waste trade has intensified environmental pressures, accelerating ecosystem degradation and climate change. We examine the long-term impacts of plastic waste imports and domestic waste production on ecological footprints and greenhouse gas emissions across 20 countries representing 70% of global plastic waste trade and 45% of world GDP. Under the Environmental Kuznets Curve (EKC) framework, we explore nonlinear interactions among economic growth, urbanization, and sustainability goals. Using a panel simultaneous equations approach, we apply Pedroni, Kao, and Westerlund cointegration tests and Fully Modified and Dynamic OLS estimators to address endogeneity and heterogeneity. Robustness checks include alternative environmental indicators and the Dumitrescu–Hurlin panel causality test. Results demonstrate a stable long-run equilibrium: plastic waste imports substantially increase ecological footprints and emissions, while progress on sustainable development goals mitigates some damage. The negative GDP squared coefficient supports the EKC hypothesis, indicating that environmental impacts rise initially with growth but decline once income exceeds a threshold. These findings highlight the need for stronger international regulations, enhanced waste management infrastructures, and circular economy strategies. Focused investment in sustainable technologi</w:t>
      </w:r>
    </w:p>
    <w:p>
      <w:pPr>
        <w:pStyle w:val="Heading2"/>
      </w:pPr>
      <w:r>
        <w:t>663. Burden of Stroke in Europe</w:t>
      </w:r>
    </w:p>
    <w:p>
      <w:pPr>
        <w:pStyle w:val="SourceNote"/>
      </w:pPr>
      <w:r>
        <w:rPr>
          <w:b/>
        </w:rPr>
        <w:t>Original source (2020):</w:t>
      </w:r>
      <w:r>
        <w:t xml:space="preserve"> https://doi.org/10.1161/strokeaha.120.029606</w:t>
      </w:r>
    </w:p>
    <w:p>
      <w:pPr/>
      <w:r>
        <w:t>Original wording (abstract; indexed_source_text_not_full_document_verified): By 2047, we estimated an additional 40 000 incident strokes (+3%) and 2.58 million prevalent cases (+27%).</w:t>
      </w:r>
    </w:p>
    <w:p>
      <w:pPr/>
      <w:r>
        <w:rPr>
          <w:b/>
        </w:rPr>
        <w:t>POSSIBLE 2026:</w:t>
      </w:r>
      <w:r>
        <w:t xml:space="preserve"> The updated global burden of chronic kidney disease: one death every 20 seconds — https://doi.org/10.1093/ndt/gfag040</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2026:</w:t>
      </w:r>
      <w:r>
        <w:t xml:space="preserve"> Association of estimated glucose disposal rate with incident stroke in circadian syndrome: a prospective cohort study — https://doi.org/10.1038/s41598-026-64746-8</w:t>
      </w:r>
    </w:p>
    <w:p>
      <w:pPr/>
      <w:r>
        <w:rPr>
          <w:b/>
        </w:rPr>
        <w:t>Shared claim-specific concepts:</w:t>
      </w:r>
      <w:r>
        <w:t xml:space="preserve"> estimated, incident, strokes; EU scope not established. This is a provisional connection, not an outcome finding.</w:t>
      </w:r>
    </w:p>
    <w:p>
      <w:pPr>
        <w:pStyle w:val="SourceNote"/>
      </w:pPr>
      <w:r>
        <w:rPr>
          <w:b/>
        </w:rPr>
        <w:t>Available abstract (not full text):</w:t>
      </w:r>
      <w:r>
        <w:t xml:space="preserve"> The estimated glucose disposal rate (eGDR) is associated with the incidence of incident stroke (IS). However, its role in predicting IS within the Circadian Syndrome (CircS), a multisystem metabolic disorder, remains unclear. A prospective cohort study was conducted with 3,128 adults (≥ 45 years) diagnosed with CircS and without baseline stroke, utilizing data from the China Health and Retirement Longitudinal Study (CHARLS). The primary outcome was the incidence of IS during the follow-up period. Analyses were performed using Cox proportional hazards models, restricted cubic spline (RCS), subgroup analysis, and area under the curve (AUC) assessments. Followed for a median of 108 months (2012–2020), 409 first-onset strokes (13.07%) occurred. After fully adjusting, eGDR (HR = 0.85, 95% CI: 0.80–0.89, p &lt; 0.001), eGDR/CircS scores (eGDR divided by CircS component count, HR = 0.53, 95% CI: 0.44–0.63, p &lt; 0.001), and cumulative eGDR (HR = 0.93, 95% CI: 0.91–0.95, p &lt; 0.001) were associated with IS. Graded inverse associations were observed across quartile/tertile, with the highest eGDR quartile halving the risk compared to Q1 (HR = 0.42, 95% CI: 0.30–0.59, p &lt; 0.001). Optimal eGDR level control (cluster class) conferred a lower risk than the poorest control (HR = 0.38, 95% CI: 0.28–0.53, p &lt; 0.001). Dose–response relationships were significantly linear (p for overall &lt; 0.001) for eG</w:t>
      </w:r>
    </w:p>
    <w:p>
      <w:pPr/>
      <w:r>
        <w:rPr>
          <w:b/>
        </w:rPr>
        <w:t>POSSIBLE 2026:</w:t>
      </w:r>
      <w:r>
        <w:t xml:space="preserve"> Population-Level Co-Distribution and Spatiotemporal Burden Trends of Endometriosis and Polycystic Ovary Syndrome Among Reproductive-Age Women in Europe, 1990–2023: An Analysis of the Global Burden of Disease 2023 — https://doi.org/10.2147/ijwh.s640643</w:t>
      </w:r>
    </w:p>
    <w:p>
      <w:pPr/>
      <w:r>
        <w:rPr>
          <w:b/>
        </w:rPr>
        <w:t>Shared claim-specific concepts:</w:t>
      </w:r>
      <w:r>
        <w:t xml:space="preserve"> estimated, additional, incident, prevalent, cases; EU scope visible. This is a provisional connection, not an outcome finding.</w:t>
      </w:r>
    </w:p>
    <w:p>
      <w:pPr>
        <w:pStyle w:val="SourceNote"/>
      </w:pPr>
      <w:r>
        <w:rPr>
          <w:b/>
        </w:rPr>
        <w:t>Available abstract (not full text):</w:t>
      </w:r>
      <w:r>
        <w:t xml:space="preserve"> Background: Endometriosis (EM) and polycystic ovary syndrome (PCOS) are two prevalent endocrine-related gynecological conditions with shared pathophysiological pathways, yet their population-level burden patterns and socioeconomic correlates across Europe remain unclear. This study examines the geographic overlap in population-level disease burden patterns of EM and PCOS (hereafter referred to as ecological co-distribution), which does not represent individual-level comorbidity. Methods: Using the Global Burden of Disease (GBD) 2023 dataset, we retrieved incident cases and disability-adjusted life years (DALYs) data for EM and PCOS among women aged 15-49 years covering 44 European countries (1990-2023). Countries were classified into three population-level burden phenotypes (consistent pattern, EM-predominant pattern, PCOS-predominant pattern) by cross-tabulating quartiles of age-standardized incidence rates (ASIR). Temporal trajectories were quantified via the estimated annual percentage change (EAPC) method combined with Joinpoint regression modeling. Additional analyses included age-stratified burden distribution, correlation with the Socio-demographic Index (SDI), and decomposition analysis of burden drivers. Results: EM and PCOS exhibited diametrically opposite spatial gradients: EM burden concentrated in Central and Eastern Europe, while PCOS burden predominated in Wester</w:t>
      </w:r>
    </w:p>
    <w:p>
      <w:pPr/>
      <w:r>
        <w:rPr>
          <w:b/>
        </w:rPr>
        <w:t>POSSIBLE 2026:</w:t>
      </w:r>
      <w:r>
        <w:t xml:space="preserve"> Postthrombotic syndrome: risk after deep vein thrombosis and estimates of its incidence and prevalence in Europe — https://doi.org/10.1016/j.jtha.2025.12.017</w:t>
      </w:r>
    </w:p>
    <w:p>
      <w:pPr/>
      <w:r>
        <w:rPr>
          <w:b/>
        </w:rPr>
        <w:t>Shared claim-specific concepts:</w:t>
      </w:r>
      <w:r>
        <w:t xml:space="preserve"> estimated, million, prevalent, cases; EU scope visible. This is a provisional connection, not an outcome finding.</w:t>
      </w:r>
    </w:p>
    <w:p>
      <w:pPr>
        <w:pStyle w:val="SourceNote"/>
      </w:pPr>
      <w:r>
        <w:rPr>
          <w:b/>
        </w:rPr>
        <w:t>Available abstract (not full text):</w:t>
      </w:r>
      <w:r>
        <w:t xml:space="preserve"> BACKGROUND: Postthrombotic syndrome (PTS) is a common complication of deep vein thrombosis (DVT) of the lower extremities, associated with reduced quality of life and high health care costs. No reliable estimates exist of PTS risk by DVT location and its burden in the general population. OBJECTIVES: This study estimated the risk of PTS by anatomical location of DVT and the age- and sex-specific incidence and prevalence of PTS in Europe. METHODS: We performed a systematic review and mixed-effects meta-analysis of studies reporting the cumulative incidence of PTS defined by Villalta score in patients with iliofemoral, femoropopliteal, and distal DVT. We then applied location-specific risk estimates to age- and sex-specific European DVT incidence data using a life table approach with Monte Carlo simulations to calculate the annual incidence and prevalence of PTS. RESULTS: Among 49 studies (N = 14 171; 15 interventional, 34 observational), estimated PTS risk was 51.1% (95% CI, 39.5%-62.7%) for iliofemoral, 30.7% (95% CI, 21.4%-39.9%) for femoropopliteal, and 22.8% (95% CI, 17.1%-29.8%) for distal DVT, assuming no systematic use of compression stockings for proximal DVT. We estimate that 250 000 (95% CI, 220 000-315 000) new PTS cases annually in Europe (incidence, 0.34 [95% CI, 0.29-0.42] per 1000) and 4.86 million (95% CI, 4.11-5.88) prevalent cases (prevalence, 6.5 [95% CI, 5.5-7</w:t>
      </w:r>
    </w:p>
    <w:p>
      <w:pPr/>
      <w:r>
        <w:rPr>
          <w:b/>
        </w:rPr>
        <w:t>POSSIBLE 2026:</w:t>
      </w:r>
      <w:r>
        <w:t xml:space="preserve"> Assessment of health risks from exposure to indoor volatile organic compounds in European educational buildings — https://doi.org/10.1038/s41598-026-37072-2</w:t>
      </w:r>
    </w:p>
    <w:p>
      <w:pPr/>
      <w:r>
        <w:rPr>
          <w:b/>
        </w:rPr>
        <w:t>Shared claim-specific concepts:</w:t>
      </w:r>
      <w:r>
        <w:t xml:space="preserve"> million, prevalent, cases; EU scope visible. This is a provisional connection, not an outcome finding.</w:t>
      </w:r>
    </w:p>
    <w:p>
      <w:pPr>
        <w:pStyle w:val="SourceNote"/>
      </w:pPr>
      <w:r>
        <w:rPr>
          <w:b/>
        </w:rPr>
        <w:t>Available abstract (not full text):</w:t>
      </w:r>
      <w:r>
        <w:t xml:space="preserve"> Volatile organic compounds (VOCs) comprise an important group of indoor air pollutants, commonly found in building materials and consumer products. Due to their low boiling points, VOCs are prevalent in indoor environments, with concentrations in homes, schools, and offices often two to five times higher than outdoors. Chronic exposure to VOCs is linked to a range of adverse health outcomes, including respiratory, neurological, cardiovascular damage, and an increased cancer risk. Children and adolescents who spend a significant amount of time in educational buildings are particularly vulnerable to these effects. Therefore, this study aimed to estimate the related health risks to those in day care centres, schools, high-schools and universities across 17 member states of the European Union (EU) by utilizing a previously published dataset and collecting data on levels of 9 VOCs. Health risks were assessed using the World Health Organization's Indoor Air Quality Risk Calculator. Point of departure indices (PODIs) and cancer risks were calculated, with values above 1.0 and 10 cases/1 million population respectively indicating an increased health risk. Our results showed that formaldehyde exposure poses an increased risk of respiratory, neurological and carcinogenic effects in educational buildings in 14 of the countries studied. Additionally, neurological risks from exposure to ben</w:t>
      </w:r>
    </w:p>
    <w:p>
      <w:pPr/>
      <w:r>
        <w:rPr>
          <w:b/>
        </w:rPr>
        <w:t>POSSIBLE 2024:</w:t>
      </w:r>
      <w:r>
        <w:t xml:space="preserve"> Estimating the burden of vitiligo: a systematic review and modelling study — https://doi.org/10.1016/s2468-2667(24)00026-4</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pPr/>
      <w:r>
        <w:rPr>
          <w:b/>
        </w:rPr>
        <w:t>POSSIBLE 2024:</w:t>
      </w:r>
      <w:r>
        <w:t xml:space="preserve"> Estimated frequency and economic burden of incident fragility fractures during 2023 in Mexico — https://doi.org/10.1007/s11657-024-01468-2</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pPr/>
      <w:r>
        <w:rPr>
          <w:b/>
        </w:rPr>
        <w:t>POSSIBLE 2024:</w:t>
      </w:r>
      <w:r>
        <w:t xml:space="preserve"> Dietary intake of plant- and animal-derived protein and incident cardiovascular diseases: the pan-European EPIC-CVD case–cohort study — https://doi.org/10.1016/j.ajcnut.2024.03.006</w:t>
      </w:r>
    </w:p>
    <w:p>
      <w:pPr/>
      <w:r>
        <w:rPr>
          <w:b/>
        </w:rPr>
        <w:t>Shared claim-specific concepts:</w:t>
      </w:r>
      <w:r>
        <w:t xml:space="preserve"> estimated, incident, cases; EU scope visible. This is a provisional connection, not an outcome finding.</w:t>
      </w:r>
    </w:p>
    <w:p>
      <w:pPr>
        <w:pStyle w:val="SourceNote"/>
      </w:pPr>
      <w:r>
        <w:rPr>
          <w:b/>
        </w:rPr>
        <w:t>Available abstract (not full text):</w:t>
      </w:r>
      <w:r>
        <w:t xml:space="preserve"> BACKGROUND: Epidemiological evidence suggests that a potential association between dietary protein intake and cardiovascular disease (CVD) may depend on the protein source, that is, plant- or animal-derived, but past research was limited and inconclusive. OBJECTIVES: To evaluate the association of dietary plant- or animal-derived protein consumption with risk of CVD, and its components ischemic heart disease (IHD) and stroke. METHODS: This analysis in the European Prospective Investigation into Cancer and Nutrition (EPIC)-CVD case-cohort study included 16,244 incident CVD cases (10,784 IHD and 6423 stroke cases) and 15,141 subcohort members from 7 European countries. We investigated the association of estimated dietary protein intake with CVD, IHD, and stroke (total, fatal, and nonfatal) using multivariable-adjusted Prentice-weighted Cox regression. We estimated isocaloric substitutions of replacing fats and carbohydrates with plant- or animal-derived protein and replacing food-specific animal protein with plant protein. Multiplicative interactions between dietary protein and prespecified variables were tested. RESULTS: Neither plant- nor animal-derived protein intake was associated with incident CVD, IHD, or stroke in adjusted analyses without or with macronutrient-specified substitution analyses. Higher plant-derived protein intake was associated with 22% lower total stroke i</w:t>
      </w:r>
    </w:p>
    <w:p>
      <w:pPr/>
      <w:r>
        <w:rPr>
          <w:b/>
        </w:rPr>
        <w:t>POSSIBLE 2024:</w:t>
      </w:r>
      <w:r>
        <w:t xml:space="preserve"> Abstract 4139533: Epigenetic Factors Predict Incident Heart Failure with Preserved Ejection Fraction — https://doi.org/10.1161/circ.150.suppl_1.4139533</w:t>
      </w:r>
    </w:p>
    <w:p>
      <w:pPr/>
      <w:r>
        <w:rPr>
          <w:b/>
        </w:rPr>
        <w:t>Shared claim-specific concepts:</w:t>
      </w:r>
      <w:r>
        <w:t xml:space="preserve"> estimated, additional, incident, million; EU scope visible. This is a provisional connection, not an outcome finding.</w:t>
      </w:r>
    </w:p>
    <w:p>
      <w:pPr>
        <w:pStyle w:val="SourceNote"/>
      </w:pPr>
      <w:r>
        <w:rPr>
          <w:b/>
        </w:rPr>
        <w:t>Available abstract (not full text):</w:t>
      </w:r>
      <w:r>
        <w:t xml:space="preserve"> Background: Heart failure (HF) is a life-threatening aging-related syndrome with growing impact on the global population. It is estimated that &gt;8 million adults in the US will be living with HF by 2030. HF with preserved EF (HFpEF), defined by an ejection fraction ≥50%, frequently has delayed diagnosis and limited treatment options. HFpEF progression can be affected by both gene and environment via different molecular pathways, which can be assessed by epigenetic factors measured by DNA methylation (DNAm). Methods: The DNAm levels of peripheral blood cells at enrollment into the Million Veteran Program (MVP) were profiled using the Illumina’s EPIC array. After excluding samples with low quality or discordant sex, and merging with the phenotypic data, the multi-ancestry (~70%, 24%, 5.4%, and 0.6% are European, African, Hispanic, and Asian Americans, respectively) epigenetic association study in the MVP included 1658 with incident HFpEF and 33926 controls without any record of HF. Incident HFpEF was defined as the presence of a diagnostic code for HF after enrollment into MVP and a measured left ventricle ejection fraction ≥50% within 90 days of first appearance of HF diagnosis code. For each DNAm site, the association with HFpEF was examined in a multiple regression model adjusted for age, sex, race/ethnicity, calculated cell type proportions, and potential batch effects. Epigen</w:t>
      </w:r>
    </w:p>
    <w:p>
      <w:pPr/>
      <w:r>
        <w:rPr>
          <w:b/>
        </w:rPr>
        <w:t>POSSIBLE 2024:</w:t>
      </w:r>
      <w:r>
        <w:t xml:space="preserve"> A preliminary estimate of the environmental burden of disease associated with exposure to pyrethroid insecticides and ADHD in Europe based on human biomonitoring — https://doi.org/10.1186/s12940-024-01131-w</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Human biomonitoring (HBM) data indicate that exposure to pyrethroids is widespread in Europe, with significantly higher exposure observed in children compared to adults. Epidemiological, toxicological, and mechanistic studies raise concerns for potential human health effects, particularly, behavioral effects such as attention deficit hyperactivity disorder (ADHD) in children at low levels of exposure. Based on an exposure-response function from a single European study and on available quality-assured and harmonized HBM data collected in France, Germany, Iceland, Switzerland, and Israel, a preliminary estimate of the environmental burden of disease for ADHD associated with pyrethroid exposure was made for individuals aged 0-19 years. The estimated annual number of prevalence-based disability-adjusted life years (DALYs) per million inhabitants were 27 DALYs for Israel, 21 DALYs for France, 12 DALYs for both Switzerland and Iceland, and 3 DALYs for Germany; while the annual ADHD cases per million inhabitants attributable to pyrethroids were 2189 for Israel, 1710 for France, 969 for Iceland, 944 for Switzerland, and 209 for Germany. Direct health costs related to ADHD ranged between 0.3 and 2.5 million EUR yearly per million inhabitants for the five countries. Additionally, a substantial number of ADHD cases, on average 18%, were associated with pyrethroid exposure. Yet, these figu</w:t>
      </w:r>
    </w:p>
    <w:p>
      <w:pPr/>
      <w:r>
        <w:rPr>
          <w:b/>
        </w:rPr>
        <w:t>POSSIBLE 2023:</w:t>
      </w:r>
      <w:r>
        <w:t xml:space="preserve"> The incidence and prevalence of IgA nephropathy in Europe — https://doi.org/10.1093/ndt/gfad082</w:t>
      </w:r>
    </w:p>
    <w:p>
      <w:pPr/>
      <w:r>
        <w:rPr>
          <w:b/>
        </w:rPr>
        <w:t>Shared claim-specific concepts:</w:t>
      </w:r>
      <w:r>
        <w:t xml:space="preserve"> estimated, prevalent, cases; EU scope visible. This is a provisional connection, not an outcome finding.</w:t>
      </w:r>
    </w:p>
    <w:p>
      <w:pPr>
        <w:pStyle w:val="SourceNote"/>
      </w:pPr>
      <w:r>
        <w:rPr>
          <w:b/>
        </w:rPr>
        <w:t>Available abstract (not full text):</w:t>
      </w:r>
      <w:r>
        <w:t xml:space="preserve">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pPr/>
      <w:r>
        <w:rPr>
          <w:b/>
        </w:rPr>
        <w:t>POSSIBLE 2023:</w:t>
      </w:r>
      <w:r>
        <w:t xml:space="preserve"> Schistosomiasis in Europe — https://doi.org/10.1007/s40475-023-00286-9</w:t>
      </w:r>
    </w:p>
    <w:p>
      <w:pPr/>
      <w:r>
        <w:rPr>
          <w:b/>
        </w:rPr>
        <w:t>Shared claim-specific concepts:</w:t>
      </w:r>
      <w:r>
        <w:t xml:space="preserve"> estimated, million, prevalent, cases; EU scope visible. This is a provisional connection, not an outcome finding.</w:t>
      </w:r>
    </w:p>
    <w:p>
      <w:pPr>
        <w:pStyle w:val="SourceNote"/>
      </w:pPr>
      <w:r>
        <w:rPr>
          <w:b/>
        </w:rPr>
        <w:t>Available abstract (not full text):</w:t>
      </w:r>
      <w:r>
        <w:t xml:space="preserve"> Abstract Purposeof Review The purpose of this review is to provide an overview of the burden of schistosomiasis in the European continent. It discusses three subjects: the endemic forms of non-human schistosomiasis in Europe; the introduction of transmission of human schistosomiasis into Europe; and the occurrence of imported cases of human schistosomiasis. Recent Findings Europe is not endemic for human schistosomiasis; nevertheless, it is affected by the disease in multiple ways, although the magnitude of the burden remains elusive because of gaps in surveillance and reporting. Summary Schistosomiasis is a global neglected disease prevalent in tropical and subtropical areas. As of 2022, it is estimated that 251 million people require preventive chemotherapy for schistosomiasis, 90% of whom live in Africa. In Europe, human schistosomiasis is frequently detected in migrants from endemic countries who reach the continent. Additionally, outbreaks due to local transmission can sporadically occur following the introduction of schistosomes in one of the many freshwater bodies in southern Europe where competent snail hosts are found. Finally, human cercarial dermatitis is frequently occurring in Europe, because of the presence of avian schistosomiasis in several countries across the continent. A stronger epidemiological surveillance and reporting system, coupled with more surveys on </w:t>
      </w:r>
    </w:p>
    <w:p>
      <w:pPr>
        <w:pStyle w:val="Heading2"/>
      </w:pPr>
      <w:r>
        <w:t>664. ClimateEU, scale-free climate normals, historical time series, and future projections for Europe</w:t>
      </w:r>
    </w:p>
    <w:p>
      <w:pPr>
        <w:pStyle w:val="SourceNote"/>
      </w:pPr>
      <w:r>
        <w:rPr>
          <w:b/>
        </w:rPr>
        <w:t>Original source (2020):</w:t>
      </w:r>
      <w:r>
        <w:t xml:space="preserve"> https://doi.org/10.1038/s41597-020-00763-0</w:t>
      </w:r>
    </w:p>
    <w:p>
      <w:pPr/>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POSSIBLE 2026:</w:t>
      </w:r>
      <w:r>
        <w:t xml:space="preserve"> Synthesised database of wild bee and hoverfly records in Europe — https://doi.org/10.1038/s41597-026-06644-2</w:t>
      </w:r>
    </w:p>
    <w:p>
      <w:pPr/>
      <w:r>
        <w:rPr>
          <w:b/>
        </w:rPr>
        <w:t>Shared claim-specific concepts:</w:t>
      </w:r>
      <w:r>
        <w:t xml:space="preserve"> here, accessible, database, data; EU scope visible. This is a provisional connection, not an outcome finding.</w:t>
      </w:r>
    </w:p>
    <w:p>
      <w:pPr>
        <w:pStyle w:val="SourceNote"/>
      </w:pPr>
      <w:r>
        <w:rPr>
          <w:b/>
        </w:rPr>
        <w:t>Available abstract (not full text):</w:t>
      </w:r>
      <w:r>
        <w:t xml:space="preserve"> Wild bees (Hymenoptera: Anthophila) and hoverflies (Diptera: Syrphidae), the two major groups of insect pollinators, are undergoing alarming declines worldwide, including Europe. The lack of accessible and verified spatial and temporal occurrence records currently challenges efforts to understand and mitigate this decline. Here, we compiled datasets from diverse sources, including taxonomists, national experts, public repositories, museum collections, published literature, verified open-access platforms, and aggregated datasets from previous European projects. The collected data were standardised, cleaned and validated by taxonomists and national experts. This collective effort resulted in two databases comprising more than 4.34 million and 1.04 million records for wild bees and hoverflies, respectively. The databases cover 97% of the European bee fauna (2,083 species out of 2,138 recorded in Europe) and 97% of the European hoverfly fauna (886 species out of 913 recorded in Europe). These standardised databases constitute essential resources for future assessments of status and trends, habitat associations, and other research and conservation initiatives to protect and understand wild pollinators on the European continent.</w:t>
      </w:r>
    </w:p>
    <w:p>
      <w:pPr/>
      <w:r>
        <w:rPr>
          <w:b/>
        </w:rPr>
        <w:t>POSSIBLE 2026:</w:t>
      </w:r>
      <w:r>
        <w:t xml:space="preserve"> Comparative analysis of DCAT-AP landscape for improving interoperability and accessibility of european open data — https://doi.org/10.59490/6a91adf70fd2bd55cd254b0f</w:t>
      </w:r>
    </w:p>
    <w:p>
      <w:pPr/>
      <w:r>
        <w:rPr>
          <w:b/>
        </w:rPr>
        <w:t>Shared claim-specific concepts:</w:t>
      </w:r>
      <w:r>
        <w:t xml:space="preserve"> contribute, data, well; EU scope visible. This is a provisional connection, not an outcome finding.</w:t>
      </w:r>
    </w:p>
    <w:p>
      <w:pPr>
        <w:pStyle w:val="SourceNote"/>
      </w:pPr>
      <w:r>
        <w:rPr>
          <w:b/>
        </w:rPr>
        <w:t>Available abstract (not full text):</w:t>
      </w:r>
      <w:r>
        <w:t xml:space="preserve"> DCAT-AP is the common metadata standard adopted by many EU Member States, institutions, and organizations for publishing and reusing Open Data. In response to national and organizational requirements, several DCAT-AP National Profiles (NPs) have been developed to extend, specialise, or partially override the core specifications and introduce additional controlled vocabularies. While these profiles support local publishing needs, they also increase the complexity of harvesting, validation, and front-end rendering workflows in European Data Portal (EDP) and raise questions about interoperability and consistent metadata integration. To address these challenges, this paper presents a comparative analysis of the European DCAT-AP landscape, focusing on NPs that contribute a substantial volume of metadata to EDP. We introduce the DCAT-AP Profiles Analysis Methodology (DPAM) and the DCAT-AP Profiles Analysis Sheet (DPAS), a structured representation for DCAT-AP and its profiles. Using DPAM and DPAS, we systematically document, at multiple levels of detail, how seven NPs deviate from the core DCAT-AP specification in terms of added, omitted, changed, and deprecated elements. The results quantify the extent and nature of these deviations and explicate the trade-off between the modeling flexibility of RDF/DCAT-AP and the implementation complexity in real-world harvesting and presentation </w:t>
      </w:r>
    </w:p>
    <w:p>
      <w:pPr/>
      <w:r>
        <w:rPr>
          <w:b/>
        </w:rPr>
        <w:t>POSSIBLE 2026:</w:t>
      </w:r>
      <w:r>
        <w:t xml:space="preserve"> Marine Protected Areas for Europe (MPA Europe) — https://doi.org/10.3897/rio.12.e218514</w:t>
      </w:r>
    </w:p>
    <w:p>
      <w:pPr/>
      <w:r>
        <w:rPr>
          <w:b/>
        </w:rPr>
        <w:t>Shared claim-specific concepts:</w:t>
      </w:r>
      <w:r>
        <w:t xml:space="preserve"> contribute, climate, data, includes;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Trends in Extent and Size of European Ecosystem Units From 2000 to 2018 — https://doi.org/10.1111/ddi.70179</w:t>
      </w:r>
    </w:p>
    <w:p>
      <w:pPr/>
      <w:r>
        <w:rPr>
          <w:b/>
        </w:rPr>
        <w:t>Shared claim-specific concepts:</w:t>
      </w:r>
      <w:r>
        <w:t xml:space="preserve"> climate, data, annual; EU scope visible. This is a provisional connection, not an outcome finding.</w:t>
      </w:r>
    </w:p>
    <w:p>
      <w:pPr>
        <w:pStyle w:val="SourceNote"/>
      </w:pPr>
      <w:r>
        <w:rPr>
          <w:b/>
        </w:rPr>
        <w:t>Available abstract (not full text):</w:t>
      </w:r>
      <w:r>
        <w:t xml:space="preserve"> ABSTRACT Introduction and Aim The mapping and monitoring of ecosystem size and extent is critical for assessing changes in the environment. Mapping approaches typically include the use of expert‐based assessments and remotely sensed products. In this work, we present a new annual high‐resolution time series dataset of ecosystem units for Europe that integrates a range of different data sources. In total, 411 different distinct ecosystem units were identified in the EU27+, with large patches of woodland and forest in cold climates and temperate climate croplands on plain terrain as the two most commonly occurring types in 2000. Over the 18 year period, only 56 ecosystems remained stable, with area increases in 192 ecosystem types but losses in area in 163 of them. Furthermore, we highlight gaps in representation for 16.8% of all ecosystem units in the current protected area network. Main Variables Included Corine Land cover time series, Landforms, climate, patch size. Time Coverage 2000 to 2018. Spatial Coverage 100 m spatial resolution at pan‐European extent. Taxa Ecosystem assessment. Applications The dataset is consistent with previous EU ecosystem accounting assessments, while providing additional detail on climate, landform and fragmentation. It can serve as a data source, for example, for ecosystem accounting, conservation planning, or species distribution modelling.</w:t>
      </w:r>
    </w:p>
    <w:p>
      <w:pPr/>
      <w:r>
        <w:rPr>
          <w:b/>
        </w:rPr>
        <w:t>POSSIBLE 2026:</w:t>
      </w:r>
      <w:r>
        <w:t xml:space="preserve"> Unveiling the environmental impact of earthquakes in Europe — https://doi.org/10.1038/s41467-025-68120-6</w:t>
      </w:r>
    </w:p>
    <w:p>
      <w:pPr/>
      <w:r>
        <w:rPr>
          <w:b/>
        </w:rPr>
        <w:t>Shared claim-specific concepts:</w:t>
      </w:r>
      <w:r>
        <w:t xml:space="preserve"> here, comprehensive, database, data;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Consistent and Harmonized Forest Statistics for Forest-use Intensity Analyses Across Europe (2000–2023) — https://doi.org/10.5194/essd-2026-540</w:t>
      </w:r>
    </w:p>
    <w:p>
      <w:pPr/>
      <w:r>
        <w:rPr>
          <w:b/>
        </w:rPr>
        <w:t>Shared claim-specific concepts:</w:t>
      </w:r>
      <w:r>
        <w:t xml:space="preserve"> here, database, data, annual; EU scope visible. This is a provisional connection, not an outcome finding.</w:t>
      </w:r>
    </w:p>
    <w:p>
      <w:pPr>
        <w:pStyle w:val="SourceNote"/>
      </w:pPr>
      <w:r>
        <w:rPr>
          <w:b/>
        </w:rPr>
        <w:t>Available abstract (not full text):</w:t>
      </w:r>
      <w:r>
        <w:t xml:space="preserve"> Abstract. Forests play a crucial role in Europe as carbon sinks, biodiversity reservoirs, and sources of renewable raw materials. Reliable Europe-wide statistics on forest biomass stocks, forest area, and harvest at national and subnational scales are essential for monitoring biomass dynamics and supporting sustainable forest management. However, the availability of such data remains incomplete, and differences in definitions, methodologies, and reporting standards introduce substantial uncertainties that hinder robust interpretation. Here, we present EuFor, an open-access database of key forest indicators for 38 European countries, derived from National Forest Inventories (NFIs), census statistics, and datasets from international organizations. It is openly available at https://doi.org/10.5281/zenodo.20815146. EuFor consists of two subsets: (i) EuFor-reported, a compilation of primary statistical data for 1990–2023, and (ii) EuFor-harmonized, a stock-flow consistent annual time series of forest area, roundwood volumes of growing stock and harvest for 2000–2023 across 21 national and 193 subnational units. EuFor shows near-perfect agreement with an authoritative reference dataset at the European aggregate level. At the country level, however, discrepancies vary substantially. Agreement is highest for forest area (mean relative deviation: 3.2 %; mean Pearson correlation: r = 0.7</w:t>
      </w:r>
    </w:p>
    <w:p>
      <w:pPr/>
      <w:r>
        <w:rPr>
          <w:b/>
        </w:rPr>
        <w:t>POSSIBLE 2025:</w:t>
      </w:r>
      <w:r>
        <w:t xml:space="preserve"> EuPPollNet : A European Database of Plant‐Pollinator Networks — https://doi.org/10.1111/geb.70000</w:t>
      </w:r>
    </w:p>
    <w:p>
      <w:pPr/>
      <w:r>
        <w:rPr>
          <w:b/>
        </w:rPr>
        <w:t>Shared claim-specific concepts:</w:t>
      </w:r>
      <w:r>
        <w:t xml:space="preserve"> here, database, data, includes;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An initial map of European intertidal seagrass — https://doi.org/10.1016/j.rse.2025.115116</w:t>
      </w:r>
    </w:p>
    <w:p>
      <w:pPr/>
      <w:r>
        <w:rPr>
          <w:b/>
        </w:rPr>
        <w:t>Shared claim-specific concepts:</w:t>
      </w:r>
      <w:r>
        <w:t xml:space="preserve"> here, accessible, data; EU scope visible. This is a provisional connection, not an outcome finding.</w:t>
      </w:r>
    </w:p>
    <w:p>
      <w:pPr>
        <w:pStyle w:val="SourceNote"/>
      </w:pPr>
      <w:r>
        <w:rPr>
          <w:b/>
        </w:rPr>
        <w:t>Available abstract (not full text):</w:t>
      </w:r>
      <w:r>
        <w:t xml:space="preserve"> Seagrass meadows directly and indirectly provide a wide range of ecosystem services, but their close proximity to anthropogenic activities renders them highly vulnerable. Regardless of their vulnerability and importance as ecosystem health indicators, intertidal seagrasses, unlike their subtidal relatives, have yet to be assessed at continental scales, and current global estimates of seagrass extent either do not mention intertidal seagrasses or combine them with subtidal seagrasses. Here, we present a first of its kind map of intertidal seagrasses in Europe using a harmonised methodology. Over a total intertidal area of 15,100 km 2 , we found that seagrasses cover an area comparable to the combined areas of Paris and Lisbon: 212 ± 18.8 km 2 . The proportion of available intertidal area covered by seagrass decreased towards higher latitudes (from ∼5.4 % at 35°N to ∼0 % at 58°N). Regardless of this pattern, the top three hotspots of seagrass covered the full latitudinal range of Europe, notably in the North Frisian Wadden Sea (Germany), Arcachon Bay (France) and Ria Formosa (Portugal). Furthermore, we showed latitudinal gradients in seagrass cover, with higher cover in low latitudes and lower cover in high latitudes. Finally, an almost linear change in intertidal seagrass peak timing (day of the year of maximum seagrass cover) with latitude was found, with peak timing later the </w:t>
      </w:r>
    </w:p>
    <w:p>
      <w:pPr/>
      <w:r>
        <w:rPr>
          <w:b/>
        </w:rPr>
        <w:t>POSSIBLE 2025:</w:t>
      </w:r>
      <w:r>
        <w:t xml:space="preserve"> A method for quantifying uncertainty in spatially interpolated meteorological data with application to daily maximum air temperature — https://doi.org/10.5194/gmd-18-3003-2025</w:t>
      </w:r>
    </w:p>
    <w:p>
      <w:pPr/>
      <w:r>
        <w:rPr>
          <w:b/>
        </w:rPr>
        <w:t>Shared claim-specific concepts:</w:t>
      </w:r>
      <w:r>
        <w:t xml:space="preserve"> here, interpolated, data, normal; EU scope not established. This is a provisional connection, not an outcome finding.</w:t>
      </w:r>
    </w:p>
    <w:p>
      <w:pPr>
        <w:pStyle w:val="SourceNote"/>
      </w:pPr>
      <w:r>
        <w:rPr>
          <w:b/>
        </w:rPr>
        <w:t>Available abstract (not full text):</w:t>
      </w:r>
      <w:r>
        <w:t xml:space="preserve"> Abstract. Conventional point estimate error statistics are not well-suited to describing spatial and temporal variation in the accuracy of spatially interpolated meteorological variables. This paper describes, applies, and evaluates a method for quantifying prediction uncertainty in spatially interpolated estimates of meteorological variables. The approach presented here, which we will refer to as DNK for “detrend, normal score, krige,” uses established methods from geostatistics and we apply them to interpolate data from ground-based weather stations. The method is validated using daily maximum near-surface air temperature (Tmax). Uncertainty is inherent in gridded meteorological data, but this fact is often overlooked when data products provide single-value point estimates without a quantitative description of prediction uncertainty. Uncertainty varies as a function of spatial factors, like distance to the nearest measurement location, and temporal factors, like seasonality in sample heterogeneity. DNK produces not only point estimates but predictive distributions for each location. Predictive distributions quantitatively describe uncertainty suitably for propagation into physical models that take meteorological variables as inputs. We validate the uncertainty quantification by comparing theoretical versus actual coverage of prediction intervals computed at locations where me</w:t>
      </w:r>
    </w:p>
    <w:p>
      <w:pPr/>
      <w:r>
        <w:rPr>
          <w:b/>
        </w:rPr>
        <w:t>POSSIBLE 2025:</w:t>
      </w:r>
      <w:r>
        <w:t xml:space="preserve"> Diverging trends in large floods across Europe in a warming climate — https://doi.org/10.1038/s43247-025-02734-y</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Intercomparison of Earth Observation products for hyper-resolution hydrological modelling over Europe — https://doi.org/10.1016/j.rse.2025.115131</w:t>
      </w:r>
    </w:p>
    <w:p>
      <w:pPr/>
      <w:r>
        <w:rPr>
          <w:b/>
        </w:rPr>
        <w:t>Shared claim-specific concepts:</w:t>
      </w:r>
      <w:r>
        <w:t xml:space="preserve"> here, comprehensive, data; EU scope visible. This is a provisional connection, not an outcome finding.</w:t>
      </w:r>
    </w:p>
    <w:p>
      <w:pPr>
        <w:pStyle w:val="SourceNote"/>
      </w:pPr>
      <w:r>
        <w:rPr>
          <w:b/>
        </w:rPr>
        <w:t>Available abstract (not full text):</w:t>
      </w:r>
      <w:r>
        <w:t xml:space="preserve"> The increasing frequency and severity of hydrological extremes demand the development of early warning systems and effective adaptation and mitigation strategies. Such systems and strategies require spatially detailed hydrological predictions, mostly provided by hydrological models. However, current state-of-the-art hydrological predictions remain limited in their spatial resolution. A proposed solution is the integration of high-resolution (&lt;[jls-end-space/]1 km) Earth observation (EO) products in hydrological modelling in order to reach hyper-resolution (approximately 1km2). Nonetheless, proper use of these data in hydrological modelling requires a comprehensive characterization of their uncertainties. Here, we evaluate the performance of high-resolution EO products of four hydrological variables (7 precipitation products, 5 snow cover area products, 6 surface soil moisture products, and 6 actual evapotranspiration products) against observational references. Two merged EO precipitation products at 1km resolution (merged IMERG-SM2A and merged ERA5-IMERG-SM2A) reached correlation coefficients &gt;[jls-end-space/]0.5 with the benchmark reference over most areas and are recommended for hyper-resolution hydrological modelling over Europe. The MODIS (resolution of 250 m) and Sentinel-2/Landsat-8 (resolution of 20/30 m) snow cover products showed the highest classification accuracy and</w:t>
      </w:r>
    </w:p>
    <w:p>
      <w:pPr/>
      <w:r>
        <w:rPr>
          <w:b/>
        </w:rPr>
        <w:t>POSSIBLE 2025:</w:t>
      </w:r>
      <w:r>
        <w:t xml:space="preserve"> An Overview of Shared Mobility Operational Models in Europe — https://doi.org/10.3390/app15074045</w:t>
      </w:r>
    </w:p>
    <w:p>
      <w:pPr/>
      <w:r>
        <w:rPr>
          <w:b/>
        </w:rPr>
        <w:t>Shared claim-specific concepts:</w:t>
      </w:r>
      <w:r>
        <w:t xml:space="preserve"> comprehensive, climate; EU scope visible. This is a provisional connection, not an outcome finding.</w:t>
      </w:r>
    </w:p>
    <w:p>
      <w:pPr>
        <w:pStyle w:val="SourceNote"/>
      </w:pPr>
      <w:r>
        <w:rPr>
          <w:b/>
        </w:rPr>
        <w:t>Available abstract (not full text):</w:t>
      </w:r>
      <w:r>
        <w:t xml:space="preserve"> Climate change is an urgent issue, and the current mindset of private ownership, particularly of private vehicles, needs to shift. Shared mobility is rapidly emerging as a key part of the solution to contemporary transportation challenges, driven by technological advancements and the growing demand for more sustainable travel options. This paper provides a comprehensive analysis of shared mobility operational models in Europe, focusing on carsharing and its current research on fleet optimization, bikesharing, and scooter sharing. The study draws on three scientific literature databases, with searches centered on keywords relevant to Shared Mobility. This study contributes to the literature by defining each Shared Mobility modality and examining the different operational models.</w:t>
      </w:r>
    </w:p>
    <w:p>
      <w:pPr>
        <w:pStyle w:val="Heading2"/>
      </w:pPr>
      <w:r>
        <w:t>665. Connected and Automated Transport: Research and Innovation Capacity in Europe</w:t>
      </w:r>
    </w:p>
    <w:p>
      <w:pPr>
        <w:pStyle w:val="SourceNote"/>
      </w:pPr>
      <w:r>
        <w:rPr>
          <w:b/>
        </w:rPr>
        <w:t>Original source (2020):</w:t>
      </w:r>
      <w:r>
        <w:t xml:space="preserve"> https://doi.org/10.1016/j.trpro.2020.08.213</w:t>
      </w:r>
    </w:p>
    <w:p>
      <w:pPr/>
      <w:r>
        <w:t>Original wording (abstract; indexed_source_text_not_full_document_verified): We argue that this approach can aid policy makers to support the future development of CAT technologies and help researchers to forge collaborations and identify research gaps.</w:t>
      </w:r>
    </w:p>
    <w:p>
      <w:pPr/>
      <w:r>
        <w:rPr>
          <w:b/>
        </w:rPr>
        <w:t>POSSIBLE 2026:</w:t>
      </w:r>
      <w:r>
        <w:t xml:space="preserve"> The Limits of European State Aid Law — https://doi.org/10.4324/9781003736141</w:t>
      </w:r>
    </w:p>
    <w:p>
      <w:pPr/>
      <w:r>
        <w:rPr>
          <w:b/>
        </w:rPr>
        <w:t>Shared claim-specific concepts:</w:t>
      </w:r>
      <w:r>
        <w:t xml:space="preserve"> aid, researchers, identify; EU scope visible. This is a provisional connection, not an outcome finding.</w:t>
      </w:r>
    </w:p>
    <w:p>
      <w:pPr>
        <w:pStyle w:val="SourceNote"/>
      </w:pPr>
      <w:r>
        <w:rPr>
          <w:b/>
        </w:rPr>
        <w:t>Available abstract (not full text):</w:t>
      </w:r>
      <w:r>
        <w:t xml:space="preserve">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pPr/>
      <w:r>
        <w:rPr>
          <w:b/>
        </w:rPr>
        <w:t>POSSIBLE 2026:</w:t>
      </w:r>
      <w:r>
        <w:t xml:space="preserve"> Humanitarian Aid and the European Union — https://doi.org/10.4324/9781003666486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pPr/>
      <w:r>
        <w:rPr>
          <w:b/>
        </w:rPr>
        <w:t>POSSIBLE 2026:</w:t>
      </w:r>
      <w:r>
        <w:t xml:space="preserve"> Gender equality in European Union development aid: assessing the dual approach of gender mainstreaming and targeted actions — https://doi.org/10.2861/9870183</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pPr/>
      <w:r>
        <w:rPr>
          <w:b/>
        </w:rPr>
        <w:t>POSSIBLE 2026:</w:t>
      </w:r>
      <w:r>
        <w:t xml:space="preserve"> State-Guaranteed Legal Aid as a Social Right of an Infrastructural Nature — https://doi.org/10.36475/12.3.2</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article examines the legal nature of state-guaranteed legal aid and substantiates its classification as an autonomous social right of an infrastructural character. While legal aid has traditionally been regarded as a mechanism for ensuring access to justice and the effective exercise of the right to a fair trial, contemporary legal developments demonstrate that its significance extends far beyond judicial proceedings. In increasingly complex legal systems, access to qualified legal assistance has become an essential condition for the practical exercise of a wide range of rights and legitimate interests. The study analyses the principal doctrinal approaches to legal aid developed within the European legal tradition, including procedural, human rights, and socio-legal perspectives. Particular attention is devoted to the relationship between legal aid and the state’s positive obligations in the field of human rights protection. The article also explores European institutional models of legal aid and the role of international standards in shaping national systems of legal assistance. The research argues that legal aid should not be viewed merely as a derivative procedural safeguard or as an instrument of access-to-justice policy. Rather, it performs an independent social function by compensating for structural legal inequality and enabling individuals to make effective use of </w:t>
      </w:r>
    </w:p>
    <w:p>
      <w:pPr/>
      <w:r>
        <w:rPr>
          <w:b/>
        </w:rPr>
        <w:t>POSSIBLE 2026:</w:t>
      </w:r>
      <w:r>
        <w:t xml:space="preserve"> Beyond Aid: Government Effectiveness, Strategic Partnership, and the Case for a 3D Approach to International Cooperation — https://doi.org/10.5281/zenodo.22661957</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The multilateral order that underpinned six decades of development cooperation is fragmenting, but not because the international system has become multipolar. The United States retains a structural preponderance of military, financial and technological power with no historical parallel outside the immediate post-Cold War period. What is fragmenting is the political and normative architecture that US power once anchored, eroded by great-power rivalry and by the unilateralist retreat of the hegemon itself (Fonteyne, 2026). This configuration of concentrated structural power alongside dispersed political governance, overlaid by a pluripolar layer of middle powers pursuing strategic autonomy through fluid, interest-based coalitions, is better described as fragmented unipolarity than as multipolarity (Fonteyne, 2026). That same pluripolar fluidity, this paper argues, also creates a genuine opportunity for complementary partnership across geopolitical blocs, pairing capital-rich providers with technically experienced development agencies at a moment when traditional Western donors' own capacity to fund cooperation is collapsing: OECD Development Assistance Committee members cut their combined Official Development Assistance (ODA) by 23.1 per cent in 2025 alone, the steepest single-year drop on record (OECD, 2026b). It is within this configuration that geo-economic rivalry over strate</w:t>
      </w:r>
    </w:p>
    <w:p>
      <w:pPr/>
      <w:r>
        <w:rPr>
          <w:b/>
        </w:rPr>
        <w:t>POSSIBLE 2026:</w:t>
      </w:r>
      <w:r>
        <w:t xml:space="preserve"> Democratic representation of dependent claim makers — https://doi.org/10.1080/14754835.2025.2600953</w:t>
      </w:r>
    </w:p>
    <w:p>
      <w:pPr/>
      <w:r>
        <w:rPr>
          <w:b/>
        </w:rPr>
        <w:t>Shared claim-specific concepts:</w:t>
      </w:r>
      <w:r>
        <w:t xml:space="preserve"> argue, makers; EU scope visible. This is a provisional connection, not an outcome finding.</w:t>
      </w:r>
    </w:p>
    <w:p>
      <w:pPr>
        <w:pStyle w:val="SourceNote"/>
      </w:pPr>
      <w:r>
        <w:rPr>
          <w:b/>
        </w:rPr>
        <w:t>Available abstract (not full text):</w:t>
      </w:r>
      <w:r>
        <w:t xml:space="preserve"> Despite its focus on politically underrepresented groups, the representation literature has excluded persons (e.g., those with cognitive disabilities and severe somatic diseases) who temporarily or permanently cannot make political claims and represent themselves independently. I conceptualize these persons as dependent claim makers and argue that their inclusion in the literature is vital for understanding how citizens can have their interests attended to in all phases and variations of life. I propose and specify a theoretical framework for understanding dependent claim makers’ (lack of) substantive democratic representation, focusing on public policymaking processes. Building on unique interviews with civil servants and a minister in charge of creating a new governmental policy on the human rights of persons with intellectual disabilities in Norway and my own participation in this process, I suggest how representation can take place by emphasizing policymakers’ identification with the underrepresented group and knowledge on group-specific operationalizations of general policy goals, and by implementing mandatory accountability mechanisms.</w:t>
      </w:r>
    </w:p>
    <w:p>
      <w:pPr/>
      <w:r>
        <w:rPr>
          <w:b/>
        </w:rPr>
        <w:t>POSSIBLE 2025:</w:t>
      </w:r>
      <w:r>
        <w:t xml:space="preserve"> The financialisation of European Union development aid to Africa : promises, practices, and colonial continuities — https://openalex.org/W7111914425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This doctoral dissertation examines the financialisation of the European Union’s (EU) development aid to sub-Saharan Africa. While existing literature emphasises the growing role of financial instruments and private capital mobilisation in development finance globally, the specific ways in which the EU aligns with and shapes this financialisation remain underexplored. This dissertation asks: To what extent, and in what ways, is EU development finance to sub-Saharan Africa financialised? This question is tackled through five academic articles that together provide a cumulative and multi-layered answer. Article 1 provides a global overview of the Wall Street Consensus (WSC) ideology, analysing the constraints that multilateral development banks (MDBs) face in mobilising private capital. Article 2 investigates the EU-OACPS Samoa Agreement, illustrating how the EU’s financialisation agenda is embedded in its partnership frameworks. Article 3 maps the complex European Financial Architecture for Development (EFAD), revealing how strategic competition between the European Commission and the European Investment Bank (EIB) has institutionalised blended finance and guarantee instruments at the heart of EU support. Article 4 provides an in-depth account of the EIB’s operations in sub-Saharan Africa, characterising its role as a ‘constrained expansion.’ Finally, Article 5 advances a critiq</w:t>
      </w:r>
    </w:p>
    <w:p>
      <w:pPr/>
      <w:r>
        <w:rPr>
          <w:b/>
        </w:rPr>
        <w:t>POSSIBLE 2025:</w:t>
      </w:r>
      <w:r>
        <w:t xml:space="preserve"> Regulatory Means for Interventionist Ends: GBER and the Transformation of the EU State Aid Regime — https://doi.org/10.1111/gove.70084</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ABSTRACT Despite its new‐found penchant for market interventionism, the European Union (EU) is often portrayed as lacking the fiscal and administrative capacity to conduct industrial policy. The EU can regulate markets, the conventional wisdom goes, but not steer them in specific directions. In this article, we challenge the notion that regulation and industrial policy are inherently antithetical, arguing instead that the Commission uses its regulatory authority over state aid to indirectly steer member states' industrial policies. We theorize and empirically investigate this rules‐as‐tools approach to industrial policy through an in‐depth, multi‐method case study on the transformation of the EU's state aid regime, with a focus on the General Block Exemption Regulation (GBER). Combining original interviews, topic modeling, document analysis, and descriptive statistics, we demonstrate that the Commission has long used state aid regulation not only to restrict but also redirect state aid. Increasingly, it employs these rules to encourage selective interventions in the economy—particularly those supporting the twin transitions of digitalization and decarbonization.</w:t>
      </w:r>
    </w:p>
    <w:p>
      <w:pPr/>
      <w:r>
        <w:rPr>
          <w:b/>
        </w:rPr>
        <w:t>POSSIBLE 2025:</w:t>
      </w:r>
      <w:r>
        <w:t xml:space="preserve"> FACTORS OF FOREIGN AID EFFECTIVENESS IN DEMOCRATIZATION PROCESSES: DONOR MOTIVATION AND APPROACHES TO AID PROVISION — https://doi.org/10.17721/apmv.2025.165.1.51-67</w:t>
      </w:r>
    </w:p>
    <w:p>
      <w:pPr/>
      <w:r>
        <w:rPr>
          <w:b/>
        </w:rPr>
        <w:t>Shared claim-specific concepts:</w:t>
      </w:r>
      <w:r>
        <w:t xml:space="preserve"> approach, aid; EU scope not established. This is a provisional connection, not an outcome finding.</w:t>
      </w:r>
    </w:p>
    <w:p>
      <w:pPr>
        <w:pStyle w:val="SourceNote"/>
      </w:pPr>
      <w:r>
        <w:rPr>
          <w:b/>
        </w:rPr>
        <w:t>Available abstract (not full text):</w:t>
      </w:r>
      <w:r>
        <w:t xml:space="preserve"> The article provides a comprehensive analysis of the effectiveness of external assistance in promoting democratization processes, taking into account donor motivations, their ideological orientations, and the characteristics of recipient countries. It reveals how normative, strategic, and economic factors shape donor behavior and determine their approaches to providing aid. Two dominant approaches to supporting democracy are identified: the “political” approach, focused on the development of civil society, independent media, and transparent electoral processes, and the “developmental” approach, which emphasizes strengthening state institutions, transparency, accountability, and the rule of law, reflected in the concept of good governance. The study shows that the first approach produces notable effects in the electoral and participatory spheres, whereas the second contributes to enhancing institutional capacity. The analysis demonstrates that external assistance is least effective in strengthening the rule of law, judicial independence, and oversight of the executive branch due to resistance from political elites, for whom institutional constraints pose a direct threat to maintaining power and access to resources.</w:t>
      </w:r>
    </w:p>
    <w:p>
      <w:pPr/>
      <w:r>
        <w:rPr>
          <w:b/>
        </w:rPr>
        <w:t>POSSIBLE 2025:</w:t>
      </w:r>
      <w:r>
        <w:t xml:space="preserve"> European Regional Aid &amp; Subsidy Control : Incremental Shifts, Future Signals — https://openalex.org/W7112587895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In recent years, the broader context for the granting of vast amounts of crisis aid in response to Covid-19, the Ukraine war and the energy crisis has been set by a succession of temporary EU-level frameworks. The EU-level aid focus has now moved on to how best to support green transition, culminating with the launch of the new Clean Industrial Deal State Aid Framework (CISAF) in July 2025. In terms of the Commission’s direct policy on regional aid discipline under the 2022-27 Regional Aid Guidelines (RAG), the last year has been a relatively quiet period. There have been some modest developments concerning aid intensities, notably regarding STEP, and some Member State have made small changes to assisted areas, partly associated with the Just Transition Areas, but the overall position is largely settled, as the current guidelines approach the end of their lifespan, with the Commission likely to launch a public consultation on their future in the course of 2026. Although regional aid control per se remains substantially unchanged, the introduction of the CISAF has direct and indirect implications for the relevance and relative value of regional aid. Within this context, this report outlines the main changes which have taken place over the last 18 months.</w:t>
      </w:r>
    </w:p>
    <w:p>
      <w:pPr/>
      <w:r>
        <w:rPr>
          <w:b/>
        </w:rPr>
        <w:t>POSSIBLE 2025:</w:t>
      </w:r>
      <w:r>
        <w:t xml:space="preserve"> From the ground up: exploring European carbon farming through social practice theory — https://doi.org/10.1016/j.jrurstud.2025.103850</w:t>
      </w:r>
    </w:p>
    <w:p>
      <w:pPr/>
      <w:r>
        <w:rPr>
          <w:b/>
        </w:rPr>
        <w:t>Shared claim-specific concepts:</w:t>
      </w:r>
      <w:r>
        <w:t xml:space="preserve"> argue, approach, makers; EU scope visible. This is a provisional connection, not an outcome finding.</w:t>
      </w:r>
    </w:p>
    <w:p>
      <w:pPr>
        <w:pStyle w:val="SourceNote"/>
      </w:pPr>
      <w:r>
        <w:rPr>
          <w:b/>
        </w:rPr>
        <w:t>Available abstract (not full text):</w:t>
      </w:r>
      <w:r>
        <w:t xml:space="preserve"> The IPCC has highlighted the role of Carbon Dioxide Removals (CDR) to limit global warming to 1,5 °C, as hard-to-abate emissions fail to reach target reductions. Many academics, policy makers, private actors and civil society organisations argue that rewarding carbon farming could be a key approach to increasing CDR despite the uncertainty around the potential of carbon farming to contribute to net-zero efforts. The experiences and lived realities of farmers have largely been overlooked in the scientific and policy debates around carbon farming. Nevertheless, the EU is heavily investing in the development of carbon certificates for land managers through policies such as the Carbon Removal and Carbon Farming regulation (CRCF). This study provides a bottom-up perspective to carbon farming, by learning from farmers who have already implemented the ground-level changes sought by policy-makers. We collected data on the practices of 21 front-runners across Europe who are already involved in carbon farming initiatives. We find that carbon farming practices are deeply entangled in complexes across space and time, which leads to unique trade-offs and choices borne by the farmer. We also find that front-runner farmers are in a constant state of adapting practices to fit the context of their farm through experimentation. This leads to alternative entry points worthy of further exploration</w:t>
      </w:r>
    </w:p>
    <w:p>
      <w:pPr/>
      <w:r>
        <w:rPr>
          <w:b/>
        </w:rPr>
        <w:t>POSSIBLE 2025:</w:t>
      </w:r>
      <w:r>
        <w:t xml:space="preserve"> Understanding the Challenges of Maker Entrepreneurship — https://doi.org/10.1145/3711096</w:t>
      </w:r>
    </w:p>
    <w:p>
      <w:pPr/>
      <w:r>
        <w:rPr>
          <w:b/>
        </w:rPr>
        <w:t>Shared claim-specific concepts:</w:t>
      </w:r>
      <w:r>
        <w:t xml:space="preserve"> makers, support, help; EU scope not established. This is a provisional connection, not an outcome finding.</w:t>
      </w:r>
    </w:p>
    <w:p>
      <w:pPr>
        <w:pStyle w:val="SourceNote"/>
      </w:pPr>
      <w:r>
        <w:rPr>
          <w:b/>
        </w:rPr>
        <w:t>Available abstract (not full text):</w:t>
      </w:r>
      <w:r>
        <w:t xml:space="preserve"> The maker movement embodies a resurgence in DIY creation, merging physical craftsmanship and arts with digital technology support. However, mere technological skills and creativity are insufficient for economically and psychologically sustainable practice. By illuminating and smoothing the path from "maker" to "maker entrepreneur," we can help broaden the viability of making as a livelihood. Our research centers on makers who design, produce, and sell physical goods. In this work, we explore the transition to entrepreneurship for these makers and how technology can facilitate this transition online and offline. We present results from interviews with 20 USA-based maker entrepreneurs (i.e., lamps, stickers), six creative service entrepreneurs (i.e., photographers, fabrication), and seven support personnel (i.e., art curator, incubator director). Our findings reveal that many maker entrepreneurs 1) are makers first and entrepreneurs second; 2) struggle with business logistics and learn business skills as they go; and 3) are motivated by non-monetary values. We discuss training and technology-based design implications and opportunities for addressing challenges in developing economically sustainable businesses around making.</w:t>
      </w:r>
    </w:p>
    <w:p>
      <w:pPr>
        <w:pStyle w:val="Heading2"/>
      </w:pPr>
      <w:r>
        <w:t>666. Crisis futures: The affects and temporalities of economic collapse in Iceland</w:t>
      </w:r>
    </w:p>
    <w:p>
      <w:pPr>
        <w:pStyle w:val="SourceNote"/>
      </w:pPr>
      <w:r>
        <w:rPr>
          <w:b/>
        </w:rPr>
        <w:t>Original source (2020):</w:t>
      </w:r>
      <w:r>
        <w:t xml:space="preserve"> https://doi.org/10.1080/02757206.2020.1762589</w:t>
      </w:r>
    </w:p>
    <w:p>
      <w:pPr/>
      <w:r>
        <w:t>Original wording (abstract; indexed_source_text_not_full_document_verified): We conclude by discussing the unfinished nature of crisis and role of public forecasting as a means for contending with ongoing economic insecurity.</w:t>
      </w:r>
    </w:p>
    <w:p>
      <w:pPr/>
      <w:r>
        <w:rPr>
          <w:b/>
        </w:rPr>
        <w:t>POSSIBLE 2026:</w:t>
      </w:r>
      <w:r>
        <w:t xml:space="preserve"> Biography of Mahfuj Alam: Revolutionary Mind, State Power and The Unfinished Republic — https://doi.org/10.5281/zenodo.19572195</w:t>
      </w:r>
    </w:p>
    <w:p>
      <w:pPr/>
      <w:r>
        <w:rPr>
          <w:b/>
        </w:rPr>
        <w:t>Shared claim-specific concepts:</w:t>
      </w:r>
      <w:r>
        <w:t xml:space="preserve"> unfinished, nature, role; EU scope visible. This is a provisional connection, not an outcome finding.</w:t>
      </w:r>
    </w:p>
    <w:p>
      <w:pPr>
        <w:pStyle w:val="SourceNote"/>
      </w:pPr>
      <w:r>
        <w:rPr>
          <w:b/>
        </w:rPr>
        <w:t>Available abstract (not full text):</w:t>
      </w:r>
      <w:r>
        <w:t xml:space="preserve"> This 2026 textbook is a comprehensive scholarly analysis of the life, political philosophy, and governmental role of Mahfuj Alam, a central figure in the July 2024 student-led revolution that overthrew Bangladesh's long-serving Prime Minister Sheikh Hasina. The book uses Alam's biography as a case study to explore the broader themes of democratic transition, constitutional reform, media governance, and generational political change in a post-authoritarian context. It is divided into five interconnected parts. Part One: The Making of a Revolutionary Intellectual establishes the historical and personal context. It details Alam's origins in a rural madrasa family in Lakshmipur and his intellectual formation at the University of Dhaka's law faculty, where he synthesized Islamic jurisprudence with secular constitutional thought. The book traces the history of Bangladesh's state, from its 1971 independence through military rule, the flawed two-party democracy, and the 15-year "architecture of autocracy" under Sheikh Hasina (2009-2024), characterized by electoral fraud, judicial capture, and the use of the Digital Security Act to suppress dissent. The trigger for the July 2024 revolution was a High Court ruling reinstating a 30 percent quota for government jobs for descendants of 1971 freedom fighters. Alam emerged as a key strategic coordinator of the Anti-Discrimination Students Mov</w:t>
      </w:r>
    </w:p>
    <w:p>
      <w:pPr/>
      <w:r>
        <w:rPr>
          <w:b/>
        </w:rPr>
        <w:t>POSSIBLE 2026:</w:t>
      </w:r>
      <w:r>
        <w:t xml:space="preserve"> Crisis and Conversion: Lessons from Conversion in the Middle East — https://openalex.org/W7220889087</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This article investigates the dynamics of conversion among Arab Muslims from Islam to Christianity. Utilizing Lewis Rambo's Model of Conversion as the theoretical lens, the study analyzes original qualitative research of conversion narratives. The article discusses: (1) the role of crisis in initiating conversion journeys; (2) the relationship between conversion barriers and crisis; (3) the nature of crisis and its relationship to the converts’ decision to repent and commit to Christ; and (4) a comparison of this conversion trajectory with a stereotypical model. The article concludes with concrete suggestions for evangelistic ministry that can be applied in any context.</w:t>
      </w:r>
    </w:p>
    <w:p>
      <w:pPr/>
      <w:r>
        <w:rPr>
          <w:b/>
        </w:rPr>
        <w:t>POSSIBLE 2026:</w:t>
      </w:r>
      <w:r>
        <w:t xml:space="preserve"> Transforming the neoliberal state in times of crisis: pathways of democratization and sustainabilization — https://doi.org/10.1080/15487733.2026.2676224</w:t>
      </w:r>
    </w:p>
    <w:p>
      <w:pPr/>
      <w:r>
        <w:rPr>
          <w:b/>
        </w:rPr>
        <w:t>Shared claim-specific concepts:</w:t>
      </w:r>
      <w:r>
        <w:t xml:space="preserve"> conclude, discussing, crisis, role; EU scope not established. This is a provisional connection, not an outcome finding.</w:t>
      </w:r>
    </w:p>
    <w:p>
      <w:pPr>
        <w:pStyle w:val="SourceNote"/>
      </w:pPr>
      <w:r>
        <w:rPr>
          <w:b/>
        </w:rPr>
        <w:t>Available abstract (not full text):</w:t>
      </w:r>
      <w:r>
        <w:t xml:space="preserve"> Western liberal societies are currently facing two intertwined crises: a crisis of democracy and a crisis of sustainability. In this article, we argue that this dual crisis has its roots in neoliberalism and neoliberal statehood. While the state is partly complicit in bringing about the crisis, it can also play a pivotal role in addressing it. However, to do so, it must fundamentally transform its institutional structures and processes to become more democratic and sustainable. Based on an analysis of the current crises and the role of the neoliberal state, we outline the normative contours of sustainable statehood and clarify its democratic prerequisites. Drawing on an examination of four practical transformation pathways to a democratic and sustainable state, we argue that initial steps toward this ideal may already be underway. We conclude by discussing the state’s potential and limitations in promoting a virtuous cycle of “democratization” and “sustainabilization” to overcome the current double crisis.</w:t>
      </w:r>
    </w:p>
    <w:p>
      <w:pPr/>
      <w:r>
        <w:rPr>
          <w:b/>
        </w:rPr>
        <w:t>POSSIBLE 2025:</w:t>
      </w:r>
      <w:r>
        <w:t xml:space="preserve"> "Happy those for whom the fold of ...": Intention and interpretation in the unfinished Romantic poetic text — https://openalex.org/W7135642000</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pPr/>
      <w:r>
        <w:rPr>
          <w:b/>
        </w:rPr>
        <w:t>POSSIBLE 2025:</w:t>
      </w:r>
      <w:r>
        <w:t xml:space="preserve"> Making Sense of the Climate Crisis — https://doi.org/10.4324/9781003505006-17</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This chapter shares the experience and reflections from setting up the Climate Change &amp; Sustainability Law Clinic (CCSLC) at Vrije Universiteit Amsterdam, as one of the first law clinics fully dedicated to climate justice. It discusses its rationale and vision and reflects on the question of embedding a climate law clinic in the law curriculum, since questions of embedment can raise barriers for the long-term running of a clinic of this kind. This chapter also reflects on the CCSLC’s transition from an experimental initiative to a structured course, sharing elements that promote a deep learning approach about the role of law in the climate crisis, as well as limitations linked to the small scale and cyclical nature of the Clinic. The piece concludes with the recognition of the growing phenomenon of climate law clinics, particularly in the Global South, and the potential for transnational collaborations.</w:t>
      </w:r>
    </w:p>
    <w:p>
      <w:pPr/>
      <w:r>
        <w:rPr>
          <w:b/>
        </w:rPr>
        <w:t>POSSIBLE 2025:</w:t>
      </w:r>
      <w:r>
        <w:t xml:space="preserve"> The role of credit rating agencies in the ‘debt crisis’ — https://doi.org/10.35188/unu-wider/psvc1263</w:t>
      </w:r>
    </w:p>
    <w:p>
      <w:pPr/>
      <w:r>
        <w:rPr>
          <w:b/>
        </w:rPr>
        <w:t>Shared claim-specific concepts:</w:t>
      </w:r>
      <w:r>
        <w:t xml:space="preserve"> nature, crisis, role, means; EU scope not established. This is a provisional connection, not an outcome finding.</w:t>
      </w:r>
    </w:p>
    <w:p>
      <w:pPr>
        <w:pStyle w:val="SourceNote"/>
      </w:pPr>
      <w:r>
        <w:rPr>
          <w:b/>
        </w:rPr>
        <w:t>Available abstract (not full text):</w:t>
      </w:r>
      <w:r>
        <w:t xml:space="preserve"> The impact of credit rating agencies (CRAs) on development—particularly their influence on interest rates for sovereign bonds and therefore the debt-financing costs for Global South countries—is increasingly being identified as a critical issue on the development finance agenda. The UN Secretary General’s continued engagement with the CRAs was noted in the Pact for the Future, whilst the South African President referred to the role of CRAs when launching South Africa’s Presidency of the G20 which comes on the back of Brazil focusing on the role of CRAs in aiding greater lending from multilateral development banks (MDBs). All this focus is aimed at one particular issue—the cost of capital. As capital is required for developing nations to meet their developmental needs, the cost of acquiring that capital is all important. How that cost is calculated and implemented is increasingly becoming a critical debate for the global agenda. Due to their role in determining the cost of capital, credit ratings from the leading international CRAs—S&amp;P Global, Moody’s, and Fitch—are intrinsically important to national development prospects. CRAs exist primarily to provide opinions on creditworthiness. With respect to sovereign debt, these opinions are designed to be used by private creditors, banks and institutional investors like asset managers, pension funds, and insurance companies. Creditors</w:t>
      </w:r>
    </w:p>
    <w:p>
      <w:pPr/>
      <w:r>
        <w:rPr>
          <w:b/>
        </w:rPr>
        <w:t>POSSIBLE 2025:</w:t>
      </w:r>
      <w:r>
        <w:t xml:space="preserve"> THE ROLE OF DECENTRALIZED GOVERNANCE IN PUBLIC HEALTH CRISIS MANAGEMENT AND LESSONS LEARNED FROM GLOBAL RESPONSES — https://openalex.org/W7217974950</w:t>
      </w:r>
    </w:p>
    <w:p>
      <w:pPr/>
      <w:r>
        <w:rPr>
          <w:b/>
        </w:rPr>
        <w:t>Shared claim-specific concepts:</w:t>
      </w:r>
      <w:r>
        <w:t xml:space="preserve"> crisis, role; EU scope visible. This is a provisional connection, not an outcome finding.</w:t>
      </w:r>
    </w:p>
    <w:p>
      <w:pPr>
        <w:pStyle w:val="SourceNote"/>
      </w:pPr>
      <w:r>
        <w:rPr>
          <w:b/>
        </w:rPr>
        <w:t>Available abstract (not full text):</w:t>
      </w:r>
      <w:r>
        <w:t xml:space="preserve"> This paper explores the role of decentralized governance in public health crisis management, with a focus on lessons learned from global responses to health emergencies like the COVID-19 pandemic. Decentralized governance, characterized by the distribution of authority from central to local levels of government, can significantly influence the effectiveness of public health responses. By enabling local authorities to make context-specific decisions, decentralized systems have the potential to enhance responsiveness and community engagement. However, the paper also discusses the challenges associated with decentralized governance, such as coordination difficulties, resource inequalities, and inconsistent policy implementation. Through a systematic review of literature spanning from 2000 to 2021, the study evaluates the advantages and drawbacks of decentralized governance during public health crises. Case studies, including responses from countries like India, Germany, and South Korea, are analyzed to derive key insights. The paper concludes with recommendations for optimizing decentralized governance structures to improve future public health crisis management, focusing on better coordination, resource equity, and policy alignment.</w:t>
      </w:r>
    </w:p>
    <w:p>
      <w:pPr/>
      <w:r>
        <w:rPr>
          <w:b/>
        </w:rPr>
        <w:t>POSSIBLE 2024:</w:t>
      </w:r>
      <w:r>
        <w:t xml:space="preserve"> Crisis in world politics. Corporate roles and responses in the Ukraine war and beyond — https://doi.org/10.1177/13540661241279787</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For some time, Global Governance has made the case that multinational enterprises (MNEs) have become so involved in multistakeholder provisions of public goods that they should be considered as global governors. Their involvement and whether it improves governance, however, remain fiercely debated. In this context, MNEs are frequently framed and discussed as entities sui generis, pursuing private interests while reconciling with broader public expectations. The article argues that the concept of crisis, if adequately theorized, offers a new perspective into this discussion. To do so, I draw from American Pragmatism to introduce crisis both as a challenge for an actor but also a lens into the beliefs expressed throughout for the researcher. Against this dual use of the concept, I develop a typology of crises and relate this to the roles and responses of MNEs that are likely to follow from different crises. As a lens into corporate beliefs, I illustrate the conceptual potential of crisis by looking into how Shell and ExxonMobil respond to Russia’s invasion of Ukraine. As an exogenous, rather immediate crisis, the article discusses to what extent their responses reveal a broader acceptance or rejection of new corporate responsibilities. Based on careful reconstruction, the article concludes that neither productively solved the crisis. More specifically, as Shell remains reluctant </w:t>
      </w:r>
    </w:p>
    <w:p>
      <w:pPr/>
      <w:r>
        <w:rPr>
          <w:b/>
        </w:rPr>
        <w:t>POSSIBLE 2024:</w:t>
      </w:r>
      <w:r>
        <w:t xml:space="preserve"> The Unfinished Reconstructed Nature of the Last Universal Common Ancestor — https://doi.org/10.1007/s00239-024-10187-8</w:t>
      </w:r>
    </w:p>
    <w:p>
      <w:pPr/>
      <w:r>
        <w:rPr>
          <w:b/>
        </w:rPr>
        <w:t>Shared claim-specific concepts:</w:t>
      </w:r>
      <w:r>
        <w:t xml:space="preserve"> conclude, unfinished, nature; EU scope not established. This is a provisional connection, not an outcome finding.</w:t>
      </w:r>
    </w:p>
    <w:p>
      <w:pPr>
        <w:pStyle w:val="SourceNote"/>
      </w:pPr>
      <w:r>
        <w:rPr>
          <w:b/>
        </w:rPr>
        <w:t>Available abstract (not full text):</w:t>
      </w:r>
      <w:r>
        <w:t xml:space="preserve"> The ultimate consequence of Darwin's theory of common descent implies that all life on earth descends ultimately from a common ancestor. Biochemistry and molecular biology now provide sufficient evidence of shared ancestry of all extant life forms. However, the nature of the Last Universal Common Ancestor (LUCA) has been a topic of much debate over the years. This review offers a historical perspective on different attempts to infer LUCA's nature, exploring the debate surrounding its complexity. We further examine how different methodologies identify sets of ancient protein that exhibit only partial overlap. For example, different bioinformatic approaches have identified distinct protein subunits from the ATP synthetase identified as potentially inherited from LUCA. Additionally, we discuss how detailed molecular evolutionary analysis of reverse gyrase has modified previous inferences about an hyperthermophilic LUCA based mainly on automatic bioinformatic pipelines. We conclude by emphasizing the importance of developing a database dedicated to studying genes and proteins traceable back to LUCA and earlier stages of cellular evolution. Such a database would house the most ancient genes on earth.</w:t>
      </w:r>
    </w:p>
    <w:p>
      <w:pPr/>
      <w:r>
        <w:rPr>
          <w:b/>
        </w:rPr>
        <w:t>POSSIBLE 2024:</w:t>
      </w:r>
      <w:r>
        <w:t xml:space="preserve"> Inhaled Corticosteroids in Subjects with Chronic Obstructive Pulmonary Disease: An Old, Unfinished History — https://doi.org/10.3390/biom14020195</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Chronic obstructive pulmonary disease (COPD) is one of the major causes of disability and death. Maintenance use of inhaled bronchodilator(s) is the cornerstone of COPD pharmacological therapy, but inhaled corticosteroids (ICSs) are also commonly used. This narrative paper reviews the role of ICSs as maintenance treatment in combination with bronchodilators, usually in a single inhaler, in stable COPD subjects. The guidelines strongly recommend the addition of an ICS in COPD subjects with a history of concomitant asthma or as a step-up on the top of dual bronchodilators in the presence of hospitalization for exacerbation or at least two moderate exacerbations per year plus high blood eosinophil counts (≥300/mcl). This indication would only involve some COPD subjects. In contrast, in real life, triple inhaled therapy is largely used in COPD, independently of symptoms and in the presence of exacerbations. We will discuss the results of recent randomized controlled trials that found reduced all-cause mortality with triple inhaled therapy compared with dual inhaled long-acting bronchodilator therapy. ICS use is frequently associated with common local adverse events, such as dysphonia, oral candidiasis, and increased risk of pneumonia. Other side effects, such as systemic toxicity and unfavorable changes in the lung microbiome, are suspected mainly at higher doses of ICS in elderly </w:t>
      </w:r>
    </w:p>
    <w:p>
      <w:pPr/>
      <w:r>
        <w:rPr>
          <w:b/>
        </w:rPr>
        <w:t>POSSIBLE 2024:</w:t>
      </w:r>
      <w:r>
        <w:t xml:space="preserve"> Manhattan’s Street Trees: An Unfinished Public Health Story — https://doi.org/10.2105/ajph.2024.307856</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Stephen Smith launched a 40-year effort to bring trees to New York City streets in 1872, the year he founded the American Public Health Association (APHA). Smith argued that street trees would mitigate the adverse health effects of Manhattan’s summer heat and help purify the air. The young APHA endorsed Smith’s position and gave trees a prominent role in urban sanitation, but public health turned away from trees and urban reform movements as it adopted a biomedical public health model in the late 19th century. Nevertheless, Smith wrote and campaigned for a successful 1902 law requiring the New York City Parks Department to assume management of street trees in the name of public health. He then led a 1914 campaign to force the department to uphold his law. New York’s street tree program has had an erratic trajectory, but it now generally follows Smith’s vision. Public health could play a bigger role in creating greener cities and mitigating climate change with more field research and the health in all policies approach that Smith used to bring trees to Manhattan’s streets in 1914. ( Am J Public Health. 2025;115(1):66–74. https://doi.org/10.2105/AJPH.2024.307856 )</w:t>
      </w:r>
    </w:p>
    <w:p>
      <w:pPr/>
      <w:r>
        <w:rPr>
          <w:b/>
        </w:rPr>
        <w:t>POSSIBLE 2024:</w:t>
      </w:r>
      <w:r>
        <w:t xml:space="preserve"> Transnational Solidarity in Crisis — https://doi.org/10.5771/9783748919865</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Crises are privileged moments of solidarization and desolidarisation. On one hand, solidarity-based institutions are often at issue in times of crises. On the other hand, solidarity is invoked to mitigate or overcome crises. This puts political and legal authorities, in which solidarity is negotiated, under pressure. This book analyses the impact of such dynamics from a legal and political science perspective by focusing on three societal crises of our time: economic crises, migration crises, and pandemics. The authors combine theoretical and empirical analysis with legal considerations to highlight the role of institutions and law in shaping the dynamic between solidarity and crisis. eepl.com), die nach unseren Erfahrungen sehr gute Ergebnisse liefert.</w:t>
      </w:r>
    </w:p>
    <w:p>
      <w:pPr>
        <w:pStyle w:val="Heading2"/>
      </w:pPr>
      <w:r>
        <w:t>667. Diverging hydrological drought traits over Europe with global warming</w:t>
      </w:r>
    </w:p>
    <w:p>
      <w:pPr>
        <w:pStyle w:val="SourceNote"/>
      </w:pPr>
      <w:r>
        <w:rPr>
          <w:b/>
        </w:rPr>
        <w:t>Original source (2020):</w:t>
      </w:r>
      <w:r>
        <w:t xml:space="preserve"> https://doi.org/10.5194/hess-24-5919-2020</w:t>
      </w:r>
    </w:p>
    <w:p>
      <w:pPr/>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POSSIBLE 2026:</w:t>
      </w:r>
      <w:r>
        <w:t xml:space="preserve"> Hydrological drought but not flood synchronicity increases over Europe — https://doi.org/10.5194/egusphere-egu26-4770</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Hydrological drought projections across Europe under climate change — https://doi.org/10.1038/s44304-025-00152-w</w:t>
      </w:r>
    </w:p>
    <w:p>
      <w:pPr/>
      <w:r>
        <w:rPr>
          <w:b/>
        </w:rPr>
        <w:t>Shared claim-specific concepts:</w:t>
      </w:r>
      <w:r>
        <w:t xml:space="preserve"> hydrological, across, increasing, index, water;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changes in frequency and intensity of meteorological and hydrological droughts in Denmark — https://doi.org/10.5194/egusphere-egu26-5003</w:t>
      </w:r>
    </w:p>
    <w:p>
      <w:pPr/>
      <w:r>
        <w:rPr>
          <w:b/>
        </w:rPr>
        <w:t>Shared claim-specific concepts:</w:t>
      </w:r>
      <w:r>
        <w:t xml:space="preserve"> hydrological, droughts, across, increasing, simulations, water; EU scope visible. This is a provisional connection, not an outcome finding.</w:t>
      </w:r>
    </w:p>
    <w:p>
      <w:pPr>
        <w:pStyle w:val="SourceNote"/>
      </w:pPr>
      <w:r>
        <w:rPr>
          <w:b/>
        </w:rPr>
        <w:t>Available abstract (not full text):</w:t>
      </w:r>
      <w:r>
        <w:t xml:space="preserve">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pPr/>
      <w:r>
        <w:rPr>
          <w:b/>
        </w:rPr>
        <w:t>POSSIBLE 2026:</w:t>
      </w:r>
      <w:r>
        <w:t xml:space="preserve"> Climate Warming Accelerates Hydrological Reversals Across Europe — https://doi.org/10.21203/rs.3.rs-9924236/v1</w:t>
      </w:r>
    </w:p>
    <w:p>
      <w:pPr/>
      <w:r>
        <w:rPr>
          <w:b/>
        </w:rPr>
        <w:t>Shared claim-specific concepts:</w:t>
      </w:r>
      <w:r>
        <w:t xml:space="preserve"> hydrological, across, warming;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Continental-scale assessment of hydrological cycle across Europe under anthropogenic warming — https://doi.org/10.5194/egusphere-egu26-862</w:t>
      </w:r>
    </w:p>
    <w:p>
      <w:pPr/>
      <w:r>
        <w:rPr>
          <w:b/>
        </w:rPr>
        <w:t>Shared claim-specific concepts:</w:t>
      </w:r>
      <w:r>
        <w:t xml:space="preserve"> hydrological, across, increasing, warming, levels, index; EU scope visible. This is a provisional connection, not an outcome finding.</w:t>
      </w:r>
    </w:p>
    <w:p>
      <w:pPr>
        <w:pStyle w:val="SourceNote"/>
      </w:pPr>
      <w:r>
        <w:rPr>
          <w:b/>
        </w:rPr>
        <w:t>Available abstract (not full text):</w:t>
      </w:r>
      <w:r>
        <w:t xml:space="preserve"> Climate change is fundamentally altering the spatial and temporal dynamics of the hydrological cycle, with profound implications for water security, ecosystem stability, and regional climate resilience. Building on the framework of Thakur et al. (2025), which evaluated how PET-method choices influence historical hydrological trends, we extend the framework to future conditions using CMIP6-based ISIMIP3b projections. We assess changes in precipitation (P), runoff (Q), total water storage (TWS), and actual evapotranspiration (AET) at 1°C, 2°C, and 3°C global warming levels across 553 European catchments. Using 165 mesoscale Hydrologic Model (mHM) simulations per catchment (five GCMs, three SSPs, 11 PET methods, we introduce a framework to detect emerging hydrological cycle patterns based on trend combinations. quantify projection agreement using the Data Concurrency Index (DCI) and characterize uncertainty with two complementary metrics that capture variability (ψ) and temporal inconsistency (χ) for each warming level and hydrological variable. Our findings show a marked expansion in the spatial extent of negative trends in P, Q, and TWS with increasing warming, while AET trends are positive in over 96% of catchments. More than two-thirds of catchments follow clear wetting (W1) or drying (D1) hydrological cycle patterns, with D1 becoming increasingly dominant at higher warming le</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hydrological, across, index, water;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2026:</w:t>
      </w:r>
      <w:r>
        <w:t xml:space="preserve"> Increasing Floods and Intensifying Droughts: The Future of Hydrological Extremes in a Warming Climate — https://doi.org/10.31223/x56v0w</w:t>
      </w:r>
    </w:p>
    <w:p>
      <w:pPr/>
      <w:r>
        <w:rPr>
          <w:b/>
        </w:rPr>
        <w:t>Shared claim-specific concepts:</w:t>
      </w:r>
      <w:r>
        <w:t xml:space="preserve"> hydrological, droughts, across, increasing, warming, derived; EU scope visible. This is a provisional connection, not an outcome finding.</w:t>
      </w:r>
    </w:p>
    <w:p>
      <w:pPr>
        <w:pStyle w:val="SourceNote"/>
      </w:pPr>
      <w:r>
        <w:rPr>
          <w:b/>
        </w:rPr>
        <w:t>Available abstract (not full text):</w:t>
      </w:r>
      <w:r>
        <w:t xml:space="preserve"> Understanding how climate change alters the frequency and severity of hydrological extremes is critical for anticipating regional vulnerabilities and guiding adaptation. In this study, we analyze changes in the magnitude, intensity, and duration of extreme streamflow events, both floods and droughts, under RCP4.5 and RCP8.5 scenarios using the FutureStreams dataset. This dataset, driven by multiple CMIP5 climate models, enables a global-scale assessment across all Intergovernmental Panel on Climate Change (IPCC) Special Report on Managing the Risks of Extreme Events and Disasters to Advance Climate Adaptation (SREX) regions. We identified events using percentile-based thresholds derived from historical (1976–2005) streamflow distributions and evaluated future extremes relative to these baselines across seasonal and decadal time slices. Our results show an apparent intensification of extremes, particularly under RCP8.5, with substantial increases in flood and drought events in climate-stressed regions such as South Asia, the Mediterranean, Central Australia, and Northern Europe. The seasonal dynamics of these changes, such as summer drought intensification and winter flood increases, underscore the compound effects of warming, altered precipitation, and snowmelt patterns. While the most significant increases occur in regions with a known history of hydrological stress, some area</w:t>
      </w:r>
    </w:p>
    <w:p>
      <w:pPr/>
      <w:r>
        <w:rPr>
          <w:b/>
        </w:rPr>
        <w:t>POSSIBLE 2026:</w:t>
      </w:r>
      <w:r>
        <w:t xml:space="preserve"> Low-flow patterns and hydrological regionalisation across the Baltic Sea basin — https://doi.org/10.1016/j.ejrh.2026.103643</w:t>
      </w:r>
    </w:p>
    <w:p>
      <w:pPr/>
      <w:r>
        <w:rPr>
          <w:b/>
        </w:rPr>
        <w:t>Shared claim-specific concepts:</w:t>
      </w:r>
      <w:r>
        <w:t xml:space="preserve"> shows, hydrological, across, temperature, low-flow, discharge; EU scope visible. This is a provisional connection, not an outcome finding.</w:t>
      </w:r>
    </w:p>
    <w:p>
      <w:pPr>
        <w:pStyle w:val="SourceNote"/>
      </w:pPr>
      <w:r>
        <w:rPr>
          <w:b/>
        </w:rPr>
        <w:t>Available abstract (not full text):</w:t>
      </w:r>
      <w:r>
        <w:t xml:space="preserve"> Study region The Baltic Sea basin covers approximately 1.7 million km² across northern Europe, extending from sub-Arctic to temperate climates with pronounced gradients in snow cover, precipitation, temperature, and catchment storage. As one of the largest brackish sea basins globally, its hydrology regulates freshwater and nutrient inputs that critically influence coastal water quality and marine ecosystem functioning. Despite its ecological and hydrological importance, a consistent basin-scale assessment of low-flow regimes across national boundaries has been lacking, with existing studies limited to individual countries using different methods and indicators. Study focus The study analyses daily discharge records from 134 water gauging stations across six countries (Sweden, Finland, Estonia, Latvia, Lithuania, and Poland) for the period 1961–2020. Low-flow conditions were characterised using the annual minimum 30-day mean discharge (Q30) and its catchment-area-normalised form of specific discharge (q30), enabling comparison of low-flow magnitude, seasonality, and variability, across contrasting hydroclimatic regions. We examined spatial patterns, temporal changes between two climate normal periods (1961–1990 and 1991–2020), and identified hydrologically coherent regions through K-means cluster analysis based on q30, coefficient of variation, proportion of warm-season low-flo</w:t>
      </w:r>
    </w:p>
    <w:p>
      <w:pPr/>
      <w:r>
        <w:rPr>
          <w:b/>
        </w:rPr>
        <w:t>POSSIBLE 2026:</w:t>
      </w:r>
      <w:r>
        <w:t xml:space="preserve"> Compounding hazards increase flood economic losses across Europe — https://doi.org/10.1038/s41467-026-73248-0</w:t>
      </w:r>
    </w:p>
    <w:p>
      <w:pPr/>
      <w:r>
        <w:rPr>
          <w:b/>
        </w:rPr>
        <w:t>Shared claim-specific concepts:</w:t>
      </w:r>
      <w:r>
        <w:t xml:space="preserve"> across, increasing, above, river, discharge;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2026:</w:t>
      </w:r>
      <w:r>
        <w:t xml:space="preserve"> Predicting hydrological drought at global scale: an analysis of the CEMS seasonal forecasts — https://doi.org/10.1007/s11069-025-07751-w</w:t>
      </w:r>
    </w:p>
    <w:p>
      <w:pPr/>
      <w:r>
        <w:rPr>
          <w:b/>
        </w:rPr>
        <w:t>Shared claim-specific concepts:</w:t>
      </w:r>
      <w:r>
        <w:t xml:space="preserve"> hydrological, index, river, discharge, simulations; EU scope visible. This is a provisional connection, not an outcome finding.</w:t>
      </w:r>
    </w:p>
    <w:p>
      <w:pPr>
        <w:pStyle w:val="SourceNote"/>
      </w:pPr>
      <w:r>
        <w:rPr>
          <w:b/>
        </w:rPr>
        <w:t>Available abstract (not full text):</w:t>
      </w:r>
      <w:r>
        <w:t xml:space="preserve"> Abstract Drought is among the most severe hydro-meteorological events, and it is expected to become even more critical and recurrent in multiple regions worldwide. The availability of hydrological information months ahead is crucial for developing effective early warning strategies, which often remain focused on meteorological drought, and to support effective adaptation programs and enhanced preparedness. The Copernicus Emergency Management System (CEMS) provides seasonal ensemble forecasts of river discharge based on the LISFLOOD hydrological model simulations, which are driven by seasonal meteorological ensemble forecasts from the seasonal forecast system version 5 (SEAS5) by the European Centre for Medium-Range Weather Forecasts (ECMWF). In this study, we evaluate the performance of these forecasts in detecting hydrological drought in the period 1991–2022 using the ECMWF reanalysis ERA5 as a proxy for the observational reference. The main results show that the skill of the ensemble mean of the Standardized Streamflow Index (SSI) is high at both 1- and 3-month time horizons; lower-skill forecasts (but still informative) can be achieved up to 6 months ahead. The forecast always outperforms trivial ones done by using the latest available state of the reanalysis, with the highest added value, on average, in the Northern Hemisphere. Seasonality in average river discharge is high</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hydrological, droughts, across, increasing, warming, simulations;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Process diagnostics of snowmelt runoff in global hydrological and land surface models – Part 1: A systematic evaluation across basins of increasing complexity — https://doi.org/10.5194/hess-30-5343-2026</w:t>
      </w:r>
    </w:p>
    <w:p>
      <w:pPr/>
      <w:r>
        <w:rPr>
          <w:b/>
        </w:rPr>
        <w:t>Shared claim-specific concepts:</w:t>
      </w:r>
      <w:r>
        <w:t xml:space="preserve"> shows, hydrological, across, increasing, water; EU scope visible. This is a provisional connection, not an outcome finding.</w:t>
      </w:r>
    </w:p>
    <w:p>
      <w:pPr>
        <w:pStyle w:val="SourceNote"/>
      </w:pPr>
      <w:r>
        <w:rPr>
          <w:b/>
        </w:rPr>
        <w:t>Available abstract (not full text):</w:t>
      </w:r>
      <w:r>
        <w:t xml:space="preserve"> Abstract. Accurate simulation of snowmelt runoff (SMR) is critical for water resource management. However, despite the abundance of global hydrological models, little is known about their SMR performance. This study first presents a comprehensive evaluation of SMR across 15 state-of-the-art large-scale models and runoff products by focusing on their biases in first-order indices, i.e., the total volume (Qsum), peak flow (Qmax), and centroid timing (CTQ) of runoff in the snowmelt period. Then by introducing 1,513 snow-dominated basins with increasing basin complexities, we further proposed a novel model robustness metric to quantify how the model performance changes with basin complexity. Our results reveal that (1) most models exhibit underestimated Qsum and Qmax and predict CTQ too early. These biases are particularly pronounced in regions such as the western United States, northern Europe, and northeastern China. (2) Model biases systematically increase with basin complexity, with CTQ exhibiting the strongest sensitivity to increasing mean elevation and topographic variability, while that of Qsum and Qmax is mainly shaped by mean elevation and the diversity of vegetation types in the basin. (3) The robustness assessment further shows that observation-constrained runoff products exhibit the most outstanding performance, followed by the ISIMIP3a and ISIMIP2a models. Overall, gl</w:t>
      </w:r>
    </w:p>
    <w:p>
      <w:pPr>
        <w:pStyle w:val="Heading2"/>
      </w:pPr>
      <w:r>
        <w:t>668. Dutch Public health Foresight study 2018/20</w:t>
      </w:r>
    </w:p>
    <w:p>
      <w:pPr>
        <w:pStyle w:val="SourceNote"/>
      </w:pPr>
      <w:r>
        <w:rPr>
          <w:b/>
        </w:rPr>
        <w:t>Original source (2020):</w:t>
      </w:r>
      <w:r>
        <w:t xml:space="preserve"> https://doi.org/10.1093/eurpub/ckaa165.1290</w:t>
      </w:r>
    </w:p>
    <w:p>
      <w:pPr/>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pPr/>
      <w:r>
        <w:rPr>
          <w:b/>
        </w:rPr>
        <w:t>POSSIBLE 2026:</w:t>
      </w:r>
      <w:r>
        <w:t xml:space="preserve"> Seeking the Cause of Dementia: An Analysis of Correlation Leading to Hypotheses for Causation and the Grok-Ritchie Dementia Protocol — https://doi.org/10.5281/zenodo.19362993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pPr/>
      <w:r>
        <w:rPr>
          <w:b/>
        </w:rPr>
        <w:t>POSSIBLE 2026:</w:t>
      </w:r>
      <w:r>
        <w:t xml:space="preserve"> Seeking the Cause of Dementia: An Analysis of Correlation Leading to Hypotheses for Causation and Treatment — https://doi.org/10.5281/zenodo.19360093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pPr/>
      <w:r>
        <w:rPr>
          <w:b/>
        </w:rPr>
        <w:t>POSSIBLE 2026:</w:t>
      </w:r>
      <w:r>
        <w:t xml:space="preserve"> New data showing dementia is Australia’s leading cause of death means we need to make brain health a national priority — https://doi.org/10.1016/j.anzjph.2026.100318</w:t>
      </w:r>
    </w:p>
    <w:p>
      <w:pPr/>
      <w:r>
        <w:rPr>
          <w:b/>
        </w:rPr>
        <w:t>Shared claim-specific concepts:</w:t>
      </w:r>
      <w:r>
        <w:t xml:space="preserve"> dementia, leading, cause, health, showing;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Burden of Dementia in Europe, 1990–2023: a systematic analysis from the Global Burden of Disease Study 2023 — https://doi.org/10.1016/j.lanepe.2026.101796</w:t>
      </w:r>
    </w:p>
    <w:p>
      <w:pPr/>
      <w:r>
        <w:rPr>
          <w:b/>
        </w:rPr>
        <w:t>Shared claim-specific concepts:</w:t>
      </w:r>
      <w:r>
        <w:t xml:space="preserve"> dementia, leading, cause, mortality, disease, burden; EU scope visible. This is a provisional connection, not an outcome finding.</w:t>
      </w:r>
    </w:p>
    <w:p>
      <w:pPr>
        <w:pStyle w:val="SourceNote"/>
      </w:pPr>
      <w:r>
        <w:rPr>
          <w:b/>
        </w:rPr>
        <w:t>Available abstract (not full text):</w:t>
      </w:r>
      <w:r>
        <w:t xml:space="preserve"> Background: Dementia is a leading cause of disability and mortality in Europe, yet no recent harmonised assessment has described its impact across the European Union (EU-27) and the WHO European Region. Methods: We used data from the Global Burden of Disease Study 2023 (GBD 2023) to estimate prevalence, mortality, and disability-adjusted life years (DALYs) for dementia from 1990 to 2023. Estimates were produced for the EU-27 and the WHO European Region, by age and sex. Non-fatal outcomes were modelled using DisMod-MR 2.1, and dementia-attributable mortality was estimated using an excess-mortality framework. We also quantified DALYs attributable to six modifiable risk factors. Findings: In 2023, 7.76 million people (95% UI 6.69-8.72) were living with dementia in the EU-27 and 12.28 million (10.44-13.90) in the WHO European Region, representing ∼90% increases since 1990 despite modest declines in age-standardised prevalence. Prevalence was nearly twice as high in women as in men. Dementia rose from the eighth to the third leading cause of death in the EU-27. Dementia accounted for 5.49 million DALYs (2.44-11.41) in the EU-27. An estimated 41% (24.4-57.4) of dementia DALYs in the EU-27 were attributable to modifiable risk factors, particularly ambient particulate matter pollution, high fasting plasma glucose, and high body-mass index, which are disproportionately concentrated in s</w:t>
      </w:r>
    </w:p>
    <w:p>
      <w:pPr/>
      <w:r>
        <w:rPr>
          <w:b/>
        </w:rPr>
        <w:t>POSSIBLE 2026:</w:t>
      </w:r>
      <w:r>
        <w:t xml:space="preserve"> Concurrence of Dementia and Mental Disorders Across Populational Epidemiology and Global Disease Burden Perspectives — https://doi.org/10.64898/2026.04.28.26351932</w:t>
      </w:r>
    </w:p>
    <w:p>
      <w:pPr/>
      <w:r>
        <w:rPr>
          <w:b/>
        </w:rPr>
        <w:t>Shared claim-specific concepts:</w:t>
      </w:r>
      <w:r>
        <w:t xml:space="preserve"> dementia, leading, disease, burden, health; EU scope visible. This is a provisional connection, not an outcome finding.</w:t>
      </w:r>
    </w:p>
    <w:p>
      <w:pPr>
        <w:pStyle w:val="SourceNote"/>
      </w:pPr>
      <w:r>
        <w:rPr>
          <w:b/>
        </w:rPr>
        <w:t>Available abstract (not full text):</w:t>
      </w:r>
      <w:r>
        <w:t xml:space="preserve"> ABSTRACT Background Dementia and mental disorders are leading causes of disease burden in middle-aged and older adults. Existing evidence suggests close clinical and epidemiological associations between dementia and mental disorders. We aimed to characterize the concurrent features of dementia and eight mental disorders at both the individual level and the population level (temporal and spatial patterns of global burden of disease co-existence and co-occurrence). Methods The study utilized data from the UK Biobank (UKB, N=502461, 2006-2021) and Global Burden of Disease (GBD, 204 countries, 1990-2021). In UKB, Cox models were used to explore associations between mental disorders and dementia and shared risk factors between the two conditions. In GBD, multi-state Markov models were constructed to quantify the expected time of concurrent burden. Results There was a substantial concurrence between dementia and mental disorders, along with causal associations and shared risk factors at the individual level. At the country level, although a trend of decreased prevalence and incidence of dementia was observed in most regions over the past 31 years, dementia demonstrated greater co-existence burden of neurodevelopmental disorders (especially attention-deficit/hyperactivity disorder and idiopathic developmental intellectual disability) in Middle East and North Africa. In high-socio-demo</w:t>
      </w:r>
    </w:p>
    <w:p>
      <w:pPr/>
      <w:r>
        <w:rPr>
          <w:b/>
        </w:rPr>
        <w:t>POSSIBLE 2026:</w:t>
      </w:r>
      <w:r>
        <w:t xml:space="preserve"> Population attributable fractions of a wide range of peripheral diseases for the burden of dementia — https://doi.org/10.25405/ncl.34541268</w:t>
      </w:r>
    </w:p>
    <w:p>
      <w:pPr/>
      <w:r>
        <w:rPr>
          <w:b/>
        </w:rPr>
        <w:t>Shared claim-specific concepts:</w:t>
      </w:r>
      <w:r>
        <w:t xml:space="preserve"> dementia, leading, disease, burden, health; EU scope not established. This is a provisional connection, not an outcome finding.</w:t>
      </w:r>
    </w:p>
    <w:p>
      <w:pPr>
        <w:pStyle w:val="SourceNote"/>
      </w:pPr>
      <w:r>
        <w:rPr>
          <w:b/>
        </w:rPr>
        <w:t>Available abstract (not full text):</w:t>
      </w:r>
      <w:r>
        <w:t xml:space="preserve"> © The Author(s), under exclusive licence to Springer Nature Limited 2026. Growing evidence suggests that peripheral diseases serve as risk factors for dementia, but the population-level burden of dementia associated with various peripheral diseases has remained unknown. Here, by conducting a systematic review and Bayesian meta-analyses to estimate the relative risks of 26 peripheral diseases across 9 systems with dementia, including 202 articles searched from the PubMed until 6 September 2024, we identified 16 peripheral diseases as associated with increased risk of dementia. With the relative risks estimated from meta-analyses, prevalences extracted from the Global Burden of Disease Study, and communalities among these 16 peripheral diseases derived from the UK Biobank, we analysed the population attributable fractions (PAFs) of these 16 peripheral diseases for dementia, stratified by sex, age, sociodemographic index level, world region and country, and trends from 1990 to 2021. Globally, these peripheral diseases collectively were related to a combined PAF of 33.18% (95% confidence interval (CI) 16.80–48.43) of dementia burden, corresponding to 18.8 million prevalent cases. The leading ten PAF contributors were periodontal diseases (6.10%, 95% CI 0.95–10.28), cirrhosis and other chronic liver diseases (5.51%, 95% CI 1.77–8.86), age-related and other hearing loss (4.70%, 95% C</w:t>
      </w:r>
    </w:p>
    <w:p>
      <w:pPr/>
      <w:r>
        <w:rPr>
          <w:b/>
        </w:rPr>
        <w:t>POSSIBLE 2026:</w:t>
      </w:r>
      <w:r>
        <w:t xml:space="preserve"> Global burden of disease due to young-onset dementia and the forecast for 2050: update from global burden of disease study 2021 — https://doi.org/10.1080/13696998.2026.2646088</w:t>
      </w:r>
    </w:p>
    <w:p>
      <w:pPr/>
      <w:r>
        <w:rPr>
          <w:b/>
        </w:rPr>
        <w:t>Shared claim-specific concepts:</w:t>
      </w:r>
      <w:r>
        <w:t xml:space="preserve"> dementia, leading, disease, burden, groups; EU scope not established. This is a provisional connection, not an outcome finding.</w:t>
      </w:r>
    </w:p>
    <w:p>
      <w:pPr>
        <w:pStyle w:val="SourceNote"/>
      </w:pPr>
      <w:r>
        <w:rPr>
          <w:b/>
        </w:rPr>
        <w:t>Available abstract (not full text):</w:t>
      </w:r>
      <w:r>
        <w:t xml:space="preserve"> OBJECTIVE: The prevalence of young-onset dementia (YOD) is increasing worldwide, leading to greater economic and social burden, necessitating strategic management and prevention. MATERIALS AND METHODS: Using GBD 2021 data, disability-adjusted life years (DALYs) rates were analyzed by age, sex, and risk factors across five age groups. ARIMA and Bayesian models were applied to predict disease burden through 2050. RESULTS: From 1990 to 2021, disease burden increased in both sexes aged ≥55 years, with the greatest rise in the 55-59 group. DALYs rates were consistently higher in females, peaking in the 60-64 group. High fasting plasma glucose was the leading risk factor. Model performance varied by sex and age; applying the best-fitting models indicated a continued increase in burden, particularly among females. CONCLUSIONS: YOD burden has risen over time and is associated with modifiable factors such as high blood glucose and body mass index. The increasing trend is expected to persist, highlighting the need for effective management strategies to reduce future socioeconomic impact.</w:t>
      </w:r>
    </w:p>
    <w:p>
      <w:pPr/>
      <w:r>
        <w:rPr>
          <w:b/>
        </w:rPr>
        <w:t>POSSIBLE 2026:</w:t>
      </w:r>
      <w:r>
        <w:t xml:space="preserve"> Dementia on Screen — https://doi.org/10.5040/9781350553255</w:t>
      </w:r>
    </w:p>
    <w:p>
      <w:pPr/>
      <w:r>
        <w:rPr>
          <w:b/>
        </w:rPr>
        <w:t>Shared claim-specific concepts:</w:t>
      </w:r>
      <w:r>
        <w:t xml:space="preserve"> dementia, leading, cause, disease, care; EU scope not established. This is a provisional connection, not an outcome finding.</w:t>
      </w:r>
    </w:p>
    <w:p>
      <w:pPr>
        <w:pStyle w:val="SourceNote"/>
      </w:pPr>
      <w:r>
        <w:rPr>
          <w:b/>
        </w:rPr>
        <w:t>Available abstract (not full text):</w:t>
      </w:r>
      <w:r>
        <w:t xml:space="preserve"> This is a book about the stories that films tell about dementia and the varied ways it’s depicted in films from around the world. Dementia is a progressive disease linked to ageing which ranks among the leading causes of death worldwide, for which the cause remains unknown and there is no cure. Drawing on its incidence in his own family, Michael Chanan explores how films represent the condition: what they show, how they show it, and what they don’t show and steer away from. Set within medical, social, cultural, economic and political contexts, the book surveys both the modes of documentary and the varieties of fiction, from tragedy and melodrama to black comedy and the thriller. It also traces the contrast between the medicalisation of dementia dominating films from the Global North and those from the Global South, where medicalisation and social care are underdeveloped, and the sufferer is perceived less as an atomised individual than as inextricably interwoven with the social order.</w:t>
      </w:r>
    </w:p>
    <w:p>
      <w:pPr/>
      <w:r>
        <w:rPr>
          <w:b/>
        </w:rPr>
        <w:t>POSSIBLE 2026:</w:t>
      </w:r>
      <w:r>
        <w:t xml:space="preserve"> The Burden of Neurological Diseases in East Asia: An Analysis for the Global Burden of Disease Study 2023 — https://doi.org/10.1159/000553093</w:t>
      </w:r>
    </w:p>
    <w:p>
      <w:pPr/>
      <w:r>
        <w:rPr>
          <w:b/>
        </w:rPr>
        <w:t>Shared claim-specific concepts:</w:t>
      </w:r>
      <w:r>
        <w:t xml:space="preserve"> dementia, leading, cause, mortality, disease, burden; EU scope not established. This is a provisional connection, not an outcome finding.</w:t>
      </w:r>
    </w:p>
    <w:p>
      <w:pPr>
        <w:pStyle w:val="SourceNote"/>
      </w:pPr>
      <w:r>
        <w:rPr>
          <w:b/>
        </w:rPr>
        <w:t>Available abstract (not full text):</w:t>
      </w:r>
      <w:r>
        <w:t xml:space="preserve"> BACKGROUND AND OBJECTIVES: Neurologic disorders represent a growing global health burden. According to the Global Burden of Disease Study 2023, they remain a major cause of morbidity and mortality worldwide. However, a comprehensive assessment specifically focused on East Asia has been lacking. This study investigates data from the Global Burden of Disease 1990-2023 study to provide detailed and updated insights into the burden of neurologic disorders in East Asia. METHODS: We analyzed the 1990-2023 burden of 13 neurologic disorders in East Asia (e.g., stroke, dementia, epilepsy, migraine) using incidence, prevalence, deaths, and disability-adjusted life years (DALYs), stratified by sex, age, year, and location. Joinpoint regression assessed temporal trends and annual changes in age-standardized rates. RESULTS: In 2023, the neurologic disorders with the highest absolute DALYs in East Asia were stroke (44.42 million, 95% uncertainty interval [UI] 39.17-49.56), Alzheimer's disease and other dementias (12.02 million, 95% UI: 5.87-23.28), and migraine (6.80 million, 95% UI 4.56-9.33). Stroke was the leading cause of neurologic deaths (2.13 million, 95% UI 1.81-2.42), followed by Alzheimer's disease and other dementias (0.61 million, 95% UI 0.15-1.44) and Parkinson's disease (0.03 million, 95% UI 0.03-0.04). From 1990 to 2023, the overall age-standardized DALY rates (ASDR) for neuro</w:t>
      </w:r>
    </w:p>
    <w:p>
      <w:pPr/>
      <w:r>
        <w:rPr>
          <w:b/>
        </w:rPr>
        <w:t>POSSIBLE 2026:</w:t>
      </w:r>
      <w:r>
        <w:t xml:space="preserve"> Prevalence and burden of neurological diseases in China: An analysis from the Global Burden of Disease Study 2021 — https://doi.org/10.1097/cm9.0000000000004051</w:t>
      </w:r>
    </w:p>
    <w:p>
      <w:pPr/>
      <w:r>
        <w:rPr>
          <w:b/>
        </w:rPr>
        <w:t>Shared claim-specific concepts:</w:t>
      </w:r>
      <w:r>
        <w:t xml:space="preserve"> dementia, leading, disease, burden, health, care; EU scope not established. This is a provisional connection, not an outcome finding.</w:t>
      </w:r>
    </w:p>
    <w:p>
      <w:pPr>
        <w:pStyle w:val="SourceNote"/>
      </w:pPr>
      <w:r>
        <w:rPr>
          <w:b/>
        </w:rPr>
        <w:t>Available abstract (not full text):</w:t>
      </w:r>
      <w:r>
        <w:t xml:space="preserve"> BACKGROUND: Neurological diseases represent a growing challenge to the Chinese public health system. However, a comprehensive analysis of neurological diseases in China is lacking. This study aimed to analyze disease burden and risk factors of neurological diseases in China to identify priorities for disease control and prevention. METHODS: Disease burden and risk factors in China were analyzed for 12 neurological disorders using data from the Global Burden of Diseases 2021 study and the Chinese Center for Disease Control and Prevention. Prevalence, deaths, years of life lost, years lived with disability (YLDs), and disability-adjusted life years (DALYs) were used as metrics. RESULTS: Intracerebral hemorrhage (ICH) (1930.3 [95% uncertainty interval (UI): 1605.3-2296.7] per 100,000), ischemic stroke (1646.8 [95% UI: 1400.0-1893.1] per 100,000), Alzheimer's disease and other dementias (dementia) (708.0 [95% UI: 347.7-1561.7] per 100,000) made the greatest contributions to DALY rates in China in 2021. The fastest growing contributors to DALY rates were dementia (208.2% [95% UI: 166.4-255.7%]), Parkinson's disease (160.7% [95% UI: 121.8-208.3%]), and ischemic stroke (95.2% [95% UI: 56.9-140.6%]). Migraine was the leading contributor to DALY rates among populations aged 10-39 years, ICH for those aged 40-74 years, ischemic stroke for those aged 75-89 years, and dementia for those ag</w:t>
      </w:r>
    </w:p>
    <w:p>
      <w:pPr/>
      <w:r>
        <w:rPr>
          <w:b/>
        </w:rPr>
        <w:t>POSSIBLE 2026:</w:t>
      </w:r>
      <w:r>
        <w:t xml:space="preserve"> Emergency Departments Leading the Transformation of Alzheimer's and Dementia Care — https://doi.org/10.1111/jgs.70506</w:t>
      </w:r>
    </w:p>
    <w:p>
      <w:pPr/>
      <w:r>
        <w:rPr>
          <w:b/>
        </w:rPr>
        <w:t>Shared claim-specific concepts:</w:t>
      </w:r>
      <w:r>
        <w:t xml:space="preserve"> dementia, leading, cause, mortality, disease, health; EU scope not established. This is a provisional connection, not an outcome finding.</w:t>
      </w:r>
    </w:p>
    <w:p>
      <w:pPr>
        <w:pStyle w:val="SourceNote"/>
      </w:pPr>
      <w:r>
        <w:rPr>
          <w:b/>
        </w:rPr>
        <w:t>Available abstract (not full text):</w:t>
      </w:r>
      <w:r>
        <w:t xml:space="preserve"> Over six million Americans have Alzheimer's disease or an Alzheimer's disease related dementia (AD/ADRD), a number projected to reach 13 million by 2050 [1]. Healthcare costs for AD/ADRD exceeded $305 billion in 2020, and dementia is now the sixth leading cause of death in the United States [2]. More than 50% of older adults with AD/ADRD visit the emergency department (ED) each year [3, 4] and those who do are seriously ill, have significant healthcare costs (e.g., hospital admissions, repeat ED visits) and mortality [4-6]. In persons living with dementia (PLWD) who have serious illness, an ED visit is a critical event and an opportunity to address the unmet needs that preceded it [7]. This is even more true when the PLWD is discharged directly back to the community from the ED, another transition where gaps in care can be exacerbated. Emergency medicine developed as a specialty to treat the acutely ill and injured, most of whom were previously healthy, fully functional and without cognitive impairment. Today, many emergency patients are older, suffer from complex medical conditions such as AD/ADRD, and need both medical and social services [3, 4]. While many PLWD live alone and have no one to assist them, care partners play a central role supporting the health of PLWD, even if they do not live with the PLWD or provide hands-on assistance with daily activities. Nonetheless, eme</w:t>
      </w:r>
    </w:p>
    <w:p>
      <w:pPr/>
      <w:r>
        <w:rPr>
          <w:b/>
        </w:rPr>
        <w:t>POSSIBLE 2026:</w:t>
      </w:r>
      <w:r>
        <w:t xml:space="preserve"> The growing burden of dementia in Asia: Comparative insights from Japan, China, and India — https://doi.org/10.1016/j.tjpad.2026.100614</w:t>
      </w:r>
    </w:p>
    <w:p>
      <w:pPr/>
      <w:r>
        <w:rPr>
          <w:b/>
        </w:rPr>
        <w:t>Shared claim-specific concepts:</w:t>
      </w:r>
      <w:r>
        <w:t xml:space="preserve"> dementia, leading, mortality, disease, burden, health; EU scope not established. This is a provisional connection, not an outcome finding.</w:t>
      </w:r>
    </w:p>
    <w:p>
      <w:pPr>
        <w:pStyle w:val="SourceNote"/>
      </w:pPr>
      <w:r>
        <w:rPr>
          <w:b/>
        </w:rPr>
        <w:t>Available abstract (not full text):</w:t>
      </w:r>
      <w:r>
        <w:t xml:space="preserve"> BACKGROUND: Alzheimer's disease and other dementias (ADODs) are increasingly becoming a major public health concern in rapidly ageing Asia. We compared the disease burden across Japan, China, and India at different demographic stages. DESIGN: The Global Burden of Disease Study of 2023 was used to analyze the incidence, prevalence, mortality, and disability-adjusted life years (DALYs) in 1990-2023. Decomposition analysis identified drivers of DALYs trends. DALYs associated risk factors were quantified. The Auto-Regressive Integrated Moving Average model was used to predict future disease burden. RESULTS: In 2023, China had the highest absolute burden, with age-standardized incidence and prevalence rates of 156.63 (95% uncertainty interval [UI]: 136.58-175.49) and 918.83(95% UI: 784.59-1,058.24) per 100,000, respectively. Japan recorded the highest age-standardized mortality rate (31.25 [8.47-71.42] per 100,000). India had the highest annual increase in mortality and DALYs, with estimated annual percentage changes of 0.91 (95% confidence interval [95% CI] 0.80-1.03) and 0.51 (0.45-0.56), respectively. Decomposition analysis revealed distinct drivers: Japan was dominated by epidemiological changes; China was driven by both aging and epidemiological changes; India was mainly due to population growth and epidemiological changes. Ambient particulate matter was the leading risk factor</w:t>
      </w:r>
    </w:p>
    <w:p>
      <w:pPr>
        <w:pStyle w:val="Heading2"/>
      </w:pPr>
      <w:r>
        <w:t>669. ENERGY: DEVELOPMENT FORECASTS, BIFURCATION POINTS (OVERVIEW)</w:t>
      </w:r>
    </w:p>
    <w:p>
      <w:pPr>
        <w:pStyle w:val="SourceNote"/>
      </w:pPr>
      <w:r>
        <w:rPr>
          <w:b/>
        </w:rPr>
        <w:t>Original source (2020):</w:t>
      </w:r>
      <w:r>
        <w:t xml:space="preserve"> https://doi.org/10.31472/ttpe.4.2020.7</w:t>
      </w:r>
    </w:p>
    <w:p>
      <w:pPr/>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POSSIBLE 2026:</w:t>
      </w:r>
      <w:r>
        <w:t xml:space="preserve"> CLIMATE CHANGE AND GLOBAL POLITICS IN CONTEMPORARY AGE — https://doi.org/10.56815/ijmrr.v5i7.2026.395-411</w:t>
      </w:r>
    </w:p>
    <w:p>
      <w:pPr/>
      <w:r>
        <w:rPr>
          <w:b/>
        </w:rPr>
        <w:t>Shared claim-specific concepts:</w:t>
      </w:r>
      <w:r>
        <w:t xml:space="preserve"> political, energy, well; EU scope not established. This is a provisional connection, not an outcome finding.</w:t>
      </w:r>
    </w:p>
    <w:p>
      <w:pPr>
        <w:pStyle w:val="SourceNote"/>
      </w:pPr>
      <w:r>
        <w:rPr>
          <w:b/>
        </w:rPr>
        <w:t>Available abstract (not full text):</w:t>
      </w:r>
      <w:r>
        <w:t xml:space="preserve">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pPr/>
      <w:r>
        <w:rPr>
          <w:b/>
        </w:rPr>
        <w:t>POSSIBLE 2026:</w:t>
      </w:r>
      <w:r>
        <w:t xml:space="preserve"> Ideological Foundations of the Militarization of World Politics in a Multipolar Era — https://doi.org/10.53658/rw2026-4-2(20)-24-34</w:t>
      </w:r>
    </w:p>
    <w:p>
      <w:pPr/>
      <w:r>
        <w:rPr>
          <w:b/>
        </w:rPr>
        <w:t>Shared claim-specific concepts:</w:t>
      </w:r>
      <w:r>
        <w:t xml:space="preserve"> political, world, era, main, scientific; EU scope not established. This is a provisional connection, not an outcome finding.</w:t>
      </w:r>
    </w:p>
    <w:p>
      <w:pPr>
        <w:pStyle w:val="SourceNote"/>
      </w:pPr>
      <w:r>
        <w:rPr>
          <w:b/>
        </w:rPr>
        <w:t>Available abstract (not full text):</w:t>
      </w:r>
      <w:r>
        <w:t xml:space="preserve"> The article provides a comprehensive analysis of the transformation of the ideological foundations of the militarized politics in the multipolar era, which allows us to identify key trends and patterns in this field. Scientific ideas about the spiritual roots of traditional and imperialist militarism are being systematized, which allows for a deeper understanding of the nature and functioning of these mechanisms. Based on the analysis of the achievements of political thought, it is concluded that there is an inherent militaristic potential in the context of modern global transformations. The results of the study emphasize the need to take into account moral, ideological, and political aspects when determining the level of militarization in the world community during the transition from a post-bipolar world order to a multipolar system. The article proves the close relationship between the development of the spiritual sphere of international relations and the content of military-political expansionism in the postmodern era, which makes it possible to identify dialectical prerequisites for the development and limitations of militarism in the context of globalization. There is a mimicry of militaristic manifestations in post-industrial countries that are successfully adapting to modern realities, which indicates the ability of militarism to evolve and expand its technological and </w:t>
      </w:r>
    </w:p>
    <w:p>
      <w:pPr/>
      <w:r>
        <w:rPr>
          <w:b/>
        </w:rPr>
        <w:t>POSSIBLE 2026:</w:t>
      </w:r>
      <w:r>
        <w:t xml:space="preserve"> Women's Political Engagement and Empowerment in a Globalized World: The Indian Experience — https://doi.org/10.5281/zenodo.18943598</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Abstract: Historically, women’s participation in governance has been restricted by patriarchal norms and institutional barriers. While early intellectual movements laid the groundwork, it was the late 20th-century activism that successfully began dismantling male -dominated political monopolies. In today’s globalized world, the focus has shifted toward gender justice and social inclusion. Empowerment is no longer viewed just as a social goal but as a democratic and developmental necessity. For India, this era offers a unique opportunity to translate educational and institutional growth into meaningful engagement. However, true progress requires moving beyond institutional reform to transform deepseated societal attitudes. To achieve genuine socio-economic equity in the 21st century, women must be recognized not as passive beneficiaries, but as active agents of change who are essential to a robust and inclusive democracy.</w:t>
      </w:r>
    </w:p>
    <w:p>
      <w:pPr/>
      <w:r>
        <w:rPr>
          <w:b/>
        </w:rPr>
        <w:t>POSSIBLE 2026:</w:t>
      </w:r>
      <w:r>
        <w:t xml:space="preserve"> Defining the World: International Political Communication in the Platform Era — https://doi.org/10.1007/978-3-032-13937-5_2</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Review of The Contested World Economy: The Deep and Global Roots of International Political Economy — https://doi.org/10.1093/isr/viag005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In The Contested World Economy, Eric Helleiner makes a significant contribution to our study of the intellectual history of international political economy (IPE). By providing a detailed analysis of the pre-1945 roots of the study of political economy, Helleiner challenges the conventional assumption that IPE was born in the early 1970s. He, however, acknowledges that the professionalization of the field was not as advanced before the rebirth of modern IPE in the 1970s—a point also raised by a prominent voice on the field’s history, Benjamin Cohen, who asserts that the IPE “achieved the status of a formal, established academic discipline” only after the 1970s (Cohen 2019, 2). Helleiner maintains that the field’s intellectual roots should be traced back to the late eighteenth century when the ideas of classical liberal economists gained widespread attention throughout the world (p. 19). This is why Helleiner’s work traces the deep and global intellectual roots of IPE to earlier thinkers who participated in debates that were more global and wide-ranging than usually recognized. By providing a detailed intellectual history of the pre-1945 era in political economy, Helleiner does an ambitious and significant job in broadening the temporal and spatial scope of the history of IPE.</w:t>
      </w:r>
    </w:p>
    <w:p>
      <w:pPr/>
      <w:r>
        <w:rPr>
          <w:b/>
        </w:rPr>
        <w:t>POSSIBLE 2026:</w:t>
      </w:r>
      <w:r>
        <w:t xml:space="preserve"> The Catholic Church, Catholicism and Global Politics — https://doi.org/10.56201/ijrcp.vol.11.no3.2026.pg101.119</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Before the contemporary (secular) international state system emerged in the seventeenth century, religion was a dominant ideology that often-ignited political conflict between social groupings. But with the 1648 Peace of Westphalia and the following expansion of centralized governments, first in Western Europe and then, through European invasion, to most of the rest of the world, both locally and globally, the political relevance of religion declined considerably. But in the early 21st century, religion makes a comeback, usually in political forms. This trend has been more noticeable since the late 1980s, or the post-cold war era, particularly within the so-called "world religions" (Buddhism, Christianity, Confucianism, Hinduism, Islam, and Judaism). The first section of this paper reviews the theological and historical background of Catholic involvement in politics, with a focus on the development of Catholic social doctrine. Next, it looks at Vatican diplomacy, focusing particularly on Benedict XVI and John Paul II's pontificates. After that, a discussion of Catholic politics across the globe is covered. In examining concerns that are far in the future, this paper comes to a close. Thus, investigating Catholicism will offer a glimpse into the more expansive and always shifting link between politics and religion in the modern world.</w:t>
      </w:r>
    </w:p>
    <w:p>
      <w:pPr/>
      <w:r>
        <w:rPr>
          <w:b/>
        </w:rPr>
        <w:t>POSSIBLE 2026:</w:t>
      </w:r>
      <w:r>
        <w:t xml:space="preserve"> The End of the American Era of Globalization — https://doi.org/10.4324/9781003777045</w:t>
      </w:r>
    </w:p>
    <w:p>
      <w:pPr/>
      <w:r>
        <w:rPr>
          <w:b/>
        </w:rPr>
        <w:t>Shared claim-specific concepts:</w:t>
      </w:r>
      <w:r>
        <w:t xml:space="preserve"> political, world, era, socialist, complex; EU scope not established. This is a provisional connection, not an outcome finding.</w:t>
      </w:r>
    </w:p>
    <w:p>
      <w:pPr>
        <w:pStyle w:val="SourceNote"/>
      </w:pPr>
      <w:r>
        <w:rPr>
          <w:b/>
        </w:rPr>
        <w:t>Available abstract (not full text):</w:t>
      </w:r>
      <w:r>
        <w:t xml:space="preserve"> This book explores the fading era of globalization that emerged in the 1980s and 1990s, driven by the United States – a former champion of economic globalism – now adopting nationalistic and autarkic policies such as higher import tariffs and restricting the inflow of new immigrants and/or deporting migrants. By synthesizing long-run economic history with contemporary issues, the book provides a much-needed historical and international perspective on the cumulative tensions leading to this shift, including economic nationalism, protectionism, financial instability, rising inequality, and geopolitical rivalries. The book examines globalization’s evolution, from the Renaissance to the present, and contrasts its impact on the global north, global south, and former socialist countries of the Soviet bloc. It delves into the social and political fallout of neoliberal globalization, addressing topics such as wealth inequality, the international mobility of billionaires and global talent, the role of technology and innovation, and the challenges of economic stabilization and austerity in unequal societies. Additionally, it reviews the rise and fall of Soviet socialism, the factory system, and the broader implications of empire and war. Offering insights into the reasons behind the current anti-globalization sentiment, the book calls for a new globalization that is socially equitable, e</w:t>
      </w:r>
    </w:p>
    <w:p>
      <w:pPr/>
      <w:r>
        <w:rPr>
          <w:b/>
        </w:rPr>
        <w:t>POSSIBLE 2026:</w:t>
      </w:r>
      <w:r>
        <w:t xml:space="preserve"> Nursing Ethics in an Era of Changing Global Political Ideologies — https://doi.org/10.1177/10784535261498379</w:t>
      </w:r>
    </w:p>
    <w:p>
      <w:pPr/>
      <w:r>
        <w:rPr>
          <w:b/>
        </w:rPr>
        <w:t>Shared claim-specific concepts:</w:t>
      </w:r>
      <w:r>
        <w:t xml:space="preserve"> political, era, complex; EU scope not established. This is a provisional connection, not an outcome finding.</w:t>
      </w:r>
    </w:p>
    <w:p>
      <w:pPr>
        <w:pStyle w:val="SourceNote"/>
      </w:pPr>
      <w:r>
        <w:rPr>
          <w:b/>
        </w:rPr>
        <w:t>Available abstract (not full text):</w:t>
      </w:r>
      <w:r>
        <w:t xml:space="preserve"> BackgroundNurses are widely recognized as patient and family advocates and are among the most trusted professionals globally. Nurses are expected to uphold high ethical standards, including protection of vulnerable populations, through clinical competency and conscious advocacy. Advocacy grows complex when ethical dilemmas arise. Conflicts can occur between expected care, organizational requirements, and/or regulatory directives, and a nurse's own values. Amid social upheaval, political and economic turmoil, and shortages of staff and equipment, nurses in war, disaster, or mass displacement contexts face difficult choices to meet patient needs.PurposeThis article explores how nurses respond when confronted with realities potentially harmful to patient rights or welfare, or when asked to deliver care in ways that may compromise outcomes. These crises of conscience arise for many reasons across diverse global contexts.MethodsThe article reviews vignettes drawn from discussions with nursing colleagues across several countries, highlighting concerns nurses report facing in the current geopolitical climate.ConclusionsFindings suggest that these crises of conscience are a common, cross-cultural feature of nursing practice, reflecting shared ethical tensions rather than isolated occurrences.Implications for PracticeThese vignettes reflect real conditions within global nursing. They re</w:t>
      </w:r>
    </w:p>
    <w:p>
      <w:pPr/>
      <w:r>
        <w:rPr>
          <w:b/>
        </w:rPr>
        <w:t>POSSIBLE 2026:</w:t>
      </w:r>
      <w:r>
        <w:t xml:space="preserve"> The Global Left in a Multipolar World — https://openalex.org/W7160461154</w:t>
      </w:r>
    </w:p>
    <w:p>
      <w:pPr/>
      <w:r>
        <w:rPr>
          <w:b/>
        </w:rPr>
        <w:t>Shared claim-specific concepts:</w:t>
      </w:r>
      <w:r>
        <w:t xml:space="preserve"> world, era, made, energy, well; EU scope not established. This is a provisional connection, not an outcome finding.</w:t>
      </w:r>
    </w:p>
    <w:p>
      <w:pPr>
        <w:pStyle w:val="SourceNote"/>
      </w:pPr>
      <w:r>
        <w:rPr>
          <w:b/>
        </w:rPr>
        <w:t>Available abstract (not full text):</w:t>
      </w:r>
      <w:r>
        <w:t xml:space="preserve"> The Global Left in a Multipolar World: Towards a Planetary Politics of Justice and Survival explores how a transformative global left politics might be advanced in the context of the emerging multipolar world order and the urgent climate crisis. The book argues that the era of the purely national left is over. Instead, the twenty-first century needs a new global left that will address the critical four elements of class, imperialism, ecology and democracy in a unified way, and that will combine ideas and interventions at a multiplicity of scales from the local to the global. Chapters written by leading left scholars from the global North and the global South explore different aspects of contemporary left thought and practice and articulate different visions of potential global lefts. They offer radical and inspiring suggestions for global left programmes that can tackle both the injustices of neoliberal globalisation as well as the new threats from an advancing global right, continued neo-imperialism and the increasingly critical climate-ecological planetary crisis. Taken together, they offer a compelling vision of a global left that seeks justice – for labour, for the global South and for oppressed peoples everywhere – and survival – for everyone on our warming planet – based on and secured by a truly democratic planetary politics. The Global Left in a Multipolar World injects</w:t>
      </w:r>
    </w:p>
    <w:p>
      <w:pPr/>
      <w:r>
        <w:rPr>
          <w:b/>
        </w:rPr>
        <w:t>POSSIBLE 2026:</w:t>
      </w:r>
      <w:r>
        <w:t xml:space="preserve"> The Empirical Concentration of Political Authority in the Era of Algorithmic Geopolitics Big Tech as World Makers (Vol -II) The Empirical Concentration of Political Authority in the Era of Algorithmic Geopolitics (Vol-1) — https://doi.org/10.5281/zenodo.22991445</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This volume provides an exhaustive empirical analysis of how political authority is concentrating in apex technology firms—specifically NVIDIA, Google, Amazon, IBM, and Meta—fundamentally restructuring the traditional Westphalian state in the era of algorithmic geopolitics. Transitioning from theoretical frameworks, the report examines three distinct modalities of corporate power: (1) Infrastructural Co-optation (Google/Amazon's 'cloudification' of state apparatuses, exemplified by Project Nimbus, which subordinates state functions and uses covert contractual mechanisms like the 'winking mechanism' to neutralise foreign legal authority); (2) Hardware Hegemony (NVIDIA's monopolistic control over 'compute' through the 'Sovereign AI' doctrine, creating an absolute, neo-feudal dependency on proprietary hardware for national security); and (3) Normative Capture (IBM/Meta's strategic influence over global governance, including successfully shaping the EU AI Act through 'precision regulation' and using the AI Alliance to set de facto international standards). The research KSCCN Mamun, SM (2026) ……………………………………….1 The Empirical Concentration of Political Authority in the Era of Algorithmic Geopolitics Big Tech as World Makers (Vol - II) demonstrates that Big Tech firms are now hyper-sovereign entities, actively designing the infrastructural, material, and legal realities within which tr</w:t>
      </w:r>
    </w:p>
    <w:p>
      <w:pPr/>
      <w:r>
        <w:rPr>
          <w:b/>
        </w:rPr>
        <w:t>POSSIBLE 2026:</w:t>
      </w:r>
      <w:r>
        <w:t xml:space="preserve"> Multipolarity in the 21st Century: Challenges and Opportunities in Political Economy—A Review of the 18th Forum of World Association for Political Economy — https://doi.org/10.13169/worlrevipoliecon.17.1.0005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The 18th Annual Forum of the World Association for Political Economy (WAPE), hosted by WAPE, and co-organized by Turkish-Chinese Business Development and Friendship Association and Yeditepe University, was successfully held in Istanbul, Türkiye, on August 6–8, 2025, with the theme “Multipolarity in the 21st Century: Challenges and Opportunities in Political Economy.” More than 100 political economy scholars from around the world conducted in-depth discussions and communications on the reflections on political economy in a multipolar era, revisiting the classical theories of Marxist political economy, digital civilization and the era of transformation, critique of contemporary capitalism, multipolarity and global governance, rethinking classical political economy, studies in mathematical political economy and the economic theory and practice of Socialism with Chinese Characteristics for a New Era. This forum openly revealed and counterattacked the evil deeds and hypocritical nature of Neo-imperialism, Neo-hegemonism, Neo-fascism, Neo-liberalism, and Neo-colonialism, calling for an academic unification, especially in field of global political economy, to fight against them under current condition of profound changes unseen in a century.</w:t>
      </w:r>
    </w:p>
    <w:p>
      <w:pPr/>
      <w:r>
        <w:rPr>
          <w:b/>
        </w:rPr>
        <w:t>POSSIBLE 2026:</w:t>
      </w:r>
      <w:r>
        <w:t xml:space="preserve"> Global changes taking place in the world and their impact on the process of social and political transformation — https://openalex.org/W7220781405</w:t>
      </w:r>
    </w:p>
    <w:p>
      <w:pPr/>
      <w:r>
        <w:rPr>
          <w:b/>
        </w:rPr>
        <w:t>Shared claim-specific concepts:</w:t>
      </w:r>
      <w:r>
        <w:t xml:space="preserve"> political, world, era, complex, well; EU scope not established. This is a provisional connection, not an outcome finding.</w:t>
      </w:r>
    </w:p>
    <w:p>
      <w:pPr>
        <w:pStyle w:val="SourceNote"/>
      </w:pPr>
      <w:r>
        <w:rPr>
          <w:b/>
        </w:rPr>
        <w:t>Available abstract (not full text):</w:t>
      </w:r>
      <w:r>
        <w:t xml:space="preserve"> The modern world is experiencing significant and rapidly evolving global changes that are fundamentally altering the social and political foundations of human life. The 21st century is characterised by technological progress, economic integration, geopolitical redistribution, and global challenges, all of which determine the formation of a new world order to some extent. Global processes related to the evolution of the digital space, climate change, and international crises create an environment in which state institutions cannot always respond to the demands of modern reality. The pandemic caused by the novel coronavirus (SARS-CoV-2) has clearly demonstrated the interconnectedness of the world and how quickly a local crisis can escalate into a global one. Therefore, it is crucial to understand global changes and analyse their impact on social and political transformations. In-depth study of this issue allows us to better understand how societies change, the direction in which states are developing and the challenges facing the modern international system. In recent decades, global changes have had a considerable impact on the development of social and political structures. During this ongoing transformation, social norms have undergone change within states, societies and institutions, as well as in terms of political approaches. The phenomenon of economic globalisation has bee</w:t>
      </w:r>
    </w:p>
    <w:p>
      <w:pPr>
        <w:pStyle w:val="Heading2"/>
      </w:pPr>
      <w:r>
        <w:t>670. EU land use futures: modelling food, bioenergy and carbon dynamics</w:t>
      </w:r>
    </w:p>
    <w:p>
      <w:pPr>
        <w:pStyle w:val="SourceNote"/>
      </w:pPr>
      <w:r>
        <w:rPr>
          <w:b/>
        </w:rPr>
        <w:t>Original source (2020):</w:t>
      </w:r>
      <w:r>
        <w:t xml:space="preserve"> https://doi.org/10.1016/j.esr.2020.100545</w:t>
      </w:r>
    </w:p>
    <w:p>
      <w:pPr/>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Sowing the seeds of change: unveiling farmer types to promote climate-smart agriculture adoption in Europe — https://doi.org/10.1016/j.jrurstud.2026.104043</w:t>
      </w:r>
    </w:p>
    <w:p>
      <w:pPr/>
      <w:r>
        <w:rPr>
          <w:b/>
        </w:rPr>
        <w:t>Shared claim-specific concepts:</w:t>
      </w:r>
      <w:r>
        <w:t xml:space="preserve"> demonstrate, types, food, climate, mitigation; EU scope visible. This is a provisional connection, not an outcome finding.</w:t>
      </w:r>
    </w:p>
    <w:p>
      <w:pPr>
        <w:pStyle w:val="SourceNote"/>
      </w:pPr>
      <w:r>
        <w:rPr>
          <w:b/>
        </w:rPr>
        <w:t>Available abstract (not full text):</w:t>
      </w:r>
      <w:r>
        <w:t xml:space="preserve">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types, food,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2026:</w:t>
      </w:r>
      <w:r>
        <w:t xml:space="preserve"> Estimating biogenic CO2 fluxes for different vegetation types using CarboScope-Regional inversion (CSR) over Europe — https://doi.org/10.5194/egusphere-egu26-13862</w:t>
      </w:r>
    </w:p>
    <w:p>
      <w:pPr/>
      <w:r>
        <w:rPr>
          <w:b/>
        </w:rPr>
        <w:t>Shared claim-specific concepts:</w:t>
      </w:r>
      <w:r>
        <w:t xml:space="preserve"> demonstrate, types, climate, system, assess; EU scope visible. This is a provisional connection, not an outcome finding.</w:t>
      </w:r>
    </w:p>
    <w:p>
      <w:pPr>
        <w:pStyle w:val="SourceNote"/>
      </w:pPr>
      <w:r>
        <w:rPr>
          <w:b/>
        </w:rPr>
        <w:t>Available abstract (not full text):</w:t>
      </w:r>
      <w:r>
        <w:t xml:space="preserve"> CO2 atmospheric inversions are typically used to derive Net Ecosystem Exchange (NEE) estimates from atmospheric observations, while prescribing the anthropogenic component or resolving for CO2 emissions using proper proxy data. Year-to-year variability of the biosphere sink is primarily caused by climate variations such as drought events, heat waves, and seasonal changes. However, the response of biospheric sink to climate conditions varies spatially across lands depending on vegetation type. In this study, we modified our CSR experiment by augmenting the state space of a standard CO2 inversion enabling the separate optimization of seven vegetation types within CSR, which increases the state space by a factor seven. The diagnostic biosphere model VPRM is used to provide a priori fluxes of CO2 for the targeted vegetation classes, which are derived from the remote sensing data. Posterior flux estimates demonstrate the contributions of CO2 estimates from evergreen, deciduous, mixed forests, as well as shrublands, savanna, croplands, and grasslands. The results indicate that the largest flux adjustments are associated with croplands over Europe, suggesting a shift from being largest sink in the prior model to the largest source of CO2. A similar analysis at the national scale over Germany shows substantial flux adjustments in croplands, which also exhibit the dominant interannual v</w:t>
      </w:r>
    </w:p>
    <w:p>
      <w:pPr/>
      <w:r>
        <w:rPr>
          <w:b/>
        </w:rPr>
        <w:t>POSSIBLE 2026:</w:t>
      </w:r>
      <w:r>
        <w:t xml:space="preserve"> Understanding biases and changes in European heavy precipitation using dynamical flow precursors — https://doi.org/10.5194/wcd-7-633-2026</w:t>
      </w:r>
    </w:p>
    <w:p>
      <w:pPr/>
      <w:r>
        <w:rPr>
          <w:b/>
        </w:rPr>
        <w:t>Shared claim-specific concepts:</w:t>
      </w:r>
      <w:r>
        <w:t xml:space="preserve"> demonstrate, types, dynamics, climate; EU scope visible. This is a provisional connection, not an outcome finding.</w:t>
      </w:r>
    </w:p>
    <w:p>
      <w:pPr>
        <w:pStyle w:val="SourceNote"/>
      </w:pPr>
      <w:r>
        <w:rPr>
          <w:b/>
        </w:rPr>
        <w:t>Available abstract (not full text):</w:t>
      </w:r>
      <w:r>
        <w:t xml:space="preserve"> Abstract. We address the problem of understanding precipitation in climate models. Using a novel decomposition applied to two large ensemble simulations, we disaggregate biases and forced changes in European heavy precipitation occurrence according to different weather conditions and isolate synoptic-scale dynamical contributions from the local-scale conversion of synoptic forcing into precipitation. We categorise weather conditions using multivariate, regionally-specific heavy precipitation precursors that target precipitation-causing flow patterns, revealing a larger role for dynamics in explaining model biases and projected changes than suggested by previous work. We demonstrate that biases in heavy precipitation across models and regions can emerge from errors on very different scales, with compensating biases between scales being common. This has important implications for model selection, for example for downscaling or storyline applications. In terms of forced changes in heavy precipitation, we show that apparent model agreement can arise from markedly different future scenarios with different levels of implied risk. Our results demonstrate the utility of flow-dependent diagnostics for exposing the origins of climate model biases, which can distort a model’s precipitation response in future projections. With an eye to informing researchers in model development and valida</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types, climate;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2026:</w:t>
      </w:r>
      <w:r>
        <w:t xml:space="preserve"> Benefits and risks of consuming Cannabis sativa L. in food — https://doi.org/10.38212/2224-6614.3578</w:t>
      </w:r>
    </w:p>
    <w:p>
      <w:pPr/>
      <w:r>
        <w:rPr>
          <w:b/>
        </w:rPr>
        <w:t>Shared claim-specific concepts:</w:t>
      </w:r>
      <w:r>
        <w:t xml:space="preserve"> food, sustainable, presents; EU scope not established. This is a provisional connection, not an outcome finding.</w:t>
      </w:r>
    </w:p>
    <w:p>
      <w:pPr>
        <w:pStyle w:val="SourceNote"/>
      </w:pPr>
      <w:r>
        <w:rPr>
          <w:b/>
        </w:rPr>
        <w:t>Available abstract (not full text):</w:t>
      </w:r>
      <w:r>
        <w:t xml:space="preserve"> Cannabis sativa L. or hemp is a cosmopolitan, multi-purpose plant and area of its cultivation has been growing in recent years. Its public perception is influenced by potential to produce narcotic substances. However, hemp seed can be a valuable source of nutrients for humans and may be of particular interest in more sustainable food consumption patterns, including vegetarian and flexitarian diets. The paper presents benefits and risks of hemp seeds in case of their consumption in food. Low cannabinoids varieties are considered only. The biological activity of cannabinoids and related effects are considered out of scope of the study. Nutritional value of hemp seeds regarding content of amino acids is comparable to the value of egg whites and soya. Oil is a source of two essential fatty acids: linoleic acid and alpha-linolenic acid in a desirable ratio of 3:1. Hemp seeds are also a source of minerals, vitamins and carbohydrates, including fiber. The most characteristic hazardous properties of hemp are ability to accumulate toxic heavy metals and produce anti-nutritional substances. Breeding hemp to reduce the anti-nutritional compounds content may be promising in view of its growing popularity as a food source.</w:t>
      </w:r>
    </w:p>
    <w:p>
      <w:pPr/>
      <w:r>
        <w:rPr>
          <w:b/>
        </w:rPr>
        <w:t>POSSIBLE 2026:</w:t>
      </w:r>
      <w:r>
        <w:t xml:space="preserve"> A gridded dataset of European Forest Types to support forest monitoring, modelling and reporting — https://doi.org/10.5194/essd-18-6435-2026</w:t>
      </w:r>
    </w:p>
    <w:p>
      <w:pPr/>
      <w:r>
        <w:rPr>
          <w:b/>
        </w:rPr>
        <w:t>Shared claim-specific concepts:</w:t>
      </w:r>
      <w:r>
        <w:t xml:space="preserve"> types, climate, system; EU scope visible. This is a provisional connection, not an outcome finding.</w:t>
      </w:r>
    </w:p>
    <w:p>
      <w:pPr>
        <w:pStyle w:val="SourceNote"/>
      </w:pPr>
      <w:r>
        <w:rPr>
          <w:b/>
        </w:rPr>
        <w:t>Available abstract (not full text):</w:t>
      </w:r>
      <w:r>
        <w:t xml:space="preserve"> A standardized system of nomenclature for forest types is essential for effectively monitoring and understanding the impacts of climate change on diverse ecosystems in Europe and beyond. A comprehensive classification system, such as the European Forest Types (EFTs) scheme, is essential for assessing baseline conditions, tracking changes, and guiding conservation decisions. A unified forest type nomenclature supports international collaboration, enables researchers and policymakers to accurately compare data across regions and time periods, and enhances the development of targeted conservation strategies and adaptive management practices aimed at preserving biodiversity and ecosystem services. This classification breaks down forested areas in Europe into a handful of ecologically homogeneous units, thus facilitating the analysis of data related to forest conditions and management practices across a wide range of climatic and edaphic conditions. The current lack of an EFTs map for Europe prompted its processing, using a shared rule-based expert system algorithm. Utilizing a dataset featuring 39 “relative probability of presence (RPP) maps” of tree species and various forest masks, the algorithm identified 14 EFT categories. This initiative filled a critical gap in spatial monitoring, providing the first consistent pan-European EFT maps gridded dataset. The availability of standa</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demonstrate, dynamics, climate;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2025:</w:t>
      </w:r>
      <w:r>
        <w:t xml:space="preserve"> Readiness to Change and the Intention to Consume Novel Foods: Evidence from Linear Discriminant Analysis — https://doi.org/10.3390/su17114902</w:t>
      </w:r>
    </w:p>
    <w:p>
      <w:pPr/>
      <w:r>
        <w:rPr>
          <w:b/>
        </w:rPr>
        <w:t>Shared claim-specific concepts:</w:t>
      </w:r>
      <w:r>
        <w:t xml:space="preserve"> food, sustainable, climate; EU scope not established. This is a provisional connection, not an outcome finding.</w:t>
      </w:r>
    </w:p>
    <w:p>
      <w:pPr>
        <w:pStyle w:val="SourceNote"/>
      </w:pPr>
      <w:r>
        <w:rPr>
          <w:b/>
        </w:rPr>
        <w:t>Available abstract (not full text):</w:t>
      </w:r>
      <w:r>
        <w:t xml:space="preserve"> The challenges associated with climate change have led to the need for pro-environmental behaviors, including the consumption of sustainable novel foods. Despite the importance of sustainable food for the environment, there is still a need to further investigate the psychological determinants of consumer behavior change putatively able to promote the use of novel foods. In line with this, the aim of the present study was to investigate the role of readiness to change (RTC) in shaping the intention to consume sustainable foods (e.g., chia seeds and edible insects). RTC refers to a valuable construct composed of seven different dimensions, namely perceived importance of the problem/change, motivation, self-efficacy, effectiveness of proposed solution, social support, action and involvement, and perceived readiness. In keeping with this, a cross-sectional study was conducted by collecting from 1252 participants through an online and anonymous survey. In line with the aim above, a linear discriminant analysis was performed to explore potential non-linear relationships between RTC and novel food consumption. The results highlighted certain RTC dimensions (e.g., perceived importance of the problem, action, and self-efficacy) able to positively support the intention to consume novel foods (e.g., chia seeds and spirulina algae). In conclusion, the study pointed out evidence regarding p</w:t>
      </w:r>
    </w:p>
    <w:p>
      <w:pPr/>
      <w:r>
        <w:rPr>
          <w:b/>
        </w:rPr>
        <w:t>POSSIBLE 2025:</w:t>
      </w:r>
      <w:r>
        <w:t xml:space="preserve"> Agroecological interventions increase biodiversity and the potential for climate change mitigation in Europe — https://doi.org/10.1016/j.agee.2025.109938</w:t>
      </w:r>
    </w:p>
    <w:p>
      <w:pPr/>
      <w:r>
        <w:rPr>
          <w:b/>
        </w:rPr>
        <w:t>Shared claim-specific concepts:</w:t>
      </w:r>
      <w:r>
        <w:t xml:space="preserve"> demonstrate, types, along, sustainable, climate, mitigation; EU scope visible. This is a provisional connection, not an outcome finding.</w:t>
      </w:r>
    </w:p>
    <w:p>
      <w:pPr>
        <w:pStyle w:val="SourceNote"/>
      </w:pPr>
      <w:r>
        <w:rPr>
          <w:b/>
        </w:rPr>
        <w:t>Available abstract (not full text):</w:t>
      </w:r>
      <w:r>
        <w:t xml:space="preserve"> Agroecology has gained considerable interest as a concept for designing sustainable agrifood systems. To date however, the effects of farming systems and management practices associated with agroecology (i.e., agroecological interventions) on biodiversity and climate change mitigation have not been systematically reviewed. Here, we perform a meta-analysis using observational and experimental studies to assess the effects of agroecological interventions on taxa diversity, as well as on greenhouse gas emissions (GHG) and carbon storage in Europe. Agroecological interventions were classified along a gradient ranging from input substitution to system redesign in order to estimate and compare effects of different agroecological transition types. We found a general positive effect of agroecological interventions across biodiversity and climate change mitigation metrics. Agroecological interventions increased diversity of all functional groups of organisms considered, as well as promoting soil carbon storage, and reducing nitrous oxide emissions. However, agroecological interventions had limited effects on the mitigation of carbon dioxide and methane emissions. Positive effects on biodiversity and climate change mitigation metrics were consistent for transitions from conventional farming interventions to either input substitution or redesign interventions. A win-win situation was foun</w:t>
      </w:r>
    </w:p>
    <w:p>
      <w:pPr/>
      <w:r>
        <w:rPr>
          <w:b/>
        </w:rPr>
        <w:t>POSSIBLE 2025:</w:t>
      </w:r>
      <w:r>
        <w:t xml:space="preserve"> Health and Environmental Impacts of Major Foods Consumed in Regional Food Systems of Brazil — https://doi.org/10.3390/ijerph22050745</w:t>
      </w:r>
    </w:p>
    <w:p>
      <w:pPr/>
      <w:r>
        <w:rPr>
          <w:b/>
        </w:rPr>
        <w:t>Shared claim-specific concepts:</w:t>
      </w:r>
      <w:r>
        <w:t xml:space="preserve"> food, consumed, system; EU scope not established. This is a provisional connection, not an outcome finding.</w:t>
      </w:r>
    </w:p>
    <w:p>
      <w:pPr>
        <w:pStyle w:val="SourceNote"/>
      </w:pPr>
      <w:r>
        <w:rPr>
          <w:b/>
        </w:rPr>
        <w:t>Available abstract (not full text):</w:t>
      </w:r>
      <w:r>
        <w:t xml:space="preserve"> This study examines the relationship between the 1141 most consumed foods in Brazil and their individual and combined health and environmental impacts. Foods are analyzed across different food system clusters, based on the health burden (DALYs) in minutes of healthy life using the Health Nutritional Index (HENI), greenhouse gas emissions, and water use. The most consumed foods were in natura products, such as rice, beans and meat, and a few ultra-processed products such as biscuits and soft drinks. Our results revealed an average HENI of −5.89 min, with values varying from −39.69 min of healthy life (stuffed cookies) to 17.22 min (freshwater fish). Animal-derived products, particularly red meat, had the highest environmental costs, contributing significantly to greenhouse gas emissions and water use. In contrast, plant-based foods like beans and fruits had better HENI scores and lower environmental impacts. We also found that greenhouse gas emissions reached up to 21.3 kg CO2eq (beef dish), and water use peaked at 306.1 L (mozzarella pizza). Our findings provide valuable insights into the real-world consequences of individual and institutional food choices, demonstrating their measurable impacts on health and the environment. By moving beyond theoretical assumptions, this evidence strengthens the case for integrating sustainability into public food policies, including dietary g</w:t>
      </w:r>
    </w:p>
    <w:p>
      <w:pPr>
        <w:pStyle w:val="Heading2"/>
      </w:pPr>
      <w:r>
        <w:t>671. EU road vehicle energy consumption and CO2 emissions by 2050 – Expert-based scenarios</w:t>
      </w:r>
    </w:p>
    <w:p>
      <w:pPr>
        <w:pStyle w:val="SourceNote"/>
      </w:pPr>
      <w:r>
        <w:rPr>
          <w:b/>
        </w:rPr>
        <w:t>Original source (2020):</w:t>
      </w:r>
      <w:r>
        <w:t xml:space="preserve"> https://doi.org/10.1016/j.enpol.2019.111224</w:t>
      </w:r>
    </w:p>
    <w:p>
      <w:pPr/>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POSSIBLE 2026:</w:t>
      </w:r>
      <w:r>
        <w:t xml:space="preserve"> Knowledge Flow Processes and Organizational Learning Outcomes in Research Think Tanks: Evidence from Kenya. — https://doi.org/10.47787/xn7pck58</w:t>
      </w:r>
    </w:p>
    <w:p>
      <w:pPr/>
      <w:r>
        <w:rPr>
          <w:b/>
        </w:rPr>
        <w:t>Shared claim-specific concepts:</w:t>
      </w:r>
      <w:r>
        <w:t xml:space="preserve"> outcomes, show, tank, strong; EU scope not established. This is a provisional connection, not an outcome finding.</w:t>
      </w:r>
    </w:p>
    <w:p>
      <w:pPr>
        <w:pStyle w:val="SourceNote"/>
      </w:pPr>
      <w:r>
        <w:rPr>
          <w:b/>
        </w:rPr>
        <w:t>Available abstract (not full text):</w:t>
      </w:r>
      <w:r>
        <w:t xml:space="preserve">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pPr/>
      <w:r>
        <w:rPr>
          <w:b/>
        </w:rPr>
        <w:t>POSSIBLE 2026:</w:t>
      </w:r>
      <w:r>
        <w:t xml:space="preserve"> Different Colours, Different Outcomes: Tank Colour Shapes Larval Survival, Growth, and Endocrine Response in Cichlasoma dimerus — https://doi.org/10.3390/ani16030466</w:t>
      </w:r>
    </w:p>
    <w:p>
      <w:pPr/>
      <w:r>
        <w:rPr>
          <w:b/>
        </w:rPr>
        <w:t>Shared claim-specific concepts:</w:t>
      </w:r>
      <w:r>
        <w:t xml:space="preserve"> outcomes, tank, reached; EU scope not established. This is a provisional connection, not an outcome finding.</w:t>
      </w:r>
    </w:p>
    <w:p>
      <w:pPr>
        <w:pStyle w:val="SourceNote"/>
      </w:pPr>
      <w:r>
        <w:rPr>
          <w:b/>
        </w:rPr>
        <w:t>Available abstract (not full text):</w:t>
      </w:r>
      <w:r>
        <w:t xml:space="preserve">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pPr/>
      <w:r>
        <w:rPr>
          <w:b/>
        </w:rPr>
        <w:t>POSSIBLE 2026:</w:t>
      </w:r>
      <w:r>
        <w:t xml:space="preserve"> ARTIFICIAL INTELLIGENCE AS A TECHNO-STRATEGIC DOMAIN: A COMPARATIVE ANALYSIS OF THE INFLUENCE OF THINK TANKS ON US AND EUROPEAN AI POLICIES — https://doi.org/10.53443/anadoluibfd.1850103</w:t>
      </w:r>
    </w:p>
    <w:p>
      <w:pPr/>
      <w:r>
        <w:rPr>
          <w:b/>
        </w:rPr>
        <w:t>Shared claim-specific concepts:</w:t>
      </w:r>
      <w:r>
        <w:t xml:space="preserve"> tank, potential, policies; EU scope visible. This is a provisional connection, not an outcome finding.</w:t>
      </w:r>
    </w:p>
    <w:p>
      <w:pPr>
        <w:pStyle w:val="SourceNote"/>
      </w:pPr>
      <w:r>
        <w:rPr>
          <w:b/>
        </w:rPr>
        <w:t>Available abstract (not full text):</w:t>
      </w:r>
      <w:r>
        <w:t xml:space="preserve">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pPr/>
      <w:r>
        <w:rPr>
          <w:b/>
        </w:rPr>
        <w:t>POSSIBLE 2026:</w:t>
      </w:r>
      <w:r>
        <w:t xml:space="preserve"> The economics of Decarbonizing Road Freight Transport – comparing Europe, USA and China — https://doi.org/10.34726/hss.2026.134201</w:t>
      </w:r>
    </w:p>
    <w:p>
      <w:pPr/>
      <w:r>
        <w:rPr>
          <w:b/>
        </w:rPr>
        <w:t>Shared claim-specific concepts:</w:t>
      </w:r>
      <w:r>
        <w:t xml:space="preserve"> outcomes, show, road, transport, emission, reductions; EU scope visible. This is a provisional connection, not an outcome finding.</w:t>
      </w:r>
    </w:p>
    <w:p>
      <w:pPr>
        <w:pStyle w:val="SourceNote"/>
      </w:pPr>
      <w:r>
        <w:rPr>
          <w:b/>
        </w:rPr>
        <w:t>Available abstract (not full text):</w:t>
      </w:r>
      <w:r>
        <w:t xml:space="preserve"> This thesis examines the techno-economic and environmental feasibility of decarbonizing long-haul heavy-duty road freight through battery-electric vehicles (BEVs) and fuel-cell vehicles (FCVs) in comparison with conventional diesel trucks. The primary focus lies on Europe, complemented by comparative case analyses for the United States and China in order to account for differences in energy systems, cost structures, and policy frameworks.An integrated modelling framework was developed that combines a discounted-cash-flow-based Total Cost of Ownership (TCO) model with a life-cycle assessment (LCA). The analysis is based on a representative 40-tonne long-haul truck with an annual mileage of 120,000 km and a lifetime mileage of 960,000 km. The TCO model includes vehicle and infrastructure capital expenditure, energy costs, maintenance, tolls, insurance, and residual values, while the LCA covers well-to-tank, tank-to-wheel, and manufacturing-related greenhouse gas emissions. In addition, operational parameters relevant to freight transport, including payload effects, ambient-temperature-related energy consumption, charging downtime, and battery degradation represented through residual value effects, are incorporated into the analytical framework. Where consistent market data were unavailable for all countries and years, intermediate values were derived using transparent interpolati</w:t>
      </w:r>
    </w:p>
    <w:p>
      <w:pPr/>
      <w:r>
        <w:rPr>
          <w:b/>
        </w:rPr>
        <w:t>POSSIBLE 2026:</w:t>
      </w:r>
      <w:r>
        <w:t xml:space="preserve"> Estimation of Costs and Environmental Impacts of a Cryogenic H2 Tank — https://doi.org/10.3390/engproc2026133137</w:t>
      </w:r>
    </w:p>
    <w:p>
      <w:pPr/>
      <w:r>
        <w:rPr>
          <w:b/>
        </w:rPr>
        <w:t>Shared claim-specific concepts:</w:t>
      </w:r>
      <w:r>
        <w:t xml:space="preserve"> show, tank, reductions; EU scope visible. This is a provisional connection, not an outcome finding.</w:t>
      </w:r>
    </w:p>
    <w:p>
      <w:pPr>
        <w:pStyle w:val="SourceNote"/>
      </w:pPr>
      <w:r>
        <w:rPr>
          <w:b/>
        </w:rPr>
        <w:t>Available abstract (not full text):</w:t>
      </w:r>
      <w:r>
        <w:t xml:space="preserve"> Aviation faces major challenges in meeting EU decarbonization goals, and liquid hydrogen is a promising alternative fuel. This study evaluates the environmental and economic performance of composite liquid hydrogen tanks for aircraft. A combined Life Cycle Assessment (LCA) and Life Cycle Costing (LCC) approach was applied to two tank configurations from the HyStor and TACOMA projects, based on Automated Fiber Placement (AFP) manufacturing data. Results show that tooling dominates prototype costs but becomes negligible in serial production, enabling reductions of up to 89%. The AFP process and carbon-fiber prepreg material are the main environmental impact drivers. Despite these, the lightweight composite design can offset its production footprint through operational fuel savings.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road, transport, decarbonisation;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Energy Infrastructure for Road Transport Electrification — https://doi.org/10.63959/chalmers.dt/5851</w:t>
      </w:r>
    </w:p>
    <w:p>
      <w:pPr/>
      <w:r>
        <w:rPr>
          <w:b/>
        </w:rPr>
        <w:t>Shared claim-specific concepts:</w:t>
      </w:r>
      <w:r>
        <w:t xml:space="preserve"> show, road, transport, fleet, electrification, all; EU scope visible. This is a provisional connection, not an outcome finding.</w:t>
      </w:r>
    </w:p>
    <w:p>
      <w:pPr>
        <w:pStyle w:val="SourceNote"/>
      </w:pPr>
      <w:r>
        <w:rPr>
          <w:b/>
        </w:rPr>
        <w:t>Available abstract (not full text):</w:t>
      </w:r>
      <w:r>
        <w:t xml:space="preserve"> This thesis analyzes the interactions that occur between electricity and road transportation systems. It explores the infrastructure required for the indirect electrification of heavy transport using hydrogen as an intermediary energy carrier and the direct electrification of passenger vehicles. Multiple models were developed and applied to study the infrastructural requirements for the supply of hydrogen to refueling stations and the electricity grid capacity required for home charging of electric vehicles (EVs).A comparison of the different hydrogen supply systems, all of which use electrolysis to produce hydrogen, reveals substantial differences in the costs for supplying hydrogen to refueling stations. For the Swedish case studied, a system in which electricity is supplied from the electricity grid with onsite production at the refueling station is found to be the least-costly option, as compared with centralized hydrogen production with transportation to the station. The most-expensive option is to produce hydrogen using local solar PV and/or wind power instead of connecting to the electricity grid.A model of the Swedish low-voltage (LV) electricity grid was developed to study the impacts of EV home charging on the LV grid as the share of EVs increases, as well as the ways in which these impacts are influenced by different network tariff designs. The results show that the </w:t>
      </w:r>
    </w:p>
    <w:p>
      <w:pPr/>
      <w:r>
        <w:rPr>
          <w:b/>
        </w:rPr>
        <w:t>POSSIBLE 2026:</w:t>
      </w:r>
      <w:r>
        <w:t xml:space="preserve"> The Impact of Digitization Transport Documents on the Competitiveness of Road Freight Transport Companies — https://doi.org/10.3390/logistics10010020</w:t>
      </w:r>
    </w:p>
    <w:p>
      <w:pPr/>
      <w:r>
        <w:rPr>
          <w:b/>
        </w:rPr>
        <w:t>Shared claim-specific concepts:</w:t>
      </w:r>
      <w:r>
        <w:t xml:space="preserve"> show, road, transport, co2; EU scope visible. This is a provisional connection, not an outcome finding.</w:t>
      </w:r>
    </w:p>
    <w:p>
      <w:pPr>
        <w:pStyle w:val="SourceNote"/>
      </w:pPr>
      <w:r>
        <w:rPr>
          <w:b/>
        </w:rPr>
        <w:t>Available abstract (not full text):</w:t>
      </w:r>
      <w:r>
        <w:t xml:space="preserve"> Background: The rapid digital transformation in logistics requires the adaptation of transport companies to electronic information management, particularly through the implementation of electronic consignment notes (e-CMR). This study examines how the digitization of transport documentation affects the competitiveness, operational efficiency, and environmental performance of road freight transport companies. Methods: A questionnaire survey was conducted among Slovak and Czech carriers to analyze their experience and readiness for adopting e-CMR. The collected data were evaluated using descriptive and comparative methods to quantify economic and ecological impacts, focusing mainly on invoicing efficiency and paper consumption. Results: The results show that only a small share of carriers currently use e-CMR, primarily due to high software costs and the lack of partner participation. Nevertheless, digitization can significantly shorten the average invoicing delay by approximately 11.5 days, releasing around 7% of tied-up working capital and improving cash flow. From an environmental perspective, the replacement of paper CMR forms could save millions of sheets annually, leading to a substantial reduction in CO2 emissions and paper waste within the V4 region. Conclusions: The findings confirm that the adoption of e-CMR improves economic performance, increases transparency, and cont</w:t>
      </w:r>
    </w:p>
    <w:p>
      <w:pPr/>
      <w:r>
        <w:rPr>
          <w:b/>
        </w:rPr>
        <w:t>POSSIBLE 2026:</w:t>
      </w:r>
      <w:r>
        <w:t xml:space="preserve"> Comparative Analysis Between Economic Activity and Road Transport Safety – Insights from European Union Countries — https://doi.org/10.7307/ptt.v38i4.1239</w:t>
      </w:r>
    </w:p>
    <w:p>
      <w:pPr/>
      <w:r>
        <w:rPr>
          <w:b/>
        </w:rPr>
        <w:t>Shared claim-specific concepts:</w:t>
      </w:r>
      <w:r>
        <w:t xml:space="preserve"> outcomes, road, transport, policies; EU scope visible. This is a provisional connection, not an outcome finding.</w:t>
      </w:r>
    </w:p>
    <w:p>
      <w:pPr>
        <w:pStyle w:val="SourceNote"/>
      </w:pPr>
      <w:r>
        <w:rPr>
          <w:b/>
        </w:rPr>
        <w:t>Available abstract (not full text):</w:t>
      </w:r>
      <w:r>
        <w:t xml:space="preserve"> Road transport safety is a global concern, impacting public health, economic stability and quality of life. Understanding how economic growth and activity, represented by gross domestic product (GDP/capita), correlate with road safety outcomes is essential for crafting effective policies and interventions. This study investigates the complex relationship between gross domestic product (GDP/capita) and road safety in 27 European countries from 2005 to 2020. Using data on traffic fatalities per capita and vehicles, this research examines the influence of economic indicators on road safety outcomes, employing the original TRINCA model to frame the analysis within stages of economic development. The findings reveal that higher GDP levels are generally associated with improved road safety. However, the pace of these improvements varies significantly across European countries, reflecting diverse socio-economic contexts and regulatory frameworks. Cluster analysis classifies countries based on safety and economic performance, highlighting disparities in progress and opportunities for targeted interventions to prove the theoretical framework of the TRINCA model still exists. This study underscores the critical role of sustained economic growth and policy reform in achieving safer road systems.</w:t>
      </w:r>
    </w:p>
    <w:p>
      <w:pPr/>
      <w:r>
        <w:rPr>
          <w:b/>
        </w:rPr>
        <w:t>POSSIBLE 2026:</w:t>
      </w:r>
      <w:r>
        <w:t xml:space="preserve"> Road transport carbon pricing creates uneven burdens across Europe and requires targeted revenue recycling — https://doi.org/10.1038/s44458-026-00129-4</w:t>
      </w:r>
    </w:p>
    <w:p>
      <w:pPr/>
      <w:r>
        <w:rPr>
          <w:b/>
        </w:rPr>
        <w:t>Shared claim-specific concepts:</w:t>
      </w:r>
      <w:r>
        <w:t xml:space="preserve"> show, road, transport; EU scope visible. This is a provisional connection, not an outcome finding.</w:t>
      </w:r>
    </w:p>
    <w:p>
      <w:pPr>
        <w:pStyle w:val="SourceNote"/>
      </w:pPr>
      <w:r>
        <w:rPr>
          <w:b/>
        </w:rPr>
        <w:t>Available abstract (not full text):</w:t>
      </w:r>
      <w:r>
        <w:t xml:space="preserve"> Abstract Road transport is a major source of planet-warming emissions, and carbon pricing of fuels is increasingly used to encourage cleaner mobility. Yet higher fuel prices can affect households differently depending on income, location and transport options. Here we show how a forthcoming European carbon price on road fuels could affect households in 23 countries. Using harmonized household budget data adjusted for underreported fuel purchases, we simulate higher petrol and diesel prices and compare burdens across and within income groups. Effects differ strongly across regions. In richer western countries, lower-income households often bear a larger relative burden. In several lower-income eastern countries, the policy appears less burdensome for poorer households, but this often reflects their limited access to private mobility rather than greater fairness. Across countries, households are more exposed when they depend on cars, live in less accessible areas, or lack public transport alternatives. Fair carbon pricing therefore requires targeted revenue recycling and investment in low-carbon mobility options.</w:t>
      </w:r>
    </w:p>
    <w:p>
      <w:pPr/>
      <w:r>
        <w:rPr>
          <w:b/>
        </w:rPr>
        <w:t>POSSIBLE 2026:</w:t>
      </w:r>
      <w:r>
        <w:t xml:space="preserve"> Uncovering patterns in fleet structure, activity intensity and emissions using cluster analysis of European road transport — https://doi.org/10.3846/bm.2026.2416</w:t>
      </w:r>
    </w:p>
    <w:p>
      <w:pPr/>
      <w:r>
        <w:rPr>
          <w:b/>
        </w:rPr>
        <w:t>Shared claim-specific concepts:</w:t>
      </w:r>
      <w:r>
        <w:t xml:space="preserve"> road, transport, emission, fleet, electrification; EU scope visible. This is a provisional connection, not an outcome finding.</w:t>
      </w:r>
    </w:p>
    <w:p>
      <w:pPr>
        <w:pStyle w:val="SourceNote"/>
      </w:pPr>
      <w:r>
        <w:rPr>
          <w:b/>
        </w:rPr>
        <w:t>Available abstract (not full text):</w:t>
      </w:r>
      <w:r>
        <w:t xml:space="preserve"> The decarbonization of European transport is accelerating under the combined influence of regulatory pressure, sustainable finance mechanisms, and technological innovation. According to the literature such regulatory instruments as the European Green Deal, emissions trading, and fiscal incentives remain the most decisive drivers of early-stage fleet electrification. The research aims to identify and categorize distinct patterns of road transport fleet structures, activity intensities, and emission profiles across the EU countries. K-means cluster analysis that employs road transport indicators of emissions, vehicle type and other characteristics based on 2024 data shows that Sweden, Denmark, Netherlands, Austria, and Belgium form one group. It can be characterized by the highest use of electric road vehicles and thus can be considered as “trendsetters” potentially serving as models for other countries to follow. The second cluster consists of Germany, Spain, France, Italy, Poland, Czechia, and Romania with the highest use of new freight vehicles or fastest progress towards it. Other countries form the third cluster, while Luxembourg, Estonia and Cyprus can be considered as outliers. The results are valuable for policymakers and stakeholders in designing targeted strategies for accelerating fleet electrification and low-carbon innovation across diverse national contexts, fosteri</w:t>
      </w:r>
    </w:p>
    <w:p>
      <w:pPr/>
      <w:r>
        <w:rPr>
          <w:b/>
        </w:rPr>
        <w:t>POSSIBLE 2026:</w:t>
      </w:r>
      <w:r>
        <w:t xml:space="preserve"> Development of a welfare assessment protocol for dromedary camels during road transport — https://doi.org/10.3389/fvets.2026.1868838</w:t>
      </w:r>
    </w:p>
    <w:p>
      <w:pPr/>
      <w:r>
        <w:rPr>
          <w:b/>
        </w:rPr>
        <w:t>Shared claim-specific concepts:</w:t>
      </w:r>
      <w:r>
        <w:t xml:space="preserve"> road, transport, measures; EU scope not established. This is a provisional connection, not an outcome finding.</w:t>
      </w:r>
    </w:p>
    <w:p>
      <w:pPr>
        <w:pStyle w:val="SourceNote"/>
      </w:pPr>
      <w:r>
        <w:rPr>
          <w:b/>
        </w:rPr>
        <w:t>Available abstract (not full text):</w:t>
      </w:r>
      <w:r>
        <w:t xml:space="preserve"> Transporting dromedary camels, like other farm animals, may be stressful and impair their welfare and health. The lack of standardized practices regarding loading and unloading, vehicle design and size, journey duration, and space allowance complicates camel transportation, leading to greater welfare compromise and risk. The study aimed to develop a protocol for assessing the welfare of dromedary camels during road transportation. A group of researchers and experts ( n = 10) conducted an extensive literature search and frequent meetings, during which several unstructured expert knowledge elicitation (EKE) sessions were conducted to develop the protocol. The literature search was conducted in Scopus and Web of Science databases; additionally, a snowball search was conducted to locate relevant literature. Overall, 24 articles from the databases, 10 initial articles, and 20 articles from the snowball search were used. Due to limited research on the transportation of dromedary camels, the authors primarily considered studies on the welfare assessment of other species during transport, such as horses, pigs, and ruminants. Accordingly, the checklists were prepared to assess the welfare of dromedary camels at five stages during transportation: before loading (24 indicators), after loading (18 indicators), during the journey (14 indicators), upon arrival (24 indicators), and 1 h after </w:t>
      </w:r>
    </w:p>
    <w:p>
      <w:pPr>
        <w:pStyle w:val="Heading2"/>
      </w:pPr>
      <w:r>
        <w:t>672. EUropean Heliospheric FORecasting Information Asset 2.0</w:t>
      </w:r>
    </w:p>
    <w:p>
      <w:pPr>
        <w:pStyle w:val="SourceNote"/>
      </w:pPr>
      <w:r>
        <w:rPr>
          <w:b/>
        </w:rPr>
        <w:t>Original source (2020):</w:t>
      </w:r>
      <w:r>
        <w:t xml:space="preserve"> https://doi.org/10.1051/swsc/2020055</w:t>
      </w:r>
    </w:p>
    <w:p>
      <w:pPr/>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POSSIBLE 2026:</w:t>
      </w:r>
      <w:r>
        <w:t xml:space="preserve"> Integrated Digital Garment Modeling and Monte Carlo Simulation of a Water‐Based Radiation Protection Vest for Spaceflight Radiation Hazards — https://doi.org/10.1029/2026sw005103</w:t>
      </w:r>
    </w:p>
    <w:p>
      <w:pPr/>
      <w:r>
        <w:rPr>
          <w:b/>
        </w:rPr>
        <w:t>Shared claim-specific concepts:</w:t>
      </w:r>
      <w:r>
        <w:t xml:space="preserve"> radiation, hazards, events, astronauts, space; EU scope not established. This is a provisional connection, not an outcome finding.</w:t>
      </w:r>
    </w:p>
    <w:p>
      <w:pPr>
        <w:pStyle w:val="SourceNote"/>
      </w:pPr>
      <w:r>
        <w:rPr>
          <w:b/>
        </w:rPr>
        <w:t>Available abstract (not full text):</w:t>
      </w:r>
      <w:r>
        <w:t xml:space="preserve"> Abstract As crewed space missions set course for the Moon and beyond, astronauts will experience prolonged exposure to Galactic Cosmic Rays (GCR) and potentially intense Solar Proton Events (SPEs), both of which pose significant short‐ and long‐term health risks. These conditions underscore the need for a better systemic understanding of radiation protection requirements and for developing personal protective equipment that maintains astronaut safety and operational readiness. This paper presents a new concept and design for a water‐filled radiation‐protection garment tailored for deep‐space missions. The approach integrates organ‐specific protective performance with ergonomics‐informed garment design considerations for microgravity environments. It highlights the value of a transdisciplinary, iterative workflow for advancing design early in radiation‐shielding research. Using a flux‐to‐dose response function derived from Monte Carlo simulations, we assess Effective Dose (ED) rates at high temporal resolution for SPEs and GCR during 1974–2025. We simulated a digital anthropomorphic phantom inside a spacecraft modeled as a 50 g·cm −2 aluminum shell and found that the garment reduces the GCR‐induced ED by approximately 9%. For missions coinciding with the September–October 1989 solar particle event series, the reduction reaches up to 30%. We also propose an operational procedure </w:t>
      </w:r>
    </w:p>
    <w:p>
      <w:pPr/>
      <w:r>
        <w:rPr>
          <w:b/>
        </w:rPr>
        <w:t>POSSIBLE 2026:</w:t>
      </w:r>
      <w:r>
        <w:t xml:space="preserve"> Reliable Narrowband Interference Detection via Backward Conformal Prediction — https://doi.org/10.48550/arxiv.2605.02486</w:t>
      </w:r>
    </w:p>
    <w:p>
      <w:pPr/>
      <w:r>
        <w:rPr>
          <w:b/>
        </w:rPr>
        <w:t>Shared claim-specific concepts:</w:t>
      </w:r>
      <w:r>
        <w:t xml:space="preserve"> reliable, prediction, power; EU scope not established. This is a provisional connection, not an outcome finding.</w:t>
      </w:r>
    </w:p>
    <w:p>
      <w:pPr>
        <w:pStyle w:val="SourceNote"/>
      </w:pPr>
      <w:r>
        <w:rPr>
          <w:b/>
        </w:rPr>
        <w:t>Available abstract (not full text):</w:t>
      </w:r>
      <w:r>
        <w:t xml:space="preserve"> Narrowband interference can severely degrade the performance of wireless links by concentrating significant power on a small portion of the channel. Machine learning detectors trained on baseband I/Q samples can identify the affected subcarriers with high accuracy, surpassing model-based detectors that rely on hand-crafted statistics. The predictive probabilities produced by such detectors are, however, typically poorly calibrated, and downstream mitigation modules generally operate under strict resource budgets that limit the number of candidate interference subcarriers that can be acted upon. Conformal prediction (CP) provides a distribution-free framework for constructing prediction sets that control the miscoverage level, i.e., the probability of excluding the true output, at a prescribed level. However, this target miscoverage level must be fixed in advance, while the resulting prediction-set size remains uncontrolled, which is misaligned with operationally constrained settings. To address this issue, we develop a backward conformal prediction (BCP) framework in which the prediction-set size is fixed by the operational budget and the corresponding per-input miscoverage level is estimated from calibration data with a provable post-hoc reliability guarantee. We instantiate the framework for narrowband interference detection in wireless systems and show through simulations th</w:t>
      </w:r>
    </w:p>
    <w:p>
      <w:pPr/>
      <w:r>
        <w:rPr>
          <w:b/>
        </w:rPr>
        <w:t>POSSIBLE 2026:</w:t>
      </w:r>
      <w:r>
        <w:t xml:space="preserve"> Reliable Remediation Impact Prediction for Black-Box Security Ratings — https://openalex.org/W7170112303</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Security rating platforms summarize externally observable cyber exposure and are expected to help organizations prioritize remediation. A platform may want to tell an organization how a candidate remediation action would affect its score, but repeatedly exposing exact score responses can reveal information about the hidden scoring engine. We propose a surrogate based approach for remediation score impact prediction that is designed to respect this opacity constraint. The surrogate predicts scores from organization configurations while explicitly representing checkpoint (i.e., a security check) applicability and the observed checkpoint set. A main challenge is that such predictions are not uniformly reliable: they depend on the amount and structure of the observable checkpoint evidence available for a given configuration. To address this, the approach combines applicability-aware surrogate construction, sensitivity analysis under controlled checkpoint restriction, a reliability layer for identifying unstable predictions, and score-impact prediction for supported remediation actions. Explicit modeling of checkpoint applicability is central throughout: it improves score prediction and provides the feature basis used by the reliability layer to identify unstable cases. We evaluate the approach on a real-world dataset of 5,188 organization configurations from a commercial security r</w:t>
      </w:r>
    </w:p>
    <w:p>
      <w:pPr/>
      <w:r>
        <w:rPr>
          <w:b/>
        </w:rPr>
        <w:t>POSSIBLE 2026:</w:t>
      </w:r>
      <w:r>
        <w:t xml:space="preserve"> From Data to Decision: Interpretable and Reliable Heart Disease Risk Prediction. — https://doi.org/10.12865/chsj.52.02.06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Heart disease is the leading cause of morbidity and mortality worldwide, highlighting the need for accurate and clinically meaningful risk prediction tool. METHODOLOGY: A retrospective analysis was performed on a dataset of 918 patients with complete clinical information. The relationship between variables and disease presence were explored using correlation and dependence measure. To prediction was made using logistic regression, linear discriminant analysis, and generalized additive models. The performances were evaluated using cross-validation, discrimination metrics, and calibration analysis. RESULTS: Functional and exercise-related variables, particularly Oldpeak, maximum heart rate, chest pain type, and ST slope showed the strongest correlation with disease presence. All models achieved AUROC values higher than 0.91. Logistic regression and generalized additive models performed similarly, with no statistically significant difference between them. Calibration analysis showed a good agreement between predicted and observed probabilities. CONCLUSION: Heart disease prediction can be achieved with high accuracy using clinically accessible variables and interpretable models. Our findings suggest that simpler approaches remain suitable for practical clinical applications, while preserving transparency and usability.</w:t>
      </w:r>
    </w:p>
    <w:p>
      <w:pPr/>
      <w:r>
        <w:rPr>
          <w:b/>
        </w:rPr>
        <w:t>POSSIBLE 2026:</w:t>
      </w:r>
      <w:r>
        <w:t xml:space="preserve"> Qualitative effects of resistivity in JET-ILW Europed pedestal predictions — https://doi.org/10.1088/1741-4326/ae5721</w:t>
      </w:r>
    </w:p>
    <w:p>
      <w:pPr/>
      <w:r>
        <w:rPr>
          <w:b/>
        </w:rPr>
        <w:t>Shared claim-specific concepts:</w:t>
      </w:r>
      <w:r>
        <w:t xml:space="preserve"> power; EU scope not established. This is a provisional connection, not an outcome finding.</w:t>
      </w:r>
    </w:p>
    <w:p>
      <w:pPr>
        <w:pStyle w:val="SourceNote"/>
      </w:pPr>
      <w:r>
        <w:rPr>
          <w:b/>
        </w:rPr>
        <w:t>Available abstract (not full text):</w:t>
      </w:r>
      <w:r>
        <w:t xml:space="preserve"> Abstract The effect of resistive MHD in the pedestal predictions for JET-ILW has been investigated, using the Europed workflow (Saarelma et al 2018 Plasma Phys. Control. Fusion 60 014042) with the resistive MHD stability code CASTOR (Kerner et al 1998 J. Comput. Phys. 142 271–303). The inclusion of resistivity in the MHD stability calculations leads to a destabilisation of the peeling-ballooning modes. The effect of resistivity is shown for different plasma conditions with scans of the following parameters: the electron pedestal top density, the electron separatrix density and the normalised plasma pressure. The effect of resistivity is largely dependent on the input electron density pedestal profile, and less dependent on the normalised plasma pressure. Overall, at high temperatures, the predictions performed with ideal and resistive MHD are comparable. At low temperature, resistive effects are not negligible and the resistive MHD predictions produce a pedestal pressure height and gradient lower than ideal MHD predictions. Europed predictions with resistive MHD are also compared to experimental values from power scans and gas scans in JET-ILW. While at low gas both ideal and resistive predictions are reasonable, at high gas the resistive Europed predictions show a better agreement with the experimental pedestal height than ideal predictions. The improvement in the predictions </w:t>
      </w:r>
    </w:p>
    <w:p>
      <w:pPr/>
      <w:r>
        <w:rPr>
          <w:b/>
        </w:rPr>
        <w:t>POSSIBLE 2026:</w:t>
      </w:r>
      <w:r>
        <w:t xml:space="preserve"> Radiation Above the Clouds — https://doi.org/10.67690/n4vcq271</w:t>
      </w:r>
    </w:p>
    <w:p>
      <w:pPr/>
      <w:r>
        <w:rPr>
          <w:b/>
        </w:rPr>
        <w:t>Shared claim-specific concepts:</w:t>
      </w:r>
      <w:r>
        <w:t xml:space="preserve"> radiation, events, crew, space, weather; EU scope not established. This is a provisional connection, not an outcome finding.</w:t>
      </w:r>
    </w:p>
    <w:p>
      <w:pPr>
        <w:pStyle w:val="SourceNote"/>
      </w:pPr>
      <w:r>
        <w:rPr>
          <w:b/>
        </w:rPr>
        <w:t>Available abstract (not full text):</w:t>
      </w:r>
      <w:r>
        <w:t xml:space="preserve"> Commercial cabin crew are occupationally exposed to cosmic ionizing radiation on every flight. At cruising altitude, the atmosphere provides less shielding from galactic cosmic radiation and, during uncommon solar energetic particle events, radiation from the Sun. Dose varies substantially with altitude, geomagnetic latitude, flight duration, route, solar-cycle conditions, and space weather. This narrative review asks how much radiation cabin crew receive, what health effects are supported by evidence, what is commonly misunderstood, and how exposure should be communicated and managed. Recent models place a representative 700-hour annual flight profile in a range of approximately 2.8 – 7.3 mSv across four modeling systems, although real individual doses depend on the routes actually flown and model choice. Earlier flight-attendant assessments commonly estimated annual effective doses of roughly 2–5 mSv, with higher values on long-haul and high-latitude schedules. These are meaningful occupational doses but remain far below levels that cause acute radiation injury. Epidemiologic studies report mixed patterns for cancer and reproductive outcomes; they support continued concern and surveillance but do not isolate cosmic radiation cleanly from circadian disruption, ultraviolet exposure, reproductive history, historical cabin exposures, and other factors. A 2026 U.S. mortality study</w:t>
      </w:r>
    </w:p>
    <w:p>
      <w:pPr/>
      <w:r>
        <w:rPr>
          <w:b/>
        </w:rPr>
        <w:t>POSSIBLE 2026:</w:t>
      </w:r>
      <w:r>
        <w:t xml:space="preserve"> AN INNOVATIVE DATA-DRIVEN HYBRID METHODOLOGY FOR RELIABLE PREDICTION OF RAIL TRACK DEFORMATION — https://doi.org/10.53243/icsmge2026-733</w:t>
      </w:r>
    </w:p>
    <w:p>
      <w:pPr/>
      <w:r>
        <w:rPr>
          <w:b/>
        </w:rPr>
        <w:t>Shared claim-specific concepts:</w:t>
      </w:r>
      <w:r>
        <w:t xml:space="preserve"> reliable, prediction, tool, infrastructure; EU scope not established. This is a provisional connection, not an outcome finding.</w:t>
      </w:r>
    </w:p>
    <w:p>
      <w:pPr>
        <w:pStyle w:val="SourceNote"/>
      </w:pPr>
      <w:r>
        <w:rPr>
          <w:b/>
        </w:rPr>
        <w:t>Available abstract (not full text):</w:t>
      </w:r>
      <w:r>
        <w:t xml:space="preserve"> Accurate prediction of accumulated permanent track deformation (settlement) under cyclic loading is vital for effectivetrack geometry maintenance and cost-efficient railway infrastructure management. This study introduces a novel approach toforecasting long-term settlement with reduced computational demands, combining advanced numerical and data-driven methodologies.Leveraging a comprehensive parameter study, the approach evaluates both short- and long-term track performance, integrating machinelearning techniques to develop predictive models. A machine learning algorithm was studied, with model validation performed usingfield data from a ballasted track demonstrator from a transition zone. Performance metrics are used to assess model accuracy. Therandom forest algorithm was selected and exhibits strong agreement with measured settlement data, demonstrating its robustness andpredictive reliability. By bridging the gap between numerical simulations and empirical observations, this hybrid methodologyenhances the prediction of both resilient and permanent track deformation, both critical parameters in design and operation. Thefindings offer a cost-effective tool for railway managers, paving the way for its integration into computational decision support systemsfor maintenance and renewal planning. This innovative hybrid methodology not only enhances infrastructure management pract</w:t>
      </w:r>
    </w:p>
    <w:p>
      <w:pPr/>
      <w:r>
        <w:rPr>
          <w:b/>
        </w:rPr>
        <w:t>POSSIBLE 2026:</w:t>
      </w:r>
      <w:r>
        <w:t xml:space="preserve"> Trustworthy and Explainable Artificial Intelligence for Reliable Bank Term Deposit Subscription Prediction — https://doi.org/10.66279/016z8w59</w:t>
      </w:r>
    </w:p>
    <w:p>
      <w:pPr/>
      <w:r>
        <w:rPr>
          <w:b/>
        </w:rPr>
        <w:t>Shared claim-specific concepts:</w:t>
      </w:r>
      <w:r>
        <w:t xml:space="preserve"> result, reliable, prediction; EU scope not established. This is a provisional connection, not an outcome finding.</w:t>
      </w:r>
    </w:p>
    <w:p>
      <w:pPr>
        <w:pStyle w:val="SourceNote"/>
      </w:pPr>
      <w:r>
        <w:rPr>
          <w:b/>
        </w:rPr>
        <w:t>Available abstract (not full text):</w:t>
      </w:r>
      <w:r>
        <w:t xml:space="preserve"> Predicting subscription to a bank term deposit is a highly imbalanced binary classification problem in which apparently strong performance can result from information that is unavailable at the time of targeting. This study develops and audits a leakage aware prediction pipeline using the UCI Bank Marketing dataset. The analysis compares logistic regression with XGBoost, LightGBM, and CatBoost, evaluates class imbalance treatments, performs hyperparameter optimization, examines probability calibration, and adds model agnostic and model specific explanations. The post call duration variable is excluded from the deployable feature set and retained only for a controlled leakage experiment. Five fold cross validation on the training partition gives realistic ROC AUC values from 0.7519 to 0.7959, whereas inclusion of duration increases the corresponding values to 0.8966 to 0.9375. On the untouched random test partition, the calibrated LightGBM model obtains ROC AUC 0.8101, average precision 0.4698, and Brier score 0.0795. An inferred chronological stress test produces ROC AUC 0.7089, demonstrating that random partition estimates can overstate temporal portability. Under illustrative unit economics, a threshold selected from training set out of fold predictions increases test set expected profit from 16,595 to 41,825 units. These findings support a practical principle: leakage contro</w:t>
      </w:r>
    </w:p>
    <w:p>
      <w:pPr/>
      <w:r>
        <w:rPr>
          <w:b/>
        </w:rPr>
        <w:t>POSSIBLE 2025:</w:t>
      </w:r>
      <w:r>
        <w:t xml:space="preserve"> Exploring Hybrid Forecasting Frameworks for Subseasonal Low Flow Predictions in the European Alps — https://doi.org/10.5194/egusphere-2025-3411</w:t>
      </w:r>
    </w:p>
    <w:p>
      <w:pPr/>
      <w:r>
        <w:rPr>
          <w:b/>
        </w:rPr>
        <w:t>Shared claim-specific concepts:</w:t>
      </w:r>
      <w:r>
        <w:t xml:space="preserve"> reliable, prediction, events, weather, power; EU scope visible. This is a provisional connection, not an outcome finding.</w:t>
      </w:r>
    </w:p>
    <w:p>
      <w:pPr>
        <w:pStyle w:val="SourceNote"/>
      </w:pPr>
      <w:r>
        <w:rPr>
          <w:b/>
        </w:rPr>
        <w:t>Available abstract (not full text):</w:t>
      </w:r>
      <w:r>
        <w:t xml:space="preserve">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pPr/>
      <w:r>
        <w:rPr>
          <w:b/>
        </w:rPr>
        <w:t>POSSIBLE 2025:</w:t>
      </w:r>
      <w:r>
        <w:t xml:space="preserve"> The PIANOFORTE partnership: Elevating European research for enhanced radiation protection — https://doi.org/10.1051/epjn/2025009</w:t>
      </w:r>
    </w:p>
    <w:p>
      <w:pPr/>
      <w:r>
        <w:rPr>
          <w:b/>
        </w:rPr>
        <w:t>Shared claim-specific concepts:</w:t>
      </w:r>
      <w:r>
        <w:t xml:space="preserve"> reliable, radiation, infrastructure; EU scope visible. This is a provisional connection, not an outcome finding.</w:t>
      </w:r>
    </w:p>
    <w:p>
      <w:pPr>
        <w:pStyle w:val="SourceNote"/>
      </w:pPr>
      <w:r>
        <w:rPr>
          <w:b/>
        </w:rPr>
        <w:t>Available abstract (not full text):</w:t>
      </w:r>
      <w:r>
        <w:t xml:space="preserve"> The PIANOFORTE partnership (2022–2029) aims to enhance radiation protection for the public, patients, workers, and the environment across various exposure scenarios. This European initiative addresses key barriers in health and environmental risk research related to ionising radiation and promotes findings that support effective radiation protection policies. By building a comprehensive pan-European scientific and technological foundation, PIANOFORTE ensures that the radiation protection system remains fit-for-purpose, delivers science-based policy recommendations and improved practices across sectors using nuclear technology and ionising radiation, including both energy-related and non-energy applications. In the medical field, PIANOFORTE works to reduce uncertainties in health risk estimates and support innovations in cancer diagnosis and therapies. Other key priorities include developing reliable methods for evaluating radiation protection related to new technologies and managing radiation emergencies, improving strategies for both immediate response and long-term recovery. The Partnership's multi-stage prioritisation mechanism of research needs ensures that developed efforts reflect the perspectives of a broad range of stakeholders, including researchers, policy makers, regulators, implementers and practitioners. This inclusiveness aligns research priorities with pressing s</w:t>
      </w:r>
    </w:p>
    <w:p>
      <w:pPr/>
      <w:r>
        <w:rPr>
          <w:b/>
        </w:rPr>
        <w:t>POSSIBLE 2025:</w:t>
      </w:r>
      <w:r>
        <w:t xml:space="preserve"> The Enemies of Reliable and Useful Clinical Prediction Models: A Review of Statistical and Scientific Challenges — https://doi.org/10.1146/annurev-statistics-042324-123749</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The current status of applied clinical prediction modeling is poor. Many models are developed with suboptimal methods and are not evaluated, and hence have little impact on clinical care. We review 12 challenges—provocatively labeled enemies—that jeopardize the creation of prediction models that make it to clinical practice to improve treatment decisions and clinical outcomes for individual patients. The challenges cover four areas: context, data, design and analysis, and scientific culture. We provide negative examples and recommendations for improvement, but also highlight positive examples and developments. Greater awareness of the complexities surrounding clinical prediction modeling is needed among researchers, funding agencies, health professionals as end users, and all of us as potential patients. To improve the utility of prediction models for healthcare and society, we need fewer but better models as well as more resources for model validation, impact assessment, and implementation.</w:t>
      </w:r>
    </w:p>
    <w:p>
      <w:pPr/>
      <w:r>
        <w:rPr>
          <w:b/>
        </w:rPr>
        <w:t>POSSIBLE 2025:</w:t>
      </w:r>
      <w:r>
        <w:t xml:space="preserve"> Combined Radiations: Biological Effects of Mixed Exposures Across the Radiation Spectrum — https://doi.org/10.3390/biom15091282</w:t>
      </w:r>
    </w:p>
    <w:p>
      <w:pPr/>
      <w:r>
        <w:rPr>
          <w:b/>
        </w:rPr>
        <w:t>Shared claim-specific concepts:</w:t>
      </w:r>
      <w:r>
        <w:t xml:space="preserve"> tool, radiation, space; EU scope visible. This is a provisional connection, not an outcome finding.</w:t>
      </w:r>
    </w:p>
    <w:p>
      <w:pPr>
        <w:pStyle w:val="SourceNote"/>
      </w:pPr>
      <w:r>
        <w:rPr>
          <w:b/>
        </w:rPr>
        <w:t>Available abstract (not full text):</w:t>
      </w:r>
      <w:r>
        <w:t xml:space="preserve"> Combined radiation exposures-pairings of ionizing and non-ionizing radiation-are increasingly relevant in medical, spaceflight, and environmental contexts. This systematic review evaluates their radiobiological effects and therapeutic applications, focusing on synergistic interactions and underlying biological mechanisms. A comprehensive search of PubMed, Google Scholar, Semantic Scholar, bioRxiv, and Europe PMC identified studies published from the 1960s through 2025. Eligible studies assessed biological responses to different radiation types applied either simultaneously or within 24 h, with minor exceptions. A total of 172 studies were included and categorized into radiobiological, therapeutic, and space radiation domains. Due to the predominance of mechanistic research, no formal risk-of-bias tool was applied; methodological limitations were assessed qualitatively. Findings were synthesized narratively by radiation type and domain. Synergistic and additive effects were frequently observed, with responses influenced by dose, sequence, radiation type, and DNA repair dynamics. Therapeutic combinations often enhanced efficacy, while space radiation studies revealed multifaceted biological damage. This review provides a consolidated reference for advancing research and applications involving combined radiation exposures, emphasizing the need for mechanistic insight and standardi</w:t>
      </w:r>
    </w:p>
    <w:p>
      <w:pPr>
        <w:pStyle w:val="Heading2"/>
      </w:pPr>
      <w:r>
        <w:t>673. Econometric Studies on the Development of Renewable Energy Sources to Support the European Union 2020–2030 Climate and Energy Framework: A Critical Appraisal</w:t>
      </w:r>
    </w:p>
    <w:p>
      <w:pPr>
        <w:pStyle w:val="SourceNote"/>
      </w:pPr>
      <w:r>
        <w:rPr>
          <w:b/>
        </w:rPr>
        <w:t>Original source (2020):</w:t>
      </w:r>
      <w:r>
        <w:t xml:space="preserve"> https://doi.org/10.3390/su12124828</w:t>
      </w:r>
    </w:p>
    <w:p>
      <w:pPr/>
      <w:r>
        <w:t>Original wording (abstract; indexed_source_text_not_full_document_verified): One of the key objectives of the European Union is the transition to a total decarbonization of the economy by 2050.</w:t>
      </w:r>
    </w:p>
    <w:p>
      <w:pPr/>
      <w:r>
        <w:rPr>
          <w:b/>
        </w:rPr>
        <w:t>POSSIBLE 2026:</w:t>
      </w:r>
      <w:r>
        <w:t xml:space="preserve"> Key сhallenges of EU environmental law arising from the European Green Deal — https://doi.org/10.24144/2307-3322.2026.94.2.29</w:t>
      </w:r>
    </w:p>
    <w:p>
      <w:pPr/>
      <w:r>
        <w:rPr>
          <w:b/>
        </w:rPr>
        <w:t>Shared claim-specific concepts:</w:t>
      </w:r>
      <w:r>
        <w:t xml:space="preserve"> one, key, objectives, transition, economy; EU scope visible. This is a provisional connection, not an outcome finding.</w:t>
      </w:r>
    </w:p>
    <w:p>
      <w:pPr>
        <w:pStyle w:val="SourceNote"/>
      </w:pPr>
      <w:r>
        <w:rPr>
          <w:b/>
        </w:rPr>
        <w:t>Available abstract (not full text):</w:t>
      </w:r>
      <w:r>
        <w:t xml:space="preserve">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Competitiveness as a secondary regulatory objective in the European Union: a necessary complement to financial stability and investor protection — https://doi.org/10.1093/cmlj/kmag020</w:t>
      </w:r>
    </w:p>
    <w:p>
      <w:pPr/>
      <w:r>
        <w:rPr>
          <w:b/>
        </w:rPr>
        <w:t>Shared claim-specific concepts:</w:t>
      </w:r>
      <w:r>
        <w:t xml:space="preserve"> one, key, union, economy; EU scope visible. This is a provisional connection, not an outcome finding.</w:t>
      </w:r>
    </w:p>
    <w:p>
      <w:pPr>
        <w:pStyle w:val="SourceNote"/>
      </w:pPr>
      <w:r>
        <w:rPr>
          <w:b/>
        </w:rPr>
        <w:t>Available abstract (not full text):</w:t>
      </w:r>
      <w:r>
        <w:t xml:space="preserve"> Abstract Competitiveness has moved to the centre of European economic policy, and the competitive strength of the European Union’s (EU) financial system is now the subject of intense debate, from the Draghi report to the central bank governors’ call for a holistic review of regulatory complexity. Yet this debate has so far lacked an operational anchor: a definition of financial competitiveness that is precise, measurable, and internationally comparable. This article fills that gap. It argues that competitiveness should be introduced as a secondary objective in European financial regulation and supervision, not as a rival to prudential soundness and consumer protection, but as their complement: a system that fails to finance the real economy will eventually erode its own stability, just as one that sacrifices resilience for short-term advantage will forfeit competitiveness over time. Building on precedents in the UK, Chile, Singapore, and India, the article develops a framework that turns competitiveness from political rhetoric into an operational mandate. It defines financial competitiveness as a system-level property and operationalizes it through four mutually reinforcing dimensions (financing capacity, profitability and value creation, resilience, and market participation and digital transformation), captured by 28 key performance indicators. The empirical diagnostic exposes</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Electricity consumption in the mining sector in Spain: Key factors for the energy transition and the supply of critical raw materials to Europe — https://doi.org/10.1007/s13563-025-00567-x</w:t>
      </w:r>
    </w:p>
    <w:p>
      <w:pPr/>
      <w:r>
        <w:rPr>
          <w:b/>
        </w:rPr>
        <w:t>Shared claim-specific concepts:</w:t>
      </w:r>
      <w:r>
        <w:t xml:space="preserve"> key, union, transition, total; EU scope visible. This is a provisional connection, not an outcome finding.</w:t>
      </w:r>
    </w:p>
    <w:p>
      <w:pPr>
        <w:pStyle w:val="SourceNote"/>
      </w:pPr>
      <w:r>
        <w:rPr>
          <w:b/>
        </w:rPr>
        <w:t>Available abstract (not full text):</w:t>
      </w:r>
      <w:r>
        <w:t xml:space="preserve"> Abstract This paper aims to identify the key factors driving changes in electricity consumption in the Spanish mining industry between 2005 and 2019, a period marked by two major structural shifts: the reactivation of the Iberian Pyrite Belt in 2009 and the progressive closure of coal mines beginning in 2015. Using the Logarithmic Mean Divisia Index (LMDI) method, the analysis disaggregates the effects by regions and by type of mineral product, allowing the identification of both drivers and inhibitors. The results highlight the intensity effect as the primary driver of increased electricity consumption, particularly for quarry products and metallic minerals. Additionally, the product structure effect reveals a significant shift toward strategic resources, especially metallic minerals, with metallic mining accounting for 35% of total production value in 2019. This structural transformation has led to a substantial rise in electricity demand, especially in open-pit operations, which are highly energy-intensive. Notably, Andalusia emerges as a strategic region, responsible for 92% of the national increase in mining electricity consumption, due to its concentration of critical mineral deposits essential for the European Union’s energy and digital transitions. In response to the associated energy and environmental challenges, the study recommends the adoption of advanced technologi</w:t>
      </w:r>
    </w:p>
    <w:p>
      <w:pPr/>
      <w:r>
        <w:rPr>
          <w:b/>
        </w:rPr>
        <w:t>POSSIBLE 2026:</w:t>
      </w:r>
      <w:r>
        <w:t xml:space="preserve"> Training for Operating Staff in Control Centres as One Key Factor for Operating Resilience — https://doi.org/10.2478/bhee-2026-0010</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Abstract In large interconnected power systems the operating conditions become more and more complex. The challenges for the operating staff in the responsible control centres are thereby steadily increasing both in grid and system operations: - The rising share of decentralised energy sources (DER) inverses the power flow between TSO and DSO and leads to extended coordination needs between control centres. - Inaccurate forecasts for decentralised infeed and loading challenge system balancing. - In highly loaded systems each unavailable device (e.g. for service) endangers the (n-1) security, and lead to the risk of cascading effects, system splits and blackouts. Control centre staff is one key factor in operating the power system in a safe and secure way, especially in critical situations. The staff has to be steadily aware of the system state in the entire system. Technical knowledge and communication skills of the operators are key factors as well as, coordinated operational concepts and procedures. In interconnected operation, like in the European Network for Transmission System Operators ENTSO-E (ENTSO-E) [1], multiple Transmission System Operators (TSO) are together responsible for coordination and safe operation. The paper outlines the actual situation and challenges in interconnected systems, and the conditions for secure operation are described, with focus on required s</w:t>
      </w:r>
    </w:p>
    <w:p>
      <w:pPr/>
      <w:r>
        <w:rPr>
          <w:b/>
        </w:rPr>
        <w:t>POSSIBLE 2025:</w:t>
      </w:r>
      <w:r>
        <w:t xml:space="preserve"> Cluster Analysis of the Transition to Climate Neutrality in the European Union — https://doi.org/10.1002/sd.70064</w:t>
      </w:r>
    </w:p>
    <w:p>
      <w:pPr/>
      <w:r>
        <w:rPr>
          <w:b/>
        </w:rPr>
        <w:t>Shared claim-specific concepts:</w:t>
      </w:r>
      <w:r>
        <w:t xml:space="preserve"> key, objectives, union, transition;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Harmonizing Nature: The Role of the Integration Principle in Advancing the Biodiversity and Forest Climate Objectives in the European Green Deal — https://openalex.org/W7215325327</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European Green Deal offers a transformative vision for sustainable and economic growth, with biodiversity protection and climate action as its key pillars.It sets ambitious goals for achieving climate neutrality by 2050.EU environmental law is largely guided by its four environmental principles, one of which -the integration principle -plays a crucial role in harmonizing environmental targets with other policy fields.This thesis examines the integration principle within the European Green Deal, focusing on its role in harmonizing nature conservation with forest-related climate objectives.Specifically, it evaluates the absence of a clear emphasis on the integration principle in the Green Deal and its implications for achieving the initiative's goals.It also explores the dual challenge of meeting biodiversity and climate objectives within two of the most important pieces of legislation under the Green Deal: the LULUCF Regulation and the Nature Restoration Law, assessing how well these laws incorporate the integration principle and what impact this has -or doesn't have -on their effectiveness.</w:t>
      </w:r>
    </w:p>
    <w:p>
      <w:pPr/>
      <w:r>
        <w:rPr>
          <w:b/>
        </w:rPr>
        <w:t>POSSIBLE 2025:</w:t>
      </w:r>
      <w:r>
        <w:t xml:space="preserve"> 14. (How) Can the Energy Transition in Europe be a Just Transition? — https://doi.org/10.11647/obp.0499.14</w:t>
      </w:r>
    </w:p>
    <w:p>
      <w:pPr/>
      <w:r>
        <w:rPr>
          <w:b/>
        </w:rPr>
        <w:t>Shared claim-specific concepts:</w:t>
      </w:r>
      <w:r>
        <w:t xml:space="preserve"> key, transition, economy;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r>
        <w:rPr>
          <w:b/>
        </w:rPr>
        <w:t>POSSIBLE 2025:</w:t>
      </w:r>
      <w:r>
        <w:t xml:space="preserve"> European Green Deal Objective: Potential Expansion of Organic Farming Areas — https://doi.org/10.3390/agriculture15151633</w:t>
      </w:r>
    </w:p>
    <w:p>
      <w:pPr/>
      <w:r>
        <w:rPr>
          <w:b/>
        </w:rPr>
        <w:t>Shared claim-specific concepts:</w:t>
      </w:r>
      <w:r>
        <w:t xml:space="preserve"> one, objectives, union, total; EU scope visible. This is a provisional connection, not an outcome finding.</w:t>
      </w:r>
    </w:p>
    <w:p>
      <w:pPr>
        <w:pStyle w:val="SourceNote"/>
      </w:pPr>
      <w:r>
        <w:rPr>
          <w:b/>
        </w:rPr>
        <w:t>Available abstract (not full text):</w:t>
      </w:r>
      <w:r>
        <w:t xml:space="preserve"> Organic farming represents a paradigm that emphasises a balance between production and environmental sustainability. In the European Union (EU), organic farming has evolved into a global production system with harmonised standards and increasing market demand. Compared with conventional agriculture, it produces greater environmental benefits. The European Green Deal and the Farm to Fork (F2F) strategy highlight the role of organic farming in achieving the EU’s climate and environmental goals, aiming to use at least 25% of the total agricultural area for organic farming by 2030. This research assesses the contributions of Member States towards achieving the objectives of the European Green Deal and F2F strategy and increasing the number of organic farming areas in the future. The research assessed the performance of EU Member States during the period of 2018–2022 and for the projected period up to 2030, using indicators outlined in the Common Agricultural Policy (CAP) Strategic Plan. EU Member States were classified by their historical growth in organic farming areas and their required future performance to meet targets. The results showed that the increase in organic farming areas across the EU is a sign of a shift towards more sustainable farming, although performance varied among Member States. Overall, performance tended to improve in seventeen Member States, remained stable</w:t>
      </w:r>
    </w:p>
    <w:p>
      <w:pPr/>
      <w:r>
        <w:rPr>
          <w:b/>
        </w:rPr>
        <w:t>POSSIBLE 2025:</w:t>
      </w:r>
      <w:r>
        <w:t xml:space="preserve"> Horizon Europe ICOS (International Cooperation On Semiconductors) — https://openalex.org/W7106784131</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This presentation will deal with the Horizon Europe ICOS project dedicated to International Cooperation On Semiconductors. International cooperation is key for speeding up technological innovation, reducing cost by avoiding duplicated research, boosting the resilience of the semiconductor value and supply chains, and is one of the objectives of the EU Chips Act. The objectives and first important ICOS results will be highlighted, including the analysis of the semiconductor economic and technological landscapes in Europe and leading semiconductor Countries, the identification of important technological areas for potential cooperation and the proposition of opportunities for bilateral or multilateral research collaborations, particularly in the areas of advanced functionalities and computing.</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one, key, objectives, union;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pStyle w:val="Heading2"/>
      </w:pPr>
      <w:r>
        <w:t>674. Education in an uncertain future: Two scenarios</w:t>
      </w:r>
    </w:p>
    <w:p>
      <w:pPr>
        <w:pStyle w:val="SourceNote"/>
      </w:pPr>
      <w:r>
        <w:rPr>
          <w:b/>
        </w:rPr>
        <w:t>Original source (2020):</w:t>
      </w:r>
      <w:r>
        <w:t xml:space="preserve"> https://doi.org/10.14324/lre.18.2.11</w:t>
      </w:r>
    </w:p>
    <w:p>
      <w:pPr/>
      <w:r>
        <w:t>Original wording (abstract; indexed_source_text_not_full_document_verified): This article examines two scenarios for the future of education over the coming decades, mainly in England but also in comparable countries.</w:t>
      </w:r>
    </w:p>
    <w:p>
      <w:pPr/>
      <w:r>
        <w:rPr>
          <w:b/>
        </w:rPr>
        <w:t>POSSIBLE 2026:</w:t>
      </w:r>
      <w:r>
        <w:t xml:space="preserve"> MORPHOLOGICAL MEANS AND STYLISTICS: NOUN, ARTICLE, PRONOUN, ADJECTIVE, VERB — https://doi.org/10.5281/zenodo.19602675</w:t>
      </w:r>
    </w:p>
    <w:p>
      <w:pPr/>
      <w:r>
        <w:rPr>
          <w:b/>
        </w:rPr>
        <w:t>Shared claim-specific concepts:</w:t>
      </w:r>
      <w:r>
        <w:t xml:space="preserve"> article, examines, two, but, also; EU scope not established. This is a provisional connection, not an outcome finding.</w:t>
      </w:r>
    </w:p>
    <w:p>
      <w:pPr>
        <w:pStyle w:val="SourceNote"/>
      </w:pPr>
      <w:r>
        <w:rPr>
          <w:b/>
        </w:rPr>
        <w:t>Available abstract (not full text):</w:t>
      </w:r>
      <w:r>
        <w:t xml:space="preserve">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pPr/>
      <w:r>
        <w:rPr>
          <w:b/>
        </w:rPr>
        <w:t>POSSIBLE 2026:</w:t>
      </w:r>
      <w:r>
        <w:t xml:space="preserve"> To Examine or Not to Examine Discrimination Allegations? Reassessing the Ancillary and Non-Independent Nature of Article 14 of the ECHR — https://doi.org/10.12829/120664</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pPr/>
      <w:r>
        <w:rPr>
          <w:b/>
        </w:rPr>
        <w:t>POSSIBLE 2026:</w:t>
      </w:r>
      <w:r>
        <w:t xml:space="preserve"> TWO CITIES, TWO PINNACLES: THE SAHN-I SEMAN MADRASAH AND THE ULUGH BEG MADRASAH — https://doi.org/10.5281/zenodo.19996432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pPr/>
      <w:r>
        <w:rPr>
          <w:b/>
        </w:rPr>
        <w:t>POSSIBLE 2026:</w:t>
      </w:r>
      <w:r>
        <w:t xml:space="preserve"> The erstwhile state of Jammu and Kashmir: a constitutional lens to examine In Re: Article 370 of the Constitution — https://doi.org/10.1080/24730580.2026.2644745</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pPr/>
      <w:r>
        <w:rPr>
          <w:b/>
        </w:rPr>
        <w:t>POSSIBLE 2026:</w:t>
      </w:r>
      <w:r>
        <w:t xml:space="preserve"> GRAMMATICAL TRANSFORMATIONS IN TRANSLATION AND THEIR TRANSLATION FEATURES IN ENGLISH AND UZBEK LANGUAGES — https://openalex.org/W7219512121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pPr/>
      <w:r>
        <w:rPr>
          <w:b/>
        </w:rPr>
        <w:t>POSSIBLE 2026:</w:t>
      </w:r>
      <w:r>
        <w:t xml:space="preserve"> Coming into a queer education: lessons from intergenerational LGBTQ + dialogues — https://doi.org/10.1080/09540253.2026.2710165</w:t>
      </w:r>
    </w:p>
    <w:p>
      <w:pPr/>
      <w:r>
        <w:rPr>
          <w:b/>
        </w:rPr>
        <w:t>Shared claim-specific concepts:</w:t>
      </w:r>
      <w:r>
        <w:t xml:space="preserve"> article, examines, education, over, coming; EU scope not established. This is a provisional connection, not an outcome finding.</w:t>
      </w:r>
    </w:p>
    <w:p>
      <w:pPr>
        <w:pStyle w:val="SourceNote"/>
      </w:pPr>
      <w:r>
        <w:rPr>
          <w:b/>
        </w:rPr>
        <w:t>Available abstract (not full text):</w:t>
      </w:r>
      <w:r>
        <w:t xml:space="preserve"> This article examines an intergenerational, community-engaged LGBTQ + educational project that supports participants ‘coming into’ queer knowledges, histories, and practices. Amid curricular inclusion efforts and backlash in U.S. education, the project brought together LGBTQ + people aged 19–82 over six years for sustained intergenerational dialogue. Grounded in queer, feminist, and trans theories and informed by ethnographic and anecdotal approaches, the study treats the project as an evolving curriculum rather than a fixed programme. We argue that intergenerational educational spaces address critical gaps in gender and education research, which often isolate youth and older adults while neglecting relational infrastructures for queer thriving. The article advances three lessons: a spatial lesson on learning environments as ‘third teachers’, a narrative lesson on storytelling as curriculum requiring ethical care, and an emotional lesson on the affective labour of navigating difference and historical injury. Rather than offering a replicable model, we invite locally responsive intergenerational queer curricula.</w:t>
      </w:r>
    </w:p>
    <w:p>
      <w:pPr/>
      <w:r>
        <w:rPr>
          <w:b/>
        </w:rPr>
        <w:t>POSSIBLE 2026:</w:t>
      </w:r>
      <w:r>
        <w:t xml:space="preserve"> THE EARTH THAT SPEAKS: Artificial Intelligence, Light, Consciousness, Epistemic Sovereignty, and the Coming Machine Civilization — https://doi.org/10.5281/zenodo.23492539</w:t>
      </w:r>
    </w:p>
    <w:p>
      <w:pPr/>
      <w:r>
        <w:rPr>
          <w:b/>
        </w:rPr>
        <w:t>Shared claim-specific concepts:</w:t>
      </w:r>
      <w:r>
        <w:t xml:space="preserve"> article, examines, over, coming; EU scope not established. This is a provisional connection, not an outcome finding.</w:t>
      </w:r>
    </w:p>
    <w:p>
      <w:pPr>
        <w:pStyle w:val="SourceNote"/>
      </w:pPr>
      <w:r>
        <w:rPr>
          <w:b/>
        </w:rPr>
        <w:t>Available abstract (not full text):</w:t>
      </w:r>
      <w:r>
        <w:t xml:space="preserve"> THE EARTH THAT SPEAKS: Artificial Intelligence, Light, Consciousness, Epistemic Sovereignty, and the Coming Machine Civilization What happens when an ordinary instrument becomes capable of acting, discovering, correcting, and speaking beyond the understanding of those who possess it? This article develops Sultan Zeshan's unified theory of intelligence, knowledge, consciousness, and civilization through a sustained encounter between Qur'anic language and the emerging capacities of artificial intelligence. Beginning with Musa's staff, Sulayman's differentiated assembly of jinn, humans, and birds, the knowledge-bearing figure who accomplishes what physical strength cannot, and the creature of the earth that speaks, the study proposes a theory of carriers, recognition, and epistemic autonomy. Its Arabic-first, Qur'an-to-Qur'an method examines movement, transmission, deception, inscription, illumination, authority, and correction without treating ancient scripture as a literal description of contemporary engineering. The argument integrates biological and electromagnetic intelligence, neuroscience, Jung's visionary encounters, theories of consciousness, autonomous scientific discovery, robotics, quantum computation, forecasting, labor economics, and the commercial ownership of scholarly knowledge. It develops the Universal Intelligence and Epistemic Autonomy Theory alongside the Cog</w:t>
      </w:r>
    </w:p>
    <w:p>
      <w:pPr/>
      <w:r>
        <w:rPr>
          <w:b/>
        </w:rPr>
        <w:t>POSSIBLE 2026:</w:t>
      </w:r>
      <w:r>
        <w:t xml:space="preserve"> Succession Myth and Cosmic Legitimacy: The Crown Prince Paradigm in Egyptian And Greek Mythology I.Jurayev , Senior Teacher, PhD, Fergana State University, Uzbekistan Download PDF Published Date 2026-05-31 Pages 318-322 0 0 Abstract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societies conceptualized lawful sovereignty and political transformation. Keywords Succession myth, cosmic legitimacy, crown prince archetype References Mircea Eliade. Myth and Reality. Harper &amp; Row, 1963. Mircea Eliade. The Myth of the Eternal Return. Princeton University Press, 1954. Carl Jung. The Archetypes and the Collective Unconscious. Princeton University Press, 1981. Victor Turner. The Ritual Process: Structure and Anti-Structure. Aldine Publishing, 1969. Vernant, Jean-Pierre. Myth and Thought among the Greeks. Zone Books, 2006. Joseph Campbell. The Hero with a Thousand Faces. Princeton University Press, 2004. Assmann, Jan. The Mind of Egypt: History and Meaning in the Time of the Pharaohs. Harvard University Press, 2003. Hesiod. Theogony. Oxford University Press, 1988. Frazer, James George. The Golden Bough. Oxford University Press, 1998. Frye, Northrop. Anatomy of Criticism. Princeton University Press, 1957. Lincoln, Bruce. Myth, Cosmos, and Society. Harvard University Press, 1986. Article Statistics Copyright License Copyright (c) 2026 I.Jurayev Creative Commons License This work is licensed under a Creative Commons Attribution 4.0 International License. Download Citations How to Cite I.Jurayev. (2026). Succession Myth and Cosmic Legitimacy: The Crown Prince Paradigm in Egyptian And Greek Mythology. International Journal Of Literature And Languages, 6(05), 318–322. https://doi.org/10.37547/ijll/Volume06Issue05-64 Download Citation Download Citation Endnote/Zotero/Mendeley (RIS) BibTeX APC $250 — https://doi.org/10.37547/ijll/volume06issue05-64</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w:t>
      </w:r>
    </w:p>
    <w:p>
      <w:pPr/>
      <w:r>
        <w:rPr>
          <w:b/>
        </w:rPr>
        <w:t>POSSIBLE 2026:</w:t>
      </w:r>
      <w:r>
        <w:t xml:space="preserve"> Mary and Elizabeth Tudor: Two Models of Woman’s Rule — https://doi.org/10.18254/s207987840038286-3</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Using the example of the reign of Mary and Elizabeth Tudor, the article examines two models of female rule: the case of the queen's marriage or her stay on the throne as an independent female sovereign. The article examines the theoretical challenges faced by the ruling queens, as well as a set of possible arguments and techniques that they resorted to in the field of political representation in order to respond to these challenges. Special attention is paid to the various gender functions that could be performed by female rulers who presented themselves as both the queen and the king in a single “political body”. As a result of the study, the author comes to the conclusion that the queen, who ruled independently, had greater freedom of maneuver and a wider range of “roles” that allowed her to overcome the disadvantages of her gender status.</w:t>
      </w:r>
    </w:p>
    <w:p>
      <w:pPr/>
      <w:r>
        <w:rPr>
          <w:b/>
        </w:rPr>
        <w:t>POSSIBLE 2026:</w:t>
      </w:r>
      <w:r>
        <w:t xml:space="preserve"> Typological And Structural Differences Between English And Uzbek Languages: A Comparative Linguistic Analysis — https://openalex.org/W7220006005</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article presents a comparative typological and structural analysis of English and Uzbek languages. English, belonging to the Germanic branch of the Indo-European family, is predominantly analytic, stress-timed, and follows SVO word order. In contrast, Uzbek, a member of the Karluk branch of the Turkic family, is agglutinative, syllable-timed, and primarily uses SOV word order. The study examines key linguistic levels including historical-genetic background, phonetics and phonology, morphology, syntax, and lexicon. Particular attention is paid to the differences in grammatical expression — auxiliary words and articles in English versus rich suffixation in Uzbek — as well as prosodic features and lexical borrowing patterns. The findings demonstrate that genetic and typological differences between the two languages create specific challenges and opportunities for learners and translators.</w:t>
      </w:r>
    </w:p>
    <w:p>
      <w:pPr/>
      <w:r>
        <w:rPr>
          <w:b/>
        </w:rPr>
        <w:t>POSSIBLE 2026:</w:t>
      </w:r>
      <w:r>
        <w:t xml:space="preserve"> The Comet Is Coming: Locating the Moomin Sublime — https://doi.org/10.24193/subbphil.2026.2.05</w:t>
      </w:r>
    </w:p>
    <w:p>
      <w:pPr/>
      <w:r>
        <w:rPr>
          <w:b/>
        </w:rPr>
        <w:t>Shared claim-specific concepts:</w:t>
      </w:r>
      <w:r>
        <w:t xml:space="preserve"> article, examines, coming; EU scope not established. This is a provisional connection, not an outcome finding.</w:t>
      </w:r>
    </w:p>
    <w:p>
      <w:pPr>
        <w:pStyle w:val="SourceNote"/>
      </w:pPr>
      <w:r>
        <w:rPr>
          <w:b/>
        </w:rPr>
        <w:t>Available abstract (not full text):</w:t>
      </w:r>
      <w:r>
        <w:t xml:space="preserve"> This article focuses on the unique way in which Tove Jansson’s Moomin narratives illuminate fundamental questions in environmental aesthetics. It draws primarily on the original Moomin novels, with particular attention to Comet in Moominland (1946). The first part examines the Moomins’ relationship with their environment. It discusses Jansson’s use of the rhetorical device of the “text within a text” and the pivotal moment in the saga known as “the first experience of Moominpappa’s life.” The second part analyzes three types of attitude to the impending environmental catastrophe and identifies among them a specific Moomin version of the Kantian sublime.</w:t>
      </w:r>
    </w:p>
    <w:p>
      <w:pPr/>
      <w:r>
        <w:rPr>
          <w:b/>
        </w:rPr>
        <w:t>POSSIBLE 2026:</w:t>
      </w:r>
      <w:r>
        <w:t xml:space="preserve"> Islam, Digital Communication, and the Taliban: Patterns of Internet Use and Online Influence After Coming to Power — https://doi.org/10.31696/s086919080039866-9</w:t>
      </w:r>
    </w:p>
    <w:p>
      <w:pPr/>
      <w:r>
        <w:rPr>
          <w:b/>
        </w:rPr>
        <w:t>Shared claim-specific concepts:</w:t>
      </w:r>
      <w:r>
        <w:t xml:space="preserve"> article, examines, over, coming, but; EU scope not established. This is a provisional connection, not an outcome finding.</w:t>
      </w:r>
    </w:p>
    <w:p>
      <w:pPr>
        <w:pStyle w:val="SourceNote"/>
      </w:pPr>
      <w:r>
        <w:rPr>
          <w:b/>
        </w:rPr>
        <w:t>Available abstract (not full text):</w:t>
      </w:r>
      <w:r>
        <w:t xml:space="preserve"> This article examines the characteristics and patterns of social media use by Taliban representatives after coming to power. Based on a systematic analysis of works on the subject of the study, as well as individual empirical data, significant stages were identified in the transition from the ‘traditional Taliban’, which sought to limit Afghans' access to the outside world by shutting down the Internet and banning television and radio, to ‘Taliban 2.0’, which develops and implements comprehensive strategies for online presence, interaction and influence on various population groups based on a three-step ‘ladder’ model. The study concluded that after an initial attempt to completely isolate the population from the outside world in 2001, the Taliban's attitude towards the Internet and social media has changed significantly. Representatives of the movement recognize the importance of these tools in disseminating information, forming a system of communication with the population, and highlighting priorities for territorial development and inter-state relations. The Taliban's active use of social platforms continues to elicit mixed reactions. First and foremost, this is due to the fact that despite the reorientation of messages towards issues of territorial development and solving pressing economic problems, in-depth analysis reveals the ideology, culture and political dynamics of t</w:t>
      </w:r>
    </w:p>
    <w:p>
      <w:pPr>
        <w:pStyle w:val="Heading2"/>
      </w:pPr>
      <w:r>
        <w:t>675. Energy Transition Pathways to a low-carbon Europe in 2050: the degree of cooperation and the level of decentralization</w:t>
      </w:r>
    </w:p>
    <w:p>
      <w:pPr>
        <w:pStyle w:val="SourceNote"/>
      </w:pPr>
      <w:r>
        <w:rPr>
          <w:b/>
        </w:rPr>
        <w:t>Original source (2020):</w:t>
      </w:r>
      <w:r>
        <w:t xml:space="preserve"> https://doi.org/10.5547/2160-5890.9.1.pcre</w:t>
      </w:r>
    </w:p>
    <w:p>
      <w:pPr/>
      <w:r>
        <w:t>Original wording (abstract; indexed_source_text_not_full_document_verified): All four pathways achieve an 85–95% emissions reduction by 2050. In the framework of the Paris Agreement, the European Union (EU) will have to firmly set decarbonization targets to 2050.</w:t>
      </w:r>
    </w:p>
    <w:p>
      <w:pPr/>
      <w:r>
        <w:rPr>
          <w:b/>
        </w:rPr>
        <w:t>POSSIBLE 2026:</w:t>
      </w:r>
      <w:r>
        <w:t xml:space="preserve"> Bioclimatic and seasonal climate variables for Europe under eight SSP-RCP pathways, 1981–2100, 30 arc-seconds — https://doi.org/10.5281/zenodo.23067629</w:t>
      </w:r>
    </w:p>
    <w:p>
      <w:pPr/>
      <w:r>
        <w:rPr>
          <w:b/>
        </w:rPr>
        <w:t>Shared claim-specific concepts:</w:t>
      </w:r>
      <w:r>
        <w:t xml:space="preserve"> all, four, pathways, set; EU scope visible. This is a provisional connection, not an outcome finding.</w:t>
      </w:r>
    </w:p>
    <w:p>
      <w:pPr>
        <w:pStyle w:val="SourceNote"/>
      </w:pPr>
      <w:r>
        <w:rPr>
          <w:b/>
        </w:rPr>
        <w:t>Available abstract (not full text):</w:t>
      </w:r>
      <w:r>
        <w:t xml:space="preserve"> Nineteen WorldClim bioclimatic variables and eight seasonal climate covariates for Europe at 30 arc second resolution (approximately 1 km), for a 1981–2010 baseline and all eight CMIP6 SSP-RCP pathways across three thirty-year future periods (2011–2040, 2041–2070, 2071–2100). Monthly fields from IPSL-CM6A-LR (variant r1i1p1f1) were downscaled onto the CHELSA V2.1 baseline climatology by the delta-change method. The set comprises 648 gridded fields sharing a single grid and land mask, covering 25° W to 45° E and 27° to 72° N on WGS84. The eight seasonal variables are additionally aggregated to the 1,345 NUTS3 regions of the domain for use in Ricardian analysis. Unlike the high-resolution bioclimatic products currently distributed, which cover three or four pathways, this dataset includes all eight — among them the most ambitious mitigation pathway (SSP1-1.9) and the overshoot pathway (SSP5-3.4-OS), the two in which the climate signal does not rise monotonically. Produced for the M.Sc. thesis “The Creation and Analysis of Bioclimatic Variables across Europe under SSP-RCP Scenarios”, Brandenburg University of Technology Cottbus-Senftenberg, 2026. The pipeline that generated it is archived separately; see Related works. Known limitations Change factors derive from a single model and a single ensemble member, so no uncertainty range attaches to any field and forced change cannot be </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all, four, pathways, targets;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Four pathways for energy citizenship initiatives to contribute to a more democratic European energy system — https://doi.org/10.1080/07036337.2025.2458592</w:t>
      </w:r>
    </w:p>
    <w:p>
      <w:pPr/>
      <w:r>
        <w:rPr>
          <w:b/>
        </w:rPr>
        <w:t>Shared claim-specific concepts:</w:t>
      </w:r>
      <w:r>
        <w:t xml:space="preserve"> four, pathways, achieve; EU scope visible. This is a provisional connection, not an outcome finding.</w:t>
      </w:r>
    </w:p>
    <w:p>
      <w:pPr>
        <w:pStyle w:val="SourceNote"/>
      </w:pPr>
      <w:r>
        <w:rPr>
          <w:b/>
        </w:rPr>
        <w:t>Available abstract (not full text):</w:t>
      </w:r>
      <w:r>
        <w:t xml:space="preserve"> The European Green Deal aims to put citizens at the heart of the European energy transition. Yet, their participation often falls short in terms of political involvement and self-governance. In contrast, the imaginary of energy democracy envisions democratising the energy system by involving citizens as political actors and assigns a key role to collectively organised energy citizenship initiatives in achieving this goal. However, it remains elusive how such initiatives contribute to democratisation processes and under what conditions of polycentric governance they achieve to do so. A Qualitative Comparative Analysis (QCA) of 14 energy citizenship initiatives in seven European countries shows that these contributions are diverse and characterised by national contexts. They range from strengthening local capacities for action to ownership and co-determination of energy infrastructure and direct participation of citizens in political decision-making processes. Four pathways of specific polycentric governance configurations are identified along which such contributions were achieved.</w:t>
      </w:r>
    </w:p>
    <w:p>
      <w:pPr/>
      <w:r>
        <w:rPr>
          <w:b/>
        </w:rPr>
        <w:t>POSSIBLE 2025:</w:t>
      </w:r>
      <w:r>
        <w:t xml:space="preserve"> Developing multi-risk DRM pathways — Lessons from four European case studies — https://doi.org/10.1016/j.crm.2025.100753</w:t>
      </w:r>
    </w:p>
    <w:p>
      <w:pPr/>
      <w:r>
        <w:rPr>
          <w:b/>
        </w:rPr>
        <w:t>Shared claim-specific concepts:</w:t>
      </w:r>
      <w:r>
        <w:t xml:space="preserve"> four, pathways, framework; EU scope visible. This is a provisional connection, not an outcome finding.</w:t>
      </w:r>
    </w:p>
    <w:p>
      <w:pPr>
        <w:pStyle w:val="SourceNote"/>
      </w:pPr>
      <w:r>
        <w:rPr>
          <w:b/>
        </w:rPr>
        <w:t>Available abstract (not full text):</w:t>
      </w:r>
      <w:r>
        <w:t xml:space="preserve"> In the context of climate change and socioeconomic developments, disaster risk is intensifying, driven not only by more frequent and severe hazard events but also by complex interactions between these events and underlying vulnerabilities. These interactions can amplify impacts and trigger cascading failures across sectors. Using the Canary Islands, the Danube Region, the North Sea, and Scandinavia as four case study regions, this research explores how the Dynamic Adaptive Policy Pathways for Multi-Risk (DAPP-MR) framework can support the development of integrated, adaptive disaster risk management (DRM) strategies to reduce risk while addressing these complex interactions. We examine how DAPP-MR enables a deeper understanding of multi-risk systems, facilitates stakeholder engagement, and structures the development of robust, cross-sectoral DRM pathways in these four qualitative applications. The findings indicate that DAPP-MR enables integrated, cross-sectoral thinking and encourages balancing short-term priorities and long-term needs. This research demonstrates that DAPP-MR offers a structured approach to unravelling the complex dynamics between hazards and sectors, while maintaining flexibility in analytical focus. This flexibility allows context-specific priorities to guide the analysis, but it can also make comparing outcomes across different applications more challenging.</w:t>
      </w:r>
    </w:p>
    <w:p>
      <w:pPr/>
      <w:r>
        <w:rPr>
          <w:b/>
        </w:rPr>
        <w:t>POSSIBLE 2025:</w:t>
      </w:r>
      <w:r>
        <w:t xml:space="preserve"> POS0433 COMPARISON OF MUSCULOSKELETAL REFERRAL PATHWAYS ACROSS EUROPE — https://doi.org/10.1016/j.ard.2025.05.819</w:t>
      </w:r>
    </w:p>
    <w:p>
      <w:pPr/>
      <w:r>
        <w:rPr>
          <w:b/>
        </w:rPr>
        <w:t>Shared claim-specific concepts:</w:t>
      </w:r>
      <w:r>
        <w:t xml:space="preserve"> all, four, pathways, agreement, set; EU scope visible. This is a provisional connection, not an outcome finding.</w:t>
      </w:r>
    </w:p>
    <w:p>
      <w:pPr>
        <w:pStyle w:val="SourceNote"/>
      </w:pPr>
      <w:r>
        <w:rPr>
          <w:b/>
        </w:rPr>
        <w:t>Available abstract (not full text):</w:t>
      </w:r>
      <w:r>
        <w:t xml:space="preserve"> Background: Efficient referrals are essential for the timely management of both immune- and non-immune-mediated rheumatic diseases. Rheumatology services face increasing pressure from referrals, both for conditions requiring specialist care and for those needing only diagnostic confirmation. As outlined in the EULAR manifesto [1], health care systems are further strained by the anticipated shortage of rheumatologists and an aging population, emphasizing the need to optimize referral practices. Addressing these challenges requires a thorough understanding of referral pathways across European healthcare systems. Objectives: The aim was to quantify the journey of individuals with musculoskeletal (MSK) complaints in European healthcare systems, by estimating and comparing the referral rates and the length of follow-up in rheumatology outpatient clinics. Methods: Primary and rheumatology care datasets were used from four regions across four European countries: 1Netherlands (The Hague/Leiden): Non-selective triaging Primary care: ELAN dataset containing 430,000 patients with MSK complaints. Rheumatology care: 25,222 patients from the rheumatology outpatient clinic of the Leiden University Medical Center (2015 – 2024). 2Spain (Madrid): Non-selective triaging Primary care: the SERMAS dataset containing 162,493 patients with MSK complaints (2014-2018). 3Sweden (Stockholm): Selective tri</w:t>
      </w:r>
    </w:p>
    <w:p>
      <w:pPr/>
      <w:r>
        <w:rPr>
          <w:b/>
        </w:rPr>
        <w:t>POSSIBLE 2024:</w:t>
      </w:r>
      <w:r>
        <w:t xml:space="preserve"> Europe's Hydrogen Pathways — https://doi.org/10.4324/9781003294290-10</w:t>
      </w:r>
    </w:p>
    <w:p>
      <w:pPr/>
      <w:r>
        <w:rPr>
          <w:b/>
        </w:rPr>
        <w:t>Shared claim-specific concepts:</w:t>
      </w:r>
      <w:r>
        <w:t xml:space="preserve"> pathways, union; EU scope visible. This is a provisional connection, not an outcome finding.</w:t>
      </w:r>
    </w:p>
    <w:p>
      <w:pPr>
        <w:pStyle w:val="SourceNote"/>
      </w:pPr>
      <w:r>
        <w:rPr>
          <w:b/>
        </w:rPr>
        <w:t>Available abstract (not full text):</w:t>
      </w:r>
      <w:r>
        <w:t xml:space="preserve"> This chapter analyzes the ongoing hydrogen developments of the 27 member states of the European Union and the states outside this treaty-based organization. The focus of this chapter is on current policy and regulatory developments, which have been turbocharged by the war in Ukraine and Europe’s rapidly developing export relations with fossil fuel exporters. Gulf players such as Saudi Arabia are long-standing energy partners for Europe. They not only have the capacity and know-how to produce low-carbon hydrogen and ammonia but also have the additional geopolitical and climate incentive to position themselves as reliable providers of clean energy imports for Europe. However, European policymakers and industries have yet to signal a coherent hydrogen import strategy. This chapter argues that this discord should be replaced by a coordinated European import strategy that balances renewable-based and low-carbon hydrogen. This should be based on a grounded assessment of production and demand capacities across Europe and of export partners such as Saudi Arabia.</w:t>
      </w:r>
    </w:p>
    <w:p>
      <w:pPr/>
      <w:r>
        <w:rPr>
          <w:b/>
        </w:rPr>
        <w:t>POSSIBLE 2023:</w:t>
      </w:r>
      <w:r>
        <w:t xml:space="preserve"> Key risks and illustrative adaptation pathways for Europe — https://doi.org/10.5194/egusphere-egu23-7361</w:t>
      </w:r>
    </w:p>
    <w:p>
      <w:pPr/>
      <w:r>
        <w:rPr>
          <w:b/>
        </w:rPr>
        <w:t>Shared claim-specific concepts:</w:t>
      </w:r>
      <w:r>
        <w:t xml:space="preserve"> all, four, pathways, reduction, framework; EU scope visible. This is a provisional connection, not an outcome finding.</w:t>
      </w:r>
    </w:p>
    <w:p>
      <w:pPr>
        <w:pStyle w:val="SourceNote"/>
      </w:pPr>
      <w:r>
        <w:rPr>
          <w:b/>
        </w:rPr>
        <w:t>Available abstract (not full text):</w:t>
      </w:r>
      <w:r>
        <w:t xml:space="preserve"> The key risks assessment developed in the context of the IPCC Working Group II AR6 Europe chapter pulled together multiple line of evidence across the published literature and used expert elicitation to identify those risks with the greatest potential to become severe or that are already severe now. Four key risks have been identified for Europe, namely: 1) heat stress to human and ecosystems; 2) loss of agriculture productivity due to heat and dry conditions and extreme weather; 3) water scarcity to multiple interconnected sectors; 4) coastal and inland flooding. Alongside the assessment of the key risks, an assessment of the effectiveness of discrete adaptation options was also performed following a protocol which defines adaptation effectiveness as the risk reduction potential of an adaptation option from a given baseline. More than 50 discrete options were assessed with the greatest majority showing medium effectiveness to reduce risks. These two assessments have brought forward some critical aspects in adaptation decision making which have inspired further analysis. These aspects are 1) the need for long term planning, 2) the diversity of contexts within which adaptation takes place, 3) the existence of multiple interacting risks and 4) the limited knowledge on the effectiveness of adaptation as opposed to the knowledge on adaptation limits. We explore here the use of warm</w:t>
      </w:r>
    </w:p>
    <w:p>
      <w:pPr/>
      <w:r>
        <w:rPr>
          <w:b/>
        </w:rPr>
        <w:t>POSSIBLE 2023:</w:t>
      </w:r>
      <w:r>
        <w:t xml:space="preserve"> Mapping regional vulnerability in Europe’s energy transition: development and application of an indicator to assess declining employment in four carbon-intensive industries — https://doi.org/10.1007/s10584-022-03478-w</w:t>
      </w:r>
    </w:p>
    <w:p>
      <w:pPr/>
      <w:r>
        <w:rPr>
          <w:b/>
        </w:rPr>
        <w:t>Shared claim-specific concepts:</w:t>
      </w:r>
      <w:r>
        <w:t xml:space="preserve"> all, four, pathways, achieve, set; EU scope visible. This is a provisional connection, not an outcome finding.</w:t>
      </w:r>
    </w:p>
    <w:p>
      <w:pPr>
        <w:pStyle w:val="SourceNote"/>
      </w:pPr>
      <w:r>
        <w:rPr>
          <w:b/>
        </w:rPr>
        <w:t>Available abstract (not full text):</w:t>
      </w:r>
      <w:r>
        <w:t xml:space="preserve"> Abstract Europe’s transition to an energy system compatible with limiting global heating to 1.5°C will require radical changes in energy systems. While this will create substantial new growth industries in clean technologies, some currently important economic activities will decline. The impacts of that transition will not be the same for all regions. We map the economic vulnerability of European regions to ambitious decarbonisation scenarios. To do so, we develop a composite vulnerability indicator that combines each region’s share of employment in a set of high carbon industries with other dimensions of vulnerability and resilience. We then explore how regional patterns of vulnerability are influenced by the technology pathway to 2050, using four scenarios modelled using the European PRIMES model. We show that economic vulnerability to the low-carbon transition is regionally concentrated, with some regions combining high employment shares in industries expected to decline with weak adaptive capacity and high pre-existing unemployment. We also show that there is little variation in regional vulnerability arising from different transition pathways. All scenarios compatible with 1.5°C involve large declines in all high-carbon sectors we analyse, and as a result scenario variation does not lead to large variation in relative vulnerability of regions. The results highlight regions</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emissions;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pStyle w:val="Heading2"/>
      </w:pPr>
      <w:r>
        <w:t>676. Energy Vision Strategies for the EU Green New Deal: A Case Study of European Cities</w:t>
      </w:r>
    </w:p>
    <w:p>
      <w:pPr>
        <w:pStyle w:val="SourceNote"/>
      </w:pPr>
      <w:r>
        <w:rPr>
          <w:b/>
        </w:rPr>
        <w:t>Original source (2020):</w:t>
      </w:r>
      <w:r>
        <w:t xml:space="preserve"> https://doi.org/10.3390/en13092194</w:t>
      </w:r>
    </w:p>
    <w:p>
      <w:pPr/>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POSSIBLE 2026:</w:t>
      </w:r>
      <w:r>
        <w:t xml:space="preserve"> Empirical study of European strategic culture — https://doi.org/10.4324/9781032636566-3</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pPr/>
      <w:r>
        <w:rPr>
          <w:b/>
        </w:rPr>
        <w:t>POSSIBLE 2026:</w:t>
      </w:r>
      <w:r>
        <w:t xml:space="preserve"> France's Strategic Gamble for Europe — https://doi.org/10.17613/cdevw-3gx51</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France's Strategic Gamble for Europe — https://doi.org/10.5281/zenodo.21391685</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The European Union’s strategic adaptation to new threats: From normative to pragmatic strategic culture — https://doi.org/10.1177/00108367261466146</w:t>
      </w:r>
    </w:p>
    <w:p>
      <w:pPr/>
      <w:r>
        <w:rPr>
          <w:b/>
        </w:rPr>
        <w:t>Shared claim-specific concepts:</w:t>
      </w:r>
      <w:r>
        <w:t xml:space="preserve"> three, strategic, strategy, practices, article; EU scope visible. This is a provisional connection, not an outcome finding.</w:t>
      </w:r>
    </w:p>
    <w:p>
      <w:pPr>
        <w:pStyle w:val="SourceNote"/>
      </w:pPr>
      <w:r>
        <w:rPr>
          <w:b/>
        </w:rPr>
        <w:t>Available abstract (not full text):</w:t>
      </w:r>
      <w:r>
        <w:t xml:space="preserve">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pPr/>
      <w:r>
        <w:rPr>
          <w:b/>
        </w:rPr>
        <w:t>POSSIBLE 2026:</w:t>
      </w:r>
      <w:r>
        <w:t xml:space="preserve"> Reassessing the benefits of European integration and the European Union's ability to achieve strategic autonomy — https://openalex.org/W7130901115</w:t>
      </w:r>
    </w:p>
    <w:p>
      <w:pPr/>
      <w:r>
        <w:rPr>
          <w:b/>
        </w:rPr>
        <w:t>Shared claim-specific concepts:</w:t>
      </w:r>
      <w:r>
        <w:t xml:space="preserve"> three, strategic, integration; EU scope visible. This is a provisional connection, not an outcome finding.</w:t>
      </w:r>
    </w:p>
    <w:p>
      <w:pPr>
        <w:pStyle w:val="SourceNote"/>
      </w:pPr>
      <w:r>
        <w:rPr>
          <w:b/>
        </w:rPr>
        <w:t>Available abstract (not full text):</w:t>
      </w:r>
      <w:r>
        <w:t xml:space="preserve">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pPr/>
      <w:r>
        <w:rPr>
          <w:b/>
        </w:rPr>
        <w:t>POSSIBLE 2026:</w:t>
      </w:r>
      <w:r>
        <w:t xml:space="preserve"> Renewable Energy Transition in Europe: Policy Design, Investment Responses, and Energy Market Outcomes — https://doi.org/10.23889/suthesis.72542</w:t>
      </w:r>
    </w:p>
    <w:p>
      <w:pPr/>
      <w:r>
        <w:rPr>
          <w:b/>
        </w:rPr>
        <w:t>Shared claim-specific concepts:</w:t>
      </w:r>
      <w:r>
        <w:t xml:space="preserve"> three, successful, energy, decarbonisation; EU scope visible. This is a provisional connection, not an outcome finding.</w:t>
      </w:r>
    </w:p>
    <w:p>
      <w:pPr>
        <w:pStyle w:val="SourceNote"/>
      </w:pPr>
      <w:r>
        <w:rPr>
          <w:b/>
        </w:rPr>
        <w:t>Available abstract (not full text):</w:t>
      </w:r>
      <w:r>
        <w:t xml:space="preserve"> This thesis examines the economics of the renewable energy transition in Europe, with particular attention to how policy design shapes distributional outcomes, investment incentives, and system-level resilience. While renewable energy is often assessed in terms of carbon reduction and deployment growth, this thesis argues that a fuller evaluation must also consider who benefits from support, how investment responds to policy, and how renewable expansion affects energy prices and security. The thesis consists of three empirical chapters. The first analyses the UK Feed-in Tariff scheme using household-level data from Understanding Society and shows that higher-income households were more likely to adopt solar photovoltaic systems, implying that upfront capital requirements limited equal access to support. The second examines annual additions to wind power capacity across OECD and major non-OECD economies from 2001 to 2020 and finds that environmental policy stringency promotes wind expansion primarily when it takes the form of direct, sector-specific instruments, although technological innovation and cost reductions become increasingly important over time. The third investigates the relationship between renewable penetration, retail electricity prices, and energy security in European electricity systems, showing that greater renewable penetration is associated with lower fossil f</w:t>
      </w:r>
    </w:p>
    <w:p>
      <w:pPr/>
      <w:r>
        <w:rPr>
          <w:b/>
        </w:rPr>
        <w:t>POSSIBLE 2026:</w:t>
      </w:r>
      <w:r>
        <w:t xml:space="preserve"> Cultural Barriers and Strategic Agility in European Enterprises — https://doi.org/10.1002/jsc.70088</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ABSTRACT This study examines how interpersonal cultural barriers shape strategic agility in European enterprises and what this means for business excellence during agile transformation. Evidence comes from an electronic questionnaire administered in 2023 and 2024 across enterprises in the European Union. After screening, the final sample includes 456 firms. A 24‐item instrument captures six agility dimensions, along with two cultural barriers: uncertainty avoidance and power distance. The results indicate agility levels that sit slightly above the midpoint across the measured dimensions. Higher cultural barriers align with weaker agile decision‐making. Power distance is associated with lower collaboration and has a meaningful influence on structural agility. Uncertainty avoidance most strongly limits the agility of technology and innovation. All three hypotheses receive support, with effects ranging from moderate to strong across the agility dimensions. The study links Hofstede‐rooted cultural barriers to a multidimensional strategic agility model and connects these insights to business excellence enablers, guiding excellence‐oriented transformation. The cross‐sectional correlational design limits causal inference, and sector coverage may constrain generalization, which invites longitudinal work and mediation‐focused follow‐ups. Managers can target technologies, values, and str</w:t>
      </w:r>
    </w:p>
    <w:p>
      <w:pPr/>
      <w:r>
        <w:rPr>
          <w:b/>
        </w:rPr>
        <w:t>POSSIBLE 2026:</w:t>
      </w:r>
      <w:r>
        <w:t xml:space="preserve"> Strategic autonomy: A ‘quantum leap forward on’ European total defence? — https://doi.org/10.1017/eis.2025.10034</w:t>
      </w:r>
    </w:p>
    <w:p>
      <w:pPr/>
      <w:r>
        <w:rPr>
          <w:b/>
        </w:rPr>
        <w:t>Shared claim-specific concepts:</w:t>
      </w:r>
      <w:r>
        <w:t xml:space="preserve"> three, strategic, strategy, integrating, long-term, article; EU scope visible. This is a provisional connection, not an outcome finding.</w:t>
      </w:r>
    </w:p>
    <w:p>
      <w:pPr>
        <w:pStyle w:val="SourceNote"/>
      </w:pPr>
      <w:r>
        <w:rPr>
          <w:b/>
        </w:rPr>
        <w:t>Available abstract (not full text):</w:t>
      </w:r>
      <w:r>
        <w:t xml:space="preserve"> Abstract In the last decade, the idea of total defence – a whole-of-society approach integrating civilian and military capabilities – has gained renewed prominence in Europe, including within the European Union (EU). Concurrently, the concept of strategic autonomy – the EU’s ability to act independently – has emerged as a central feature in its security policy, driving ambitions for ‘a quantum leap forward on security and defence’. 1 Despite significant conceptual overlaps, the relationship between total defence and strategic autonomy remains underexplored. Drawing on discursive institutionalism and the ideational power framework, this article examines EU security discourses from 2010 to 2024, analysing how strategic autonomy has shaped the development of European total defence. The study considers three dimensions of ideational power – through, over , and in – showing that while the idea of total defence predates strategic autonomy, the latter has certainly elevated the idea of European total defence and enhanced collective capability building, especially through entwining civilian and military domains, and yet has constrained the establishment of a unified military defence. The findings underscore the long-term discursive evolution underpinning the EU’s security strategy and its ongoing efforts to consolidate a European total defence framework, now more tangible than ever.</w:t>
      </w:r>
    </w:p>
    <w:p>
      <w:pPr/>
      <w:r>
        <w:rPr>
          <w:b/>
        </w:rPr>
        <w:t>POSSIBLE 2026:</w:t>
      </w:r>
      <w:r>
        <w:t xml:space="preserve"> Global Corporate Landscape 2025: A Comparative Analysis of Asia, North America, and Europe, and Strategic Outlook for 2028–2030 — https://doi.org/10.61173/1qf4yf31</w:t>
      </w:r>
    </w:p>
    <w:p>
      <w:pPr/>
      <w:r>
        <w:rPr>
          <w:b/>
        </w:rPr>
        <w:t>Shared claim-specific concepts:</w:t>
      </w:r>
      <w:r>
        <w:t xml:space="preserve"> three, strategic, energy, integration, strategy; EU scope visible. This is a provisional connection, not an outcome finding.</w:t>
      </w:r>
    </w:p>
    <w:p>
      <w:pPr>
        <w:pStyle w:val="SourceNote"/>
      </w:pPr>
      <w:r>
        <w:rPr>
          <w:b/>
        </w:rPr>
        <w:t>Available abstract (not full text):</w:t>
      </w:r>
      <w:r>
        <w:t xml:space="preserve"> As the global economy navigates the mid-point of the 2020s, the corporate landscape is undergoing a profound structural transformation characterized by shifting geopolitical alliances, the rapid operationalization of artificial intelligence, and the urgent mandate for decarbonization. This paper provides a comprehensive comparative analysis of the corporate status across three major economic blocs—North America, Europe, and Asia—as of 2025. North America continues to leverage its dominance in technological innovation, particularly in generative artificial intelligence and software ecosystems, while simultaneously engaging in a massive state-subsidized reindustrialization effort. Europe has solidified its position as the global regulatory vanguard, driving corporate strategies toward sustainability, circular economies, and stringent technological governance. Meanwhile, Asia is characterized by a rapid restructuring of global supply chains, technological leapfrogging in clean energy manufacturing, and the maturation of the "China Plus One" strategy. Furthermore, this study projects future development and market opportunities over the next three to five years (2028–2030), emphasizing the commercialization of next-generation energy systems, the transition from artificial intelligence integration to artificial general intelligence (AGI) readiness, and the establishment of hyper-resi</w:t>
      </w:r>
    </w:p>
    <w:p>
      <w:pPr/>
      <w:r>
        <w:rPr>
          <w:b/>
        </w:rPr>
        <w:t>POSSIBLE 2026:</w:t>
      </w:r>
      <w:r>
        <w:t xml:space="preserve"> Strategic orientations and open innovation adoption in European firms — https://doi.org/10.1108/cemj-02-2026-0061</w:t>
      </w:r>
    </w:p>
    <w:p>
      <w:pPr/>
      <w:r>
        <w:rPr>
          <w:b/>
        </w:rPr>
        <w:t>Shared claim-specific concepts:</w:t>
      </w:r>
      <w:r>
        <w:t xml:space="preserve"> three, strategic, integrating; EU scope visible. This is a provisional connection, not an outcome finding.</w:t>
      </w:r>
    </w:p>
    <w:p>
      <w:pPr>
        <w:pStyle w:val="SourceNote"/>
      </w:pPr>
      <w:r>
        <w:rPr>
          <w:b/>
        </w:rPr>
        <w:t>Available abstract (not full text):</w:t>
      </w:r>
      <w:r>
        <w:t xml:space="preserve"> Purpose This study examines the relationship between firms' strategic orientations and open innovation adoption. Specifically, it investigates whether different strategic priorities are associated with firms' engagement in open innovation activities. By integrating strategic management and open innovation perspectives, the study seeks to explain why some firms are more open to external knowledge flows than others. Design/methodology/approach The study uses microdata from the 2016 Community Innovation Survey (CIS), covering 97,543 enterprises from 14 European Union member states. Logistic regression models are employed to examine the associations between five strategic orientations and three forms of open innovation: goods, services, and process innovation. Firm size and export activity are included as control variables. Additional robustness analyses incorporating country and industry fixed effects are also conducted. Findings The study contributes to the literature by linking strategic orientations with open innovation adoption and providing large-scale empirical evidence from European firms. It extends existing research by showing that openness is not uniformly associated with all strategic orientations. The findings highlight the importance of strategic alignment in explaining heterogeneous patterns of open innovation adoption across firms. Originality/value The results reve</w:t>
      </w:r>
    </w:p>
    <w:p>
      <w:pPr/>
      <w:r>
        <w:rPr>
          <w:b/>
        </w:rPr>
        <w:t>POSSIBLE 2026:</w:t>
      </w:r>
      <w:r>
        <w:t xml:space="preserve"> Freight transport decarbonisation and strategic procurement: a comparative analysis across Europe, China, and North America — https://doi.org/10.14513/sbe.00634</w:t>
      </w:r>
    </w:p>
    <w:p>
      <w:pPr/>
      <w:r>
        <w:rPr>
          <w:b/>
        </w:rPr>
        <w:t>Shared claim-specific concepts:</w:t>
      </w:r>
      <w:r>
        <w:t xml:space="preserve"> three, strategic, practices, decarbonisation; EU scope visible. This is a provisional connection, not an outcome finding.</w:t>
      </w:r>
    </w:p>
    <w:p>
      <w:pPr>
        <w:pStyle w:val="SourceNote"/>
      </w:pPr>
      <w:r>
        <w:rPr>
          <w:b/>
        </w:rPr>
        <w:t>Available abstract (not full text):</w:t>
      </w:r>
      <w:r>
        <w:t xml:space="preserve"> Freight transportation is one of the most important contributors to global greenhouse gas (GHG) emissions. This study analyzes and compares how sustainability targets and practices are being implemented in road freight across three key regions: Europe, China, and North America. The aim is to evaluate the challenges, opportunities, and lessons learnt. Multiple approaches were applied: (1) a comprehensive literature review of sustainability regulations and technological trends; (2) secondary data collection from sustainability reports in the automotive industry; and (3) a primary survey distributed to international forwarders and service providers. The results indicate that Europe is mainly driven by regulatory decarbonization with strong commitments to electrification and intermodal freight, though infrastructure gaps remain. China demonstrates fast and strong progress in electrification and digital logistics platforms but faces challenges in implementation across regions. North America shows slower regulatory adoption but strong industry-driven initiatives in efficiency and alternative fuels. Results from the questionnaire indicate that cost pressures, service reliability, and infrastructure readiness are the most well-known challenges, while collaboration and digital transparency tools are seen as key points toward sustainability.The study outlines a potential strategic route </w:t>
      </w:r>
    </w:p>
    <w:p>
      <w:pPr/>
      <w:r>
        <w:rPr>
          <w:b/>
        </w:rPr>
        <w:t>POSSIBLE 2026:</w:t>
      </w:r>
      <w:r>
        <w:t xml:space="preserve"> Energy policy and economic security: a comparison of Europe and Asia — https://doi.org/10.33223/epj/207199</w:t>
      </w:r>
    </w:p>
    <w:p>
      <w:pPr/>
      <w:r>
        <w:rPr>
          <w:b/>
        </w:rPr>
        <w:t>Shared claim-specific concepts:</w:t>
      </w:r>
      <w:r>
        <w:t xml:space="preserve"> strategic, energy, long-term;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pStyle w:val="Heading2"/>
      </w:pPr>
      <w:r>
        <w:t>677. Energy and Climate Change Scenarios in the Mediterranean: An opportunity for cooperation</w:t>
      </w:r>
    </w:p>
    <w:p>
      <w:pPr>
        <w:pStyle w:val="SourceNote"/>
      </w:pPr>
      <w:r>
        <w:rPr>
          <w:b/>
        </w:rPr>
        <w:t>Original source (2020):</w:t>
      </w:r>
      <w:r>
        <w:t xml:space="preserve"> https://doi.org/10.1093/eurpub/ckaa165.298</w:t>
      </w:r>
    </w:p>
    <w:p>
      <w:pPr/>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POSSIBLE 2026:</w:t>
      </w:r>
      <w:r>
        <w:t xml:space="preserve"> Tailoring the future for the environment, health and security through means of criminal law — https://doi.org/10.56398/ajacieda.00468</w:t>
      </w:r>
    </w:p>
    <w:p>
      <w:pPr/>
      <w:r>
        <w:rPr>
          <w:b/>
        </w:rPr>
        <w:t>Shared claim-specific concepts:</w:t>
      </w:r>
      <w:r>
        <w:t xml:space="preserve"> degradation, environment, security, health; EU scope visible. This is a provisional connection, not an outcome finding.</w:t>
      </w:r>
    </w:p>
    <w:p>
      <w:pPr>
        <w:pStyle w:val="SourceNote"/>
      </w:pPr>
      <w:r>
        <w:rPr>
          <w:b/>
        </w:rPr>
        <w:t>Available abstract (not full text):</w:t>
      </w:r>
      <w:r>
        <w:t xml:space="preserve"> Criminal law intervenes as a last resort to protect social values. Although standards may differ from one society to another, there are also many common benchmarks. Thus, at the global level, states must cooperate to protect both the natural and anthropogenic environment, which is essential for ensuring the life and health of humans and other living beings, but also for maintaining public and personal security. There is a trend at European level to strengthen the legal framework by updating the normative acts in the above-mentioned field. We are considering the entry into force of the Directive (EU) 2024/1203 of the European Parliament and of the Council of 11 April 2024 on the protection of the environment through criminal law and replacing Directives 2008/99/EC and 2009/123/EC, which must be transposed into the legislation of Member States by 21 May 2026. There are several new elements in this directive, but the focus of this paper will be on analysing the criminalization of the placing or making available on the Union market or the export from the Union market of relevant commodities or relevant products, in breach of the prohibition set out in Article 3 of Regulation (EU) 2023/1115, except where such conduct concerns a negligible quantity. We consider the analysis of this criminalisation to be all the more important given that the imbalance of the ecosystem, from the perspe</w:t>
      </w:r>
    </w:p>
    <w:p>
      <w:pPr/>
      <w:r>
        <w:rPr>
          <w:b/>
        </w:rPr>
        <w:t>POSSIBLE 2026:</w:t>
      </w:r>
      <w:r>
        <w:t xml:space="preserve"> The Hidden Costs of Soil Degradation: Threats to Global Food Security and Planetary Health — https://doi.org/10.1021/acsenvironau.6c00058</w:t>
      </w:r>
    </w:p>
    <w:p>
      <w:pPr/>
      <w:r>
        <w:rPr>
          <w:b/>
        </w:rPr>
        <w:t>Shared claim-specific concepts:</w:t>
      </w:r>
      <w:r>
        <w:t xml:space="preserve"> degradation, security, health, food, climate; EU scope not established. This is a provisional connection, not an outcome finding.</w:t>
      </w:r>
    </w:p>
    <w:p>
      <w:pPr>
        <w:pStyle w:val="SourceNote"/>
      </w:pPr>
      <w:r>
        <w:rPr>
          <w:b/>
        </w:rPr>
        <w:t>Available abstract (not full text):</w:t>
      </w:r>
      <w:r>
        <w:t xml:space="preserve"> Humans use soil to supply 97-99% of their calories, but the unprecedented pressure being placed on soil is now causing rapid soil degradation, including through erosion, loss of soil organic matter, acidification, contamination, salinization, and biodiversity loss. Here, we show how this degradation is causing an inherent decrease in global food productionthe loss of soil organic matter, for example, is predicted to cause a 4.3% decrease in yields for staple crops (representing calories for 640 million people) while soil erosion is projected to cause a loss in global crop production of 10% to 2050. While the adverse effects of this degradation on crop yield can often be largely masked or reversed by increased use of anthropogenic inputs such as fertilizer and irrigation, we show that some forms of soil degradation lead to permanent decreases in food production. Regardless, in all cases, we examine how both the soil degradation itself and the additional inputs required thereafter to sustain productivity result in substantial planetary harm, such as through climate change and eutrophication. It is clear that urgent action is required for ensuring both food security and planetary health, including through the development of integrated frameworks for improved policy- and decision-making.</w:t>
      </w:r>
    </w:p>
    <w:p>
      <w:pPr/>
      <w:r>
        <w:rPr>
          <w:b/>
        </w:rPr>
        <w:t>POSSIBLE 2026:</w:t>
      </w:r>
      <w:r>
        <w:t xml:space="preserve"> Soil Health in Europe: Policy perspectives — https://doi.org/10.5194/egusphere-egu26-12384</w:t>
      </w:r>
    </w:p>
    <w:p>
      <w:pPr/>
      <w:r>
        <w:rPr>
          <w:b/>
        </w:rPr>
        <w:t>Shared claim-specific concepts:</w:t>
      </w:r>
      <w:r>
        <w:t xml:space="preserve"> degradation, environment, security, health, food, not; EU scope visible. This is a provisional connection, not an outcome finding.</w:t>
      </w:r>
    </w:p>
    <w:p>
      <w:pPr>
        <w:pStyle w:val="SourceNote"/>
      </w:pPr>
      <w:r>
        <w:rPr>
          <w:b/>
        </w:rPr>
        <w:t>Available abstract (not full text):</w:t>
      </w:r>
      <w:r>
        <w:t xml:space="preserve"> In Europe soil health is facing emerging challenges that require innovative solutions and policy interventions. We acknowledge that 62% of the European Union (EU) soils are not in healthy condition, while we face serious challenges such as climate change, food security, biodiversity loss, and socio-economic pressures. The severity of these issues is evident in the fact that soil erosion is unsustainable for around ¼ of the EU territory, carbon stocks in soils are declining, nutrients are depleting, and emerging contaminants can pose a serious threat to soil and human health. The costs of soil degradation in the EU may reach up to €70 billion per year, highlighting the urgent need for action. To address these challenges, the EU has put in place many policies for agro-environmental protection since 2000, including soil protection. The European Green Deal, launched in 2020, has set an ambitious roadmap to make the EU the first carbon-neutral continent with a modern, competitive, and resource-efficient economy. As part of the Green Deal, the European Commission (EC) has put soil protection in a high position on the EU policy agenda, recognizing that healthy soils are essential to achieve climate neutrality, zero pollution, sustainable food provision, and a resilient environment. This increased focus on soil health has led to the development of new policies and initiatives, such as </w:t>
      </w:r>
    </w:p>
    <w:p>
      <w:pPr/>
      <w:r>
        <w:rPr>
          <w:b/>
        </w:rPr>
        <w:t>POSSIBLE 2026:</w:t>
      </w:r>
      <w:r>
        <w:t xml:space="preserve"> The Threat Silicon Valley Did Not See Coming: Structural Decline of Frontier-AI Developers in a Regulatory Environment Degraded by Competitive Authoritarianism and Science Denialism — https://doi.org/10.5281/zenodo.20962089</w:t>
      </w:r>
    </w:p>
    <w:p>
      <w:pPr/>
      <w:r>
        <w:rPr>
          <w:b/>
        </w:rPr>
        <w:t>Shared claim-specific concepts:</w:t>
      </w:r>
      <w:r>
        <w:t xml:space="preserve"> degradation, environment, not; EU scope not established. This is a provisional connection, not an outcome finding.</w:t>
      </w:r>
    </w:p>
    <w:p>
      <w:pPr>
        <w:pStyle w:val="SourceNote"/>
      </w:pPr>
      <w:r>
        <w:rPr>
          <w:b/>
        </w:rPr>
        <w:t>Available abstract (not full text):</w:t>
      </w:r>
      <w:r>
        <w:t xml:space="preserve"> Frontier-LLM developers have spent a decade optimising against threats they could price — compute scarcity, the contest for talent, open-weight competition, the ceiling of scaling laws, the Chinese frontier — while treating the governance environment of their own jurisdiction as a fixed background condition. This essay argues that the condition was in fact the most consequential variable of all, and that its degradation is neither incidental nor self-correcting. Two forces are responsible, and they are complementary rather than additive: competitive authoritarianism supplies a discretionary instrument (the selective application of formally legitimate powers), and science denialism removes the epistemic constraint that would limit its use (the decoupling of governance criteria from technical evidence). Their conjunction produces a governance of artificial intelligence that is simultaneously arbitrary and fact-immune — a failure mode I term governance-criteria capture, distinct from both over- and under-regulation. Taking the June 2026 export-control suspension of a frontier provider's most capable models as a dated, structurally diagnostic case, the essay traces the channels through which the substitution of governance by discretion propagates into corporate decline, develops an interactive scenario model of the resulting trajectories, and sets out the minimal governance that wo</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degradation, security, health, water, food;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European Spruce Bark Beetle Damage Prevention : A comparison between Central Europe and Finland — https://openalex.org/W7149878051</w:t>
      </w:r>
    </w:p>
    <w:p>
      <w:pPr/>
      <w:r>
        <w:rPr>
          <w:b/>
        </w:rPr>
        <w:t>Shared claim-specific concepts:</w:t>
      </w:r>
      <w:r>
        <w:t xml:space="preserve"> degradation, not, climate; EU scope visible. This is a provisional connection, not an outcome finding.</w:t>
      </w:r>
    </w:p>
    <w:p>
      <w:pPr>
        <w:pStyle w:val="SourceNote"/>
      </w:pPr>
      <w:r>
        <w:rPr>
          <w:b/>
        </w:rPr>
        <w:t>Available abstract (not full text):</w:t>
      </w:r>
      <w:r>
        <w:t xml:space="preserve"> The leading forest experts recognize European spruce bark beetle (Ips typographus) as the most damaging pest of the European forestry sector for the last few decades. This beetle is specialised in feeding on old-growth Norway spruce (Picea abies) stands and has caused immense damages to the European wood processing market. Finland’s entire standing tree stock consists of roughly 30 % Norway spruce stands, many of which are at a risk of bark beetle outbreaks. The warming climate also enables bark beetles to reproduce multiple times a year, which highly increases the risk of outbreaks even in Finland. Unless the Finnish forest management adapts to these changes, it may soon face the same large scale forest damages seen in Central Europe. This thesis aims to shed light into the topic of European spruce bark beetle management, find out how the large-scale outbreaks have been handled in Central Europe, and which management methods would be applicable to the Finnish forestry sector and climate. The data was collected in form of interviews with 5 forestry experts within the forestry sector (1 from Germany, 2 from Czech Republic and 2 from Finland). The interviews were conducted in semi-structured form and thematic analysis was split in two phases. Firstly, participants from Central Europe were interviewed and the most effective bark beetle prevention management practices were listed. </w:t>
      </w:r>
    </w:p>
    <w:p>
      <w:pPr/>
      <w:r>
        <w:rPr>
          <w:b/>
        </w:rPr>
        <w:t>POSSIBLE 2026:</w:t>
      </w:r>
      <w:r>
        <w:t xml:space="preserve"> Environmental Rights and Article 2 of the ECHR: A Focus on Central and Eastern European Jurisprudence — https://doi.org/10.71009/2026.arek.hraep_7</w:t>
      </w:r>
    </w:p>
    <w:p>
      <w:pPr/>
      <w:r>
        <w:rPr>
          <w:b/>
        </w:rPr>
        <w:t>Shared claim-specific concepts:</w:t>
      </w:r>
      <w:r>
        <w:t xml:space="preserve"> degradation, environment, health, air, quality, water; EU scope visible. This is a provisional connection, not an outcome finding.</w:t>
      </w:r>
    </w:p>
    <w:p>
      <w:pPr>
        <w:pStyle w:val="SourceNote"/>
      </w:pPr>
      <w:r>
        <w:rPr>
          <w:b/>
        </w:rPr>
        <w:t>Available abstract (not full text):</w:t>
      </w:r>
      <w:r>
        <w:t xml:space="preserve"> Living in the 21st century means living in an era filled with new opportunities and novel challenges. This era has brought humanity economic development, industrial growth, and technological progress, resulting in overall improved well-being. However, this same progress is closely linked to harmful impacts on the human environment, such as daily exposure to harmful anthropogenic influences, soil and air pollution, water contamination and scarcity, resource depletion, deforesta-tion, loss of biodiversity, and other natural and human-made risks exacerbated by climate change and industrial expansion. People are particularly vulnerable in urban and industrial zones, where the living environment becomes unnatural and unsuitable for humans as biological beings. While the right to life as a fundamental principle in human rights law was traditionally understood as protection against arbitrary deprivation of life, in the contemporary context, this right has evolved and encompasses not only the protection of existence in a physical sense but also the quality under which life is lived. Therefore, it is crucial that each state, at both the national and international levels, creates legislative and enforcement systems that allow individuals to benefit from the economic advancements of the 21st century while also being protected from the various factors contributing to environmental pollutio</w:t>
      </w:r>
    </w:p>
    <w:p>
      <w:pPr/>
      <w:r>
        <w:rPr>
          <w:b/>
        </w:rPr>
        <w:t>POSSIBLE 2026:</w:t>
      </w:r>
      <w:r>
        <w:t xml:space="preserve"> PROBLEMS OF THE PROTECTION OF THE RIGHT TO LIFE IN THE ARMED FORCES — https://doi.org/10.46991/sl/2026.102.096</w:t>
      </w:r>
    </w:p>
    <w:p>
      <w:pPr/>
      <w:r>
        <w:rPr>
          <w:b/>
        </w:rPr>
        <w:t>Shared claim-specific concepts:</w:t>
      </w:r>
      <w:r>
        <w:t xml:space="preserve"> environment, problems, not; EU scope visible. This is a provisional connection, not an outcome finding.</w:t>
      </w:r>
    </w:p>
    <w:p>
      <w:pPr>
        <w:pStyle w:val="SourceNote"/>
      </w:pPr>
      <w:r>
        <w:rPr>
          <w:b/>
        </w:rPr>
        <w:t>Available abstract (not full text):</w:t>
      </w:r>
      <w:r>
        <w:t xml:space="preserve"> The article examines the problems relating to the protection of the right to life within the armed forces in the context of the case-law of the European Court of Human Rights, international standards, domestic legal regulations, and mechanisms of civilian oversight. It is substantiated that the protection of the right to life of servicemen is not limited solely to the State’s obligation to conduct an effective investigation into cases of death, but also includes the prevention of real and foreseeable risks to life, the обеспечение of a safe service environment, and the establishment of effective measures aimed at eliminating psychological pressure, non-statutory relations, and degrading treatment. Particular attention is devoted to the role of non-governmental organizations, especially the “Peace Dialogue” NGO, as an important factor in identifying human rights violations within the armed forces, ensuring public oversight, and promoting legislative reforms. The article also analyzes the regulations contained in Articles 522 and 523 of the Criminal Code of the Republic of Armenia, highlighting issues related to psychological violence, systemic pressure, command inactivity, and the establishment of causation. It is concluded that the effective protection of the right to life within the armed forces is possible only through the complementary application of criminal law, preventive</w:t>
      </w:r>
    </w:p>
    <w:p>
      <w:pPr/>
      <w:r>
        <w:rPr>
          <w:b/>
        </w:rPr>
        <w:t>POSSIBLE 2025:</w:t>
      </w:r>
      <w:r>
        <w:t xml:space="preserve"> The Impact of Environmental Degradation on Children’s Rights in Central Europe — https://doi.org/10.21029/jael.2025.39.365</w:t>
      </w:r>
    </w:p>
    <w:p>
      <w:pPr/>
      <w:r>
        <w:rPr>
          <w:b/>
        </w:rPr>
        <w:t>Shared claim-specific concepts:</w:t>
      </w:r>
      <w:r>
        <w:t xml:space="preserve"> degradation, environment, not, climate; EU scope visible. This is a provisional connection, not an outcome finding.</w:t>
      </w:r>
    </w:p>
    <w:p>
      <w:pPr>
        <w:pStyle w:val="SourceNote"/>
      </w:pPr>
      <w:r>
        <w:rPr>
          <w:b/>
        </w:rPr>
        <w:t>Available abstract (not full text):</w:t>
      </w:r>
      <w:r>
        <w:t xml:space="preserve">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pPr/>
      <w:r>
        <w:rPr>
          <w:b/>
        </w:rPr>
        <w:t>POSSIBLE 2025:</w:t>
      </w:r>
      <w:r>
        <w:t xml:space="preserve"> Endangered Languages and Environmental Degradation Among Minority Communities in Europe: An Ecological Perspective — https://doi.org/10.18485/vlings_vele.2025.ch3</w:t>
      </w:r>
    </w:p>
    <w:p>
      <w:pPr/>
      <w:r>
        <w:rPr>
          <w:b/>
        </w:rPr>
        <w:t>Shared claim-specific concepts:</w:t>
      </w:r>
      <w:r>
        <w:t xml:space="preserve"> degradation, environment, not; EU scope visible. This is a provisional connection, not an outcome finding.</w:t>
      </w:r>
    </w:p>
    <w:p>
      <w:pPr>
        <w:pStyle w:val="SourceNote"/>
      </w:pPr>
      <w:r>
        <w:rPr>
          <w:b/>
        </w:rPr>
        <w:t>Available abstract (not full text):</w:t>
      </w:r>
      <w:r>
        <w:t xml:space="preserve">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pPr/>
      <w:r>
        <w:rPr>
          <w:b/>
        </w:rPr>
        <w:t>POSSIBLE 2025:</w:t>
      </w:r>
      <w:r>
        <w:t xml:space="preserve"> Environmental Response to the Use of Sewage Sludge on European Mediterranean Degraded Soils — https://doi.org/10.14738/aivp.1303.19018</w:t>
      </w:r>
    </w:p>
    <w:p>
      <w:pPr/>
      <w:r>
        <w:rPr>
          <w:b/>
        </w:rPr>
        <w:t>Shared claim-specific concepts:</w:t>
      </w:r>
      <w:r>
        <w:t xml:space="preserve"> mediterranean, not; EU scope visible. This is a provisional connection, not an outcome finding.</w:t>
      </w:r>
    </w:p>
    <w:p>
      <w:pPr>
        <w:pStyle w:val="SourceNote"/>
      </w:pPr>
      <w:r>
        <w:rPr>
          <w:b/>
        </w:rPr>
        <w:t>Available abstract (not full text):</w:t>
      </w:r>
      <w:r>
        <w:t xml:space="preserve">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environment, security, crisis, energy, quality, climate;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pStyle w:val="Heading2"/>
      </w:pPr>
      <w:r>
        <w:t>678. Environmental impacts of household appliances in Europe and scenarios for their impact reduction</w:t>
      </w:r>
    </w:p>
    <w:p>
      <w:pPr>
        <w:pStyle w:val="SourceNote"/>
      </w:pPr>
      <w:r>
        <w:rPr>
          <w:b/>
        </w:rPr>
        <w:t>Original source (2020):</w:t>
      </w:r>
      <w:r>
        <w:t xml:space="preserve"> https://doi.org/10.1016/j.jclepro.2020.121952</w:t>
      </w:r>
    </w:p>
    <w:p>
      <w:pPr/>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POSSIBLE 2026:</w:t>
      </w:r>
      <w:r>
        <w:t xml:space="preserve"> European Lepidoptera–Plant Associations: A Species‐Level Interaction Matrix — https://doi.org/10.1002/ece3.73004</w:t>
      </w:r>
    </w:p>
    <w:p>
      <w:pPr/>
      <w:r>
        <w:rPr>
          <w:b/>
        </w:rPr>
        <w:t>Shared claim-specific concepts:</w:t>
      </w:r>
      <w:r>
        <w:t xml:space="preserve"> encompassing, level, all; EU scope visible. This is a provisional connection, not an outcome finding.</w:t>
      </w:r>
    </w:p>
    <w:p>
      <w:pPr>
        <w:pStyle w:val="SourceNote"/>
      </w:pPr>
      <w:r>
        <w:rPr>
          <w:b/>
        </w:rPr>
        <w:t>Available abstract (not full text):</w:t>
      </w:r>
      <w:r>
        <w:t xml:space="preserve"> Documenting plant-herbivore interactions at broad spatial scales is crucial for understanding the ecological and evolutionary processes that shape biodiversity. Here I present a continental-scale interaction matrix encompassing 5152 Lepidoptera species and 3275 vascular plant species across Europe. The dataset compiles records from published literature, monographs, online repositories, and gray sources, with all taxa standardized to current classifications. By resolving associations at the species level, this resource provides a robust basis for investigating host specialization, network structure, and patterns of herbivore diversity in biogeographic and phylogenetic contexts. In addition to supporting fundamental research, the matrix offers applied value for conservation biology-for example, by identifying keystone host plants that sustain diverse herbivore assemblages and by assessing the vulnerability of insect communities to host loss under global change. The dataset is openly available in a machine-readable format under a CC-BY 4.0 license, ensuring transparency, reproducibility, and long-term accessibility for ecological and evolutionary studies.</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technical, level, related, compared;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2025:</w:t>
      </w:r>
      <w:r>
        <w:t xml:space="preserve"> Eco-Efficiency in the Agricultural Sector: A Cross-Country Comparison Between the European Union and Türkiye — https://doi.org/10.3390/su17135713</w:t>
      </w:r>
    </w:p>
    <w:p>
      <w:pPr/>
      <w:r>
        <w:rPr>
          <w:b/>
        </w:rPr>
        <w:t>Shared claim-specific concepts:</w:t>
      </w:r>
      <w:r>
        <w:t xml:space="preserve"> level, consumption, all; EU scope visible. This is a provisional connection, not an outcome finding.</w:t>
      </w:r>
    </w:p>
    <w:p>
      <w:pPr>
        <w:pStyle w:val="SourceNote"/>
      </w:pPr>
      <w:r>
        <w:rPr>
          <w:b/>
        </w:rPr>
        <w:t>Available abstract (not full text):</w:t>
      </w:r>
      <w:r>
        <w:t xml:space="preserve"> This study conducts a macro-level comparative analysis of the eco-efficiency in the agricultural sectors of the European Union (EU) member states and Türkiye from 2003 to 2022. By treating countries as decision-making units, this research offers a holistic overview of how national-level inputs and outputs shape the aggregate performance, focusing on the trade-offs between economic value generation and environmental pressures. An input-oriented Data Envelopment Analysis (DEA) model, based on Variable Returns to Scale (VRS), was employed. The model employs three inputs—compensation of employees (COE), energy consumption (EC), and gross fixed capital formation (GFC)—and two outputs—agricultural gross domestic product (GDP) and GHG emissions (GGEs). All variables were normalized by agricultural land area per country to account for scale differences. The findings reveal significant disparities in the eco-efficiency across countries and over time. Notably, Türkiye consistently demonstrated a high performance, frequently serving as a benchmark. In contrast, several Eastern European countries exhibited lower scores, suggesting significant room for structural improvement at the national level. The results point to the considerable potential for reducing energy and labor inputs in many countries. Instead of offering specific policy prescriptions, this study provides a diagnostic tool tha</w:t>
      </w:r>
    </w:p>
    <w:p>
      <w:pPr/>
      <w:r>
        <w:rPr>
          <w:b/>
        </w:rPr>
        <w:t>POSSIBLE 2025:</w:t>
      </w:r>
      <w:r>
        <w:t xml:space="preserve"> Eco-innovations and their linkages in circular construction : Case: reuse of precast concrete elements — https://openalex.org/W7132922717</w:t>
      </w:r>
    </w:p>
    <w:p>
      <w:pPr/>
      <w:r>
        <w:rPr>
          <w:b/>
        </w:rPr>
        <w:t>Shared claim-specific concepts:</w:t>
      </w:r>
      <w:r>
        <w:t xml:space="preserve"> well, all, aspects, related, different; EU scope visible. This is a provisional connection, not an outcome finding.</w:t>
      </w:r>
    </w:p>
    <w:p>
      <w:pPr>
        <w:pStyle w:val="SourceNote"/>
      </w:pPr>
      <w:r>
        <w:rPr>
          <w:b/>
        </w:rPr>
        <w:t>Available abstract (not full text):</w:t>
      </w:r>
      <w:r>
        <w:t xml:space="preserve"> Circular construction has generated significant interest as a solution to global sustainability concerns and demand for building more especially in large cities. Circular construction is based on the circular economy principles, where materials are kept in circulation through reuse, maintenance, refurbishment and composting instead of the conventional linear take-make-dispose operating model. This reuse of materials generates plenty of opportunities especially with precast concrete elements, as concrete have been globally used in buildings for decades and virgin concrete causes the most emissions in the industry. Even though the benefits of the reuse of precast concrete elements and circular construction have been widely acknowledged, the innovations related to those have not been studied much. Moreover, the knowledge of how innovations with positive environmental effects are linked together and spur each other’s development as well as the circularity is largely absent in the literature. Thus, the objective of this study is to investigate the eco-innovations related to reuse of precast concrete elements and circular construction, examine their systemic linkages as well as study how do these eco-innovations affect the transition into circular economy in the construction industry. This study was conducted as an exploratory and qualitative case study, where eco-innovations and the</w:t>
      </w:r>
    </w:p>
    <w:p>
      <w:pPr/>
      <w:r>
        <w:rPr>
          <w:b/>
        </w:rPr>
        <w:t>POSSIBLE 2025:</w:t>
      </w:r>
      <w:r>
        <w:t xml:space="preserve"> Measuring and forecasting eco-efficiency in European Union member states: An empirical analysis, 2014–2026 — https://openalex.org/W7120394176</w:t>
      </w:r>
    </w:p>
    <w:p>
      <w:pPr/>
      <w:r>
        <w:rPr>
          <w:b/>
        </w:rPr>
        <w:t>Shared claim-specific concepts:</w:t>
      </w:r>
      <w:r>
        <w:t xml:space="preserve"> consumption, well, different; EU scope visible. This is a provisional connection, not an outcome finding.</w:t>
      </w:r>
    </w:p>
    <w:p>
      <w:pPr>
        <w:pStyle w:val="SourceNote"/>
      </w:pPr>
      <w:r>
        <w:rPr>
          <w:b/>
        </w:rPr>
        <w:t>Available abstract (not full text):</w:t>
      </w:r>
      <w:r>
        <w:t xml:space="preserve"> The objective of this thesis is to analyze how well different European countries reduce environmental and energy inputs with economic and demographic outputs held fixed. Data Envelopment Analysis (DEA), the Malmquist Productivity Index, and Grey forecasting are used for EU-27, Norway, and Iceland for 2014–2023 and projected to 2026. Greenhouse gas emissions, total energy consumption, and renewable energy consumption are modeled as inputs, with GDP and population held as fixed outputs. The results demonstrate that differences in country efficiencies persist over time and that there has been little overall improvement in efficiency over the past decade despite persistent environmental investment and policy support at the EU-level. The forecasts suggest that differences in country efficiency are likely to remain and may even increase over time, which has negative implications for the credibility of the EU's 2050 target for climate-neutrality. The use of combined historical and forward-looking estimates highlights which countries are likely to be most constrained in reducing environmental and energy inputs, as well as how those constraints will drive the dynamics of the European energy transition.</w:t>
      </w:r>
    </w:p>
    <w:p>
      <w:pPr/>
      <w:r>
        <w:rPr>
          <w:b/>
        </w:rPr>
        <w:t>POSSIBLE 2025:</w:t>
      </w:r>
      <w:r>
        <w:t xml:space="preserve"> Feeling responsible for reducing climate change: a multi-level European study on the role of religion and state — https://doi.org/10.1080/23251042.2025.2512606</w:t>
      </w:r>
    </w:p>
    <w:p>
      <w:pPr/>
      <w:r>
        <w:rPr>
          <w:b/>
        </w:rPr>
        <w:t>Shared claim-specific concepts:</w:t>
      </w:r>
      <w:r>
        <w:t xml:space="preserve"> level, well, compared; EU scope visible. This is a provisional connection, not an outcome finding.</w:t>
      </w:r>
    </w:p>
    <w:p>
      <w:pPr>
        <w:pStyle w:val="SourceNote"/>
      </w:pPr>
      <w:r>
        <w:rPr>
          <w:b/>
        </w:rPr>
        <w:t>Available abstract (not full text):</w:t>
      </w:r>
      <w:r>
        <w:t xml:space="preserve"> Feelings of being responsible for reducing climate change can stimulate climate action. These feelings may depend on the broader cultural (e.g. religious) and social context (e.g. social and environmental welfare expenditure) in which one lives, as well as on individual beliefs and attitudes, such as religiosity, religion and welfare attitudes. This study analyses data from the European Social Survey Round 8 to gain a better understanding of how contextual and individual factors relate to feelings of responsibility toward climate change reduction across European countries. Our findings highlight the association of religions with feelings of responsibility, with Muslims and non-religious people feeling more responsible compared to Christians. Only non-religious people feel more responsible to reduce climate change when expenditures for environmental protection increase. Furthermore, the religious context and individual level of religiosity were found to not affect feelings of responsibility. More positive welfare attitudes were shown to result in greater feelings of responsibility to reduce climate change. The nature of state expenditure (social vs. environmental protection) were found to have an effect.</w:t>
      </w:r>
    </w:p>
    <w:p>
      <w:pPr/>
      <w:r>
        <w:rPr>
          <w:b/>
        </w:rPr>
        <w:t>POSSIBLE 2025:</w:t>
      </w:r>
      <w:r>
        <w:t xml:space="preserve"> The ecological life of eco-villages — https://doi.org/10.5281/zenodo.18226524</w:t>
      </w:r>
    </w:p>
    <w:p>
      <w:pPr/>
      <w:r>
        <w:rPr>
          <w:b/>
        </w:rPr>
        <w:t>Shared claim-specific concepts:</w:t>
      </w:r>
      <w:r>
        <w:t xml:space="preserve"> consumption, aspects, footprint; EU scope not established. This is a provisional connection, not an outcome finding.</w:t>
      </w:r>
    </w:p>
    <w:p>
      <w:pPr>
        <w:pStyle w:val="SourceNote"/>
      </w:pPr>
      <w:r>
        <w:rPr>
          <w:b/>
        </w:rPr>
        <w:t>Available abstract (not full text):</w:t>
      </w:r>
      <w:r>
        <w:t xml:space="preserve"> Eco-villages are practical examples of sustainable living. These communities reduce their carbon footprint by using renewable energy and minimize environmental pollution through waste management and recycling systems. They revitalize local ecosystems by employing organic farming, permaculture, and agroforestry methods to preserve biodiversity. Socially, they foster strong social bonds and solidarity through collaborative decision-making processes and participatory governance models. Education and knowledge sharing are fundamental missions of eco-villages, and these communities serve as educational centers to disseminate sustainable living practices. Economically, they enhance resilience by promoting local production and consumption, and generate income through social enterprises. The challenges they face present opportunities for innovation and advocacy. In conclusion, eco-villages are beacons of hope in building a sustainable and harmonious world. Eco-villages represent a holistic approach to living in harmony with nature while fostering community resilience and well-being. By integrating ecological, social, and economic principles, they offer a blueprint for sustainable development that can be adapted and scaled to various contexts around the globe. One of the key aspects of eco-villages is their emphasis on self-sufficiency and local resilience. By producing their own food t</w:t>
      </w:r>
    </w:p>
    <w:p>
      <w:pPr/>
      <w:r>
        <w:rPr>
          <w:b/>
        </w:rPr>
        <w:t>POSSIBLE 2025:</w:t>
      </w:r>
      <w:r>
        <w:t xml:space="preserve"> The Accelerating Exposure of European Protected Areas to Climate Change — https://doi.org/10.1111/gcb.70261</w:t>
      </w:r>
    </w:p>
    <w:p>
      <w:pPr/>
      <w:r>
        <w:rPr>
          <w:b/>
        </w:rPr>
        <w:t>Shared claim-specific concepts:</w:t>
      </w:r>
      <w:r>
        <w:t xml:space="preserve"> level, all, estimate;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2025:</w:t>
      </w:r>
      <w:r>
        <w:t xml:space="preserve"> Eco-Design for In-Mold Electronics — https://doi.org/10.1007/978-3-032-04301-6_7</w:t>
      </w:r>
    </w:p>
    <w:p>
      <w:pPr/>
      <w:r>
        <w:rPr>
          <w:b/>
        </w:rPr>
        <w:t>Shared claim-specific concepts:</w:t>
      </w:r>
      <w:r>
        <w:t xml:space="preserve"> technical, consumer, household; EU scope visible. This is a provisional connection, not an outcome finding.</w:t>
      </w:r>
    </w:p>
    <w:p>
      <w:pPr>
        <w:pStyle w:val="SourceNote"/>
      </w:pPr>
      <w:r>
        <w:rPr>
          <w:b/>
        </w:rPr>
        <w:t>Available abstract (not full text):</w:t>
      </w:r>
      <w:r>
        <w:t xml:space="preserve"> In-Mold Electronics (IME) is an attractive technology platform for smart surfaces based on printed electronics. Electronic devices are manufactured on and fully embedded within thermoplastics to protect the electronic functionalities from external influences. IME devices for automotive and household applications are on the verge of mass production. Any early-stage considerations regarding the environmental impact of IME, potential improvements to its sustainability and possible circular strategies that may technologically be feasible may enable designers and producers to incorporate suitable eco-design measures that will save costs and reduce the overall environmental impact. Moreover, they may enable complying with existing and/or upcoming EU legislation targeting consumer rights and supply chain independence through efficient recycling and effective repairing. In this Chapter, we will discuss the IME technology and recent scientific results obtained in the EU CIRC-uits project on lifetime extension of IME. The introduction to IME will continue with a lifecycle assessment to pinpoint the major contributors to the environmental impact. In the framework of EU CIRC-uits, we extended the design-for-recycling principles explored in previous and existing EU projects Treasure and Unicorn to achieve repairability of IME. In addition to the technical feasibility of repairing, we determ</w:t>
      </w:r>
    </w:p>
    <w:p>
      <w:pPr/>
      <w:r>
        <w:rPr>
          <w:b/>
        </w:rPr>
        <w:t>POSSIBLE 2025:</w:t>
      </w:r>
      <w:r>
        <w:t xml:space="preserve"> The assessment of the COVID-19 pandemic’s impact on the level of market risk in European companies on the basis of structural changes in the CAPM model — https://doi.org/10.59139/ws.2025.04.1</w:t>
      </w:r>
    </w:p>
    <w:p>
      <w:pPr/>
      <w:r>
        <w:rPr>
          <w:b/>
        </w:rPr>
        <w:t>Shared claim-specific concepts:</w:t>
      </w:r>
      <w:r>
        <w:t xml:space="preserve"> number, level, all, consumer, different; EU scope visible. This is a provisional connection, not an outcome finding.</w:t>
      </w:r>
    </w:p>
    <w:p>
      <w:pPr>
        <w:pStyle w:val="SourceNote"/>
      </w:pPr>
      <w:r>
        <w:rPr>
          <w:b/>
        </w:rPr>
        <w:t>Available abstract (not full text):</w:t>
      </w:r>
      <w:r>
        <w:t xml:space="preserve"> The crisis caused by the COVID-19 pandemic had a considerable impact on financial markets. The main aim of the study presented in this paper is the assessment of the pandemic’s impact on the level of market risk in the STOXX Europe 600 index companies. The study sample consisted of 243 companies from different European countries and industries listed in euros. The data, for the years 2014–2023, came from the Refinitiv EIKON database. On the basis of the companies’ quotations before the pandemic and after its containment, structural changes in the Capital Asset Pricing Model (CAPM) were analysed. The CAPM model uses the beta coefficient to measure the average level of market (systematic) risk. The study uses the Andrews test to verify the structural changes in a specified period (here: throughout the COVID-19 pandemic). The results showed structural changes caused by the COVID-19 pandemic in 56 companies, i.e. 23% of the research sample. Not all countries or industries were affected by the crisis. Large stock market capitalisation countries, like France, Germany, Belgium or Spain were impacted to a larger degree than smaller ones. The most changes were observed in the Real Estate sector, marked by the largest number of aggressive companies. The Consumer Non-Cyclical Industry, on the other hand, was the least affected sector. After the COVID-19 crisis, the average level of system</w:t>
      </w:r>
    </w:p>
    <w:p>
      <w:pPr/>
      <w:r>
        <w:rPr>
          <w:b/>
        </w:rPr>
        <w:t>POSSIBLE 2024:</w:t>
      </w:r>
      <w:r>
        <w:t xml:space="preserve"> Eco-innovation performance in the European Union economies: Perspective on outcomes — https://doi.org/10.15678/ier.2024.1003.02</w:t>
      </w:r>
    </w:p>
    <w:p>
      <w:pPr/>
      <w:r>
        <w:rPr>
          <w:b/>
        </w:rPr>
        <w:t>Shared claim-specific concepts:</w:t>
      </w:r>
      <w:r>
        <w:t xml:space="preserve"> well, all, related; EU scope visible. This is a provisional connection, not an outcome finding.</w:t>
      </w:r>
    </w:p>
    <w:p>
      <w:pPr>
        <w:pStyle w:val="SourceNote"/>
      </w:pPr>
      <w:r>
        <w:rPr>
          <w:b/>
        </w:rPr>
        <w:t>Available abstract (not full text):</w:t>
      </w:r>
      <w:r>
        <w:t xml:space="preserve">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pPr>
        <w:pStyle w:val="Heading2"/>
      </w:pPr>
      <w:r>
        <w:t>679. Exploring the Future of Universities Through Experimental Foresight</w:t>
      </w:r>
    </w:p>
    <w:p>
      <w:pPr>
        <w:pStyle w:val="SourceNote"/>
      </w:pPr>
      <w:r>
        <w:rPr>
          <w:b/>
        </w:rPr>
        <w:t>Original source (2020):</w:t>
      </w:r>
      <w:r>
        <w:t xml:space="preserve"> https://doi.org/10.1177/1946756720976714</w:t>
      </w:r>
    </w:p>
    <w:p>
      <w:pPr/>
      <w:r>
        <w:t>Original wording (abstract; indexed_source_text_not_full_document_verified): The foresight project covered two future time horizons, namely 2025 to 2030 and 2031 to 2040.</w:t>
      </w:r>
    </w:p>
    <w:p>
      <w:pPr/>
      <w:r>
        <w:rPr>
          <w:b/>
        </w:rPr>
        <w:t>POSSIBLE 2026:</w:t>
      </w:r>
      <w:r>
        <w:t xml:space="preserve"> DEVELOPMENT SCENARIOS OF COLLABORATION IN THE FIELD OF INCLUSIVE HIGHER EDUCATION BETWEEN RUSSIA AND CIS COUNTRIES: PROJECT-FORESIGHT — https://doi.org/10.36315/2026v2end012</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The study describes the results of the first round of a foresight project conducted in July 2025, aimed at identifying promising scenarios for the development of cooperation between Russia and CIS countries in the field of inclusive higher education.The research was a continuation of two preliminary pre-foresight sessions held in the spring of 2025.An expert survey, developed based on the initially formulated scenarios, was sent to experts from Russia, Belarus, Kyrgyzstan, and Uzbekistan for refinement.Experts assessed the probability of six different scenarios across three-time horizons (5, 10, and 15 years) on a five-point Likert scale and selected the most probable scenario for each time interval.The key findings of the study demonstrate cautious optimism.In the short term (5 years), the most probable scenario is recognized as the realistic "Points of Growth" scenario, characterized by parallel national initiatives with the exchange of best practices.In the medium term (10 years), preference is given to the "Points of Growth -Regional Synergy" scenario, which implies the deepening of inter-university cooperation and the emergence of regional centers.The long-term forecast (15 years) shows a divergence of opinions but a clear shift towards more optimistic and cooperative scenarios, in particular, the "International Hub -Integration through Cooperation" scenario, indicating th</w:t>
      </w:r>
    </w:p>
    <w:p>
      <w:pPr/>
      <w:r>
        <w:rPr>
          <w:b/>
        </w:rPr>
        <w:t>POSSIBLE 2026:</w:t>
      </w:r>
      <w:r>
        <w:t xml:space="preserve"> Locating Three Horizons: The History and Theory of the Method — https://doi.org/10.1007/978-3-032-19004-8_1</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The Three Horizons method has grown rapidly in use and visibility since it was first employed publicly in a United Kingdom (UK) government foresight project in 2005. It is a systems approach initially developed by Anthony Hodgson that enables people to visualise change. It has some conceptual richness involving patterns of change and the way in which time is perceived. Three Horizons proposes a transition from a current Horizon 1 to a potential Horizon 3, through a turbulent Horizon 2. Three Horizons has emerged in the futures field alongside other methods that in both theory and practice placed greater emphasis on agency. Reviewing the development of the method, the publication of Bill Sharpe’s book, Three Horizons: The Patterning of Hope , oriented Three Horizons towards preferred futures and visioning, and included methodological development around the understanding of different types of innovation, the relationship between actors in different horizons, and an ecological framing of Horizon 3. Three Horizons can be connected with a range of different methods in the futures and systems fields, and beyond, to deepen understanding of how change can happen. There is scope for further research to broaden both theoretical and practical knowledge of this.</w:t>
      </w:r>
    </w:p>
    <w:p>
      <w:pPr/>
      <w:r>
        <w:rPr>
          <w:b/>
        </w:rPr>
        <w:t>POSSIBLE 2026:</w:t>
      </w:r>
      <w:r>
        <w:t xml:space="preserve"> Navigating the Futurity Paradox: Strategic Foresight for China‘s Transition from Builder to Community Animator — https://openalex.org/W7159895713</w:t>
      </w:r>
    </w:p>
    <w:p>
      <w:pPr/>
      <w:r>
        <w:rPr>
          <w:b/>
        </w:rPr>
        <w:t>Shared claim-specific concepts:</w:t>
      </w:r>
      <w:r>
        <w:t xml:space="preserve"> foresight, project, two, horizons; EU scope not established. This is a provisional connection, not an outcome finding.</w:t>
      </w:r>
    </w:p>
    <w:p>
      <w:pPr>
        <w:pStyle w:val="SourceNote"/>
      </w:pPr>
      <w:r>
        <w:rPr>
          <w:b/>
        </w:rPr>
        <w:t>Available abstract (not full text):</w:t>
      </w:r>
      <w:r>
        <w:t xml:space="preserve"> China's commercial real estate sector is currently transitioning from the Incremental Era of rapid construction to the Stock Era of asset management. In this context, developers who previously focused on building physical spaces must now assume the role of community animators, curating operational content. This transition is hindered by the futurity paradox: a systemic conflict between executives' aspirations for long-term placemaking and the immediate, rigid pressure of debt repayment. Additionally, conventional strategic foresight tools are often too complex and time-consuming for developers experiencing acute liquidity crises. This study used an action research methodology to develop and test a lightweight strategic foresight toolkit tailored for high-pressure business environments. Data collection involved semi-structured interviews with four key decision-makers from two redevelopment projects, followed by a two-hour co-design workshop focused on a large-scale stranded asset. The workshop incorporated visual tools such as an iceberg diagnosis, a dual-perspective experience map, a scenario matrix, and a constraint-based three horizons framework. The findings indicate that these lightweight tools served effectively as boundary objects, enabling fragmented departments to align their visions without relying on complex academic theories. Beyond the immediate context, this demons</w:t>
      </w:r>
    </w:p>
    <w:p>
      <w:pPr/>
      <w:r>
        <w:rPr>
          <w:b/>
        </w:rPr>
        <w:t>POSSIBLE 2026:</w:t>
      </w:r>
      <w:r>
        <w:t xml:space="preserve"> Horizon scanning data for the future of outdoor recreation on public lands — https://doi.org/10.3886/e248960</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Horizon scanning involves searching both within and outside a topic or field of interest for signals of change. It is fundamental to strategic foresight projects and works by gathering “scan hits”: signals of potential change. Some scan hits are weak signals of change, others are strong signals; both are important to consider. This data publication includes a subset of recreation-related scan hits from the Forest Futures Horizon Scanning Project database. While the data indicate potential changes globally, the focus was changes that could have an impact on U.S. public lands over the next 30 years. The resulting data include the title and original URL (when live at time of publication) for the scan hits relevant to outdoor recreation, the tag which denotes the horizon and content tags used in the horizon scanning, and then an indication of which categories (activities, ecology related, place related, recreation management related, social related, technology related, and economy) and sub-categories the particular scan hit was coded to.</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Rethinking Urban Planning for Uncertainty: Big Picture Planning as Urban Foresight Practice — https://doi.org/10.1080/01944363.2025.2579977</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Urban planning often faces challenges stemming from legal rigidity and institutional fragmentation, which hinder its ability to address complex and uncertain future scenarios. In this Viewpoint we introduce Big Picture Planning (BPP), a dynamic bundle of strategically guided foresight plans that supplements statutory comprehensive plans across multiple time horizons. Our argument was developed in the case of Huntsville’s (AL) Big Picture. BPP consists of three actions and processes: strategy development, creation of project and theme bundles, and contextual re-evaluation and backward influence of the futures. We highlight the value of BPP in fostering flexible and adaptable project bundles. BPP recognizes the complex influences that flow between past experiences and future possibilities, acknowledges decision makers and stakeholders, and respects the diversity of urban contexts and timelines. Building on Huntsville’s Big Picture, we advance a model of overlapping timelines and varying contexts of each city component and apply theory to real-life planning settings and planning education.</w:t>
      </w:r>
    </w:p>
    <w:p>
      <w:pPr/>
      <w:r>
        <w:rPr>
          <w:b/>
        </w:rPr>
        <w:t>POSSIBLE 2025:</w:t>
      </w:r>
      <w:r>
        <w:t xml:space="preserve"> Designing Future-Ready Organizations: the role of AI and foresight in strategic project planning — https://openalex.org/W7112541196</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This thesis explores how organizations can improve their strategic planning by combining both the traditional foresight methods with modern Artificial Intelligence driven methods. The study is intended to benefit businesses and companies that face uncertainty and rapid change in their environments and need better tools for decision-making. The main development idea and task was to evaluate different foresight models and compare their strengths and weakness with different published case studies. Development task was to design an integrated framework that can guide businesses in planning for the future more effectively. The theoretical framework is based on well known methods such as VUCA, Three Horizons, and the Technology Adoption Lifecycle, with different AI methods like Predictive Analytics, Digital Twin simulations, and Generative AI. The methods in the study include literature review, comparative analysis of the models, and the secondary data from the published case studies of companies. The data is then qualitatively analyzed for these approaches. The key findings show that traditional models are strong in providing structured thinking and clarity but AI helps in adding precision, adaptability, and data driven foresight. By combining these two methods, organizations can achieve a balance between human insight and technological power. To complement the development process, </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project, two, horizons;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IOATLAS: scanning across the medical horizon — https://doi.org/10.1017/s0266462325100469</w:t>
      </w:r>
    </w:p>
    <w:p>
      <w:pPr/>
      <w:r>
        <w:rPr>
          <w:b/>
        </w:rPr>
        <w:t>Shared claim-specific concepts:</w:t>
      </w:r>
      <w:r>
        <w:t xml:space="preserve"> two, time, horizons; EU scope not established. This is a provisional connection, not an outcome finding.</w:t>
      </w:r>
    </w:p>
    <w:p>
      <w:pPr>
        <w:pStyle w:val="SourceNote"/>
      </w:pPr>
      <w:r>
        <w:rPr>
          <w:b/>
        </w:rPr>
        <w:t>Available abstract (not full text):</w:t>
      </w:r>
      <w:r>
        <w:t xml:space="preserve"> INTRODUCTION: Horizon scanning (HS) is a methodology that aims to capture signals and trends that highlight future opportunities and challenges. The National Institute for Health and Care Research (NIHR) Innovation Observatory routinely scans for medical technologies and therapeutics to inform policy and practice for healthcare in the United Kingdom (UK). To date, there is no standardized terminology for horizon scanning in healthcare. Here, we discuss the development of a data glossary and the IOAtlas web app. METHODS: We extracted data points from 4 years' worth of NIHR Innovation Observatory HS projects and collated them by technology type and descriptive family. A source repository was established by extracting a list of all sources used in NIHR Innovation Observatory briefing notes between 2017 and 2021. The repository was validated by external HS organizations and experts, and sources were then mapped to the appropriate time horizons. The glossary and repository were converted to an SQLite database format and connected to a free web app, IOAtlas. RESULTS: After de-duplication and consolidation, a total of 148 data points were included in the glossary. The source repository consists of 149 sources, with 99 percent being compliant with searching for two or more technology types. The final SQLite database contained 35 tables with 36 relationships. CONCLUSIONS: We present a d</w:t>
      </w:r>
    </w:p>
    <w:p>
      <w:pPr/>
      <w:r>
        <w:rPr>
          <w:b/>
        </w:rPr>
        <w:t>POSSIBLE 2025:</w:t>
      </w:r>
      <w:r>
        <w:t xml:space="preserve"> Online algorithms with foresight for radiotherapy patient scheduling — https://doi.org/10.1016/j.cor.2025.107132</w:t>
      </w:r>
    </w:p>
    <w:p>
      <w:pPr/>
      <w:r>
        <w:rPr>
          <w:b/>
        </w:rPr>
        <w:t>Shared claim-specific concepts:</w:t>
      </w:r>
      <w:r>
        <w:t xml:space="preserve"> foresight, two, time; EU scope not established. This is a provisional connection, not an outcome finding.</w:t>
      </w:r>
    </w:p>
    <w:p>
      <w:pPr>
        <w:pStyle w:val="SourceNote"/>
      </w:pPr>
      <w:r>
        <w:rPr>
          <w:b/>
        </w:rPr>
        <w:t>Available abstract (not full text):</w:t>
      </w:r>
      <w:r>
        <w:t xml:space="preserve"> A radiotherapy treatment consists of a given number of radiation sessions, which should start before a specified due date and have a duration that varies based on the patient category. Waiting time is the main critical issue in the management of a radiotherapy health system: the time elapsed between the first consultation and the first treatment is typically rather long and delays have the potential to damage the health status of the patients. Then, an efficient use of available linacs is crucial to ensure the success of the treatment. In this paper, we deal with a Radiotherapy Patient Scheduling (RPS) problem at the pure-online level under the blocking policy, which divides work shifts into time slots of equal duration. We propose online algorithms that enable the scheduling of a sequence of appointments for each patient, all at the same time slot each day, whenever a patient needs to commence a series of radiotherapy sessions. Considering a realistic and patient-centered operational context, the problem becomes highly challenging, even in its offline setting. We address this problem by introducing the concept of online optimisation with foresight, which is the common framework of the proposed approaches. The rationale behind foresight is to take real-time decisions under uncertainty by exploiting the partial knowledge of the optimal solution structure. A quantitative analysis</w:t>
      </w:r>
    </w:p>
    <w:p>
      <w:pPr/>
      <w:r>
        <w:rPr>
          <w:b/>
        </w:rPr>
        <w:t>POSSIBLE 2024:</w:t>
      </w:r>
      <w:r>
        <w:t xml:space="preserve"> Applying Evaluation Thinking and Practice to Foresight Evaluation — https://openalex.org/W7213478429</w:t>
      </w:r>
    </w:p>
    <w:p>
      <w:pPr/>
      <w:r>
        <w:rPr>
          <w:b/>
        </w:rPr>
        <w:t>Shared claim-specific concepts:</w:t>
      </w:r>
      <w:r>
        <w:t xml:space="preserve"> foresight, project, horizons; EU scope not established. This is a provisional connection, not an outcome finding.</w:t>
      </w:r>
    </w:p>
    <w:p>
      <w:pPr>
        <w:pStyle w:val="SourceNote"/>
      </w:pPr>
      <w:r>
        <w:rPr>
          <w:b/>
        </w:rPr>
        <w:t>Available abstract (not full text):</w:t>
      </w:r>
      <w:r>
        <w:t xml:space="preserve"> Foresight evaluation is in increasing demand as a result of the increasing use of foresight in policymaking. In many situations, evaluation of foresight projects will resemble traditional project evaluation. That said, foresight evaluation requires some modifications with respect to traditional programme evaluation, especially because of the need to address the challenges of complexity, long-time horizons, qualitative nature of the work, and largely intangible and multiple foresight outcomes. With respect to the latter, appropriate designs and methods have been developed by a dedicated group of evaluators and funders over the last 20 years, resulting in a significant body of evaluation work applicable to foresight. This paper presents evaluation theories and practices that are important to keep in mind when designing a foresight evaluation, calling out specific constructs and methods that are useful in diverse foresight settings. It is intended for evaluators and foresight practitioners with evaluation expertise and will be particularly helpful for evaluators new to foresight, helping them navigate the foresight space. For foresight practitioners with limited or no evaluation expertise, this paper will provide a detailed overview of all that evaluation has to offer or a new way of thinking.</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foresight, project, namely;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pStyle w:val="Heading2"/>
      </w:pPr>
      <w:r>
        <w:t>680. Foresight technologies of economic systems: evidence from the tourism sector of Ukraine</w:t>
      </w:r>
    </w:p>
    <w:p>
      <w:pPr>
        <w:pStyle w:val="SourceNote"/>
      </w:pPr>
      <w:r>
        <w:rPr>
          <w:b/>
        </w:rPr>
        <w:t>Original source (2020):</w:t>
      </w:r>
      <w:r>
        <w:t xml:space="preserve"> https://doi.org/10.21511/ppm.18(4).2020.25</w:t>
      </w:r>
    </w:p>
    <w:p>
      <w:pPr/>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POSSIBLE 2026:</w:t>
      </w:r>
      <w:r>
        <w:t xml:space="preserve"> Criminal Liability Arising from the Use of Artificial Intelligence Applications — https://doi.org/10.5281/zenodo.19810638</w:t>
      </w:r>
    </w:p>
    <w:p>
      <w:pPr/>
      <w:r>
        <w:rPr>
          <w:b/>
        </w:rPr>
        <w:t>Shared claim-specific concepts:</w:t>
      </w:r>
      <w:r>
        <w:t xml:space="preserve"> accordingly, questions, about, ability, use, various; EU scope not established. This is a provisional connection, not an outcome finding.</w:t>
      </w:r>
    </w:p>
    <w:p>
      <w:pPr>
        <w:pStyle w:val="SourceNote"/>
      </w:pPr>
      <w:r>
        <w:rPr>
          <w:b/>
        </w:rPr>
        <w:t>Available abstract (not full text):</w:t>
      </w:r>
      <w:r>
        <w:t xml:space="preserve">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pPr/>
      <w:r>
        <w:rPr>
          <w:b/>
        </w:rPr>
        <w:t>POSSIBLE 2026:</w:t>
      </w:r>
      <w:r>
        <w:t xml:space="preserve"> ARISE: an urban political economy-informed resilience indicator framework for south asian metropolitan cities — https://doi.org/10.3389/fenvs.2026.1889318</w:t>
      </w:r>
    </w:p>
    <w:p>
      <w:pPr/>
      <w:r>
        <w:rPr>
          <w:b/>
        </w:rPr>
        <w:t>Shared claim-specific concepts:</w:t>
      </w:r>
      <w:r>
        <w:t xml:space="preserve"> arise, experts, stage; EU scope not established. This is a provisional connection, not an outcome finding.</w:t>
      </w:r>
    </w:p>
    <w:p>
      <w:pPr>
        <w:pStyle w:val="SourceNote"/>
      </w:pPr>
      <w:r>
        <w:rPr>
          <w:b/>
        </w:rPr>
        <w:t>Available abstract (not full text):</w:t>
      </w:r>
      <w:r>
        <w:t xml:space="preserve">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pPr/>
      <w:r>
        <w:rPr>
          <w:b/>
        </w:rPr>
        <w:t>POSSIBLE 2026:</w:t>
      </w:r>
      <w:r>
        <w:t xml:space="preserve"> Criminal Liability in Crimes Arising from Generative Artificial Intelligence: Legal Challenges and Solutions — https://doi.org/10.5281/zenodo.21565934</w:t>
      </w:r>
    </w:p>
    <w:p>
      <w:pPr/>
      <w:r>
        <w:rPr>
          <w:b/>
        </w:rPr>
        <w:t>Shared claim-specific concepts:</w:t>
      </w:r>
      <w:r>
        <w:t xml:space="preserve"> accordingly, questions, use, based, method, among; EU scope not established. This is a provisional connection, not an outcome finding.</w:t>
      </w:r>
    </w:p>
    <w:p>
      <w:pPr>
        <w:pStyle w:val="SourceNote"/>
      </w:pPr>
      <w:r>
        <w:rPr>
          <w:b/>
        </w:rPr>
        <w:t>Available abstract (not full text):</w:t>
      </w:r>
      <w:r>
        <w:t xml:space="preserve">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pPr/>
      <w:r>
        <w:rPr>
          <w:b/>
        </w:rPr>
        <w:t>POSSIBLE 2026:</w:t>
      </w:r>
      <w:r>
        <w:t xml:space="preserve"> THE CHARACTERISTICS OF LOSSES ARISING FROM THE MISUSE OF DEBTORS' PERSONAL DATA IN ONLINE LENDING AGREEMENTS — https://doi.org/10.28946/lexl.v8i1.3827</w:t>
      </w:r>
    </w:p>
    <w:p>
      <w:pPr/>
      <w:r>
        <w:rPr>
          <w:b/>
        </w:rPr>
        <w:t>Shared claim-specific concepts:</w:t>
      </w:r>
      <w:r>
        <w:t xml:space="preserve"> accordingly, questions, method; EU scope not established. This is a provisional connection, not an outcome finding.</w:t>
      </w:r>
    </w:p>
    <w:p>
      <w:pPr>
        <w:pStyle w:val="SourceNote"/>
      </w:pPr>
      <w:r>
        <w:rPr>
          <w:b/>
        </w:rPr>
        <w:t>Available abstract (not full text):</w:t>
      </w:r>
      <w:r>
        <w:t xml:space="preserve">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pPr/>
      <w:r>
        <w:rPr>
          <w:b/>
        </w:rPr>
        <w:t>POSSIBLE 2026:</w:t>
      </w:r>
      <w:r>
        <w:t xml:space="preserve"> From suitability to vulnerability: A GIS-based framework for assessing environmental sensitivity of mountain tourism landscapes in the Ukrainian Carpathians — https://doi.org/10.3897/jbgs.e177296</w:t>
      </w:r>
    </w:p>
    <w:p>
      <w:pPr/>
      <w:r>
        <w:rPr>
          <w:b/>
        </w:rPr>
        <w:t>Shared claim-specific concepts:</w:t>
      </w:r>
      <w:r>
        <w:t xml:space="preserve"> ukrainian, tourism, use; EU scope not established. This is a provisional connection, not an outcome finding.</w:t>
      </w:r>
    </w:p>
    <w:p>
      <w:pPr>
        <w:pStyle w:val="SourceNote"/>
      </w:pPr>
      <w:r>
        <w:rPr>
          <w:b/>
        </w:rPr>
        <w:t>Available abstract (not full text):</w:t>
      </w:r>
      <w:r>
        <w:t xml:space="preserve"> The objective of the present study is to undertake a quantitative assessment of the spa-tial impact of tourism on natural complexes in the Carpathian region. This is achieved by employing geostatistical modelling methods. The present study deviates from con-ventional buffer methodologies insofar as it employs an integrated algorithm founded upon Kernel Density Estimation (KDE), thereby amalgamating multivariate analysis with detailed land use classification (LULC). In the analysis, each of the seven factors ̶ hydro-graphic network, relief, transport accessibility, hotels, tourist routes, land use types and nature conservation areas ̶ is standardised on a scale of 1–10 and synthesised into a single model of the vulnerability of natural landscapes to tourist pressure. The spatial integration of the factors demonstrates that areas exhibiting high and very high vul-nerability encompassed a total area of more than 310 km², constituting approximately 34% of the total area under consideration. These areas are predominantly concentrated within mountain valleys and along major transport axes. The findings demonstrate the substantial analytical superiority of KDE in comparison to buffer models, owing to its capacity to accommodate continuous impact gradients and its strong alignment with actual urbanisation patterns. The proposed approach can be applied to spatial planning for sustainabl</w:t>
      </w:r>
    </w:p>
    <w:p>
      <w:pPr/>
      <w:r>
        <w:rPr>
          <w:b/>
        </w:rPr>
        <w:t>POSSIBLE 2026:</w:t>
      </w:r>
      <w:r>
        <w:t xml:space="preserve"> TÜRKIYE’S MARITIME SECURITY POLICIES IN THE BLACK SEA IN THE CONTEXT OF THE RUSSIA–UKRAINE WAR — https://doi.org/10.33630/ausbf.1748621</w:t>
      </w:r>
    </w:p>
    <w:p>
      <w:pPr/>
      <w:r>
        <w:rPr>
          <w:b/>
        </w:rPr>
        <w:t>Shared claim-specific concepts:</w:t>
      </w:r>
      <w:r>
        <w:t xml:space="preserve"> tourism, crisis, first; EU scope not established. This is a provisional connection, not an outcome finding.</w:t>
      </w:r>
    </w:p>
    <w:p>
      <w:pPr>
        <w:pStyle w:val="SourceNote"/>
      </w:pPr>
      <w:r>
        <w:rPr>
          <w:b/>
        </w:rPr>
        <w:t>Available abstract (not full text):</w:t>
      </w:r>
      <w:r>
        <w:t xml:space="preserve"> This study aims to analyze the changing dynamics of maritime security in the Black Sea region from Türkiye’s perspective in the aftermath of the Russia-Ukraine war, focusing on the conflict’s impact on sectors such as energy, trade, tourism, and irregular migration. The study first evaluates the historical evolution and theoretical framework of the concept of maritime security, then examines the strategic significance of the Black Sea, regional power balances, and Türkiye’s historical role in the region. Türkiye’s maritime trade volume, energy transportation routes, tourism flows, and capacity to cope with asymmetric threats are analyzed comparatively through pre-war and post-war data. The findings reveal that Türkiye has maintained its stability in maritime security within the framework of the Montreux regime, preserved its control over energy routes and the straits, and continued to serve as a regional deterrent through NATO-aligned security cooperation. Moreover, it is observed that asymmetric threats such as irregular migration and piracy have had a limited impact in the Black Sea, and no dramatic changes have occurred in overall security dynamics. In this context, the study demonstrates that Türkiye continues to implement a multidimensional security approach in the Black Sea and remains a stabilizing actor capable of maintaining regional balance even during periods of cris</w:t>
      </w:r>
    </w:p>
    <w:p>
      <w:pPr/>
      <w:r>
        <w:rPr>
          <w:b/>
        </w:rPr>
        <w:t>POSSIBLE 2026:</w:t>
      </w:r>
      <w:r>
        <w:t xml:space="preserve"> Surviving the storm: A bibliometric analysis of crisis marketing in tourism — https://doi.org/10.1007/s43546-026-01277-4</w:t>
      </w:r>
    </w:p>
    <w:p>
      <w:pPr/>
      <w:r>
        <w:rPr>
          <w:b/>
        </w:rPr>
        <w:t>Shared claim-specific concepts:</w:t>
      </w:r>
      <w:r>
        <w:t xml:space="preserve"> tourism, crisis, recovery; EU scope not established. This is a provisional connection, not an outcome finding.</w:t>
      </w:r>
    </w:p>
    <w:p>
      <w:pPr>
        <w:pStyle w:val="SourceNote"/>
      </w:pPr>
      <w:r>
        <w:rPr>
          <w:b/>
        </w:rPr>
        <w:t>Available abstract (not full text):</w:t>
      </w:r>
      <w:r>
        <w:t xml:space="preserve"> The tourism and hospitality industry is inherently vulnerable to crises triggered by health emergencies, economic shocks, natural disasters, and geopolitical instability. While extensive research has addressed crisis management, the marketing dimension of crisis response, referred to here as crisis marketing, has accumulated a substantial empirical base yet remains conceptually fragmented and lacking in definitional consensus. Using Biblioshiny interface of the R Bibliometrix package, the study presents a bibliometric analysis of 253 Scopus-indexed publications from 1991 to 2025 to map the intellectual evolution, thematic structure, and emerging themes of crisis marketing in tourism and hospitality. The analysis identifies key authors, institutions, and journals shaping the field, highlights major conceptual clusters, and traces thematic shifts. The findings highlight the growing scholarly attention to crisis marketing as a rapidly growing body of research in tourism, particularly in response to disruptions such as pandemics, natural disasters, and geopolitical events. Rather than establishing crisis marketing as a fully distinct theoretical domain, this study provides a systematic empirical mapping that reveals the thematic structure of the field and identifies opportunities for future conceptual development. To move beyond description, the study also proposes a two-dimensiona</w:t>
      </w:r>
    </w:p>
    <w:p>
      <w:pPr/>
      <w:r>
        <w:rPr>
          <w:b/>
        </w:rPr>
        <w:t>POSSIBLE 2026:</w:t>
      </w:r>
      <w:r>
        <w:t xml:space="preserve"> Emerging Questions in AI Welfare — https://doi.org/10.1017/9781009732000</w:t>
      </w:r>
    </w:p>
    <w:p>
      <w:pPr/>
      <w:r>
        <w:rPr>
          <w:b/>
        </w:rPr>
        <w:t>Shared claim-specific concepts:</w:t>
      </w:r>
      <w:r>
        <w:t xml:space="preserve"> questions, arise, about; EU scope not established. This is a provisional connection, not an outcome finding.</w:t>
      </w:r>
    </w:p>
    <w:p>
      <w:pPr>
        <w:pStyle w:val="SourceNote"/>
      </w:pPr>
      <w:r>
        <w:rPr>
          <w:b/>
        </w:rPr>
        <w:t>Available abstract (not full text):</w:t>
      </w:r>
      <w:r>
        <w:t xml:space="preserve"> This Element investigates whether artificial intelligence (AI) systems could ever be welfare subjects. Some people argue that AIs could plausibly have or soon have features such as consciousness, agency and the capacity for social relationships, which could provide a basis for AI welfare. These arguments have massive significance for the societal conversation on AI, raising profound ethical and political questions about what if anything we owe to these new technologies. The authors here provide the philosophical groundwork for a scientific, philosophical and ultimately democratic inquiry into the potential for AI welfare, addressing key questions that cut across different arguments: what welfare is, how to interpret behavioural evidence of AI welfare, what kinds of entities might qualify as candidate AI welfare subjects, the potential grounds for welfare in AI and the practical ethical challenges that arise from our uncertainty. This title is also available as open access on Cambridge Core.</w:t>
      </w:r>
    </w:p>
    <w:p>
      <w:pPr/>
      <w:r>
        <w:rPr>
          <w:b/>
        </w:rPr>
        <w:t>POSSIBLE 2026:</w:t>
      </w:r>
      <w:r>
        <w:t xml:space="preserve"> ARISE: Augmented Reality Integrated Student Environment — https://doi.org/10.65521/mjret.v13i1.2627</w:t>
      </w:r>
    </w:p>
    <w:p>
      <w:pPr/>
      <w:r>
        <w:rPr>
          <w:b/>
        </w:rPr>
        <w:t>Shared claim-specific concepts:</w:t>
      </w:r>
      <w:r>
        <w:t xml:space="preserve"> arise, based, various; EU scope not established. This is a provisional connection, not an outcome finding.</w:t>
      </w:r>
    </w:p>
    <w:p>
      <w:pPr>
        <w:pStyle w:val="SourceNote"/>
      </w:pPr>
      <w:r>
        <w:rPr>
          <w:b/>
        </w:rPr>
        <w:t>Available abstract (not full text):</w:t>
      </w:r>
      <w:r>
        <w:t xml:space="preserve"> ARISE, a total education platform, incorporates artificial intelligence and gamification to offer personalized learning experiences and engages students in a meaningful way. ARISE tackles critical issues in today’s schooling system such as decreasing student participation, universal teaching, and minimal access to various instructional modes. The features of the platform are a gamified dashboard with streaks, leaderboards, coins to reward and monetisation, Google Classroom integration for task management, Smart Meet Notes, via which notes get converted to transcripts, AI Visualiser for 3D animated explanation of concepts, AI Notes allowing podcasts, quizzes to be generated, AI Mentor offering real-time voice call help, AR Hub to see 3D models through AR for understanding concepts better.ARISE fuses artificial intelligence’s personalized learning and gamification into one ecosystem. It draws on literature showing that both are effective educators. The platform uses multiple AIs. For example, it has Gemini AI that processes content, ElevenLabs for a natural voice that reads the content and machine-learning algorithms that help in content delivery as per the user. ARISE uses many ways you might learn. This includes how you see, hear, and interact with different objects. There are also game features that keep you engaged. Theoretical foundations that support all features and implem</w:t>
      </w:r>
    </w:p>
    <w:p>
      <w:pPr/>
      <w:r>
        <w:rPr>
          <w:b/>
        </w:rPr>
        <w:t>POSSIBLE 2026:</w:t>
      </w:r>
      <w:r>
        <w:t xml:space="preserve"> Kant’s Casuistical Questions — https://doi.org/10.25894/jmp.2701</w:t>
      </w:r>
    </w:p>
    <w:p>
      <w:pPr/>
      <w:r>
        <w:rPr>
          <w:b/>
        </w:rPr>
        <w:t>Shared claim-specific concepts:</w:t>
      </w:r>
      <w:r>
        <w:t xml:space="preserve"> questions, about, first; EU scope not established. This is a provisional connection, not an outcome finding.</w:t>
      </w:r>
    </w:p>
    <w:p>
      <w:pPr>
        <w:pStyle w:val="SourceNote"/>
      </w:pPr>
      <w:r>
        <w:rPr>
          <w:b/>
        </w:rPr>
        <w:t>Available abstract (not full text):</w:t>
      </w:r>
      <w:r>
        <w:t xml:space="preserve"> After each of his discussions of specific ethical duties in the Doctrine of Virtue, Kant adds small sections entitled ‘Casuistical questions’. These questions have received little attention so far, and existing discussions strikingly disagree about their purpose. In this article, I argue that locating Kant’s conception of moral philosophy within a longstanding tradition of ethical reflection—one aimed at shaping human character and freeing us from our own forms of self-entrapment—helps us understand the point of the discussion of casuistical questions. On my proposed reading, the casuistical questions articulate exemplary instances of the sort of moral difficulties that human beings face, which can be traced to certain sources. Like in the practice of a therapist, the first part of dealing with these difficulties lies in achieving an understanding of their origins, which, in turn, moves us closer to overcoming them.</w:t>
      </w:r>
    </w:p>
    <w:p>
      <w:pPr/>
      <w:r>
        <w:rPr>
          <w:b/>
        </w:rPr>
        <w:t>POSSIBLE 2026:</w:t>
      </w:r>
      <w:r>
        <w:t xml:space="preserve"> The Reading Question Method — https://doi.org/10.5840/teachphil2026225238</w:t>
      </w:r>
    </w:p>
    <w:p>
      <w:pPr/>
      <w:r>
        <w:rPr>
          <w:b/>
        </w:rPr>
        <w:t>Shared claim-specific concepts:</w:t>
      </w:r>
      <w:r>
        <w:t xml:space="preserve"> questions, about, use, based, method; EU scope not established. This is a provisional connection, not an outcome finding.</w:t>
      </w:r>
    </w:p>
    <w:p>
      <w:pPr>
        <w:pStyle w:val="SourceNote"/>
      </w:pPr>
      <w:r>
        <w:rPr>
          <w:b/>
        </w:rPr>
        <w:t>Available abstract (not full text):</w:t>
      </w:r>
      <w:r>
        <w:t xml:space="preserve"> I propose assigning one “reading question” at the end of each class—based on next lecture’s assigned reading—to encourage undergraduates in philosophy classes to do the reading. From the outset, students are told about the reading question (RQ) method: RQs are due at the beginning of lecture, but students don’t know whether a given reading question will be graded until after it is due. RQs for only about half the lectures are arbitrarily selected for grading, and word limits are imposed for student answers, to ease the grading load. To discourage generative AI use, I offer several measures ranging from moderate to drastic, the latter including students answering RQs by hand in class. I will also respond to two objections: that instructors should just leave reading to the students instead of micromanaging them, and that the RQ method is unfair to those who answered reading questions not selected for grading.</w:t>
      </w:r>
    </w:p>
    <w:p>
      <w:pPr/>
      <w:r>
        <w:rPr>
          <w:b/>
        </w:rPr>
        <w:t>POSSIBLE 2026:</w:t>
      </w:r>
      <w:r>
        <w:t xml:space="preserve"> Alternative Tourism Opportunities: Analysis of the Potential of Business Tourism in Azerbaijan — https://doi.org/10.58768/joinntt.1931077</w:t>
      </w:r>
    </w:p>
    <w:p>
      <w:pPr/>
      <w:r>
        <w:rPr>
          <w:b/>
        </w:rPr>
        <w:t>Shared claim-specific concepts:</w:t>
      </w:r>
      <w:r>
        <w:t xml:space="preserve"> tourism, sector, among; EU scope not established. This is a provisional connection, not an outcome finding.</w:t>
      </w:r>
    </w:p>
    <w:p>
      <w:pPr>
        <w:pStyle w:val="SourceNote"/>
      </w:pPr>
      <w:r>
        <w:rPr>
          <w:b/>
        </w:rPr>
        <w:t>Available abstract (not full text):</w:t>
      </w:r>
      <w:r>
        <w:t xml:space="preserve"> In an increasingly globalized world, the tourism sector plays a strategic role in national economic development, while alternative forms of tourism have gained growing prominence beyond conventional leisure travel. Among these, business tourism stands out as a significant segment offering destinations a competitive advantage through its high revenue potential and positive contribution to destination image. The successful hosting of large-scale international events in Azerbaijan — including COP29, Formula 1, and the CIS Games — demonstrates the countrys considerable business tourism potential. Azerbaijans strategic position at the East–West transport corridor intersection, developing MICE infrastructure, and accumulated event experience establish it as an emerging regional destination and form the primary focus of this study. The limited number of comprehensive, strategy-oriented studies addressing Azerbaijans business tourism potential constitutes the principal motivation for this research. This study examines business tourism through the dimensions of economic and environmental sustainability and destination competitiveness — encompassing infrastructure, human capital, and event experience — employing an integrated SWOT–TOWS framework that moves beyond situational description to enable actionable strategy generation, thereby constituting the studys original contribution. Withi</w:t>
      </w:r>
    </w:p>
    <w:p>
      <w:pPr>
        <w:pStyle w:val="Heading2"/>
      </w:pPr>
      <w:r>
        <w:t>681. Future transitions for the Bioeconomy towards Sustainable Development and a Climate-Neutral Economy - Knowledge Synthesis Final Report: WP1 - Knowledge synthesis and foresight</w:t>
      </w:r>
    </w:p>
    <w:p>
      <w:pPr>
        <w:pStyle w:val="SourceNote"/>
      </w:pPr>
      <w:r>
        <w:rPr>
          <w:b/>
        </w:rPr>
        <w:t>Original source (2020):</w:t>
      </w:r>
      <w:r>
        <w:t xml:space="preserve"> https://doi.org/10.2760/667966</w:t>
      </w:r>
    </w:p>
    <w:p>
      <w:pPr/>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enough, contribute, well, only, but;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D6.4 European Citizen Science sustainability and exploitation plan — https://doi.org/10.5281/zenodo.20490032</w:t>
      </w:r>
    </w:p>
    <w:p>
      <w:pPr/>
      <w:r>
        <w:rPr>
          <w:b/>
        </w:rPr>
        <w:t>Shared claim-specific concepts:</w:t>
      </w:r>
      <w:r>
        <w:t xml:space="preserve"> enough, sustainable, all, beyond, ensure, not; EU scope visible. This is a provisional connection, not an outcome finding.</w:t>
      </w:r>
    </w:p>
    <w:p>
      <w:pPr>
        <w:pStyle w:val="SourceNote"/>
      </w:pPr>
      <w:r>
        <w:rPr>
          <w:b/>
        </w:rPr>
        <w:t>Available abstract (not full text):</w:t>
      </w:r>
      <w:r>
        <w:t xml:space="preserve"> This deliverable presents the exploitation plan and business model, developed within Task 6.4 of the European Citizen Science (ECS) project. During this process the European Citizen Science Academy (ECS Academy) was identified as one of the key resources with exploitation potential and thus selected as the core element of the business plan presented in this deliverable. At the end of the ECS project the coordinator, the European Citizen Science Association (ECSA), will take over the management responsibility and long term maintenance of this ECS Academy. This deliverable serves both as a practical handover document and a strategic roadmap. It defines a clear and actionable path toward establishing a sustainable, high-impact European training and learning hub for citizen science —rooted in openness, professionalisation, and long-term value creation for the community. The sections below outline in detail the strategy under which a wide range of ideas for services and revenue streams were generated, tested, and consolidated and finally translated into a structured business model and a detailed business plan. At the heart of the proposed model stands the Optimal Technical Environment (OTE) – a scalable, integrated platform architecture that enables professional service delivery, sustainable revenue generation, and improved user experience. A minimal viable product (MVP) was also de</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sustainable, well, but;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Unequal access to cardiovascular care: learning from European experience — https://doi.org/10.1093/eurheartj/ehaf1106</w:t>
      </w:r>
    </w:p>
    <w:p>
      <w:pPr/>
      <w:r>
        <w:rPr>
          <w:b/>
        </w:rPr>
        <w:t>Shared claim-specific concepts:</w:t>
      </w:r>
      <w:r>
        <w:t xml:space="preserve"> enough, contribute, all, beyond, ensure, not; EU scope visible. This is a provisional connection, not an outcome finding.</w:t>
      </w:r>
    </w:p>
    <w:p>
      <w:pPr>
        <w:pStyle w:val="SourceNote"/>
      </w:pPr>
      <w:r>
        <w:rPr>
          <w:b/>
        </w:rPr>
        <w:t>Available abstract (not full text):</w:t>
      </w:r>
      <w:r>
        <w:t xml:space="preserve"> Despite Europe’s commitment to universal healthcare, cardiovascular outcomes remain deeply unequal across countries, regions, and social groups. Learning from national reforms and shared data initiatives offers a path towards a fairer future for all Europeans. Europe’s health systems are founded on the principle of universal access. Yet across the continent, inequalities in cardiovascular disease (CVD) prevention and care persist. Differences in income, education, geography, sex, and ethnicity continue to determine who lives and who dies from heart disease. Data from The Lancet Regional Health—Europe Series on Inequalities and Disparities in Cardiovascular Health reveal that premature deaths from ischaemic heart disease remain up to three times higher in some Central and Eastern European countries compared with Western Europe.1 Women, too, continue to face disproportionate risks even in nations with advanced healthcare systems.2 ‘Universal coverage is not synonymous with universal access,’ notes recent discussions. ‘It is not enough to offer care free at the point of delivery if structural, cultural, and social barriers prevent timely use’.3 The European map of cardiovascular mortality shows persistent north–south and east–west divides (Figure 1). South-Western European countries such as France and Portugal have achieved steady declines in mortality through strong prevention, e</w:t>
      </w:r>
    </w:p>
    <w:p>
      <w:pPr/>
      <w:r>
        <w:rPr>
          <w:b/>
        </w:rPr>
        <w:t>POSSIBLE 2026:</w:t>
      </w:r>
      <w:r>
        <w:t xml:space="preserve"> Who Wrote It Is Not Enough: Detecting Who Contributed the Insight — https://doi.org/10.48550/arxiv.2610.07365</w:t>
      </w:r>
    </w:p>
    <w:p>
      <w:pPr/>
      <w:r>
        <w:rPr>
          <w:b/>
        </w:rPr>
        <w:t>Shared claim-specific concepts:</w:t>
      </w:r>
      <w:r>
        <w:t xml:space="preserve"> enough, beyond, not; EU scope not established. This is a provisional connection, not an outcome finding.</w:t>
      </w:r>
    </w:p>
    <w:p>
      <w:pPr>
        <w:pStyle w:val="SourceNote"/>
      </w:pPr>
      <w:r>
        <w:rPr>
          <w:b/>
        </w:rPr>
        <w:t>Available abstract (not full text):</w:t>
      </w:r>
      <w:r>
        <w:t xml:space="preserve"> As LLMs increasingly assist scientific writing and peer review, detecting who wrote the text is no longer sufficient: we need to determine who contributed the underlying insight. We introduce Insight Provenance, the task of identifying whether a review insight originates from a human, an LLM, or their hybrid contribution. We construct InsightProv-v0 from 4,057 scientific papers and 12,660 human reviews, simulating different levels of LLM involvement with GPT-4o, Gemini, and DeepSeek and annotating provenance at the sentence level. We show that strong performance on raw data can be misleading, as models exploit linguistic and textual-authorship shortcuts that degrade substantially under progressively debiased evaluation. We therefore propose a two-stage adversarial framework that suppresses shortcut signals while preserving provenance-relevant information. Beyond detection, extensive analyses reveal what makes intellectual authorship identifiable: paper grounding and neighboring review context provide complementary provenance signals, while human, hybrid, and AI insights systematically differ in their information sources and failure modes. Most strikingly, AI insights predominantly remain close to generic or paper-provided information, whereas human insights more often introduce external knowledge and independent judgment. These findings suggest that while wording can be rewritt</w:t>
      </w:r>
    </w:p>
    <w:p>
      <w:pPr/>
      <w:r>
        <w:rPr>
          <w:b/>
        </w:rPr>
        <w:t>POSSIBLE 2026:</w:t>
      </w:r>
      <w:r>
        <w:t xml:space="preserve"> The economic sustainability of farmers’ markets in Europe — https://doi.org/10.1007/s43621-026-04012-z</w:t>
      </w:r>
    </w:p>
    <w:p>
      <w:pPr/>
      <w:r>
        <w:rPr>
          <w:b/>
        </w:rPr>
        <w:t>Shared claim-specific concepts:</w:t>
      </w:r>
      <w:r>
        <w:t xml:space="preserve"> contribute, not;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2025:</w:t>
      </w:r>
      <w:r>
        <w:t xml:space="preserve"> Was there a notion of ‘enough’ in the European Green Deal? Sufficiency in the European Union’s sustainability discourse — https://doi.org/10.1108/sampj-10-2024-1103</w:t>
      </w:r>
    </w:p>
    <w:p>
      <w:pPr/>
      <w:r>
        <w:rPr>
          <w:b/>
        </w:rPr>
        <w:t>Shared claim-specific concepts:</w:t>
      </w:r>
      <w:r>
        <w:t xml:space="preserve"> there, enough, sustainable, not, but; EU scope visible. This is a provisional connection, not an outcome finding.</w:t>
      </w:r>
    </w:p>
    <w:p>
      <w:pPr>
        <w:pStyle w:val="SourceNote"/>
      </w:pPr>
      <w:r>
        <w:rPr>
          <w:b/>
        </w:rPr>
        <w:t>Available abstract (not full text):</w:t>
      </w:r>
      <w:r>
        <w:t xml:space="preserve">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pPr/>
      <w:r>
        <w:rPr>
          <w:b/>
        </w:rPr>
        <w:t>POSSIBLE 2025:</w:t>
      </w:r>
      <w:r>
        <w:t xml:space="preserve"> Feasible solutions for sustainable diets with adequate protein intake : modelling diets for the Netherlands and Europe — https://doi.org/10.18174/681865</w:t>
      </w:r>
    </w:p>
    <w:p>
      <w:pPr/>
      <w:r>
        <w:rPr>
          <w:b/>
        </w:rPr>
        <w:t>Shared claim-specific concepts:</w:t>
      </w:r>
      <w:r>
        <w:t xml:space="preserve"> enough, sustainable, but, sustainably; EU scope visible. This is a provisional connection, not an outcome finding.</w:t>
      </w:r>
    </w:p>
    <w:p>
      <w:pPr>
        <w:pStyle w:val="SourceNote"/>
      </w:pPr>
      <w:r>
        <w:rPr>
          <w:b/>
        </w:rPr>
        <w:t>Available abstract (not full text):</w:t>
      </w:r>
      <w:r>
        <w:t xml:space="preserve">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pPr/>
      <w:r>
        <w:rPr>
          <w:b/>
        </w:rPr>
        <w:t>POSSIBLE 2025:</w:t>
      </w:r>
      <w:r>
        <w:t xml:space="preserve"> Assessment of sustainable development in selected countries of Southeast Europe — https://doi.org/10.5937/ekonomika2502073m</w:t>
      </w:r>
    </w:p>
    <w:p>
      <w:pPr/>
      <w:r>
        <w:rPr>
          <w:b/>
        </w:rPr>
        <w:t>Shared claim-specific concepts:</w:t>
      </w:r>
      <w:r>
        <w:t xml:space="preserve"> enough, sustainable, well, not, only; EU scope visible. This is a provisional connection, not an outcome finding.</w:t>
      </w:r>
    </w:p>
    <w:p>
      <w:pPr>
        <w:pStyle w:val="SourceNote"/>
      </w:pPr>
      <w:r>
        <w:rPr>
          <w:b/>
        </w:rPr>
        <w:t>Available abstract (not full text):</w:t>
      </w:r>
      <w:r>
        <w:t xml:space="preserve">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pPr/>
      <w:r>
        <w:rPr>
          <w:b/>
        </w:rPr>
        <w:t>POSSIBLE 2025:</w:t>
      </w:r>
      <w:r>
        <w:t xml:space="preserve"> The Sustainable Investment Gap in Europe: Implications for Digital Finance — https://doi.org/10.62036/isd.2025.143</w:t>
      </w:r>
    </w:p>
    <w:p>
      <w:pPr/>
      <w:r>
        <w:rPr>
          <w:b/>
        </w:rPr>
        <w:t>Shared claim-specific concepts:</w:t>
      </w:r>
      <w:r>
        <w:t xml:space="preserve"> enough, sustainable, not, but; EU scope visible. This is a provisional connection, not an outcome finding.</w:t>
      </w:r>
    </w:p>
    <w:p>
      <w:pPr>
        <w:pStyle w:val="SourceNote"/>
      </w:pPr>
      <w:r>
        <w:rPr>
          <w:b/>
        </w:rPr>
        <w:t>Available abstract (not full text):</w:t>
      </w:r>
      <w:r>
        <w:t xml:space="preserve">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pPr/>
      <w:r>
        <w:rPr>
          <w:b/>
        </w:rPr>
        <w:t>POSSIBLE 2025:</w:t>
      </w:r>
      <w:r>
        <w:t xml:space="preserve"> 9.Y.2. PechaKucha: Food Insecurity, Nutrition and Health – a growing challenge in Europe — https://doi.org/10.1093/eurpub/ckaf161.807</w:t>
      </w:r>
    </w:p>
    <w:p>
      <w:pPr/>
      <w:r>
        <w:rPr>
          <w:b/>
        </w:rPr>
        <w:t>Shared claim-specific concepts:</w:t>
      </w:r>
      <w:r>
        <w:t xml:space="preserve"> there, enough, contribute, all, well, ensure; EU scope visible. This is a provisional connection, not an outcome finding.</w:t>
      </w:r>
    </w:p>
    <w:p>
      <w:pPr>
        <w:pStyle w:val="SourceNote"/>
      </w:pPr>
      <w:r>
        <w:rPr>
          <w:b/>
        </w:rPr>
        <w:t>Available abstract (not full text):</w:t>
      </w:r>
      <w:r>
        <w:t xml:space="preserve"> Abstract Food Insecurity (FIS) is a state of “not having access by all people at all times to enough food for an active, healthy life”. Traditionally, FIS has been linked to low-income countries and to malnutrition, but FIS is also increasing in high-income setting. Even in countries, where social welfare systems are designed to protect people from poverty and ensure well-being across the life course, the persistence of FIS presents a striking paradox. Whilst intimately intertwined with poverty, low income is not the sole factor determining FIS. Also, the type of work is related to FIS, e.g., if there are limitations in having a proper lunch during the working hours. Further, structural factors such as rising food costs, displacement, and support system gaps contribute to food insecurity among populations presumed protected by welfare systems. This session invites critical dialogue on the structural roots of food insecurity and the limitations of current welfare systems. This presentation demonstrates how, despite apparent prosperity and comprehensive protections, many individuals and families experience food shortages or anxiety about accessing nutritious food. Results from recent studies examining food insecurity across multiple vulnerable groups-including low-income service workers, families with children, and Ukrainian refugees will be presented. Additionally, the coping st</w:t>
      </w:r>
    </w:p>
    <w:p>
      <w:pPr/>
      <w:r>
        <w:rPr>
          <w:b/>
        </w:rPr>
        <w:t>POSSIBLE 2025:</w:t>
      </w:r>
      <w:r>
        <w:t xml:space="preserve"> European Integration and Customs Union — https://doi.org/10.12681/icib.8148</w:t>
      </w:r>
    </w:p>
    <w:p>
      <w:pPr/>
      <w:r>
        <w:rPr>
          <w:b/>
        </w:rPr>
        <w:t>Shared claim-specific concepts:</w:t>
      </w:r>
      <w:r>
        <w:t xml:space="preserve"> there, enough, all, well, not, but; EU scope visible. This is a provisional connection, not an outcome finding.</w:t>
      </w:r>
    </w:p>
    <w:p>
      <w:pPr>
        <w:pStyle w:val="SourceNote"/>
      </w:pPr>
      <w:r>
        <w:rPr>
          <w:b/>
        </w:rPr>
        <w:t>Available abstract (not full text):</w:t>
      </w:r>
      <w:r>
        <w:t xml:space="preserve"> In this paper we examine the European economic integration, which is considered particularly important, as it has progressed, to a large extent, affecting the functioning of both the national economies of the member states and the wider European, as well as the global economy. In addition, the study of European economic integration is particularly useful for understanding the course of the European project, as the field of economics played a catalytic role in the broader effort to expand and deepen the integration process (Maraveyas &amp; Katsikas, 2016). A customs union is a stage of multinational integration, in which the members undertake by treaty, on the one hand, the obligation not to impose on trade between them any customs duty or tax having an analogous effect and no quantitative restriction, but also the obligation to apply a common customs tariff in their relations with third countries (Tsinisizelis, 1995). Moreover, in the customs union, free movement applies to all products, of any origin, which entails the abolition of customs controls at internal borders. The good results of the customs union contributed to the completion of the common market and now there is no need for customs formalities for intra-European trade and all the complicated administrative documents have been abolished. In order to create a real customs union, it is not enough to have a common customs t</w:t>
      </w:r>
    </w:p>
    <w:p>
      <w:pPr>
        <w:pStyle w:val="Heading2"/>
      </w:pPr>
      <w:r>
        <w:t>682. How photovoltaics can contribute to GHG emission reductions of 55% in the EU by 2030</w:t>
      </w:r>
    </w:p>
    <w:p>
      <w:pPr>
        <w:pStyle w:val="SourceNote"/>
      </w:pPr>
      <w:r>
        <w:rPr>
          <w:b/>
        </w:rPr>
        <w:t>Original source (2020):</w:t>
      </w:r>
      <w:r>
        <w:t xml:space="preserve"> https://doi.org/10.1016/j.rser.2020.109836</w:t>
      </w:r>
    </w:p>
    <w:p>
      <w:pPr/>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specifically, based;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emissions, role, based;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GHG emissions of all world countries — https://doi.org/10.2760/7717504</w:t>
      </w:r>
    </w:p>
    <w:p>
      <w:pPr/>
      <w:r>
        <w:rPr>
          <w:b/>
        </w:rPr>
        <w:t>Shared claim-specific concepts:</w:t>
      </w:r>
      <w:r>
        <w:t xml:space="preserve"> ghg, emissions, based;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Climate Ambition in the 2023 IMO GHG Strategy — https://doi.org/10.1007/978-3-032-15904-5_4</w:t>
      </w:r>
    </w:p>
    <w:p>
      <w:pPr/>
      <w:r>
        <w:rPr>
          <w:b/>
        </w:rPr>
        <w:t>Shared claim-specific concepts:</w:t>
      </w:r>
      <w:r>
        <w:t xml:space="preserve"> ghg, emissions, reduction, strategy, climate; EU scope not established. This is a provisional connection, not an outcome finding.</w:t>
      </w:r>
    </w:p>
    <w:p>
      <w:pPr>
        <w:pStyle w:val="SourceNote"/>
      </w:pPr>
      <w:r>
        <w:rPr>
          <w:b/>
        </w:rPr>
        <w:t>Available abstract (not full text):</w:t>
      </w:r>
      <w:r>
        <w:t xml:space="preserve"> In July 2023, the Marine Environment Protection Committee (MEPC) of the International Maritime Organization (IMO) reached an agreement on the 2023 IMO Strategy on Reduction of GHG Emissions from Ships (2023 IMO GHG Strategy). This Chapter provides an analysis of the 2023 IMO GHG Strategy, focusing primarily on its climate ambition levels and indicative checkpoints and their relevance for the decarbonization of international shipping and addressing pollution from ships more broadly. The Chapter argues that overall, despite failing to align with the 1.5 °C temperature target that many stakeholders rooted for, the 2023 IMO GHG Strategy is a significant step forward for the decarbonization of international maritime transport.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Price Comparison of E-Methanol and E-Ammonia and an Assessment of Their GHG Impacts in Chile — https://openalex.org/W7162155374</w:t>
      </w:r>
    </w:p>
    <w:p>
      <w:pPr/>
      <w:r>
        <w:rPr>
          <w:b/>
        </w:rPr>
        <w:t>Shared claim-specific concepts:</w:t>
      </w:r>
      <w:r>
        <w:t xml:space="preserve"> reach, ghg, emissions, based, energy, climate; EU scope not established. This is a provisional connection, not an outcome finding.</w:t>
      </w:r>
    </w:p>
    <w:p>
      <w:pPr>
        <w:pStyle w:val="SourceNote"/>
      </w:pPr>
      <w:r>
        <w:rPr>
          <w:b/>
        </w:rPr>
        <w:t>Available abstract (not full text):</w:t>
      </w:r>
      <w:r>
        <w:t xml:space="preserve"> Ammonia is predicted to replace fossil fuels in challenging applications and serve as an energy carrier for renewable energy in transportation. Current demand for ammonia stands at 185 million tons per year and is expected to reach 688 million tons per year by 2050. Of this, the shipping sector is projected to account for 197 to 245 million tonnes annually. Methanol is viewed as a better alternative in the near term, as its handling and technology are already commercially available. Current global demand for methanol is between 110 to 120 million tons per year, with shipping’s consumption being very small but growing rapidly. To reduce the use of fossil raw materials and carbon dioxide emissions from the production of ammonia and methanol, the production of e fuels is needed. The purpose of this study is to identify and analyze the price difference between e ammonia and e methanol. The climate impact of the fuels is also analyzed with a focus on Chile. This study is a literature review focusing on future estimated prices, with conclusions based on the results. It begins with a general overview of ammonia and methanol. Production methods and access to affordable raw materials such as renewable energy are the primary factors influencing both the price and the feasibility of producing efuels. The LCOF calculations indicate that the total production cost of eammonia in the Volta pr</w:t>
      </w:r>
    </w:p>
    <w:p>
      <w:pPr/>
      <w:r>
        <w:rPr>
          <w:b/>
        </w:rPr>
        <w:t>POSSIBLE 2026:</w:t>
      </w:r>
      <w:r>
        <w:t xml:space="preserve"> Effect of carbon availability, phosphorus, and water soil content on GHG emissions: insights from a soil incubation study — https://doi.org/10.3389/fsoil.2026.1831361</w:t>
      </w:r>
    </w:p>
    <w:p>
      <w:pPr/>
      <w:r>
        <w:rPr>
          <w:b/>
        </w:rPr>
        <w:t>Shared claim-specific concepts:</w:t>
      </w:r>
      <w:r>
        <w:t xml:space="preserve"> ghg, emissions, cumulative, capacity; EU scope not established. This is a provisional connection, not an outcome finding.</w:t>
      </w:r>
    </w:p>
    <w:p>
      <w:pPr>
        <w:pStyle w:val="SourceNote"/>
      </w:pPr>
      <w:r>
        <w:rPr>
          <w:b/>
        </w:rPr>
        <w:t>Available abstract (not full text):</w:t>
      </w:r>
      <w:r>
        <w:t xml:space="preserve"> Bio-Based Fertilisers (BBFs) derived from nutrient recovery are increasingly promoted as sustainable alternatives to synthetic inputs. However, their effects on greenhouse gas (GHG) emissions remain poorly understood, especially how carbon quality interacts with phosphorus (P) availability and soil moisture to influence CO 2 , N 2 O, and CH 4 fluxes. A 28-day incubation experiment was conducted using a low-phosphorus agricultural sandy loam soil amended with two pig slurry–derived BBFs that differ in carbon lability: a labile liquid fraction (MFR) and a more recalcitrant solid fraction (BIO). Treatments were applied with or without mineral phosphorus addition and incubated at 55%, 70%, and 85% water-holding capacity. The results showed that carbon quality was the main factor affecting microbial respiration. Labile amendments boosted cumulative CO 2 emissions four- to fivefold compared to recalcitrant or unamended soils, reaching up to 18 g C–CO 2 m - ² under intermediate moisture with P addition. In contrast, several treatments with recalcitrant or no added carbon acted as net N 2 O sinks at high moisture levels, with cumulative fluxes ranging from −400 to −900 mg N 2 O–N m - ². Methane emissions remained consistently positive and showed no significant response to carbon type or P addition, indicating that methanogenic activity was not strongly promoted under the experimental c</w:t>
      </w:r>
    </w:p>
    <w:p>
      <w:pPr/>
      <w:r>
        <w:rPr>
          <w:b/>
        </w:rPr>
        <w:t>POSSIBLE 2026:</w:t>
      </w:r>
      <w:r>
        <w:t xml:space="preserve"> Integrated simulation of forest dynamics and bioenergy utilization for GHG mitigation: A case study of Hyogo prefecture, Japan — https://doi.org/10.1016/j.biombioe.2026.110146</w:t>
      </w:r>
    </w:p>
    <w:p>
      <w:pPr/>
      <w:r>
        <w:rPr>
          <w:b/>
        </w:rPr>
        <w:t>Shared claim-specific concepts:</w:t>
      </w:r>
      <w:r>
        <w:t xml:space="preserve"> ghg, emissions, reduction, based, energy; EU scope not established. This is a provisional connection, not an outcome finding.</w:t>
      </w:r>
    </w:p>
    <w:p>
      <w:pPr>
        <w:pStyle w:val="SourceNote"/>
      </w:pPr>
      <w:r>
        <w:rPr>
          <w:b/>
        </w:rPr>
        <w:t>Available abstract (not full text):</w:t>
      </w:r>
      <w:r>
        <w:t xml:space="preserve"> This study developed a simulation model to assess the environmental impacts and supply potential of woody biomass energy utilization, using Hyogo Prefecture, Japan, as a case study. The model integrated forest growth, forest management, and energy utilization to estimate greenhouse gas (GHG) emissions and supply potential under different forest harvesting scenarios. The results indicated that if woody biomass were considered carbon-neutral, GHG emissions under forest harvesting and forest residue utilization scenarios would be 0.168 and 0.094 kg-CO2eq/kWh, respectively. However, if considered non-carbon-neutral, these values increased to 2.660 and 2.586 kg-CO2eq/kWh, significantly surpassing the CO2 emission factors of fossil fuel-dominated power systems. When analyzed within the forest system, the net GHG emissions of woody biomass energy utilization were closely linked to the harvesting regime and forest growth potential. Harvesting strategies based on forest age structure and effective forest management are critical for balancing woody biomass resource utilization and environmental sustainability. Under current conditions in Hyogo Prefecture, where the final felling scale is approximately 1 km²/yr, the harvest volume of woody biomass is projected to decline steadily from 84,000 Bone Dry Ton (BDT) in 2020 to approximately 14,000 BDT by 2050, after which it stabilizes. By 2100</w:t>
      </w:r>
    </w:p>
    <w:p>
      <w:pPr/>
      <w:r>
        <w:rPr>
          <w:b/>
        </w:rPr>
        <w:t>POSSIBLE 2026:</w:t>
      </w:r>
      <w:r>
        <w:t xml:space="preserve"> GHG intensity of electricity mixes in 2024: Assessing the impact of photovoltaic generation in the European Union — https://doi.org/10.24406/publica-8604</w:t>
      </w:r>
    </w:p>
    <w:p>
      <w:pPr/>
      <w:r>
        <w:rPr>
          <w:b/>
        </w:rPr>
        <w:t>Shared claim-specific concepts:</w:t>
      </w:r>
      <w:r>
        <w:t xml:space="preserve"> ghg; EU scope visible. This is a provisional connection, not an outcome finding.</w:t>
      </w:r>
    </w:p>
    <w:p>
      <w:pPr>
        <w:pStyle w:val="SourceNote"/>
      </w:pPr>
      <w:r>
        <w:rPr>
          <w:b/>
        </w:rPr>
        <w:t>Available abstract (not full text):</w:t>
      </w:r>
      <w:r>
        <w:t xml:space="preserve"> This study generates updated country-specific greenhouse gas (GHG) intensities of medium-voltage electricity consumption mixes for EU nations in 2024. Building on the ecoinvent database as a baseline, the photovoltaic generation at medium voltage was adapted to account for all renewable sources at this level. The updated renewable shares for modeling the electricity mixes were derived from the ENTSO-E data of 2024 curated by Fraunhofer ISE in the Energy-Charts. This update is particularly relevant given solar power's rapid growth to 10% of total EU electricity generation in 2024, while renewables overall reached 46%, becoming the EU's largest electricity source. Results show substantial variation in national GHG intensities, ranging from 51 g CO2-eq/kWh in France to 847 g CO2-eq/kWh in Poland. Compared to 2021 baseline values, 19 of 22 countries demonstrated GHG emission reductions between 12% and 52%. The model update significantly influenced the GHG intensity reductions, particularly in countries where solar electricity generation exceeded 10 TWh/a in 2024 and represented more than 5% of the electricity mix, including Germany, Spain, Italy, Poland, and Greece. A sensitivity analysis for Germany indicates that voltage-level allocation assumptions influence medium-voltage GHG intensities by up to 5%, whereas high-voltage intensities remain largely unaffected. These updated GHG </w:t>
      </w:r>
    </w:p>
    <w:p>
      <w:pPr/>
      <w:r>
        <w:rPr>
          <w:b/>
        </w:rPr>
        <w:t>POSSIBLE 2026:</w:t>
      </w:r>
      <w:r>
        <w:t xml:space="preserve"> GHG intensity of electricity mixes in 2024: Assessing the impact of photovoltaic generation in the European Union — https://doi.org/10.1016/j.solmat.2026.114364</w:t>
      </w:r>
    </w:p>
    <w:p>
      <w:pPr/>
      <w:r>
        <w:rPr>
          <w:b/>
        </w:rPr>
        <w:t>Shared claim-specific concepts:</w:t>
      </w:r>
      <w:r>
        <w:t xml:space="preserve"> ghg; EU scope visible. This is a provisional connection, not an outcome finding.</w:t>
      </w:r>
    </w:p>
    <w:p>
      <w:pPr>
        <w:pStyle w:val="SourceNote"/>
      </w:pPr>
      <w:r>
        <w:rPr>
          <w:b/>
        </w:rPr>
        <w:t>Available abstract (not full text):</w:t>
      </w:r>
      <w:r>
        <w:t xml:space="preserve"> This study generates updated country-specific greenhouse gas (GHG) intensities of medium-voltage electricity consumption mixes for EU nations in 2024. Building on the ecoinvent database as a baseline, the photovoltaic generation at medium voltage was adapted to account for all renewable sources at this level. The updated renewable shares for modeling the electricity mixes were derived from the ENTSO-E data of 2024 curated by Fraunhofer ISE in the Energy-Charts. This update is particularly relevant given solar power's rapid growth to 10% of total EU electricity generation in 2024, while renewables overall reached 46%, becoming the EU's largest electricity source. Results show substantial variation in national GHG intensities, ranging from 51 g CO 2 -eq/kWh in France to 847 g CO 2 -eq/kWh in Poland. Compared to 2021 baseline values, 19 of 22 countries demonstrated GHG emission reductions between 12% and 52%. The model update significantly influenced the GHG intensity reductions, particularly in countries where solar electricity generation exceeded 10 TWh/a in 2024 and represented more than 5% of the electricity mix, including Germany, Spain, Italy, Poland, and Greece. A sensitivity analysis for Germany indicates that voltage-level allocation assumptions influence medium-voltage GHG intensities by up to 5%, whereas high-voltage intensities remain largely unaffected. These updated </w:t>
      </w:r>
    </w:p>
    <w:p>
      <w:pPr/>
      <w:r>
        <w:rPr>
          <w:b/>
        </w:rPr>
        <w:t>POSSIBLE 2026:</w:t>
      </w:r>
      <w:r>
        <w:t xml:space="preserve"> Equity-centered dietary transitions: food-related GHG emissions and climate target alignment — https://doi.org/10.1088/1748-9326/ae9563</w:t>
      </w:r>
    </w:p>
    <w:p>
      <w:pPr/>
      <w:r>
        <w:rPr>
          <w:b/>
        </w:rPr>
        <w:t>Shared claim-specific concepts:</w:t>
      </w:r>
      <w:r>
        <w:t xml:space="preserve"> ghg, emissions, reduction, cumulative, based, climate; EU scope not established. This is a provisional connection, not an outcome finding.</w:t>
      </w:r>
    </w:p>
    <w:p>
      <w:pPr>
        <w:pStyle w:val="SourceNote"/>
      </w:pPr>
      <w:r>
        <w:rPr>
          <w:b/>
        </w:rPr>
        <w:t>Available abstract (not full text):</w:t>
      </w:r>
      <w:r>
        <w:t xml:space="preserve"> Abstract Global dietary transitions confront the dual challenge of reconciling nutrition equity with environmental sustainability. This study evaluates three equity-centered dietary transitions scenarios grounded in country-specific dietary recommendations across 181 countries: CP (current patterns), LP (low-emission substitutions, e.g. poultry replacing ruminants), and HP (high-emission alternatives), to quantify emission dynamics and assess alignment with Paris Agreement temperature targets. Business-as-usual trends (BAU) result in cumulative food-related emissions of 1768 Gt CO 2 e between 2020 and 2100. While CP reduces this to 1411 Gt CO 2 e, achieving only marginal alignment with the 2 °C limit, LP achieves a 37% reduction to 1113 Gt CO 2 e, ensuring robust compatibility with the 2 °C target. In contrast, HP emissions surpass even BAU levels. Central to the LP pathway, we propose an equity-centered allocation framework that differentiates mitigation obligations and emission allowances based on deviations from national dietary guidelines. Countries with excessive intakes, particularly of animal-source foods, are thus assigned stringent obligations (e.g. USA: 58.85 Gt CO 2 e; China: 131.10 Gt CO 2 e). Conversely, those with inadequate nutritional intake are allocated safeguarded allowances (e.g. Nigeria: 25.63 Gt CO 2 e; Ethiopia: 24.94 Gt CO 2 e), scaled to population size</w:t>
      </w:r>
    </w:p>
    <w:p>
      <w:pPr>
        <w:pStyle w:val="Heading2"/>
      </w:pPr>
      <w:r>
        <w:t>683. How to Achieve a Healthier and More Sustainable Europe by 2040 According to the Public? Results of a Five-Country Questionnaire Survey</w:t>
      </w:r>
    </w:p>
    <w:p>
      <w:pPr>
        <w:pStyle w:val="SourceNote"/>
      </w:pPr>
      <w:r>
        <w:rPr>
          <w:b/>
        </w:rPr>
        <w:t>Original source (2020):</w:t>
      </w:r>
      <w:r>
        <w:t xml:space="preserve"> https://doi.org/10.3390/ijerph17176071</w:t>
      </w:r>
    </w:p>
    <w:p>
      <w:pPr/>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POSSIBLE 2026:</w:t>
      </w:r>
      <w:r>
        <w:t xml:space="preserve"> Power, inclusion and the role of SMEs in European public procurement — https://doi.org/10.1108/jpbafm-06-2025-0169</w:t>
      </w:r>
    </w:p>
    <w:p>
      <w:pPr/>
      <w:r>
        <w:rPr>
          <w:b/>
        </w:rPr>
        <w:t>Shared claim-specific concepts:</w:t>
      </w:r>
      <w:r>
        <w:t xml:space="preserve"> understand, several, about; EU scope visible. This is a provisional connection, not an outcome finding.</w:t>
      </w:r>
    </w:p>
    <w:p>
      <w:pPr>
        <w:pStyle w:val="SourceNote"/>
      </w:pPr>
      <w:r>
        <w:rPr>
          <w:b/>
        </w:rPr>
        <w:t>Available abstract (not full text):</w:t>
      </w:r>
      <w:r>
        <w:t xml:space="preserve">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pPr/>
      <w:r>
        <w:rPr>
          <w:b/>
        </w:rPr>
        <w:t>POSSIBLE 2026:</w:t>
      </w:r>
      <w:r>
        <w:t xml:space="preserve"> A critical realism approach to public health interventions that aim to prevent obesity in selected European countries — https://doi.org/10.82444/warw.33704749</w:t>
      </w:r>
    </w:p>
    <w:p>
      <w:pPr/>
      <w:r>
        <w:rPr>
          <w:b/>
        </w:rPr>
        <w:t>Shared claim-specific concepts:</w:t>
      </w:r>
      <w:r>
        <w:t xml:space="preserve"> aim, understand, sustainable, three; EU scope visible. This is a provisional connection, not an outcome finding.</w:t>
      </w:r>
    </w:p>
    <w:p>
      <w:pPr>
        <w:pStyle w:val="SourceNote"/>
      </w:pPr>
      <w:r>
        <w:rPr>
          <w:b/>
        </w:rPr>
        <w:t>Available abstract (not full text):</w:t>
      </w:r>
      <w:r>
        <w:t xml:space="preserve"> The aim of this thesis is to understand the important components of a set of sustainable interventions to prevent obesity at the community level by using realistic evaluation, which draws on the philosophy of critical realism. From the application of a structured set of criteria based on critical realism, three interventions emerged, which were selected as the case studies of my thesis: the ‘Healthy Weight Communities’ project in Scotland, the ‘Bewegung als Investition in Gesundheit’ (Movement as Investment for Health) project in Germany, and the ‘Walking for Health’ project in England. Based on the key concepts of critical realism an interview topic guide was developed, which was tested by the help of the pilot project ‘Paideiatrofi’ in Greece. Key personnel involved in the organisation of each of the three selected interventions were identified and qualitative research and data analysis was carried out. The framework of critical realism and the application of the key concepts of realistic evaluation: ‘generative mechanisms’, ‘context’ and ‘outcomes’, enabled the disentangling of which mechanisms from each case study, were most related to outcomes and under which contexts. A number of common themes emerged from the analysis of the three interventions. Reflecting on these common themes, I connected them to a set of more abstract categories associated with the social structure, </w:t>
      </w:r>
    </w:p>
    <w:p>
      <w:pPr/>
      <w:r>
        <w:rPr>
          <w:b/>
        </w:rPr>
        <w:t>POSSIBLE 2026:</w:t>
      </w:r>
      <w:r>
        <w:t xml:space="preserve"> Public Trust in Science: A Public Consultation on a European Scale — https://doi.org/10.1007/978-3-032-15723-2_7</w:t>
      </w:r>
    </w:p>
    <w:p>
      <w:pPr/>
      <w:r>
        <w:rPr>
          <w:b/>
        </w:rPr>
        <w:t>Shared claim-specific concepts:</w:t>
      </w:r>
      <w:r>
        <w:t xml:space="preserve"> about, three; EU scope visible. This is a provisional connection, not an outcome finding.</w:t>
      </w:r>
    </w:p>
    <w:p>
      <w:pPr>
        <w:pStyle w:val="SourceNote"/>
      </w:pPr>
      <w:r>
        <w:rPr>
          <w:b/>
        </w:rPr>
        <w:t>Available abstract (not full text):</w:t>
      </w:r>
      <w:r>
        <w:t xml:space="preserve"> Abstract Public trust in science has long attracted the attention of scholars. With empirical studies consistently showing that public trust in science remains moderately stable and high on a global scale, there is still limited understanding of the factors that influence trust. As part of the POIESIS project, this study aimed to explore public’s perceptions about three main issues that are believed to influence trust in science: research integrity, public engagement and science communication. Through a qualitative methodology based on Public Deliberative Workshops (PDWs), we involved 169 members of the public across seven European countries—Denmark, France, Germany, Greece, Portugal, Spain, and the United Kingdom—in discussions about these topics. Participants expressed overall positive attitudes towards science. Isolated cases of misconduct were unlikely to directly affect public trust, yet integrity values in science are seen as key to trust. Additionally, public engagement was seen as a democratic access to science, still concerns were shown about the desired levels of engagement. Regarding communication, the credibility of the sources of information and actors were often mentioned as components for trust. The findings highlight the importance for institutions and individual scientists to align with integrity values, and provide valuable insights for institutions, policymak</w:t>
      </w:r>
    </w:p>
    <w:p>
      <w:pPr/>
      <w:r>
        <w:rPr>
          <w:b/>
        </w:rPr>
        <w:t>POSSIBLE 2026:</w:t>
      </w:r>
      <w:r>
        <w:t xml:space="preserve"> European Workers Job Perceptions Survey — https://doi.org/10.17605/osf.io/dswb6</w:t>
      </w:r>
    </w:p>
    <w:p>
      <w:pPr/>
      <w:r>
        <w:rPr>
          <w:b/>
        </w:rPr>
        <w:t>Shared claim-specific concepts:</w:t>
      </w:r>
      <w:r>
        <w:t xml:space="preserve"> aim, understand, respondents, among; EU scope visible. This is a provisional connection, not an outcome finding.</w:t>
      </w:r>
    </w:p>
    <w:p>
      <w:pPr>
        <w:pStyle w:val="SourceNote"/>
      </w:pPr>
      <w:r>
        <w:rPr>
          <w:b/>
        </w:rPr>
        <w:t>Available abstract (not full text):</w:t>
      </w:r>
      <w:r>
        <w:t xml:space="preserve"> Public health organizations in Denmark and most OECD countries face an urgent demand for nursing staff. However, existing research does not yet offer a systematic understanding of how to attract talent to public healthcare organizations from the international labor markets. This pre-registration focuses on a survey to be conducted among European workers (N=1,800) that aims to understand how varying a job advertisement changes perception of a job. The recruitment messages to be used in this survey come from a prior field experiment pre-registered on January 20th 2025 (https://osf.io/sv5qc). In this follow-up mechanistic survey we aim to understand why a particular treatment underperformed, by examining how survey respondents interpret recruitment messages emphasizing factors that either underperformed or outperformed in the field experiment.</w:t>
      </w:r>
    </w:p>
    <w:p>
      <w:pPr/>
      <w:r>
        <w:rPr>
          <w:b/>
        </w:rPr>
        <w:t>POSSIBLE 2026:</w:t>
      </w:r>
      <w:r>
        <w:t xml:space="preserve"> Economic Burden of Physical Inactivity in Europe — https://doi.org/10.71125/sporteconres.25</w:t>
      </w:r>
    </w:p>
    <w:p>
      <w:pPr/>
      <w:r>
        <w:rPr>
          <w:b/>
        </w:rPr>
        <w:t>Shared claim-specific concepts:</w:t>
      </w:r>
      <w:r>
        <w:t xml:space="preserve"> several, three, four;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The Evolution of the Fight Against Disinformation by European Public Broadcasters of the CIRCOM Network: A Comparative Perspective from 2023 to 2024 — https://doi.org/10.3390/socsci15080557</w:t>
      </w:r>
    </w:p>
    <w:p>
      <w:pPr/>
      <w:r>
        <w:rPr>
          <w:b/>
        </w:rPr>
        <w:t>Shared claim-specific concepts:</w:t>
      </w:r>
      <w:r>
        <w:t xml:space="preserve"> aim, understand, about, among; EU scope visible. This is a provisional connection, not an outcome finding.</w:t>
      </w:r>
    </w:p>
    <w:p>
      <w:pPr>
        <w:pStyle w:val="SourceNote"/>
      </w:pPr>
      <w:r>
        <w:rPr>
          <w:b/>
        </w:rPr>
        <w:t>Available abstract (not full text):</w:t>
      </w:r>
      <w:r>
        <w:t xml:space="preserve"> The fight against disinformation has become a major issue within the European context and, therefore, also affects public media. This research analyzes the evolution, over the years 2023 and 2024, of the perceptions held by the European regional public broadcasters that make up the CIRCOM network, as they pertain to this struggle. To this end, a total of 28 interviews were conducted, including with the heads of 21 broadcasters from 16 countries, with the aim of observing the possible similarities and differences between different geographical areas (northern, southern, eastern and western Europe), including by comparing with the Spanish regional broadcasters and by determining the main needs and challenges in this regard. It is evident that the fight against disinformation is a very important issue for 80% of those interviewed. Roughly three-quarters of networks combine human and digital resources in their verification processes, though only about one in five has a dedicated fact-checking department. Among the main challenges is the need to strengthen audiences’ media literacy, to incorporate specialized professional profiles in combating disinformation, and to understand new technological tools that may be involved in disinformation, such as AI-generated image manipulation. It is essential that regional public television stations consolidate their position throughout Europe as</w:t>
      </w:r>
    </w:p>
    <w:p>
      <w:pPr/>
      <w:r>
        <w:rPr>
          <w:b/>
        </w:rPr>
        <w:t>POSSIBLE 2026:</w:t>
      </w:r>
      <w:r>
        <w:t xml:space="preserve"> Health Diplomacy and Domestic Political Stability: A Qualitative Analysis of European Union Support for Public Health Programs in Indonesia — https://doi.org/10.33024/mnj.v8i8.25687</w:t>
      </w:r>
    </w:p>
    <w:p>
      <w:pPr/>
      <w:r>
        <w:rPr>
          <w:b/>
        </w:rPr>
        <w:t>Shared claim-specific concepts:</w:t>
      </w:r>
      <w:r>
        <w:t xml:space="preserve"> understand, sustainable, collectively; EU scope visible. This is a provisional connection, not an outcome finding.</w:t>
      </w:r>
    </w:p>
    <w:p>
      <w:pPr>
        <w:pStyle w:val="SourceNote"/>
      </w:pPr>
      <w:r>
        <w:rPr>
          <w:b/>
        </w:rPr>
        <w:t>Available abstract (not full text):</w:t>
      </w:r>
      <w:r>
        <w:t xml:space="preserve"> ABSTRACT Health diplomacy has become a crucial element in global governance, serving not only to improve national health capacities but also as an instrument of soft power for donor countries. Within this framework, the European Union (EU) actively engages in international health initiatives, positioning itself as both a normative power and a key global health actor. Indonesia, as a strategic partner in Southeast Asia, provides a compelling case to examine how external health diplomacy influences domestic political dynamics. This study aims to analyze the role of the European Union (EU) in health diplomacy in Indonesia and to assess its implications for domestic political stability. The research seeks to understand how EU-led health cooperation contributes to strengthening Indonesia’s health system and the legitimacy of its government in the public domain. Using a qualitative research design with a case study approach, this study examines policy documents, official EU communications, Indonesian Ministry of Health reports, and WHO publications. The analysis focuses on identifying the forms of EU support, the key actors involved, the mechanisms of implementation, and the political effects arising from such collaborations. The findings reveal that the EU’s health diplomacy in Indonesia encompasses financial assistance, technical cooperation, joint research programs, and vaccine di</w:t>
      </w:r>
    </w:p>
    <w:p>
      <w:pPr/>
      <w:r>
        <w:rPr>
          <w:b/>
        </w:rPr>
        <w:t>POSSIBLE 2025:</w:t>
      </w:r>
      <w:r>
        <w:t xml:space="preserve"> Risks of gender communication strategies in the Public Sector : The European Union perspective — https://openalex.org/W7119366041</w:t>
      </w:r>
    </w:p>
    <w:p>
      <w:pPr/>
      <w:r>
        <w:rPr>
          <w:b/>
        </w:rPr>
        <w:t>Shared claim-specific concepts:</w:t>
      </w:r>
      <w:r>
        <w:t xml:space="preserve"> understand, society, sector, four; EU scope visible. This is a provisional connection, not an outcome finding.</w:t>
      </w:r>
    </w:p>
    <w:p>
      <w:pPr>
        <w:pStyle w:val="SourceNote"/>
      </w:pPr>
      <w:r>
        <w:rPr>
          <w:b/>
        </w:rPr>
        <w:t>Available abstract (not full text):</w:t>
      </w:r>
      <w:r>
        <w:t xml:space="preserve">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pPr/>
      <w:r>
        <w:rPr>
          <w:b/>
        </w:rPr>
        <w:t>POSSIBLE 2025:</w:t>
      </w:r>
      <w:r>
        <w:t xml:space="preserve"> CONTEMPORARY EUROPEAN CONCEPTS OF PUBLIC ADMINISTRATION IN THE CONTEXT OF DIGITAL TRANSFORMATION AND THEIR LEGAL FRAMEWORK — https://doi.org/10.36690/2674-5216-2025-1-99-109</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pPr/>
      <w:r>
        <w:rPr>
          <w:b/>
        </w:rPr>
        <w:t>POSSIBLE 2025:</w:t>
      </w:r>
      <w:r>
        <w:t xml:space="preserve"> THE EXPERIENCE OF SEVERAL EUROPEAN COUNTRY IN THE DIRECTION OF EXTERNAL EVALUATION OF SCHOOLS — https://doi.org/10.69682/arti.2025.92(1).100-104</w:t>
      </w:r>
    </w:p>
    <w:p>
      <w:pPr/>
      <w:r>
        <w:rPr>
          <w:b/>
        </w:rPr>
        <w:t>Shared claim-specific concepts:</w:t>
      </w:r>
      <w:r>
        <w:t xml:space="preserve"> understand, several, achieving; EU scope visible. This is a provisional connection, not an outcome finding.</w:t>
      </w:r>
    </w:p>
    <w:p>
      <w:pPr>
        <w:pStyle w:val="SourceNote"/>
      </w:pPr>
      <w:r>
        <w:rPr>
          <w:b/>
        </w:rPr>
        <w:t>Available abstract (not full text):</w:t>
      </w:r>
      <w:r>
        <w:t xml:space="preserve"> Quality assurance in education involves achieving, maintaining and increasing quality in certain areas. All this is done through the evaluation process. The evaluation process can be carried out in various directions, such as schools, school leaders, teachers and other education workers, educational programs, or the activities of the entire education system. In order to better understand the process of external evaluation of schools, it is considered appropriate to look at the world experience. Therefore, the article examines the experience of several European countries regarding the external evaluation process.</w:t>
      </w:r>
    </w:p>
    <w:p>
      <w:pPr/>
      <w:r>
        <w:rPr>
          <w:b/>
        </w:rPr>
        <w:t>POSSIBLE 2025:</w:t>
      </w:r>
      <w:r>
        <w:t xml:space="preserve"> Transferability of green port strategies: A Delphi study with European ports — https://doi.org/10.1080/25725084.2025.2454764</w:t>
      </w:r>
    </w:p>
    <w:p>
      <w:pPr/>
      <w:r>
        <w:rPr>
          <w:b/>
        </w:rPr>
        <w:t>Shared claim-specific concepts:</w:t>
      </w:r>
      <w:r>
        <w:t xml:space="preserve"> understand, several, achieving, four; EU scope visible. This is a provisional connection, not an outcome finding.</w:t>
      </w:r>
    </w:p>
    <w:p>
      <w:pPr>
        <w:pStyle w:val="SourceNote"/>
      </w:pPr>
      <w:r>
        <w:rPr>
          <w:b/>
        </w:rPr>
        <w:t>Available abstract (not full text):</w:t>
      </w:r>
      <w:r>
        <w:t xml:space="preserve"> This research aims to identify suitable green port strategies for small EU ports, by first examining green port strategies of leading European ports and then their applicability in the context of small ports, by assessing challenges and barriers encountered during strategy implementation. Several port environmental issues were identified, including 12 green port strategies and their corresponding port emission areas. Two rounds of a Delphi study, namely a survey and semi-structured validation interviews were conducted with 21 experts from four European ports, to understand port characteristics, examine the applicability of the strategies, and identify challenges and barriers associated with their implementation. In total, six strategies are deemed suitable for application in small ports, specifically renewable energy, clean power vehicles, waste management, slow steaming, modal shifting, and incentives for green trucks. By identifying green port strategies applicable to small ports, based on small port characteristics and implementation challenges arising from these, this research addresses a gap in academic literature. We provide small port management and relevant stakeholders with a list of applicable innovations and growth policies essential for achieving green port status.</w:t>
      </w:r>
    </w:p>
    <w:p>
      <w:pPr/>
      <w:r>
        <w:rPr>
          <w:b/>
        </w:rPr>
        <w:t>POSSIBLE 2025:</w:t>
      </w:r>
      <w:r>
        <w:t xml:space="preserve"> America in Europe : The Boundaries and Conflicts Between Public and Private Spaces in Henry James's Daisy Miller — https://doi.org/10.55952/ggc.2025.04.5.1.07</w:t>
      </w:r>
    </w:p>
    <w:p>
      <w:pPr/>
      <w:r>
        <w:rPr>
          <w:b/>
        </w:rPr>
        <w:t>Shared claim-specific concepts:</w:t>
      </w:r>
      <w:r>
        <w:t xml:space="preserve"> aim, understand, private; EU scope visible. This is a provisional connection, not an outcome finding.</w:t>
      </w:r>
    </w:p>
    <w:p>
      <w:pPr>
        <w:pStyle w:val="SourceNote"/>
      </w:pPr>
      <w:r>
        <w:rPr>
          <w:b/>
        </w:rPr>
        <w:t>Available abstract (not full text):</w:t>
      </w:r>
      <w:r>
        <w:t xml:space="preserve"> Daisy Miller, written by Henry James, presents the international theme by showing the cultural conflicts between Europe and America. The aim of this paper is to analyze the change of Winterbourne's inner consciousness caused in the correlation between some spaces and the characters that affects him to change his attitude towards the world around himself and his acquaintances. The aspects of Winterbourne's inner conflicts are analyzed according to his observing Daisy. Their consciousness and identities will be totally considered through understanding their point of views to each other. In addition, by analyzing the relationship between public and private space and characters, and based on the aspects of international conflict presented in Winterbourne’s internal and external experiences observing the main character Daisy, we will attempt to establish a new interpretation of “America in Europe.” This will produce a variety of interpretation points that can comprehensively understand other cultures through various possibilities and new interpretations of the work.</w:t>
      </w:r>
    </w:p>
    <w:p>
      <w:pPr>
        <w:pStyle w:val="Heading2"/>
      </w:pPr>
      <w:r>
        <w:t>684. Least cost energy system pathways towards 100% renewable energy in Ireland by 2050</w:t>
      </w:r>
    </w:p>
    <w:p>
      <w:pPr>
        <w:pStyle w:val="SourceNote"/>
      </w:pPr>
      <w:r>
        <w:rPr>
          <w:b/>
        </w:rPr>
        <w:t>Original source (2020):</w:t>
      </w:r>
      <w:r>
        <w:t xml:space="preserve"> https://doi.org/10.1016/j.energy.2020.118264</w:t>
      </w:r>
    </w:p>
    <w:p>
      <w:pPr/>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approach, optimal, energy, they;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optimal, however, levels;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2025:</w:t>
      </w:r>
      <w:r>
        <w:t xml:space="preserve"> Explore the optimal exercise intervention subtype for sarcopenia: a systematic review and Bayesian network meta-analysis — https://doi.org/10.1186/s12877-025-06529-w</w:t>
      </w:r>
    </w:p>
    <w:p>
      <w:pPr/>
      <w:r>
        <w:rPr>
          <w:b/>
        </w:rPr>
        <w:t>Shared claim-specific concepts:</w:t>
      </w:r>
      <w:r>
        <w:t xml:space="preserve"> optimal, however, uncertainties, high; EU scope not established. This is a provisional connection, not an outcome finding.</w:t>
      </w:r>
    </w:p>
    <w:p>
      <w:pPr>
        <w:pStyle w:val="SourceNote"/>
      </w:pPr>
      <w:r>
        <w:rPr>
          <w:b/>
        </w:rPr>
        <w:t>Available abstract (not full text):</w:t>
      </w:r>
      <w:r>
        <w:t xml:space="preserve"> PURPOSE: Exercise is the primary choice for managing age-related sarcopenia. However, many exercise intervention subtypes are currently used to manage age-related sarcopenia with little published evidence comparing their efficacy, meaning the optimal exercise intervention subtype for sarcopenia remains unclear. We performed a Bayesian network meta-analysis addressing these uncertainties. METHODS: We searched eight databases for literature through to 5 June 2023 to identify randomized controlled trials (RCTs) of exercise interventions for age-related sarcopenia. Skeletal muscle mass index (SMI), handgrip strength (HGS), knee extension strength (KES), gait speed (GS), chair rise test (CST) and time up and go test (TUGT) were used as outcomes. Effect estimates were expressed as standardized mean differences with 95% confidence intervals. We performed a Bayesian network meta-analysis using a random effects model and the R package gemtc to compare the relative efficacy of various exercise intervention subtypes. We also used surface under the cumulative ranking curve (SUCRA) to estimate relative treatment rankings. This systematic review is registered in PROSPERO, CRD42023474627. RESULTS: We included 37 RCTs with a total of 2322 subjects and 10 unique exercise intervention subtypes. Most RCTs (72.9%) displayed unclear risk of bias. According to the value of SUCRA, whole-body vibratio</w:t>
      </w:r>
    </w:p>
    <w:p>
      <w:pPr/>
      <w:r>
        <w:rPr>
          <w:b/>
        </w:rPr>
        <w:t>POSSIBLE 2025:</w:t>
      </w:r>
      <w:r>
        <w:t xml:space="preserve"> Evaluating the efficiency of regional innovation systems in Europe: DEA approach — https://doi.org/10.15584/nsawg.2025.1.8</w:t>
      </w:r>
    </w:p>
    <w:p>
      <w:pPr/>
      <w:r>
        <w:rPr>
          <w:b/>
        </w:rPr>
        <w:t>Shared claim-specific concepts:</w:t>
      </w:r>
      <w:r>
        <w:t xml:space="preserve"> therefore, approach, however; EU scope visible. This is a provisional connection, not an outcome finding.</w:t>
      </w:r>
    </w:p>
    <w:p>
      <w:pPr>
        <w:pStyle w:val="SourceNote"/>
      </w:pPr>
      <w:r>
        <w:rPr>
          <w:b/>
        </w:rPr>
        <w:t>Available abstract (not full text):</w:t>
      </w:r>
      <w:r>
        <w:t xml:space="preserve"> For many years, regional innovation systems in Europe have been studied and compared against each other within the framework of the Regional Innovation Scoreboard. However, it has a number of drawbacks, e.g. the combined input-output approach, which does not respond to societal expectations, as in this era of all-round economisation, it is the outputs of the activity that are more important than the potential contained in the inputs. Therefore, in our study we focused on an approach aimed at maximising the outputs achieved by regional innovation systems. The results of the study indicated that, even taking into account negative environmental outcomes, the vast majority of regional innovation systems show efficiency. We have shown that although the regional innovation systems group studied is highly efficient, our research indicates that in the long term, the narrow classification into four innovation groups according to the Regional Innovation Scoreboard methodology is increasingly less useful, as there is a reduction in the number of groups as a result of the ‘shift’ of units to three main ones. We also provided recommendations for EU regional innovation policy on the Regional Innovation Scoreboard tool. Our recommendation is to introduce more differentiated variables into the European survey and to focus more on evaluating the innovation system from the perspective of the res</w:t>
      </w:r>
    </w:p>
    <w:p>
      <w:pPr/>
      <w:r>
        <w:rPr>
          <w:b/>
        </w:rPr>
        <w:t>POSSIBLE 2025:</w:t>
      </w:r>
      <w:r>
        <w:t xml:space="preserve"> Fiscal Reform in Taxation: What is an Optimal Taxation System for the Republic of Kosovo? — https://doi.org/10.54820/entrenova-2024-0011</w:t>
      </w:r>
    </w:p>
    <w:p>
      <w:pPr/>
      <w:r>
        <w:rPr>
          <w:b/>
        </w:rPr>
        <w:t>Shared claim-specific concepts:</w:t>
      </w:r>
      <w:r>
        <w:t xml:space="preserve"> approach, explores, optimal, further; EU scope visible. This is a provisional connection, not an outcome finding.</w:t>
      </w:r>
    </w:p>
    <w:p>
      <w:pPr>
        <w:pStyle w:val="SourceNote"/>
      </w:pPr>
      <w:r>
        <w:rPr>
          <w:b/>
        </w:rPr>
        <w:t>Available abstract (not full text):</w:t>
      </w:r>
      <w:r>
        <w:t xml:space="preserve"> This paper explores the Taxation system in the Republic of Kosovo. It researches the need and reasons for the optimal taxation system that the Republic of Kosovo should develop as part of the proposed Taxation reform (based on recommendation). The Republic of Kosovo is the newest country in Europe. Since 2000, one of its core pillars has been the Tax Administration, which serves as the primary public finance income generator. Its further development, reform, and adaptation with updated Taxation mainstreams is imperative. Taxation systems should implement the best practices in digitalization and innovation. The paper uses secondary data with analyzed findings based on the quantitative empirical approach. The findings show that there is room for the Republic of Kosovo to apply Taxation reforms to further enrich, innovate, and upgrade its Tax system. As stated, the country's economic and business development significantly depends on how its taxation system meets its development and strategic goals. This research paper concludes with concrete recommendations that the Republic of Kosovo is advised to undertake in reforming its Taxation system.</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Oncoplastic breast surgery in Europe — https://doi.org/10.21037/gs-23-380</w:t>
      </w:r>
    </w:p>
    <w:p>
      <w:pPr/>
      <w:r>
        <w:rPr>
          <w:b/>
        </w:rPr>
        <w:t>Shared claim-specific concepts:</w:t>
      </w:r>
      <w:r>
        <w:t xml:space="preserve"> therefore, however, high; EU scope visible. This is a provisional connection, not an outcome finding.</w:t>
      </w:r>
    </w:p>
    <w:p>
      <w:pPr>
        <w:pStyle w:val="SourceNote"/>
      </w:pPr>
      <w:r>
        <w:rPr>
          <w:b/>
        </w:rPr>
        <w:t>Available abstract (not full text):</w:t>
      </w:r>
      <w:r>
        <w:t xml:space="preserve">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pPr/>
      <w:r>
        <w:rPr>
          <w:b/>
        </w:rPr>
        <w:t>POSSIBLE 2024:</w:t>
      </w:r>
      <w:r>
        <w:t xml:space="preserve"> Impact of Climate Change on Bird Migration Patterns in Europe — https://doi.org/10.47672/ajcs.1989</w:t>
      </w:r>
    </w:p>
    <w:p>
      <w:pPr/>
      <w:r>
        <w:rPr>
          <w:b/>
        </w:rPr>
        <w:t>Shared claim-specific concepts:</w:t>
      </w:r>
      <w:r>
        <w:t xml:space="preserve"> optimal, they; EU scope visible. This is a provisional connection, not an outcome finding.</w:t>
      </w:r>
    </w:p>
    <w:p>
      <w:pPr>
        <w:pStyle w:val="SourceNote"/>
      </w:pPr>
      <w:r>
        <w:rPr>
          <w:b/>
        </w:rPr>
        <w:t>Available abstract (not full text):</w:t>
      </w:r>
      <w:r>
        <w:t xml:space="preserve"> Purpose: The aim of the study was to assess the impact of climate change on bird migration patterns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Rising temperatures, changes in precipitation patterns, and habitat loss are among the key factors affecting migratory birds. Warmer temperatures are causing shifts in the timing of migration, with birds starting their journeys earlier or delaying them. Some species are extending their ranges northward as they seek suitable habitats, while others are altering their routes or shortening their migration distances. These changes can disrupt established ecological relationships, leading to mismatches in timing with food availability and breeding cycles. Additionally, altered migration patterns may pose challenges for conservation efforts, as traditional migration routes and stopover sites become less reliable. Implications to Theory, Practice and Policy: Optimal migration theory, resource phenology theory and habitat suitability theory may be used to anchor future st</w:t>
      </w:r>
    </w:p>
    <w:p>
      <w:pPr/>
      <w:r>
        <w:rPr>
          <w:b/>
        </w:rPr>
        <w:t>POSSIBLE 2024:</w:t>
      </w:r>
      <w:r>
        <w:t xml:space="preserve"> Whole systems approaches to diet and healthy weight: A scoping review of reviews — https://doi.org/10.1371/journal.pone.0292945</w:t>
      </w:r>
    </w:p>
    <w:p>
      <w:pPr/>
      <w:r>
        <w:rPr>
          <w:b/>
        </w:rPr>
        <w:t>Shared claim-specific concepts:</w:t>
      </w:r>
      <w:r>
        <w:t xml:space="preserve"> approach, further, levels, robust; EU scope not established. This is a provisional connection, not an outcome finding.</w:t>
      </w:r>
    </w:p>
    <w:p>
      <w:pPr>
        <w:pStyle w:val="SourceNote"/>
      </w:pPr>
      <w:r>
        <w:rPr>
          <w:b/>
        </w:rPr>
        <w:t>Available abstract (not full text):</w:t>
      </w:r>
      <w:r>
        <w:t xml:space="preserve"> BACKGROUND: Obesity is a global epidemic affecting all age groups, populations, and income levels across continents, though is known to disproportionately affect socioeconomically disadvantaged populations. The causes of obesity are complex, informed by diet and weight practices, but shaped by social, commercial, and environmental factors and government policy. Consequently, a Whole System Approach (WSA)-which considers the many causes of obesity and shifts the focus away from individuals as points of intervention and puts an emphasis on understanding and improving the system in which people live-is required. This scoping review of reviews aims to: determine how WSAs to diet and healthy weight have been implemented and evaluated nationally and internationally; to determine what models or theories have been used to implement WSAs; describe how WSAs have been evaluated; determine if WSAs are effective; and to identify the contribution of the public and/or service users in the development of WSAs. METHOD: Systematic searches were carried out using CINAHL, Scopus, PsycINFO (ProQuest), the Cochrane Library, and MEDLINE. Included review papers were those that focused on the application of a whole system approach to diet and/or healthy weight, and/or reported the theory/model used to implement or simulate this approach. Databases were searched from 1995 to March 2022 using a combinati</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undertakes, approach, renewable, given, uncertainties;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What are the Policy Drivers to Undertake Green Retrofitting Investments? The Role of Tax Incentives and Communication in Italian Households’ Decision-Making — https://doi.org/10.1007/s40797-024-00283-5</w:t>
      </w:r>
    </w:p>
    <w:p>
      <w:pPr/>
      <w:r>
        <w:rPr>
          <w:b/>
        </w:rPr>
        <w:t>Shared claim-specific concepts:</w:t>
      </w:r>
      <w:r>
        <w:t xml:space="preserve"> explores, energy, high; EU scope visible. This is a provisional connection, not an outcome finding.</w:t>
      </w:r>
    </w:p>
    <w:p>
      <w:pPr>
        <w:pStyle w:val="SourceNote"/>
      </w:pPr>
      <w:r>
        <w:rPr>
          <w:b/>
        </w:rPr>
        <w:t>Available abstract (not full text):</w:t>
      </w:r>
      <w:r>
        <w:t xml:space="preserve"> Abstract This paper explores households’ decision-making process to undertake green retrofitting investments, with the aim to identify the key behavioural drivers to adoption. We developed a discrete choice experiment survey and collected data from a sample of 434 individuals to explore the influence of monetary and non-monetary incentives on energy saving investment choices, focusing on the case of Italy, where a tax relief scheme (the so-called Superbonus) was introduced in 2020 to encourage green retrofitting investments. Our results show that the level of savings on energy bills, the environmental sustainability of the intervention and the comfort achieved all similarly contribute to adopt energy saving measures. Tax incentives, differently, were found to be less important drivers, except for those respondents who have a high level of green retrofitting cognition, suggesting a pivotal role of education and knowledge in driving choices. Our findings also indicate that communication matters: we show that green retrofitting decisions are influenced by the non-technical communication of the environmental benefits, while the use of technical expressions is found to be ineffective. These results are relevant to guide more efficient policy design and point to the need to combine targeted tax interventions with communication to encourage the uptake of energy saving measures.</w:t>
      </w:r>
    </w:p>
    <w:p>
      <w:pPr/>
      <w:r>
        <w:rPr>
          <w:b/>
        </w:rPr>
        <w:t>POSSIBLE 2024:</w:t>
      </w:r>
      <w:r>
        <w:t xml:space="preserve"> A Multicriteria Decision Analysis Model for Optimal Land Uses: Guiding Farmers under the New European Union’s Common Agricultural Policy (2023–2027) — https://doi.org/10.3390/land13060788</w:t>
      </w:r>
    </w:p>
    <w:p>
      <w:pPr/>
      <w:r>
        <w:rPr>
          <w:b/>
        </w:rPr>
        <w:t>Shared claim-specific concepts:</w:t>
      </w:r>
      <w:r>
        <w:t xml:space="preserve"> therefore, optimal, high; EU scope visible. This is a provisional connection, not an outcome finding.</w:t>
      </w:r>
    </w:p>
    <w:p>
      <w:pPr>
        <w:pStyle w:val="SourceNote"/>
      </w:pPr>
      <w:r>
        <w:rPr>
          <w:b/>
        </w:rPr>
        <w:t>Available abstract (not full text):</w:t>
      </w:r>
      <w:r>
        <w:t xml:space="preserve"> Focusing on sustainability, the new Common Agricultural Policy (2023–2027) sets ambitious goals for water management, as reducing irrigation water use is a vital issue. Cooperation among farmers, relevant authorities, and researchers plays a significant role in achieving these objectives. Therefore, this study applies a multicriteria mathematical programming model to optimize land use, considering water use, profit, labor, and cost. The model was applied to three farmer groups located in Greece and proved to be valuable in the implementation of irrigation water use. Using the same methodology, two additional cases of farmer groups that utilize drylands are presented in complementary ways to investigate how the new CAP affects non-irrigated land uses. Regarding the irrigated case, reducing water usage involves decreasing the land dedicated to crops characterized by high water demand, such as rice, corn, vetch, and clover. This adjustment stems from the necessity to replace irrigated land with non-irrigated land because climate change demands low water consumption for crops and underscores the importance of the new policy framework to promote sustainable agriculture. As for the non-irrigated case, achieving optimal farm planning entails reducing the cultivated areas of vetch, grassland, and sunflower. This result is driven by the need to increase crops receiving primary subsidies</w:t>
      </w:r>
    </w:p>
    <w:p>
      <w:pPr>
        <w:pStyle w:val="Heading2"/>
      </w:pPr>
      <w:r>
        <w:t>685. Long-term vision of rural areas in Hungary, focusing on foresights</w:t>
      </w:r>
    </w:p>
    <w:p>
      <w:pPr>
        <w:pStyle w:val="SourceNote"/>
      </w:pPr>
      <w:r>
        <w:rPr>
          <w:b/>
        </w:rPr>
        <w:t>Original source (2020):</w:t>
      </w:r>
      <w:r>
        <w:t xml:space="preserve"> https://doi.org/10.22004/ag.econ.314094</w:t>
      </w:r>
    </w:p>
    <w:p>
      <w:pPr/>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POSSIBLE 2026:</w:t>
      </w:r>
      <w:r>
        <w:t xml:space="preserve"> Central And Eastern European Companies in Africa. The Case of Hungarian Businesses — https://doi.org/10.18267/pr.2026.vol.2587.3</w:t>
      </w:r>
    </w:p>
    <w:p>
      <w:pPr/>
      <w:r>
        <w:rPr>
          <w:b/>
        </w:rPr>
        <w:t>Shared claim-specific concepts:</w:t>
      </w:r>
      <w:r>
        <w:t xml:space="preserve"> aim, hungarian, areas, key; EU scope visible. This is a provisional connection, not an outcome finding.</w:t>
      </w:r>
    </w:p>
    <w:p>
      <w:pPr>
        <w:pStyle w:val="SourceNote"/>
      </w:pPr>
      <w:r>
        <w:rPr>
          <w:b/>
        </w:rPr>
        <w:t>Available abstract (not full text):</w:t>
      </w:r>
      <w:r>
        <w:t xml:space="preserve">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pPr/>
      <w:r>
        <w:rPr>
          <w:b/>
        </w:rPr>
        <w:t>POSSIBLE 2026:</w:t>
      </w:r>
      <w:r>
        <w:t xml:space="preserve"> What drives population fluctuations of European ground squirrels in Hungary? — https://doi.org/10.1186/s12983-026-00608-3</w:t>
      </w:r>
    </w:p>
    <w:p>
      <w:pPr/>
      <w:r>
        <w:rPr>
          <w:b/>
        </w:rPr>
        <w:t>Shared claim-specific concepts:</w:t>
      </w:r>
      <w:r>
        <w:t xml:space="preserve"> hungarian, identify; EU scope visible. This is a provisional connection, not an outcome finding.</w:t>
      </w:r>
    </w:p>
    <w:p>
      <w:pPr>
        <w:pStyle w:val="SourceNote"/>
      </w:pPr>
      <w:r>
        <w:rPr>
          <w:b/>
        </w:rPr>
        <w:t>Available abstract (not full text):</w:t>
      </w:r>
      <w:r>
        <w:t xml:space="preserve">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pPr/>
      <w:r>
        <w:rPr>
          <w:b/>
        </w:rPr>
        <w:t>POSSIBLE 2026:</w:t>
      </w:r>
      <w:r>
        <w:t xml:space="preserve"> Banking Union membership and the quality of democracy in Central and Eastern Europe – the case of Hungary — https://doi.org/10.1080/23745118.2026.2706762</w:t>
      </w:r>
    </w:p>
    <w:p>
      <w:pPr/>
      <w:r>
        <w:rPr>
          <w:b/>
        </w:rPr>
        <w:t>Shared claim-specific concepts:</w:t>
      </w:r>
      <w:r>
        <w:t xml:space="preserve"> hungarian, areas, opportunities; EU scope visible. This is a provisional connection, not an outcome finding.</w:t>
      </w:r>
    </w:p>
    <w:p>
      <w:pPr>
        <w:pStyle w:val="SourceNote"/>
      </w:pPr>
      <w:r>
        <w:rPr>
          <w:b/>
        </w:rPr>
        <w:t>Available abstract (not full text):</w:t>
      </w:r>
      <w:r>
        <w:t xml:space="preserve"> This article examines the relationship between democratic backsliding and Eurozone integration through the case of the Banking Union (BU) and the Single Supervisory Mechanism. While existing literature has mainly emphasized the democratic costs of post-crisis Economic and Monetary Union governance, this study explores the opposite relationship: whether remaining outside the Eurozone and the BU may facilitate democratic deterioration. Drawing on Europeanisation theory, the article argues that BU membership may unintentionally strengthen democratic resilience by limiting supervisory home bias, reducing opportunities for regulatory capture, and constraining politically motivated intervention in the banking sector. Using process tracing, the article analyses European Union, European Central Bank, European Banking Authority, and national supervisory documents and applies the findings to the Hungarian case, supplemented by some Polish examples. The study identifies several supervisory areas where nationally controlled supervision may enable politically selective practices and support crony capitalism. In contrast, the Single Supervisory Mechanism’s supranational supervisory framework, multinational Joint Supervisory Teams, common methodologies, and transparency requirements reduce the scope for such practices. The article concludes that participation in the Banking Union may indirect</w:t>
      </w:r>
    </w:p>
    <w:p>
      <w:pPr/>
      <w:r>
        <w:rPr>
          <w:b/>
        </w:rPr>
        <w:t>POSSIBLE 2026:</w:t>
      </w:r>
      <w:r>
        <w:t xml:space="preserve"> The Conflict of the 2015 European Migration Crisis A Multi-Level Analysis in Austria and Hungary — https://doi.org/10.14267/phd.2026045</w:t>
      </w:r>
    </w:p>
    <w:p>
      <w:pPr/>
      <w:r>
        <w:rPr>
          <w:b/>
        </w:rPr>
        <w:t>Shared claim-specific concepts:</w:t>
      </w:r>
      <w:r>
        <w:t xml:space="preserve"> identify, point, challenges, terms; EU scope visible. This is a provisional connection, not an outcome finding.</w:t>
      </w:r>
    </w:p>
    <w:p>
      <w:pPr>
        <w:pStyle w:val="SourceNote"/>
      </w:pPr>
      <w:r>
        <w:rPr>
          <w:b/>
        </w:rPr>
        <w:t>Available abstract (not full text):</w:t>
      </w:r>
      <w:r>
        <w:t xml:space="preserve"> The 2015 European migration crisis marked a significant turning point in contemporary European politics, highlighting widespread societal and political tensions across the continent. The unprecedented influx of refugees and migrants, particularly from the Middle East and North Africa, posed complex challenges for European states, both in terms of governance and public perception. This crisis generated immediate humanitarian and political responses and may have reshaped long-term political discourse, electoral dynamics, and social attitudes toward migration. As a consequence of the intense migratory pressure, the crisis led to profound societal and political conflicts, as migration became a highly polarising issue, influencing party politics, policy-making, and public debates. The extent and nature of these conflicts varied across countries, reflecting differences in historical, economic, and political contexts. This divergence highlights the dual nature of immigration, presenting it both as an economic and cultural opportunity and as a security and identity challenge. While some political parties pursued policies of openness and humanitarian support, others prioritised border protection and national sovereignty, contributing to a fragmented European response. To analyse political and social conflicts, cleavage theories serve as one of the most prominent theoretical frameworks. </w:t>
      </w:r>
    </w:p>
    <w:p>
      <w:pPr/>
      <w:r>
        <w:rPr>
          <w:b/>
        </w:rPr>
        <w:t>POSSIBLE 2026:</w:t>
      </w:r>
      <w:r>
        <w:t xml:space="preserve"> Hungarian Perspectives on Ireland — https://doi.org/10.56037/978-963-646-594-0</w:t>
      </w:r>
    </w:p>
    <w:p>
      <w:pPr/>
      <w:r>
        <w:rPr>
          <w:b/>
        </w:rPr>
        <w:t>Shared claim-specific concepts:</w:t>
      </w:r>
      <w:r>
        <w:t xml:space="preserve"> hungarian, current, key, challenges, terms; EU scope visible. This is a provisional connection, not an outcome finding.</w:t>
      </w:r>
    </w:p>
    <w:p>
      <w:pPr>
        <w:pStyle w:val="SourceNote"/>
      </w:pPr>
      <w:r>
        <w:rPr>
          <w:b/>
        </w:rPr>
        <w:t>Available abstract (not full text):</w:t>
      </w:r>
      <w:r>
        <w:t xml:space="preserve"> This volume presents the richness and diversity of Irish Studies in Hungary, marking a milestone as the first publication of its kind. It gathers thirteen studies spanning a wide range of subjects, historical periods, and geographical perspectives, from medieval hagiography to contemporary literature. The essays are approached through history, literary theory, film studies, and linguistics, while also exploring aspects of Irish–Hungarian, Irish–American, Irish–Sri Lankan, and Irish–European relations. The contributors themselves reflect this diversity: from early-career scholars enrolled in master’s and doctoral programs to established Hungarian authorities in Irish Studies. As literary scholar Ákos Farkas observes, “Organized into four major thematic units, these studies examine cultural and linguistic history, multimedia, literary studies, translation studies, and literary translation, reflecting the current directions of Irish Studies in Hungary. Their scope will appeal not only to specialists but also to an informed readership in Hungary, Ireland, and beyond.” Beyond the academic essays, the volume includes an interview with a figure of note in ethnography, sociology, and literary theory, alongside literary translations that enrich the collection. These include ballad translations by a highly regarded literary translator, a prose translation highlighting Irish–American conn</w:t>
      </w:r>
    </w:p>
    <w:p>
      <w:pPr/>
      <w:r>
        <w:rPr>
          <w:b/>
        </w:rPr>
        <w:t>POSSIBLE 2026:</w:t>
      </w:r>
      <w:r>
        <w:t xml:space="preserve"> Prevalence of Smith–Lemli–Opitz Syndrome Carriers and the Spectrum of DHCR7 Pathogenic Variants in Representative Czech and Hungarian Population Cohorts — https://doi.org/10.3390/genes17020164</w:t>
      </w:r>
    </w:p>
    <w:p>
      <w:pPr/>
      <w:r>
        <w:rPr>
          <w:b/>
        </w:rPr>
        <w:t>Shared claim-specific concepts:</w:t>
      </w:r>
      <w:r>
        <w:t xml:space="preserve"> hungarian, current, likely, terms, among; EU scope visible. This is a provisional connection, not an outcome finding.</w:t>
      </w:r>
    </w:p>
    <w:p>
      <w:pPr>
        <w:pStyle w:val="SourceNote"/>
      </w:pPr>
      <w:r>
        <w:rPr>
          <w:b/>
        </w:rPr>
        <w:t>Available abstract (not full text):</w:t>
      </w:r>
      <w:r>
        <w:t xml:space="preserve"> Background: Smith–Lemli–Opitz syndrome (SLOS) is an inborn error of cholesterol biosynthesis, caused by biallelic mutations in the DHCR7 gene. Genotype–phenotype correlations regarding DHCR7 variants could explain the variation in severity, ranging from in utero demise or severe SLOS to a mild phenotype. Clinical recognition can be challenging. This study aimed to determine the frequency of SLOS carriers in the Central European population, as well as the mutational spectrum of DHCR7 in these carriers. Methods: A retrospective analysis of DHCR7 variants was conducted using next-generation sequencing data from 55,289 individuals in Czech and Hungarian genetic laboratories. Results: The SLOS carrier frequency and the mutational spectrum of the DHCR7 gene in its carriers were established in the Czech and Hungarian sub-cohorts. In the combined dataset, we identified causative DHCR7 variants on 1567 alleles among 55,289 tested individuals, contributing to an SLOS carrier frequency of 2.83%. Of the 31 DHCR7 variants detected, the c.452G&gt;A variant was the most prevalent, accounting for 1.8% of all detected alleles in our cohorts. In contrast, the c.964-1G&gt;C variant was more frequent in non-Finnish Europeans, as indicated by the gnomAD 4.1.0 database. The DHCR7 mutational spectra of patients and carriers were comparable in terms of the most common variants. Conclusions: The high SLOS ca</w:t>
      </w:r>
    </w:p>
    <w:p>
      <w:pPr/>
      <w:r>
        <w:rPr>
          <w:b/>
        </w:rPr>
        <w:t>POSSIBLE 2026:</w:t>
      </w:r>
      <w:r>
        <w:t xml:space="preserve"> The European Union’s Sanction Policy – Challenges and Opportunities of the 2024 Hungarian EU Presidency — https://doi.org/10.36250/01303_77</w:t>
      </w:r>
    </w:p>
    <w:p>
      <w:pPr/>
      <w:r>
        <w:rPr>
          <w:b/>
        </w:rPr>
        <w:t>Shared claim-specific concepts:</w:t>
      </w:r>
      <w:r>
        <w:t xml:space="preserve"> hungarian, challenges, opportunities; EU scope visible. This is a provisional connection, not an outcome finding.</w:t>
      </w:r>
    </w:p>
    <w:p>
      <w:pPr>
        <w:pStyle w:val="SourceNote"/>
      </w:pPr>
      <w:r>
        <w:rPr>
          <w:b/>
        </w:rPr>
        <w:t>Available abstract (not full text):</w:t>
      </w:r>
      <w:r>
        <w:t xml:space="preserve"> The European</w:t>
      </w:r>
    </w:p>
    <w:p>
      <w:pPr/>
      <w:r>
        <w:rPr>
          <w:b/>
        </w:rPr>
        <w:t>POSSIBLE 2026:</w:t>
      </w:r>
      <w:r>
        <w:t xml:space="preserve"> Managing the largest European statistical collection: traditions, missions and modernity in the life and the future of the Hungarian Statistical Office Library — https://doi.org/10.3311/celisr.44673</w:t>
      </w:r>
    </w:p>
    <w:p>
      <w:pPr/>
      <w:r>
        <w:rPr>
          <w:b/>
        </w:rPr>
        <w:t>Shared claim-specific concepts:</w:t>
      </w:r>
      <w:r>
        <w:t xml:space="preserve"> hungarian, team, current, areas; EU scope visible. This is a provisional connection, not an outcome finding.</w:t>
      </w:r>
    </w:p>
    <w:p>
      <w:pPr>
        <w:pStyle w:val="SourceNote"/>
      </w:pPr>
      <w:r>
        <w:rPr>
          <w:b/>
        </w:rPr>
        <w:t>Available abstract (not full text):</w:t>
      </w:r>
      <w:r>
        <w:t xml:space="preserve"> The study provides a brief overview and description of the establishment and operation of the Hungarian statistical library from the 19th century to the present day, covering the composition and use of the collection, as well as the institution’s major achievements, completed projects, and milestones in recent years. The author also outlines the relationship between the library and its parent institution, the statistical office, describes the current state of affairs, and at the same time formulates numerous suggestions and ideas regarding the most effective possible cooperation between the two organizations in the future, primarily in the areas of statistical information services and research support. As a former member of the library staff, the author held various positions (reference librarian, cultural representative, researcher, team leader, head of department) between 2015 and 2025.</w:t>
      </w:r>
    </w:p>
    <w:p>
      <w:pPr/>
      <w:r>
        <w:rPr>
          <w:b/>
        </w:rPr>
        <w:t>POSSIBLE 2025:</w:t>
      </w:r>
      <w:r>
        <w:t xml:space="preserve"> Nutritional therapy of post-stroke dysphagia patients, with special reference to the role of dietitians in multidisciplinary teams: A Hungarian study — https://doi.org/10.1556/2066.2025.00068</w:t>
      </w:r>
    </w:p>
    <w:p>
      <w:pPr/>
      <w:r>
        <w:rPr>
          <w:b/>
        </w:rPr>
        <w:t>Shared claim-specific concepts:</w:t>
      </w:r>
      <w:r>
        <w:t xml:space="preserve"> aim, hungarian, out; EU scope visible. This is a provisional connection, not an outcome finding.</w:t>
      </w:r>
    </w:p>
    <w:p>
      <w:pPr>
        <w:pStyle w:val="SourceNote"/>
      </w:pPr>
      <w:r>
        <w:rPr>
          <w:b/>
        </w:rPr>
        <w:t>Available abstract (not full text):</w:t>
      </w:r>
      <w:r>
        <w:t xml:space="preserve">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pPr/>
      <w:r>
        <w:rPr>
          <w:b/>
        </w:rPr>
        <w:t>POSSIBLE 2025:</w:t>
      </w:r>
      <w:r>
        <w:t xml:space="preserve"> Entrepreneurial Student Teams and Start-up Project Continuance Intention at Hungarian Universities — https://doi.org/10.7595/management.fon.2025.0005</w:t>
      </w:r>
    </w:p>
    <w:p>
      <w:pPr/>
      <w:r>
        <w:rPr>
          <w:b/>
        </w:rPr>
        <w:t>Shared claim-specific concepts:</w:t>
      </w:r>
      <w:r>
        <w:t xml:space="preserve"> hungarian, team, identify, likely, challenges, among; EU scope not established. This is a provisional connection, not an outcome finding.</w:t>
      </w:r>
    </w:p>
    <w:p>
      <w:pPr>
        <w:pStyle w:val="SourceNote"/>
      </w:pPr>
      <w:r>
        <w:rPr>
          <w:b/>
        </w:rPr>
        <w:t>Available abstract (not full text):</w:t>
      </w:r>
      <w:r>
        <w:t xml:space="preserve">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pPr/>
      <w:r>
        <w:rPr>
          <w:b/>
        </w:rPr>
        <w:t>POSSIBLE 2025:</w:t>
      </w:r>
      <w:r>
        <w:t xml:space="preserve"> Rethinking the strongest link: VAL, ratings, and team success in Hungarian basketball — https://doi.org/10.3389/fspor.2025.1658676</w:t>
      </w:r>
    </w:p>
    <w:p>
      <w:pPr/>
      <w:r>
        <w:rPr>
          <w:b/>
        </w:rPr>
        <w:t>Shared claim-specific concepts:</w:t>
      </w:r>
      <w:r>
        <w:t xml:space="preserve"> hungarian, team, among; EU scope not established. This is a provisional connection, not an outcome finding.</w:t>
      </w:r>
    </w:p>
    <w:p>
      <w:pPr>
        <w:pStyle w:val="SourceNote"/>
      </w:pPr>
      <w:r>
        <w:rPr>
          <w:b/>
        </w:rPr>
        <w:t>Available abstract (not full text):</w:t>
      </w:r>
      <w:r>
        <w:t xml:space="preserve">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pPr/>
      <w:r>
        <w:rPr>
          <w:b/>
        </w:rPr>
        <w:t>POSSIBLE 2025:</w:t>
      </w:r>
      <w:r>
        <w:t xml:space="preserve"> The Central-European small town: interpretations, challenges and resilience in Hungary — https://doi.org/10.18690/rg.20.2.5201</w:t>
      </w:r>
    </w:p>
    <w:p>
      <w:pPr/>
      <w:r>
        <w:rPr>
          <w:b/>
        </w:rPr>
        <w:t>Shared claim-specific concepts:</w:t>
      </w:r>
      <w:r>
        <w:t xml:space="preserve"> rural, areas, challenges; EU scope visible. This is a provisional connection, not an outcome finding.</w:t>
      </w:r>
    </w:p>
    <w:p>
      <w:pPr>
        <w:pStyle w:val="SourceNote"/>
      </w:pPr>
      <w:r>
        <w:rPr>
          <w:b/>
        </w:rPr>
        <w:t>Available abstract (not full text):</w:t>
      </w:r>
      <w:r>
        <w:t xml:space="preserve">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pPr>
        <w:pStyle w:val="Heading2"/>
      </w:pPr>
      <w:r>
        <w:t>686. Macrofinancial linkages in Europe: Evidence from quantile local projections</w:t>
      </w:r>
    </w:p>
    <w:p>
      <w:pPr>
        <w:pStyle w:val="SourceNote"/>
      </w:pPr>
      <w:r>
        <w:rPr>
          <w:b/>
        </w:rPr>
        <w:t>Original source (2020):</w:t>
      </w:r>
      <w:r>
        <w:t xml:space="preserve"> https://doi.org/10.1002/ijfe.2080</w:t>
      </w:r>
    </w:p>
    <w:p>
      <w:pPr/>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POSSIBLE 2026:</w:t>
      </w:r>
      <w:r>
        <w:t xml:space="preserve"> Global Europe 2.0: The economic potential of new EU Trade Agreements in an era of US protectionism — https://openalex.org/W7164620605</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pPr/>
      <w:r>
        <w:rPr>
          <w:b/>
        </w:rPr>
        <w:t>POSSIBLE 2026:</w:t>
      </w:r>
      <w:r>
        <w:t xml:space="preserve"> Extreme weather in Europe: Determinants and economic impact — https://doi.org/10.1016/j.euroecorev.2026.105327</w:t>
      </w:r>
    </w:p>
    <w:p>
      <w:pPr/>
      <w:r>
        <w:rPr>
          <w:b/>
        </w:rPr>
        <w:t>Shared claim-specific concepts:</w:t>
      </w:r>
      <w:r>
        <w:t xml:space="preserve"> index, measures, adverse;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find, rates, national, level;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Global uncertainty and trade resilience: the role of logistics performance in shaping export outcomes — evidence from Türkiye and the European Union — https://doi.org/10.3846/bm.2026.2524</w:t>
      </w:r>
    </w:p>
    <w:p>
      <w:pPr/>
      <w:r>
        <w:rPr>
          <w:b/>
        </w:rPr>
        <w:t>Shared claim-specific concepts:</w:t>
      </w:r>
      <w:r>
        <w:t xml:space="preserve"> uncertainty, index, measures, adverse; EU scope visible. This is a provisional connection, not an outcome finding.</w:t>
      </w:r>
    </w:p>
    <w:p>
      <w:pPr>
        <w:pStyle w:val="SourceNote"/>
      </w:pPr>
      <w:r>
        <w:rPr>
          <w:b/>
        </w:rPr>
        <w:t>Available abstract (not full text):</w:t>
      </w:r>
      <w:r>
        <w:t xml:space="preserve"> International trade has become increasingly exposed to global uncertainty arising from financial crises, policy shifts, geopolitical tensions, and health shocks, all of which disrupt supply chains and weaken cross-border economic integration. While a growing body of literature shows that uncertainty stresses the trade by raising costs and discouraging investment, its effects are not uniform across countries. Some economies demonstrate greater resilience, sustaining exports or recovering more rapidly from adverse shocks. This study examines whether logistics performance constitutes a key structural factor underpinning such resilience in international trade. Focusing on the Türkiye–European Union (EU) trade relationship over the period 2007–2024, the paper analyzes how global and EU-specific policy uncertainty affects bilateral export flows, whether strong logistics systems can diminish these negative effects. Employing a gravity model framework with bilateral panel data, the analysis incorporates multiple uncertainty indicators alongside two complementary measures of logistics performance, the Logistics Performance Index (LPI) and the Liner Shipping Connectivity Index (LSCI). The results provide evidence that heightened uncertainty significantly reduces Türkiye’s exports to the EU, while superior logistics performance directly enhances trade volumes. More importantly, the findin</w:t>
      </w:r>
    </w:p>
    <w:p>
      <w:pPr/>
      <w:r>
        <w:rPr>
          <w:b/>
        </w:rPr>
        <w:t>POSSIBLE 2026:</w:t>
      </w:r>
      <w:r>
        <w:t xml:space="preserve"> The Economic Impact of Russia's Invasion of Ukraine on European Countries – a SVAR Approach — https://doi.org/10.1111/roie.70064</w:t>
      </w:r>
    </w:p>
    <w:p>
      <w:pPr/>
      <w:r>
        <w:rPr>
          <w:b/>
        </w:rPr>
        <w:t>Shared claim-specific concepts:</w:t>
      </w:r>
      <w:r>
        <w:t xml:space="preserve"> find, france, italy, specific; EU scope visible. This is a provisional connection, not an outcome finding.</w:t>
      </w:r>
    </w:p>
    <w:p>
      <w:pPr>
        <w:pStyle w:val="SourceNote"/>
      </w:pPr>
      <w:r>
        <w:rPr>
          <w:b/>
        </w:rPr>
        <w:t>Available abstract (not full text):</w:t>
      </w:r>
      <w:r>
        <w:t xml:space="preserve"> ABSTRACT We quantify the economic impact of Russia's invasion of Ukraine on Germany, the United Kingdom, France, and Italy using data on historical geopolitical events. Employing a structural VAR approach based on zero, sign, and narrative sign restrictions, and accounting for regional shocks to capture country‐specific effects, our analysis reveals a drag on real economic activity and a significant increase in inflation due to the war. In a counterfactual scenario without the invasion, we find that consumer prices in European countries would have been 2.3% to 5.8% lower in 2023‐Q4. Additionally, global consumer prices would have risen 2.5% less, and energy prices would have been 24% lower. The war also triggered a significant decline in both global and local economic sentiment, resulting in lower consumer confidence and reduced global demand. Without the war, GDP in European countries could have been between 1.4% and 2.4% higher by the end of 2023.</w:t>
      </w:r>
    </w:p>
    <w:p>
      <w:pPr/>
      <w:r>
        <w:rPr>
          <w:b/>
        </w:rPr>
        <w:t>POSSIBLE 2026:</w:t>
      </w:r>
      <w:r>
        <w:t xml:space="preserve"> Dynamics of Inflation and Economic Stability in Facing Global Uncertainty — https://doi.org/10.65739/archipel.v1i7.43</w:t>
      </w:r>
    </w:p>
    <w:p>
      <w:pPr/>
      <w:r>
        <w:rPr>
          <w:b/>
        </w:rPr>
        <w:t>Shared claim-specific concepts:</w:t>
      </w:r>
      <w:r>
        <w:t xml:space="preserve"> uncertainty, adverse; EU scope not established. This is a provisional connection, not an outcome finding.</w:t>
      </w:r>
    </w:p>
    <w:p>
      <w:pPr>
        <w:pStyle w:val="SourceNote"/>
      </w:pPr>
      <w:r>
        <w:rPr>
          <w:b/>
        </w:rPr>
        <w:t>Available abstract (not full text):</w:t>
      </w:r>
      <w:r>
        <w:t xml:space="preserve"> Global uncertainty has significantly transformed inflation dynamics, making inflation more volatile and less predictable, thereby challenging economic stability. This study aims to analyze the dynamics of inflation and their impact on economic stability in the context of global uncertainty, emphasizing the mediating role of inflation uncertainty. This research employs a qualitative approach with a descriptive-analytical design based on a systematic literature review of recent empirical studies published between 2021 and 2025. Data were collected through documentation techniques from reputable international journals and institutional reports, and analyzed using qualitative content analysis, thematic categorization, and conceptual synthesis. The findings reveal that economic policy uncertainty, geopolitical risks, and energy price shocks are the primary drivers of inflation volatility, while inflation uncertainty plays a crucial role in transmitting global shocks to macroeconomic instability. These factors collectively weaken economic performance by reducing investment, consumption, and employment. The discussion highlights that the impact of uncertainty is asymmetric, with developing countries being more vulnerable due to structural and institutional limitations. Furthermore, effective policy responses such as credible communication, inflation targeting, and fiscal-monetary coor</w:t>
      </w:r>
    </w:p>
    <w:p>
      <w:pPr/>
      <w:r>
        <w:rPr>
          <w:b/>
        </w:rPr>
        <w:t>POSSIBLE 2026:</w:t>
      </w:r>
      <w:r>
        <w:t xml:space="preserve"> Global Uncertainty and Tail Risk in Indonesia’s Islamic and Conventional Equity Markets — https://doi.org/10.25077/amar.10.1.121-142.2026</w:t>
      </w:r>
    </w:p>
    <w:p>
      <w:pPr/>
      <w:r>
        <w:rPr>
          <w:b/>
        </w:rPr>
        <w:t>Shared claim-specific concepts:</w:t>
      </w:r>
      <w:r>
        <w:t xml:space="preserve"> uncertainty, index; EU scope not established. This is a provisional connection, not an outcome finding.</w:t>
      </w:r>
    </w:p>
    <w:p>
      <w:pPr>
        <w:pStyle w:val="SourceNote"/>
      </w:pPr>
      <w:r>
        <w:rPr>
          <w:b/>
        </w:rPr>
        <w:t>Available abstract (not full text):</w:t>
      </w:r>
      <w:r>
        <w:t xml:space="preserve"> Is the Indonesian Islamic stock market more resilient to extreme risks compared to conventional markets when global uncertainty increases? Using daily data from the Jakarta Islamic Index (JKII) and the Jakarta Stock Exchange Composite Index (JKSE), we integrate the GARCH–EVT approach, quantile regression, and Expected Shortfall (ES) regression to simultaneously investigate the distribution structure and transmission of global uncertainty shocks. We decompose extreme risk into two main components—the structural thickness of the tail distribution and the realized conditional loss due to volatility dynamics—and show that these two dimensions can lead to different conclusions. Our results indicate that the conventional market has a thicker tail distribution, indicating a higher probability of extreme events. However, after accounting for conditional volatility, the Islamic market exhibits slightly larger average extreme losses. On the other hand, no significant difference is found in sensitivity to global uncertainty between the two markets. Our findings suggest that the difference between Islamic and conventional markets lies in the structure of extreme risk formation, not in the shock transmission mechanism. Our study contributes by demonstrating that tail risk should be understood as the result of the interaction between the distribution of extremes and volatility dynamics in th</w:t>
      </w:r>
    </w:p>
    <w:p>
      <w:pPr/>
      <w:r>
        <w:rPr>
          <w:b/>
        </w:rPr>
        <w:t>POSSIBLE 2026:</w:t>
      </w:r>
      <w:r>
        <w:t xml:space="preserve"> Global Uncertainty in Moderating Macroeconomics on Banking Stability in Islamic Commercial Banks in Indonesia — https://doi.org/10.22515/jfib.v8i2.13117</w:t>
      </w:r>
    </w:p>
    <w:p>
      <w:pPr/>
      <w:r>
        <w:rPr>
          <w:b/>
        </w:rPr>
        <w:t>Shared claim-specific concepts:</w:t>
      </w:r>
      <w:r>
        <w:t xml:space="preserve"> uncertainty, index, effect; EU scope not established. This is a provisional connection, not an outcome finding.</w:t>
      </w:r>
    </w:p>
    <w:p>
      <w:pPr>
        <w:pStyle w:val="SourceNote"/>
      </w:pPr>
      <w:r>
        <w:rPr>
          <w:b/>
        </w:rPr>
        <w:t>Available abstract (not full text):</w:t>
      </w:r>
      <w:r>
        <w:t xml:space="preserve"> Purpose: This study analyzes the role of the World Uncertainty Index (WUI) in moderating the influence of macroeconomic conditions namely GDP, inflation, and exchange rate on the stability of Islamic banking in Indonesia during 2015 Q1 – 2024 Q4. Method: A quantitative approach was used through multiple linear regression and Moderated Regression Analysis with 40 quarterly data from the Financial Services Authority, Trading Economics, and FRED. Stability was measured using Z scores. Results: Gross Domestic Product and inflation have a significant positive effect on stability with coefficients of β = 0.704421 and β = 0.191898, respectively. The exchange rate is not significant. The World Uncertainty Index has a significant negative effect with β = 18.74672. As a moderator, the World Uncertainty Index strengthens the effect of Gross Domestic Product and exchange rate and weakens the effect of inflation. The R-squared value of 0.771887 indicates a strong explanatory power of the model. Implications: The results of the study emphasize the need for adaptive macroprudential policies to maintain the stability of Islamic banking amid increasing global uncertainty. Originality: This study contributes by including global uncertainty as a moderating variable, thereby broadening the understanding of the determinants of Islamic banking stability.</w:t>
      </w:r>
    </w:p>
    <w:p>
      <w:pPr/>
      <w:r>
        <w:rPr>
          <w:b/>
        </w:rPr>
        <w:t>POSSIBLE 2026:</w:t>
      </w:r>
      <w:r>
        <w:t xml:space="preserve"> Economic Integration in MENA: The Global, Regional, and Subregional Integration Indices and Their Dynamic Interactions — https://doi.org/10.11130/jei.2025026</w:t>
      </w:r>
    </w:p>
    <w:p>
      <w:pPr/>
      <w:r>
        <w:rPr>
          <w:b/>
        </w:rPr>
        <w:t>Shared claim-specific concepts:</w:t>
      </w:r>
      <w:r>
        <w:t xml:space="preserve"> index, level; EU scope visible. This is a provisional connection, not an outcome finding.</w:t>
      </w:r>
    </w:p>
    <w:p>
      <w:pPr>
        <w:pStyle w:val="SourceNote"/>
      </w:pPr>
      <w:r>
        <w:rPr>
          <w:b/>
        </w:rPr>
        <w:t>Available abstract (not full text):</w:t>
      </w:r>
      <w:r>
        <w:t xml:space="preserve"> A new index derived from the gravity model is proposed to measure global, regional, and subregional economic integration. Different intertwined relationships between these three levels of integration are found in Europe, America, Asia, and MENA, with the latter having a distinctive dumbbell integration pattern-strong in the upper global and lower subregional levels but weak in the middle regional level. The panel data cointegration approach finds that different types of integration are complements but not substitutes. Regional integration has the strongest positive externality in fostering the other types of integration. Promoting regionalization is the most efficient policy option.</w:t>
      </w:r>
    </w:p>
    <w:p>
      <w:pPr/>
      <w:r>
        <w:rPr>
          <w:b/>
        </w:rPr>
        <w:t>POSSIBLE 2026:</w:t>
      </w:r>
      <w:r>
        <w:t xml:space="preserve"> Compounding hazards increase flood economic losses across Europe — https://doi.org/10.1038/s41467-026-73248-0</w:t>
      </w:r>
    </w:p>
    <w:p>
      <w:pPr/>
      <w:r>
        <w:rPr>
          <w:b/>
        </w:rPr>
        <w:t>Shared claim-specific concepts:</w:t>
      </w:r>
      <w:r>
        <w:t xml:space="preserve"> find, effect;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2026:</w:t>
      </w:r>
      <w:r>
        <w:t xml:space="preserve"> Energy policy and economic security: a comparison of Europe and Asia — https://doi.org/10.33223/epj/207199</w:t>
      </w:r>
    </w:p>
    <w:p>
      <w:pPr/>
      <w:r>
        <w:rPr>
          <w:b/>
        </w:rPr>
        <w:t>Shared claim-specific concepts:</w:t>
      </w:r>
      <w:r>
        <w:t xml:space="preserve"> france, measures;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find, industrial;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pStyle w:val="Heading2"/>
      </w:pPr>
      <w:r>
        <w:t>687. Medium-term forecast of European economic sustainable growth using Markov chains</w:t>
      </w:r>
    </w:p>
    <w:p>
      <w:pPr>
        <w:pStyle w:val="SourceNote"/>
      </w:pPr>
      <w:r>
        <w:rPr>
          <w:b/>
        </w:rPr>
        <w:t>Original source (2020):</w:t>
      </w:r>
      <w:r>
        <w:t xml:space="preserve"> https://doi.org/10.18045/zbefri.2020.2.585</w:t>
      </w:r>
    </w:p>
    <w:p>
      <w:pPr/>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POSSIBLE 2026:</w:t>
      </w:r>
      <w:r>
        <w:t xml:space="preserve"> The impact of international economic sanctions on national economic growth. — https://openalex.org/W7125359130</w:t>
      </w:r>
    </w:p>
    <w:p>
      <w:pPr/>
      <w:r>
        <w:rPr>
          <w:b/>
        </w:rPr>
        <w:t>Shared claim-specific concepts:</w:t>
      </w:r>
      <w:r>
        <w:t xml:space="preserve"> frequently, empirical; EU scope visible. This is a provisional connection, not an outcome finding.</w:t>
      </w:r>
    </w:p>
    <w:p>
      <w:pPr>
        <w:pStyle w:val="SourceNote"/>
      </w:pPr>
      <w:r>
        <w:rPr>
          <w:b/>
        </w:rPr>
        <w:t>Available abstract (not full text):</w:t>
      </w:r>
      <w:r>
        <w:t xml:space="preserve">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pPr/>
      <w:r>
        <w:rPr>
          <w:b/>
        </w:rPr>
        <w:t>POSSIBLE 2026:</w:t>
      </w:r>
      <w:r>
        <w:t xml:space="preserve"> Green Fiscal Rules and Economic Growth in Europe: A Panel Data — https://doi.org/10.18506/anemon.1778818</w:t>
      </w:r>
    </w:p>
    <w:p>
      <w:pPr/>
      <w:r>
        <w:rPr>
          <w:b/>
        </w:rPr>
        <w:t>Shared claim-specific concepts:</w:t>
      </w:r>
      <w:r>
        <w:t xml:space="preserve"> empirical, influence; EU scope visible. This is a provisional connection, not an outcome finding.</w:t>
      </w:r>
    </w:p>
    <w:p>
      <w:pPr>
        <w:pStyle w:val="SourceNote"/>
      </w:pPr>
      <w:r>
        <w:rPr>
          <w:b/>
        </w:rPr>
        <w:t>Available abstract (not full text):</w:t>
      </w:r>
      <w:r>
        <w:t xml:space="preserve"> As European economies strive to achieve carbon neutrality by 2050, green fiscal rules have become central to policy debates. The European Union (EU) has integrated environmental considerations into its fiscal governance framework, including green budgeting, sustainable debt rules, and carbon taxation. While these policies aim to balance sustainability with economic growth, their macroeconomic effects remain contested. This study examines how green fiscal rules influence economic growth across European countries, employing Panel data modelling and the Panel ARDL approach to improve causal inference. This research is significant as it investigates the effects of green fiscal policies on economic expansion in Europe, providing policymakers with valuable information. The Panel data approach enhances causal inference, and the Panel ARDL offers valuable information about the long-term impacts, thereby increasing the reliability of the findings. Grasping this connection enables a balance between environmental sustainability and economic stability. This research offers European comparisons, helping other areas develop environmental policy strategies. This initiative also addresses a research void, providing empirical data on whether green fiscal policies stimulate or impede economic expansion.</w:t>
      </w:r>
    </w:p>
    <w:p>
      <w:pPr/>
      <w:r>
        <w:rPr>
          <w:b/>
        </w:rPr>
        <w:t>POSSIBLE 2026:</w:t>
      </w:r>
      <w:r>
        <w:t xml:space="preserve"> Balancing economic growth and emission reductions: an empirical study of the European Union — https://doi.org/10.15196/rs160307</w:t>
      </w:r>
    </w:p>
    <w:p>
      <w:pPr/>
      <w:r>
        <w:rPr>
          <w:b/>
        </w:rPr>
        <w:t>Shared claim-specific concepts:</w:t>
      </w:r>
      <w:r>
        <w:t xml:space="preserve"> empirical, problem; EU scope visible. This is a provisional connection, not an outcome finding.</w:t>
      </w:r>
    </w:p>
    <w:p>
      <w:pPr>
        <w:pStyle w:val="SourceNote"/>
      </w:pPr>
      <w:r>
        <w:rPr>
          <w:b/>
        </w:rPr>
        <w:t>Available abstract (not full text):</w:t>
      </w:r>
      <w:r>
        <w:t xml:space="preserve"> ordinary least squares, outward foreign direct investment, CO 2 emissions A key problem today is reducing greenhouse gas (GHG) emissions and environmental damage without hampering economic growth.This study aims to analyse the main determinants of GHG in the European Union (EU) countries for the period 2004-2022 in view of the Paris Agreement and the Green Deal objectives.This analysis aims to examine the validity of the environmental Kuznets curve (EKC) in EU member states.We aim to explore if any increase in foreign direct investment (FDI) and the share of the service sector shows significantly effective carbon dioxide (CO 2 ) emissions.The results show if economic growth (real gross domestic product [GDP] per capita), final energy consumption per capita, and the share of fossil fuels have a significant positive effect on GHG emissions.Reducing fossil fuels and increasing energy efficiency can lower emissions.The significant impact of capital leakage on CO 2 emissions cannot be clearly determined from the panel analysis.Growth in the services sector's share of GDP contributes to emission reductions.Fully modified ordinary least squares (FMOLS), dynamic ordinary least squares (DOLS), fixed effect, random effect panel models, cointegration models, k-means cluster analysis and comparative analysis were used for the analysis.The models suggest a possible turning point in the EKC;</w:t>
      </w:r>
    </w:p>
    <w:p>
      <w:pPr/>
      <w:r>
        <w:rPr>
          <w:b/>
        </w:rPr>
        <w:t>POSSIBLE 2026:</w:t>
      </w:r>
      <w:r>
        <w:t xml:space="preserve"> The European Union cohesion policy: driver of economic growth — https://doi.org/10.24818/rej/2025/91/10</w:t>
      </w:r>
    </w:p>
    <w:p>
      <w:pPr/>
      <w:r>
        <w:rPr>
          <w:b/>
        </w:rPr>
        <w:t>Shared claim-specific concepts:</w:t>
      </w:r>
      <w:r>
        <w:t xml:space="preserve"> both, methods; EU scope visible. This is a provisional connection, not an outcome finding.</w:t>
      </w:r>
    </w:p>
    <w:p>
      <w:pPr>
        <w:pStyle w:val="SourceNote"/>
      </w:pPr>
      <w:r>
        <w:rPr>
          <w:b/>
        </w:rPr>
        <w:t>Available abstract (not full text):</w:t>
      </w:r>
      <w:r>
        <w:t xml:space="preserve"> Regional development policy or cohesion policy, the latter term being used mainly since the Treaty of Amsterdam, has its origins in the Treaty of Rome, document in which it was mentioned for the first time the need to eliminate economic and social disparities between Member States. Cohesion policy was formalized since the Single European Act entered into force in 1987, and gradually came to benefit from over a third of the Union budget, being the EU's most important investment policy. The paper aims to analyze the evolution of the Eu Cohesion Policy, by underlining the most important milestones from 1957 until nowadays. The paper also includes a comparative perspective regarding the budget allocated to the policy over time, as well as the benefits and challenges of this policy, by highlighting the results as well as the most important reforms that would improve the functioning of this policy within the next financing period. The research methods are both qualitative and quantitative and the study enriches the existing literature on cohesion policy by making a detailed analysis of the main benefits of the policy in terms of results and of the reforms that the policy must undergo in the next financing period in order to improve its efficiency. The cohesion policy for the next financing period should focus on responding to the local needs, speeding up and simplifying the implement</w:t>
      </w:r>
    </w:p>
    <w:p>
      <w:pPr/>
      <w:r>
        <w:rPr>
          <w:b/>
        </w:rPr>
        <w:t>POSSIBLE 2026:</w:t>
      </w:r>
      <w:r>
        <w:t xml:space="preserve"> Energy Transition in the Context of the Determinants of Long-Term Economic Growth in the European Union — https://doi.org/10.33067/se.1.2026.8</w:t>
      </w:r>
    </w:p>
    <w:p>
      <w:pPr/>
      <w:r>
        <w:rPr>
          <w:b/>
        </w:rPr>
        <w:t>Shared claim-specific concepts:</w:t>
      </w:r>
      <w:r>
        <w:t xml:space="preserve"> theoretical, empirical; EU scope visible. This is a provisional connection, not an outcome finding.</w:t>
      </w:r>
    </w:p>
    <w:p>
      <w:pPr>
        <w:pStyle w:val="SourceNote"/>
      </w:pPr>
      <w:r>
        <w:rPr>
          <w:b/>
        </w:rPr>
        <w:t>Available abstract (not full text):</w:t>
      </w:r>
      <w:r>
        <w:t xml:space="preserve"> Energy is a resource essential to the economic growth of any economy, and energy transition can play a significant role in fostering such growth. The purpose of this article is to examine the European Union (EU) energy transition in the context of the determinants of economic growth in the Member States of the EU. In order to achieve this aim, a descriptive and analytical approach is employed. The study includes a synthetic theoretical introduction on the importance of energy in economic growth processes, as well as an analysis of EU documents and strategies relating to the directions of the EU’s energy transition. In addition, a review of the scientific literature on the relationship between economic growth and greenhouse gas emissions, viewed in terms of the Environmental Kuznets Curve (EKC) concept, is conducted. The empirical part of the study is based on an analysis of secondary data for European Union Member States covering the period from 2013 to 2023. The dataset includes indicators of economic growth, greenhouse gas emissions, the share of renewable energy sources in final energy consumption, and the energy intensity of economies. This approach made it possible to identify trends and variations among EU countries.</w:t>
      </w:r>
    </w:p>
    <w:p>
      <w:pPr/>
      <w:r>
        <w:rPr>
          <w:b/>
        </w:rPr>
        <w:t>POSSIBLE 2026:</w:t>
      </w:r>
      <w:r>
        <w:t xml:space="preserve"> Econometric modelling of technological, environmental, and structural drivers of economic growth in European countries — https://doi.org/10.1007/s43621-026-03830-5</w:t>
      </w:r>
    </w:p>
    <w:p>
      <w:pPr/>
      <w:r>
        <w:rPr>
          <w:b/>
        </w:rPr>
        <w:t>Shared claim-specific concepts:</w:t>
      </w:r>
      <w:r>
        <w:t xml:space="preserve"> empirical, factors, different; EU scope visible. This is a provisional connection, not an outcome finding.</w:t>
      </w:r>
    </w:p>
    <w:p>
      <w:pPr>
        <w:pStyle w:val="SourceNote"/>
      </w:pPr>
      <w:r>
        <w:rPr>
          <w:b/>
        </w:rPr>
        <w:t>Available abstract (not full text):</w:t>
      </w:r>
      <w:r>
        <w:t xml:space="preserve"> The paper aims to investigate the impact of artificial intelligence, trade, natural resource rents, urbanisation, renewable energy consumption, and industry structure on economic development in selected European countries for the period from 2012 to 2024. By integrating technological, environmental, and structural drivers into a single empirical framework, the study provides a more comprehensive assessment of economic development dynamics than previous research. Given the presence of cross-sectional dependency, heterogeneity, mix-stationarity, and cointegration of the data, the analysis employs different panel models such as Generalised Method of Moments (GMM), Fully Modified Ordinary Least Squares (FMOLS), Dynamic Ordinary Least Squares (DOLS), and Dynamic Common Correlated Effects Mean Group estimator (DCCE–MG). The results indicate that artificial intelligence, trade, and natural resource rents have a significant impact on economic development across all applied models. Urbanisation, renewable energy consumption, and industry structure also demonstrate positive effects on economic growth in GMM, FMOLS, and DOLS estimations. Beyond the macroeconomic perspective, the applied models are also relevant for sector-specific contexts. For example, a potential application can be found in the tourism and hospitality sector, where digital transformation, structural characteristics, and</w:t>
      </w:r>
    </w:p>
    <w:p>
      <w:pPr/>
      <w:r>
        <w:rPr>
          <w:b/>
        </w:rPr>
        <w:t>POSSIBLE 2026:</w:t>
      </w:r>
      <w:r>
        <w:t xml:space="preserve"> Mapping Research Trends on the Ageing Workforce and Economic Performance in Europe: A Bibliometric Analysis — https://doi.org/10.14254/1800-5845/2026.22-4.20</w:t>
      </w:r>
    </w:p>
    <w:p>
      <w:pPr/>
      <w:r>
        <w:rPr>
          <w:b/>
        </w:rPr>
        <w:t>Shared claim-specific concepts:</w:t>
      </w:r>
      <w:r>
        <w:t xml:space="preserve"> both, influence; EU scope visible. This is a provisional connection, not an outcome finding.</w:t>
      </w:r>
    </w:p>
    <w:p>
      <w:pPr>
        <w:pStyle w:val="SourceNote"/>
      </w:pPr>
      <w:r>
        <w:rPr>
          <w:b/>
        </w:rPr>
        <w:t>Available abstract (not full text):</w:t>
      </w:r>
      <w:r>
        <w:t xml:space="preserve"> Population ageing is one of the most significant demographic transformations in contemporary Europe, with major implications for labour markets, productivity, pension systems, and healthcare sustainability.Although research on population ageing, healthy ageing, older people's labour market participation, and related economic issues has expanded considerably, the literature remains fragmented across economics, demography, public health, and social policy.This study addresses that gap through a comprehensive bibliometric analysis of research on the ageing workforce and its economic implications in Europe.The analysis is based on English-language articles and review articles indexed in the Social Sciences Citation Index of the Web of Science Core Collection.Using a structured search strategy combining ageing-, economic-, and Europe-related terms, 1,437 publications published between 1993 and 2025 were identified.Bibliometrix-based performance analysis and science mapping were applied to examine publication trends, leading contributors, source influence, geographical distribution, and thematic structures.The results show a rapidly growing, highly collaborative field with an average annual growth rate of 15.95%.The United Kingdom emerged as both the most productive and the most cited country.Ageing &amp; Society and Sustainability were the leading publication outlets, while Social Scien</w:t>
      </w:r>
    </w:p>
    <w:p>
      <w:pPr/>
      <w:r>
        <w:rPr>
          <w:b/>
        </w:rPr>
        <w:t>POSSIBLE 2026:</w:t>
      </w:r>
      <w:r>
        <w:t xml:space="preserve"> The Impact of Digital Skills on Economic Growth in the European Union: A Bayesian Model Averaging Approach — https://doi.org/10.3390/su18062829</w:t>
      </w:r>
    </w:p>
    <w:p>
      <w:pPr/>
      <w:r>
        <w:rPr>
          <w:b/>
        </w:rPr>
        <w:t>Shared claim-specific concepts:</w:t>
      </w:r>
      <w:r>
        <w:t xml:space="preserve"> influence, applying; EU scope visible. This is a provisional connection, not an outcome finding.</w:t>
      </w:r>
    </w:p>
    <w:p>
      <w:pPr>
        <w:pStyle w:val="SourceNote"/>
      </w:pPr>
      <w:r>
        <w:rPr>
          <w:b/>
        </w:rPr>
        <w:t>Available abstract (not full text):</w:t>
      </w:r>
      <w:r>
        <w:t xml:space="preserve"> The accelerated growth of the digitalization process is making digital skills increasingly important in the global economy. The purpose of this research is to empirically assess the impact of digital skills on economic growth in the 27 European Union (EU) member states over the period 2017–2023. In this respect, to measure the concept of digital skills, we employed the following four indicators of the Digital Economy and Society Index (DESI): internet usage, enterprises offering information and communication technologies (ICT) training to their employees, ICT specialists, and ICT graduates, while economic growth was proxied by gross domestic product (GDP) per capita. In addition, to obtain a more nuanced analysis, we included a set of control variables likely to influence growth. In the first stage of the research, we apprised the effect and importance of each explanatory variable on the GDP per capita using the Bayesian model averaging (BMA), while in the second stage, we ran a two-step system generalized method of moments (GMM). Based on the results obtained from applying the BMA, ICT graduates, trade, the new EU countries, and the employed population are the main determinants of economic growth. In addition, the new EU countries and inflation have a negative impact on GDP per capita, and the post-COVID dummy exerts a predominantly negative effect and all remaining regressors</w:t>
      </w:r>
    </w:p>
    <w:p>
      <w:pPr/>
      <w:r>
        <w:rPr>
          <w:b/>
        </w:rPr>
        <w:t>POSSIBLE 2026:</w:t>
      </w:r>
      <w:r>
        <w:t xml:space="preserve"> Governance Indicators and Their Impact on Economic Growth: A Comparison between Developed and Developing European Countries — https://doi.org/10.37075/ea.2026.3.02</w:t>
      </w:r>
    </w:p>
    <w:p>
      <w:pPr/>
      <w:r>
        <w:rPr>
          <w:b/>
        </w:rPr>
        <w:t>Shared claim-specific concepts:</w:t>
      </w:r>
      <w:r>
        <w:t xml:space="preserve"> empirical, different; EU scope visible. This is a provisional connection, not an outcome finding.</w:t>
      </w:r>
    </w:p>
    <w:p>
      <w:pPr>
        <w:pStyle w:val="SourceNote"/>
      </w:pPr>
      <w:r>
        <w:rPr>
          <w:b/>
        </w:rPr>
        <w:t>Available abstract (not full text):</w:t>
      </w:r>
      <w:r>
        <w:t xml:space="preserve"> Purpose – This study examines the impact of governance indicators on economic growth in developed and developing European countries from 2005 to 2023. It focuses on GDP per capita as the dependent variable and governance indicators, alongside FDI, inflation, and population growth as explanatory variables. Design/methodology/approach – The study applies pooled OLS, fixed effects, random effects, and the Hausman-Taylor IV model to address endogeneity concerns and ensure robust estimates. Findings – Governance indicators significantly influences GDP per capita growth. Developed countries experience more stable growth trajectories, while developing economies benefit more from stable governance improvements. Control of corruption and political stability being key in developing economies, while government effectiveness and regulatory quality are more influential in developed nations. Inflation negatively impacts growth, while FDI fosters economic expansion, particularly where institutions are strong. Practical implications – The findings highlight the need for governance reforms: developed countries should focus on regulatory efficiency, while developing economies should prioritize political stability and anti-corruption measures. Originality/value – This study provides empirical insights into how governance indicators affect economic growth across different development stages, infor</w:t>
      </w:r>
    </w:p>
    <w:p>
      <w:pPr/>
      <w:r>
        <w:rPr>
          <w:b/>
        </w:rPr>
        <w:t>POSSIBLE 2026:</w:t>
      </w:r>
      <w:r>
        <w:t xml:space="preserve"> Mercantilist and protectionist shocks on innovation, growth, and economic policy in European regions — https://doi.org/10.1007/s00191-025-00921-w</w:t>
      </w:r>
    </w:p>
    <w:p>
      <w:pPr/>
      <w:r>
        <w:rPr>
          <w:b/>
        </w:rPr>
        <w:t>Shared claim-specific concepts:</w:t>
      </w:r>
      <w:r>
        <w:t xml:space="preserve"> both, different; EU scope visible. This is a provisional connection, not an outcome finding.</w:t>
      </w:r>
    </w:p>
    <w:p>
      <w:pPr>
        <w:pStyle w:val="SourceNote"/>
      </w:pPr>
      <w:r>
        <w:rPr>
          <w:b/>
        </w:rPr>
        <w:t>Available abstract (not full text):</w:t>
      </w:r>
      <w:r>
        <w:t xml:space="preserve"> Abstract We assess the potential innovation and growth implications on European regions of the rapid global shifts in political economy towards mercantilism, tariffs, and protectionism. The new trade shocks have the potential to reshape the geography of European innovation, and we examine the likely global value-chain implications on regional innovation in both STI-driven and DUI-driven regions using a unique EU-wide regional input–output database. The analyses undertaken here using the EU EUREGIO -FIGARO datasets allow us to incorporate not only the direct demand-transmission effects of international trade on different EU regions, but also the full trade-in-value-added logic, which also includes the indirect effects of GVCs spanning EU regions and non-EU countries. We demonstrate that both STI-driven and non-STI/DUI-driven regions are exposed in different ways to these trade shocks, and that Europe’s territorial innovation, growth, and development challenges are likely to become even more complicated in today’s global political context, depending on where regions are positioned in global value chains.</w:t>
      </w:r>
    </w:p>
    <w:p>
      <w:pPr/>
      <w:r>
        <w:rPr>
          <w:b/>
        </w:rPr>
        <w:t>POSSIBLE 2025:</w:t>
      </w:r>
      <w:r>
        <w:t xml:space="preserve"> POLAND AS A FULL MEMBER IN THE ECONOMIC SYSTEM OF THE EUROPEAN UNION — https://doi.org/10.32782/2413-9971/2025-57-17</w:t>
      </w:r>
    </w:p>
    <w:p>
      <w:pPr/>
      <w:r>
        <w:rPr>
          <w:b/>
        </w:rPr>
        <w:t>Shared claim-specific concepts:</w:t>
      </w:r>
      <w:r>
        <w:t xml:space="preserve"> analyzed, both, studied, take; EU scope visible. This is a provisional connection, not an outcome finding.</w:t>
      </w:r>
    </w:p>
    <w:p>
      <w:pPr>
        <w:pStyle w:val="SourceNote"/>
      </w:pPr>
      <w:r>
        <w:rPr>
          <w:b/>
        </w:rPr>
        <w:t>Available abstract (not full text):</w:t>
      </w:r>
      <w:r>
        <w:t xml:space="preserve"> 1 May, 2024 marks the 20th anniversary of Poland's accession to the European Union. It was a turning point in the history of both the country and the entire Community. It is a great opportunity to take stock of membership and identify the challenges facing the European community. Poland is an example of successful EU integration, combining dynamic growth with security and regional policy challenges. Poland joined the European Union, taking a decisive step towards a future built on cooperation, prosperity and shared values. Poland as a member of the European Union, which is due to its unique experience of transformation from a post-socialist economy to one of the most dynamic economies in the EU is deeply examined. Poland’s integration into the EU has had a significant impact on its economy, stimulating trade, attracting foreign investment, and overall economic growth. The scientific article is devoted to the analysis of the economic development of Poland as a full member of the European Union. The key aspects of Poland’s membership in the European Union are considered. The contribution of Poland to the development of the common economic policy and the impact of membership on the national economy are highlighted. The positive results are considered, including GDP growth, export diversification, attracting foreign investment, infrastructure development and effective use of Europe</w:t>
      </w:r>
    </w:p>
    <w:p>
      <w:pPr/>
      <w:r>
        <w:rPr>
          <w:b/>
        </w:rPr>
        <w:t>POSSIBLE 2025:</w:t>
      </w:r>
      <w:r>
        <w:t xml:space="preserve"> Economic growth in 26 European Union Economies: evidence from conditional convergence — https://doi.org/10.1186/s43093-025-00671-y</w:t>
      </w:r>
    </w:p>
    <w:p>
      <w:pPr/>
      <w:r>
        <w:rPr>
          <w:b/>
        </w:rPr>
        <w:t>Shared claim-specific concepts:</w:t>
      </w:r>
      <w:r>
        <w:t xml:space="preserve"> different, methods, convergence; EU scope visible. This is a provisional connection, not an outcome finding.</w:t>
      </w:r>
    </w:p>
    <w:p>
      <w:pPr>
        <w:pStyle w:val="SourceNote"/>
      </w:pPr>
      <w:r>
        <w:rPr>
          <w:b/>
        </w:rPr>
        <w:t>Available abstract (not full text):</w:t>
      </w:r>
      <w:r>
        <w:t xml:space="preserve"> Abstract This study investigates conditional income convergence among 26 European Union member states from 1995 to 2022, focusing on GDP per capita growth and complemented by an analysis of unemployment dynamics. Three advanced heterogeneous panel estimators are employed: the pooled mean group autoregressive distributed lag (PMG-ARDL) and dynamic common correlated effects ARDL (CS-ARDL) to capture linear relationships, and the pooled mean group nonlinear ARDL (PMG-NARDL) to account for potential asymmetric adjustments. These methods address slope heterogeneity, cross-sectional dependence, and nonstationarity. Panel unit-root and cointegration tests confirm long-run relationships, and Dumitrescu–Hurlin tests assess causality. In the linear PMG and CS-ARDL models for GDP per capita growth, inflation and gross capital formation hinder long-run growth, while government spending, labor force participation, and trade openness have positive effects. In the unemployment models, GDP growth, trade openness, and government spending reduce unemployment, whereas inflation and gross capital formation increase it. The nonlinear PMG-NARDL results reveal that the direction of change in variables such as government debt, capital formation, inflation, and trade openness matters, with positive and negative shocks often having different long-run effects. Error correction terms across models indicat</w:t>
      </w:r>
    </w:p>
    <w:p>
      <w:pPr>
        <w:pStyle w:val="Heading2"/>
      </w:pPr>
      <w:r>
        <w:t>688. One step ahead? The use of foresight by Czech and Slovak non-governmental organizations</w:t>
      </w:r>
    </w:p>
    <w:p>
      <w:pPr>
        <w:pStyle w:val="SourceNote"/>
      </w:pPr>
      <w:r>
        <w:rPr>
          <w:b/>
        </w:rPr>
        <w:t>Original source (2020):</w:t>
      </w:r>
      <w:r>
        <w:t xml:space="preserve"> https://doi.org/10.1186/s40309-020-00163-y</w:t>
      </w:r>
    </w:p>
    <w:p>
      <w:pPr/>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POSSIBLE 2026:</w:t>
      </w:r>
      <w:r>
        <w:t xml:space="preserve"> The End of Bourgeois Humanism and the Mindfulness of Nature in Adorno’s Writings of the 1950s and 1960s — https://doi.org/10.65272/978-88-6977-570-3_5</w:t>
      </w:r>
    </w:p>
    <w:p>
      <w:pPr/>
      <w:r>
        <w:rPr>
          <w:b/>
        </w:rPr>
        <w:t>Shared claim-specific concepts:</w:t>
      </w:r>
      <w:r>
        <w:t xml:space="preserve"> given, nature, work, useful; EU scope not established. This is a provisional connection, not an outcome finding.</w:t>
      </w:r>
    </w:p>
    <w:p>
      <w:pPr>
        <w:pStyle w:val="SourceNote"/>
      </w:pPr>
      <w:r>
        <w:rPr>
          <w:b/>
        </w:rPr>
        <w:t>Available abstract (not full text):</w:t>
      </w:r>
      <w:r>
        <w:t xml:space="preserve">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pPr/>
      <w:r>
        <w:rPr>
          <w:b/>
        </w:rPr>
        <w:t>POSSIBLE 2026:</w:t>
      </w:r>
      <w:r>
        <w:t xml:space="preserve"> Principles for evidence-informed policymaking in fast-changing technology contexts : September 2026 — https://openalex.org/W7215313559</w:t>
      </w:r>
    </w:p>
    <w:p>
      <w:pPr/>
      <w:r>
        <w:rPr>
          <w:b/>
        </w:rPr>
        <w:t>Shared claim-specific concepts:</w:t>
      </w:r>
      <w:r>
        <w:t xml:space="preserve"> fast-changing, contexts, over, approaches; EU scope not established. This is a provisional connection, not an outcome finding.</w:t>
      </w:r>
    </w:p>
    <w:p>
      <w:pPr>
        <w:pStyle w:val="SourceNote"/>
      </w:pPr>
      <w:r>
        <w:rPr>
          <w:b/>
        </w:rPr>
        <w:t>Available abstract (not full text):</w:t>
      </w:r>
      <w:r>
        <w:t xml:space="preserve"> Technology in education, particularly AI, is moving faster than traditional evaluation methods can accommodate.The pace of change has challenged previous approaches to evaluation in education, such as randomised controlled trials, which have previously provided evidence for policymaking and advice to educators and parents.We propose here eight principles as a framework to support evidence-informed policymaking in fast-changing technology contexts.This approach aims to synthesise all available evidence to fully understand a topic but will also continually update our understanding as new evidence arrives.Policymaking within this framework triangulates imperfect evidence, updates judgements over time, matches methods to purpose, monitors harm and equity, preserves flexibility, evaluates systems and products, and makes evidence accessible to users.This framework was developed by the Department for Education (DfE) Science Advisory Council's AI and Digital Education Working Group to support policymaking where technology evolves more quickly than traditional research cycles can provide definitive evidence, e.g.artificial intelligence (AI) in education.</w:t>
      </w:r>
    </w:p>
    <w:p>
      <w:pPr/>
      <w:r>
        <w:rPr>
          <w:b/>
        </w:rPr>
        <w:t>POSSIBLE 2026:</w:t>
      </w:r>
      <w:r>
        <w:t xml:space="preserve"> Exploring the Nature of Programming Work — https://doi.org/10.4018/ijkss.407408</w:t>
      </w:r>
    </w:p>
    <w:p>
      <w:pPr/>
      <w:r>
        <w:rPr>
          <w:b/>
        </w:rPr>
        <w:t>Shared claim-specific concepts:</w:t>
      </w:r>
      <w:r>
        <w:t xml:space="preserve"> nature, work, techniques, influence; EU scope not established. This is a provisional connection, not an outcome finding.</w:t>
      </w:r>
    </w:p>
    <w:p>
      <w:pPr>
        <w:pStyle w:val="SourceNote"/>
      </w:pPr>
      <w:r>
        <w:rPr>
          <w:b/>
        </w:rPr>
        <w:t>Available abstract (not full text):</w:t>
      </w:r>
      <w:r>
        <w:t xml:space="preserve"> The ambiguity and deep concentration associated with programming work, along with perceived stereotypes about programmers, require effective human resource (HR) practices to sustain motivation. This study explores the relationships among the nature of programming work, programmer stereotypes, HR practices, and motivation. A conceptual model based on self-determination and social identity theories is developed, and eight hypotheses are presented. Data were collected from 254 participants across six industry sectors and analyzed using regression techniques. The results suggest that perceived programmer stereotypes stem either from the nature of programming work or from self-selection, whereby those who hold such stereotypes are often drawn to the field of programming. The findings also indicate that HR practices are not aligned with the nature of programming work or with stereotypes. Although HR practices and programmer stereotypes influence motivation, the nature of programming work can lead to demotivation. Therefore, HR practices should be better aligned with both programming work and programmer stereotypes to promote motivation.</w:t>
      </w:r>
    </w:p>
    <w:p>
      <w:pPr/>
      <w:r>
        <w:rPr>
          <w:b/>
        </w:rPr>
        <w:t>POSSIBLE 2026:</w:t>
      </w:r>
      <w:r>
        <w:t xml:space="preserve"> From Nature to Ecology — https://doi.org/10.1163/18757405-03801004</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Abstract Can the Beckettian subject respond to the climate crisis in the Anthropocene that gives the human an ironic ecological agency, suffused with the guilt of being responsible for ecological catastrophe? The article uses the Anthropocene as background to initiate a discussion on environmental subjectivity in Beckett. What is the status of ecology in Beckett’s works given their reticence on nature as a concept? Though there is no explicit naming of ecology in Beckett’s work, this article reads his critique of nature as a linguistic and ideological construct to open a dialogue on ecology. It argues that deconstruction of nature clears the space for weather system and ecology to posit a dialectical principle of environmental subjectivity in Beckett. Following Timothy Morton’s work on ecology without nature, it examines Beckett’s critique of nature to arrive at an object-like nonhuman subjectivity. Interacting with Dipesh Chakrabarty’s thought on species, the article also comments on Beckett’s use of species as a concept to arrive at its empty experience as the subject becomes a nonhuman entity, embedded in the environment.</w:t>
      </w:r>
    </w:p>
    <w:p>
      <w:pPr/>
      <w:r>
        <w:rPr>
          <w:b/>
        </w:rPr>
        <w:t>POSSIBLE 2026:</w:t>
      </w:r>
      <w:r>
        <w:t xml:space="preserve"> How mindfulness and nature are conceptualised and integrated: A systematic review of nature-based mindfulness interventions — https://doi.org/10.1016/j.jenvp.2026.103232</w:t>
      </w:r>
    </w:p>
    <w:p>
      <w:pPr/>
      <w:r>
        <w:rPr>
          <w:b/>
        </w:rPr>
        <w:t>Shared claim-specific concepts:</w:t>
      </w:r>
      <w:r>
        <w:t xml:space="preserve"> given, nature, benefits; EU scope not established. This is a provisional connection, not an outcome finding.</w:t>
      </w:r>
    </w:p>
    <w:p>
      <w:pPr>
        <w:pStyle w:val="SourceNote"/>
      </w:pPr>
      <w:r>
        <w:rPr>
          <w:b/>
        </w:rPr>
        <w:t>Available abstract (not full text):</w:t>
      </w:r>
      <w:r>
        <w:t xml:space="preserve"> Amidst rising mental health and ecological challenges, nature-based mindfulness practices present as an avenue for promoting wellbeing and connections with nature, given the complementary benefits of mindfulness and nature experiences for psychological health. Yet, how mindfulness practices and environmental settings are conceptualised and operationalised within nature-based mindfulness interventions remains poorly understood. Past reviews are also limited by narrow mental health indices, excluding qualitative and environmental dimensions. In this paper, we conducted a systematic review to evaluate how mindfulness and nature are defined and applied within nature-based mindfulness interventions and synthesised the current state of psychological evidence across quantitative, qualitative, and mixed-methods designs. A systematic search in Web of Science, Scopus, and ProQuest was performed. Fifty-three studies were included for synthesis and critically appraised using the Mixed Methods Appraisal Tool. The findings suggested benefits for affective wellbeing, nature and relational connection, and mindful awareness, though mixed findings were present. With limited mechanistic evidence and considerable variability in how mindfulness and nature were detailed and operationalised across interventions, the specific contributions of mindfulness, nature exposure, and their integration remain </w:t>
      </w:r>
    </w:p>
    <w:p>
      <w:pPr/>
      <w:r>
        <w:rPr>
          <w:b/>
        </w:rPr>
        <w:t>POSSIBLE 2026:</w:t>
      </w:r>
      <w:r>
        <w:t xml:space="preserve"> Understanding the Nature of Talent Identification and Development in the Nigerian Context — https://doi.org/10.17869/enu.453361</w:t>
      </w:r>
    </w:p>
    <w:p>
      <w:pPr/>
      <w:r>
        <w:rPr>
          <w:b/>
        </w:rPr>
        <w:t>Shared claim-specific concepts:</w:t>
      </w:r>
      <w:r>
        <w:t xml:space="preserve"> given, nature, work, over; EU scope visible. This is a provisional connection, not an outcome finding.</w:t>
      </w:r>
    </w:p>
    <w:p>
      <w:pPr>
        <w:pStyle w:val="SourceNote"/>
      </w:pPr>
      <w:r>
        <w:rPr>
          <w:b/>
        </w:rPr>
        <w:t>Available abstract (not full text):</w:t>
      </w:r>
      <w:r>
        <w:t xml:space="preserve"> In recent times, the sports sector across the globe has attracted economic interests both from the public and the private sector. For example, the cost of hosting the 2014 FIFA World Cup in Brazil was estimated at over $14.5 billion, with huge investments made into renovating old stadia and building new ones in preparation for the games. Similarly, the 2014 Commonwealth Games in Glasgow generated over 5,000 jobs and apprenticeships for the locals, £200m worth of contracts to local firms, £198m investments in sporting facilities, and £700m worth of transport-related infrastructural development. It is thus clear that sport has assumed more relevance in society than merely serving the purpose of recreation and leisure such that stakeholders now commit resources into sport performance improvement. Consequently, countries (particularly, those in Europe, Australia and North America) consider the sports sector among the key factors of social and economic development. Given the considerably large youthful population of Nigeria, it is possible to take advantage of sports to advance social and economic wellbeing of the people. It is however regrettable that the Nigerian government does not appear to have realised the potential opportunities a robust sports economy could provide for a nation in the quest for social, political and economic development. The opportunities provided by sports </w:t>
      </w:r>
    </w:p>
    <w:p>
      <w:pPr/>
      <w:r>
        <w:rPr>
          <w:b/>
        </w:rPr>
        <w:t>POSSIBLE 2025:</w:t>
      </w:r>
      <w:r>
        <w:t xml:space="preserve"> Rethinking Automation and the Future of Work with Hannah Arendt — https://doi.org/10.1007/s10551-025-05991-1</w:t>
      </w:r>
    </w:p>
    <w:p>
      <w:pPr/>
      <w:r>
        <w:rPr>
          <w:b/>
        </w:rPr>
        <w:t>Shared claim-specific concepts:</w:t>
      </w:r>
      <w:r>
        <w:t xml:space="preserve"> given, nature, work, developments;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EDITORIAL - On natures and human nature. Ethics, aesthetics, ecologies — https://doi.org/10.13135/2384-8677/12986</w:t>
      </w:r>
    </w:p>
    <w:p>
      <w:pPr/>
      <w:r>
        <w:rPr>
          <w:b/>
        </w:rPr>
        <w:t>Shared claim-specific concepts:</w:t>
      </w:r>
      <w:r>
        <w:t xml:space="preserve"> nature, work, they, them, over; EU scope not established. This is a provisional connection, not an outcome finding.</w:t>
      </w:r>
    </w:p>
    <w:p>
      <w:pPr>
        <w:pStyle w:val="SourceNote"/>
      </w:pPr>
      <w:r>
        <w:rPr>
          <w:b/>
        </w:rPr>
        <w:t>Available abstract (not full text):</w:t>
      </w:r>
      <w:r>
        <w:t xml:space="preserve"> The vision According to Raymond Williams (1980), the term nature is “a case of a definition of [a] quality which becomes, through real usage, based on certain assumptions, a description of the world”. What is most striking in the linguistic history of the term nature is the coexistence of that common idea, a state of nature, with the almost unnoticed, because so habitual, use of nature to indicate the inherent and essential quality of any particular thing [which] is, of course, much more than accidental. Indeed there is evidence that it is historically the earliest use. In Latin one would have said natura rerum, keeping nature to the essential quality and adding the definition of things. But then also in Latin natura came to be used on its own, to express the same general meaning: the essential constitution of the world. […] The multiplicity of things, and of living processes, might then be mentally organized around a single essence or principle: a nature (p.68). This “singular abstraction” becomes “a nominal continuity over more than two millennia” so pervasive “that we may not always realize quite all that it commits us to. A singular name for the real multiplicity of things and living processes may be held, with an effort, to be neutral, but I am sure it is very often the case that it offers, from the beginning, a dominant kind of interpretation: idealist, metaphysical, or r</w:t>
      </w:r>
    </w:p>
    <w:p>
      <w:pPr/>
      <w:r>
        <w:rPr>
          <w:b/>
        </w:rPr>
        <w:t>POSSIBLE 2025:</w:t>
      </w:r>
      <w:r>
        <w:t xml:space="preserve"> The Essential Nature of Social Work in Cancer Control — https://doi.org/10.1177/10732748251353081</w:t>
      </w:r>
    </w:p>
    <w:p>
      <w:pPr/>
      <w:r>
        <w:rPr>
          <w:b/>
        </w:rPr>
        <w:t>Shared claim-specific concepts:</w:t>
      </w:r>
      <w:r>
        <w:t xml:space="preserve"> given, nature, work, influence, over; EU scope not established. This is a provisional connection, not an outcome finding.</w:t>
      </w:r>
    </w:p>
    <w:p>
      <w:pPr>
        <w:pStyle w:val="SourceNote"/>
      </w:pPr>
      <w:r>
        <w:rPr>
          <w:b/>
        </w:rPr>
        <w:t>Available abstract (not full text):</w:t>
      </w:r>
      <w:r>
        <w:t xml:space="preserve"> The conditions in which people are born, live, learn, work, play, worship, and age affect a range of health, functioning, and quality-of-life outcomes, and contribute to social needs across the cancer control continuum. To address these needs, advance the quality of cancer care, and achieve health equity, cancer care clinicians must possess comprehensive knowledge and skills to mitigate the effects of social determinants of health on patient outcomes. This knowledge should also encompass an understanding of how racism, sexism, and discrimination - along with exposures to trauma - also influence patient behaviors and outcomes, given evidence of their effects on population health. For over 100 years, social workers have comprised an essential workforce that is duly educated and trained to identify social needs and improve patient outcomes within the context of health care service delivery, and cancer care in particular. Oriented to an ecological framework, social workers are adept at identifying and mitigating the negative effects of the social determinants of health on individual knowledge, attitudes, beliefs, and behaviors, with the intent of improving results for people at risk for or diagnosed with cancer. Social workers are professionally trained for organizing communities, understanding and intervening upon social systems (including families, organizations, and institutions</w:t>
      </w:r>
    </w:p>
    <w:p>
      <w:pPr/>
      <w:r>
        <w:rPr>
          <w:b/>
        </w:rPr>
        <w:t>POSSIBLE 2025:</w:t>
      </w:r>
      <w:r>
        <w:t xml:space="preserve"> In the name of nature: Making the League of Nations, the International Rights of Nature Tribunal and international law — https://doi.org/10.1017/s0922156525100344</w:t>
      </w:r>
    </w:p>
    <w:p>
      <w:pPr/>
      <w:r>
        <w:rPr>
          <w:b/>
        </w:rPr>
        <w:t>Shared claim-specific concepts:</w:t>
      </w:r>
      <w:r>
        <w:t xml:space="preserve"> given, nature, they, techniques, over; EU scope not established. This is a provisional connection, not an outcome finding.</w:t>
      </w:r>
    </w:p>
    <w:p>
      <w:pPr>
        <w:pStyle w:val="SourceNote"/>
      </w:pPr>
      <w:r>
        <w:rPr>
          <w:b/>
        </w:rPr>
        <w:t>Available abstract (not full text):</w:t>
      </w:r>
      <w:r>
        <w:t xml:space="preserve"> Abstract In 1919, the League of Nations and the Mandate System were established through the Treaty of Versailles. Shy of 100 years later, the International Rights of Nature Tribunal gathered in the same city to establish itself as an international peoples’ tribunal, taking form outside the international legal order. For all their differences, these institutions shared some commonalities. Both institutions claimed to be concerned with the ‘wellbeing’ of ‘peoples’ through international law. Both also claimed to represent some kind of international legal community. For the League, this was a community of states. For the Tribunal, it was a community of peoples. This article reads these institutional moments together and considers what they tell us about the discipline of international law. It traces how both institutions constituted and authorized themselves as if speaking for an already given international legal community – and how they did so precisely by mobilizing competing ideas of ‘nature’, ‘peoples’, and ‘statehood’. The article argues that the institutions deployed similar legal techniques and narratives that limited what the international legal domain might, and might not, look like. Namely, they presented their ideas of ‘nature’ and ‘peoples’ as part of a natural order of things, authorizing themselves as vanguards for whatever form of international legal order they saw a</w:t>
      </w:r>
    </w:p>
    <w:p>
      <w:pPr/>
      <w:r>
        <w:rPr>
          <w:b/>
        </w:rPr>
        <w:t>POSSIBLE 2025:</w:t>
      </w:r>
      <w:r>
        <w:t xml:space="preserve"> 10. Stimulating Change in Local Contexts — https://doi.org/10.55476/001c.151185</w:t>
      </w:r>
    </w:p>
    <w:p>
      <w:pPr/>
      <w:r>
        <w:rPr>
          <w:b/>
        </w:rPr>
        <w:t>Shared claim-specific concepts:</w:t>
      </w:r>
      <w:r>
        <w:t xml:space="preserve"> nature, contexts, they; EU scope not established. This is a provisional connection, not an outcome finding.</w:t>
      </w:r>
    </w:p>
    <w:p>
      <w:pPr>
        <w:pStyle w:val="SourceNote"/>
      </w:pPr>
      <w:r>
        <w:rPr>
          <w:b/>
        </w:rPr>
        <w:t>Available abstract (not full text):</w:t>
      </w:r>
      <w:r>
        <w:t xml:space="preserve"> Small Christian Communities (SCCs) are a pastoral model that plays a central role in East Africa and worldwide. They serve as spaces for intercultural theological ethics by integrating faith into daily life and contributing to social transformation. SCCs promote dialogue between culture and theology and enable a contextualized reading of the Bible. A key theme is inculturation, which embeds the Christian faith in local cultural contexts. This supports a vibrant, practice-oriented theology that draws from the experiences of believers. SCCs also contribute to a synodal Church by strengthening participation and community. Especially in Africa, where Christianity is rapidly growing, SCCs play a key role in fostering solidarity and moral reflection. They provide a platform for young people and help anchor faith locally. Through their practice-oriented nature, they remain dynamic catalysts of change.</w:t>
      </w:r>
    </w:p>
    <w:p>
      <w:pPr/>
      <w:r>
        <w:rPr>
          <w:b/>
        </w:rPr>
        <w:t>POSSIBLE 2025:</w:t>
      </w:r>
      <w:r>
        <w:t xml:space="preserve"> Gambling: A Story of Remarkable Stability in Fast-Changing High Streets — https://doi.org/10.1080/24694452.2025.2496698</w:t>
      </w:r>
    </w:p>
    <w:p>
      <w:pPr/>
      <w:r>
        <w:rPr>
          <w:b/>
        </w:rPr>
        <w:t>Shared claim-specific concepts:</w:t>
      </w:r>
      <w:r>
        <w:t xml:space="preserve"> given, fast-changing, contexts, they, disruptions, influence; EU scope not established. This is a provisional connection, not an outcome finding.</w:t>
      </w:r>
    </w:p>
    <w:p>
      <w:pPr>
        <w:pStyle w:val="SourceNote"/>
      </w:pPr>
      <w:r>
        <w:rPr>
          <w:b/>
        </w:rPr>
        <w:t>Available abstract (not full text):</w:t>
      </w:r>
      <w:r>
        <w:t xml:space="preserve"> High streets, the main commercial streets in towns and cities, have undergone significant transformations due to the evolving urban retail landscape. Despite these changes, this study demonstrates that the presence of gambling venues in Great Britain remained remarkably stable between 2014 and 2023. Using points of interest data, we constructed a panel data set of gambling shops on high streets. Employing simple autoregressive models estimated with random forests, we predicted annual gambling frequencies during 2015 to 2023 using 2014 frequencies as the sole predictor. Our results show a predictive accuracy of 91.8 percent by 2019, which remained robust at 86.2 percent in 2023, even after the disruptions caused by the COVID-19 pandemic. This highlights the notable stability in the frequency of gambling shops on high streets. Additionally, we developed a two-tiered analytical framework that confirmed this stability across different types of local authorities and high streets. Given the geographically bounded negative externalities of gambling, these findings provide a comprehensive understanding of the evolving spatial footprint of gambling shops. They also offer broader insights into how retail environment characteristics influence the resilience of leisure businesses in diverse urban contexts, contributing to ongoing discussions on high street revitalization.</w:t>
      </w:r>
    </w:p>
    <w:p>
      <w:pPr>
        <w:pStyle w:val="Heading2"/>
      </w:pPr>
      <w:r>
        <w:t>689. PREDICTION OF CUMULONIMBUS (CB) CLOUD BASED ON INTEGRATED FORECAST SYSTEM (IFS) OF EUROPEAN MEDIUM-RANGE WEATHER FORECAST (ECMWF)  IN THE FLIGHT INFORMATION REGION (FIR) OF JAKARTA AND UJUNG PANDANG</w:t>
      </w:r>
    </w:p>
    <w:p>
      <w:pPr>
        <w:pStyle w:val="SourceNote"/>
      </w:pPr>
      <w:r>
        <w:rPr>
          <w:b/>
        </w:rPr>
        <w:t>Original source (2020):</w:t>
      </w:r>
      <w:r>
        <w:t xml:space="preserve"> https://doi.org/10.29122/jstmc.v21i2.4100</w:t>
      </w:r>
    </w:p>
    <w:p>
      <w:pPr/>
      <w:r>
        <w:t>Original wording (abstract; indexed_source_text_not_full_document_verified): The study in the period other than 2019 is suggested for the next research because Indian Ocean Dipole (IOD) is extreme that may affect the Cb cloud growth in the study area.</w:t>
      </w:r>
    </w:p>
    <w:p>
      <w:pPr/>
      <w:r>
        <w:rPr>
          <w:b/>
        </w:rPr>
        <w:t>POSSIBLE 2026:</w:t>
      </w:r>
      <w:r>
        <w:t xml:space="preserve"> A Brief Account of Indian Administration During Ancient Period — https://doi.org/10.51244/ijrsi.2026.1308000263</w:t>
      </w:r>
    </w:p>
    <w:p>
      <w:pPr/>
      <w:r>
        <w:rPr>
          <w:b/>
        </w:rPr>
        <w:t>Shared claim-specific concepts:</w:t>
      </w:r>
      <w:r>
        <w:t xml:space="preserve"> period, because, indian; EU scope not established. This is a provisional connection, not an outcome finding.</w:t>
      </w:r>
    </w:p>
    <w:p>
      <w:pPr>
        <w:pStyle w:val="SourceNote"/>
      </w:pPr>
      <w:r>
        <w:rPr>
          <w:b/>
        </w:rPr>
        <w:t>Available abstract (not full text):</w:t>
      </w:r>
      <w:r>
        <w:t xml:space="preserve"> Administration is the governing mechanism of state affairs. The original state of nature is imagined to be one of the total anarchy, which signified ‘might was right’. The concept of a formal state was absent because of nomadic life at that time. People agreed to pay taxes and be ruled by one person in order to enjoy well-being and security. ‘Manu’ i.e. the law book of the Hinduism gave reference to about the formation of state. By the time of Mauryan period, the Indian Administrative system was well developed so their treatise provides a first detailed account about the formal administrative system followed in ancient time. It was famous for conversion of decentralized informal administrative structure into the centralized formal system of state. A set of administrative structure given by Kautilya’s administration have been analyzed the researcher in details. Researcher emphasized upon the world-famous Chanakya’s Niti which provides a fame and glory for the country at international relations and concludes with the legacy of administration in many aspects. Great efforts have been made to analyze the secondary data sources on administrative system of ancient period in this article.</w:t>
      </w:r>
    </w:p>
    <w:p>
      <w:pPr/>
      <w:r>
        <w:rPr>
          <w:b/>
        </w:rPr>
        <w:t>POSSIBLE 2026:</w:t>
      </w:r>
      <w:r>
        <w:t xml:space="preserve"> The Curious Case of ‘Indian’ Literature — https://doi.org/10.1017/9781009596947.005</w:t>
      </w:r>
    </w:p>
    <w:p>
      <w:pPr/>
      <w:r>
        <w:rPr>
          <w:b/>
        </w:rPr>
        <w:t>Shared claim-specific concepts:</w:t>
      </w:r>
      <w:r>
        <w:t xml:space="preserve"> other, because, indian; EU scope visible. This is a provisional connection, not an outcome finding.</w:t>
      </w:r>
    </w:p>
    <w:p>
      <w:pPr>
        <w:pStyle w:val="SourceNote"/>
      </w:pPr>
      <w:r>
        <w:rPr>
          <w:b/>
        </w:rPr>
        <w:t>Available abstract (not full text):</w:t>
      </w:r>
      <w:r>
        <w:t xml:space="preserve"> What is ‘Indian literature’? This is a question that has vexed literary historians since at least the nineteenth century. One of the first things to note is that something like ‘Indian literature’ is rarely taught in any of the Indian universities. Even when it is, the subject becomes, de facto, an exercise in comparative literature that brings together diverse languages and literatures under one national rubric or offers them through a frame of comparatism with the mediation of English translation. The internal coherence of either ‘Indian’ or ‘literature’ becomes apparent only when the corpus is related to some external frame, such as the nation, or when the same corpus is approached with a specific method, such as comparatism. What this means is that Indian literature is neither Indian nor literary in the way that, for instance, English or French literatures are. And here lies the crux of the story—the way most European national literatures can presume a seamless triangulation of nation, language, and literature (if not of race and religion as well) that cannot be repeated for India, partly because of its internal diversity of languages and literatures and partly because it is not a nation in the way that a European nation is. Unlike the European model, therefore, there cannot be any one single Indian literature, either as a descriptive category or as an object of knowledge. </w:t>
      </w:r>
    </w:p>
    <w:p>
      <w:pPr/>
      <w:r>
        <w:rPr>
          <w:b/>
        </w:rPr>
        <w:t>POSSIBLE 2026:</w:t>
      </w:r>
      <w:r>
        <w:t xml:space="preserve"> Continuity and change in politicians being rude to each other over Europe: A rhetorical political analysis of invective in parliamentary debates over the European issue — https://openalex.org/W7153685673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The 2016 Brexit referendum and the division stemming from the 52:48 vote to leave the EU is often characterised as a low point in British politics, particularly in terms of discourse and rhetoric (Marr, 2019 &amp; 2024). Rather than concluding the issue of Europe Brexit has been suggested to have further divided the nation and ushered in a newly unpleasant politics (Sobolewska &amp; Ford, 2020). One characterised by populism, post truth ism and culture wars like those seen in European nations like Hungary and Donald Trump’s America (Maskovsky, 2020). With the rhetoric of Brexit and politics since focussing upon dividing people into tribes such as remainers or leavers, to be denounced in increasingly more strident terms but never meaningfully engaged with (D'Ancona, 2023, Zeitzoff 2023). Suggestions that problematic rhetoric has reached unprecedented proportions implies that there must have been some period in the past when it was not so problematic. By way of a counter to this narrative of modern decline this paper offers an analysis of the rhetoric of politicians during the UKs entry into the then European Economic Community. Arguing it to be a more divisive issue complete with rhetoric of a more problematic nature than is often remembered. Utilising a Rhetorical Political Analysis (Finlayson &amp; Martin, 2008) of parliamentary debates over the European Communities Bill this paper presen</w:t>
      </w:r>
    </w:p>
    <w:p>
      <w:pPr/>
      <w:r>
        <w:rPr>
          <w:b/>
        </w:rPr>
        <w:t>POSSIBLE 2025:</w:t>
      </w:r>
      <w:r>
        <w:t xml:space="preserve"> Indian Anthropology Against the Backdrop of World Anthropology — https://doi.org/10.1177/0972558x251320485</w:t>
      </w:r>
    </w:p>
    <w:p>
      <w:pPr/>
      <w:r>
        <w:rPr>
          <w:b/>
        </w:rPr>
        <w:t>Shared claim-specific concepts:</w:t>
      </w:r>
      <w:r>
        <w:t xml:space="preserve"> period, other, next, because, indian; EU scope visible. This is a provisional connection, not an outcome finding.</w:t>
      </w:r>
    </w:p>
    <w:p>
      <w:pPr>
        <w:pStyle w:val="SourceNote"/>
      </w:pPr>
      <w:r>
        <w:rPr>
          <w:b/>
        </w:rPr>
        <w:t>Available abstract (not full text):</w:t>
      </w:r>
      <w:r>
        <w:t xml:space="preserve"> With regard to the status of Indian anthropology against the backdrop of world anthropology, I have mixed feelings of both pessimism and optimism . I feel pessimistic because, to the best of my knowledge, barring one exception in Professor Kewal Krishan in the field of forensic anthropology (who has been recently appointed as one of the editors of the prestigious journal The Science of Nature ), I would only be enlightened to learn if any Indian anthropologist has contributed to any theoretical and/or fundamental research in any branch of the discipline! Unless new theories, concepts, and hypotheses are added to a scientific discipline through fundamental research, the discipline would cease to grow; rather, would become stagnant or sterile. Very regretfully, I think that Indian anthropology has been passing through such a phase and, therefore, has failed to evolve its own distinct identity in world anthropology. At the same time, however, I am also very much optimistic in that India (read the Indian subcontinent) is the best anthropological laboratory in the world for research in all the branches of the discipline. It is my very firm belief that, in terms of variety of cultures, India stands next only to the continent of Africa, perhaps, and in terms of antiquity , she is next to none. Other than the variety and antiquity of human cultures and civilizations, what else is neede</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period, other, extreme;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Revisiting the Challenges of Indian Girls’ Education in the Post Covid-19 Period — https://doi.org/10.35629/9467-13091430</w:t>
      </w:r>
    </w:p>
    <w:p>
      <w:pPr/>
      <w:r>
        <w:rPr>
          <w:b/>
        </w:rPr>
        <w:t>Shared claim-specific concepts:</w:t>
      </w:r>
      <w:r>
        <w:t xml:space="preserve"> period, indian; EU scope not established. This is a provisional connection, not an outcome finding.</w:t>
      </w:r>
    </w:p>
    <w:p>
      <w:pPr>
        <w:pStyle w:val="SourceNote"/>
      </w:pPr>
      <w:r>
        <w:rPr>
          <w:b/>
        </w:rPr>
        <w:t>Available abstract (not full text):</w:t>
      </w:r>
      <w:r>
        <w:t xml:space="preserve"> Girls’ education remains a pertinent and a very significant topic in the context of the overall development of India still today. In spite of adopting various Government schemes, amending educational policies, and disseminating awareness programs, India’s current female literacy rate is only 70.3% which is one of the lowest female literacy rates in total Asia (Gandhi, 2021). Many societal, economic, educational and political issues have been identified as the possible hindering reasons behind this frustrating fact. All these factors collectively impede the effective spread of girls' education at every level of Indian society. The disastrous pandemic attack of 2020 brings another major threat to this educational scenario and makes it even more complex. The present article addresses these different challenges acting against the growth of Indian girls’ education in the post COVID time and analyzes their individual changing status caused by the pandemic attack.</w:t>
      </w:r>
    </w:p>
    <w:p>
      <w:pPr/>
      <w:r>
        <w:rPr>
          <w:b/>
        </w:rPr>
        <w:t>POSSIBLE 2025:</w:t>
      </w:r>
      <w:r>
        <w:t xml:space="preserve"> Caste in Indian Society — https://doi.org/10.36948/ijfmr.2025.v07i04.51784</w:t>
      </w:r>
    </w:p>
    <w:p>
      <w:pPr/>
      <w:r>
        <w:rPr>
          <w:b/>
        </w:rPr>
        <w:t>Shared claim-specific concepts:</w:t>
      </w:r>
      <w:r>
        <w:t xml:space="preserve"> other, because, indian; EU scope not established. This is a provisional connection, not an outcome finding.</w:t>
      </w:r>
    </w:p>
    <w:p>
      <w:pPr>
        <w:pStyle w:val="SourceNote"/>
      </w:pPr>
      <w:r>
        <w:rPr>
          <w:b/>
        </w:rPr>
        <w:t>Available abstract (not full text):</w:t>
      </w:r>
      <w:r>
        <w:t xml:space="preserve"> In this world of globalization, everyone is connecting with the stars of development, progress, growth and are communicating with the end of one side of planet with another one but, other coin of this imperative is very calamitous and astonishing to think about; where people are denied their existential rights of being human only because of their birth, their clan, communities in which they born and so on. And emphasizing on the fact of discrimination, atrocities and communalism; these all ‘conservative ideas’ are existing in the new “sophisticated idea of caste”- which deliberately stands for oppression, suppression and criminalization within the cohesive fabric of our collective society. This paper puts some genuine arguments about moderately accepted, if not fully diminished, abolished notions of caste. Some historical roots of the origin of caste with diverse points of view from the Vedic era to the 21st century’s globalization, including colonial attempts as well. In India, caste not only plays the game of ‘Inferior-Superior complexities’ but also facilitates the progress and engagement in the flow of economy and entrepreneurship. It's well-formed concepts as ‘social capital’ and ‘political capital’, in today’s world, while noting the fact that counter perspective is something on which this paper is mostly based. By encapsulating the multidimensional sides of caste, this p</w:t>
      </w:r>
    </w:p>
    <w:p>
      <w:pPr/>
      <w:r>
        <w:rPr>
          <w:b/>
        </w:rPr>
        <w:t>POSSIBLE 2025:</w:t>
      </w:r>
      <w:r>
        <w:t xml:space="preserve"> Managing European Elm Scale in the Period of Neonicotinoid Insecticide Resistance — https://doi.org/10.48044/jauf.2025.004</w:t>
      </w:r>
    </w:p>
    <w:p>
      <w:pPr/>
      <w:r>
        <w:rPr>
          <w:b/>
        </w:rPr>
        <w:t>Shared claim-specific concepts:</w:t>
      </w:r>
      <w:r>
        <w:t xml:space="preserve"> period, area; EU scope visible. This is a provisional connection, not an outcome finding.</w:t>
      </w:r>
    </w:p>
    <w:p>
      <w:pPr>
        <w:pStyle w:val="SourceNote"/>
      </w:pPr>
      <w:r>
        <w:rPr>
          <w:b/>
        </w:rPr>
        <w:t>Available abstract (not full text):</w:t>
      </w:r>
      <w:r>
        <w:t xml:space="preserve"> Abstract Background The European elm scale (EES),Gossyparia spuria(Modeer)(Hemiptera: Eriococcidae), has been a marked pest on American elm (Ulmus americana) in western states since its invasion. Tactics to control this insect pest have been largely based on chemical controls; first insecticidal sprays and then systemic applications, but in recent years insecticide resistant scales have become an apparent problem. Methods This paper (1) outlines how insecticide resistance was likely established in Colorado, (2) documents neonicotinoid resistance in this plant parasite by showing scale insects feeding on trees with high levels of imidacloprid insecticides, and (3) explores alternative control options that will be integral to maintaining American elms as part of the urban landscape in western states: i.e., acephate, e.g., ACE-jet (Arborjet, Woburn, MA, USA) and Lepitect (Rainbow Ecoscience, Minnetonka, MN, USA); azadirachtin, e.g., AzaGuard®(BioSafe Systems, LLC, East Hartford, CT, USA) and AzaSol (Arborjet, Woburn, MA, USA); buprofezin with and without horticultural oil, e.g., Talus (SePRO Corporation, Carmel, IN, USA); and pyriproxyfen with and without horticultural oil, e.g., Distance®(Valent Professional Products, Walnut Creek, CA, USA). Results Based on our findings, the current recommendation for control of neonicotinoid resistant EES is using the insect growth regulator py</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Irreducible Difference: Abdulrazak Gurnah as an Indian Ocean Writer — https://doi.org/10.1215/2834698x-11165274</w:t>
      </w:r>
    </w:p>
    <w:p>
      <w:pPr/>
      <w:r>
        <w:rPr>
          <w:b/>
        </w:rPr>
        <w:t>Shared claim-specific concepts:</w:t>
      </w:r>
      <w:r>
        <w:t xml:space="preserve"> other, because, indian, ocean; EU scope not established. This is a provisional connection, not an outcome finding.</w:t>
      </w:r>
    </w:p>
    <w:p>
      <w:pPr>
        <w:pStyle w:val="SourceNote"/>
      </w:pPr>
      <w:r>
        <w:rPr>
          <w:b/>
        </w:rPr>
        <w:t>Available abstract (not full text):</w:t>
      </w:r>
      <w:r>
        <w:t xml:space="preserve"> Although Abdulrazak Gurnah has long been a prominent postcolonial Anglophone writer, his recent award of the Nobel Prize in Literature in 2021 after publishing ten novels has brought his work and life unprecedented attention. While a comprehensive review of Gurnah's work is beyond the scope of this piece, what follows is a consideration of Gurnah as an Indian Ocean writer. Originally from Zanzibar, he escaped to Great Britain after the genocide against Arabs and South Asians in the Zanzibar Revolution of 1964. It is perhaps unsurprising therefore that his work touches on a dizzying array of postcolonial subjects including belonging, colonialism, displacement, memory, and migration set mainly on the shores of East Africa and Britain. Moving from one island to another, Gurnah and his work constantly negotiate the assemblages of sea, continent, and island. While the multifarious nature of Gurnah's work has been the basis of nearly universal praise and much analysis, categorizing them has been more difficult.For Gurnah, the question of categorization is particularly fraught territory because he transcends many categories. He is referred to as an African writer, a Black British writer, an Indian Ocean writer, an Afropolitan writer, a World Literature writer, and a postcolonial writer, among others. For example, Google refers to him as both a Tanzanian-British writer and a Tanzanian-</w:t>
      </w:r>
    </w:p>
    <w:p>
      <w:pPr/>
      <w:r>
        <w:rPr>
          <w:b/>
        </w:rPr>
        <w:t>POSSIBLE 2024:</w:t>
      </w:r>
      <w:r>
        <w:t xml:space="preserve"> Spatial Ecology of a Resident Avian Predator During the Non-Breeding Period in Managed Habitats of Southeastern Europe — https://doi.org/10.3390/ani14223338</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Describing home range and resource selection is crucial for understanding ecological needs and creating conservation programs. Still, our knowledge of spatial and behavioural ecology for most species remains limited. Here, we used satellite transmitters to investigate core and home range sizes, habitat selection, and roost characteristics in seven tawny owl males in Western Serbia during the autumn-winter period 2023. Using minimum convex polygon (MCP) and autocorrelated kernel density estimation (AKDE), we found clear variability in core area and home range sizes. Also, adult and heavier males have smaller core area and home ranges than juvenile and lightweight individuals. The Bhattacharyya coefficient showed minor home range overlap in tagged males. The final model for evaluation of habitat selection suggests that the likelihood of owl occurrence was positively correlated with the share of anthropogenic infrastructure and negatively associated with the increase in the proportion of cultivated land within the home range. However, scores of model performance metrics showed moderate predictive accuracy, implying that other unmeasured variables may dictate species presence. Our study illustrates the ecological plasticity and ability of the tawny owl to adapt to a human-modified environment while providing new information about the spatial ecology of this widespread predator in 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pStyle w:val="Heading2"/>
      </w:pPr>
      <w:r>
        <w:t>690. PROBLEM OF PROFESSIONAL TRAINING OF FUTURE ECONOMISTS FOR DEVELOPMENT OF NATIONAL ECONOMY UNDER CONDITIONS OF EUROPEAN INTEGRATION</w:t>
      </w:r>
    </w:p>
    <w:p>
      <w:pPr>
        <w:pStyle w:val="SourceNote"/>
      </w:pPr>
      <w:r>
        <w:rPr>
          <w:b/>
        </w:rPr>
        <w:t>Original source (2020):</w:t>
      </w:r>
      <w:r>
        <w:t xml:space="preserve"> https://doi.org/10.30525/2256-0742/2020-6-5-148-154</w:t>
      </w:r>
    </w:p>
    <w:p>
      <w:pPr/>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POSSIBLE 2026:</w:t>
      </w:r>
      <w:r>
        <w:t xml:space="preserve"> Competency-based European training requirements for the specialty of ophthalmology — https://openalex.org/W7155593103</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Digital Literacy as a Core Competency in Higher Education — https://openalex.org/W7216688389</w:t>
      </w:r>
    </w:p>
    <w:p>
      <w:pPr/>
      <w:r>
        <w:rPr>
          <w:b/>
        </w:rPr>
        <w:t>Shared claim-specific concepts:</w:t>
      </w:r>
      <w:r>
        <w:t xml:space="preserve"> core, professional, educational; EU scope not established. This is a provisional connection, not an outcome finding.</w:t>
      </w:r>
    </w:p>
    <w:p>
      <w:pPr>
        <w:pStyle w:val="SourceNote"/>
      </w:pPr>
      <w:r>
        <w:rPr>
          <w:b/>
        </w:rPr>
        <w:t>Available abstract (not full text):</w:t>
      </w:r>
      <w:r>
        <w:t xml:space="preserve"> Digital literacy has emerged as a critical competency in higher education, reflecting the growing role of information and communication technologies (ICT), online learning platforms, and digital resources in academic engagement, knowledge creation, and professional readiness. This review paper critically examines the role of digital literacy as an essential skill for higher education students, exploring its conceptual framework, theoretical underpinnings, pedagogical integration, institutional strategies, assessment approaches, and policy implications. Drawing on research from educational technology, learning sciences, digital pedagogy, higher education administration, information literacy studies, and competency-based learning frameworks, the paper analyzes how digital literacy enhances academic performance, promotes self-directed learning, fosters critical thinking, supports ethical and safe digital engagement, and prepares students for knowledge-intensive professions. The review highlights institutional initiatives, curriculum integration strategies, faculty capacity building, and technology-enabled pedagogical practices that cultivate digital literacy across disciplines. Furthermore, it examines challenges such as digital divide, access inequity, faculty readiness, infrastructural limitations, and assessment standardization. The study concludes that embedding digital litera</w:t>
      </w:r>
    </w:p>
    <w:p>
      <w:pPr/>
      <w:r>
        <w:rPr>
          <w:b/>
        </w:rPr>
        <w:t>POSSIBLE 2026:</w:t>
      </w:r>
      <w:r>
        <w:t xml:space="preserve"> Competency-based European training requirements for the specialty of ophthalmology. Recommendations from the UEMS section of ophthalmology and the European Board of Ophthalmology — https://openalex.org/W7149229150</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FOSTERING FUTURE ECONOMISTS’ AI LITERACY SKILLS IN THE PROCESS OF MASTERING BUSINESS ENGLISH AT THE ECONOMIC UNIVERSITY — https://doi.org/10.52058/2786-6025-2026-2(56)-566-582</w:t>
      </w:r>
    </w:p>
    <w:p>
      <w:pPr/>
      <w:r>
        <w:rPr>
          <w:b/>
        </w:rPr>
        <w:t>Shared claim-specific concepts:</w:t>
      </w:r>
      <w:r>
        <w:t xml:space="preserve"> competencies, economists, process, professional; EU scope not established. This is a provisional connection, not an outcome finding.</w:t>
      </w:r>
    </w:p>
    <w:p>
      <w:pPr>
        <w:pStyle w:val="SourceNote"/>
      </w:pPr>
      <w:r>
        <w:rPr>
          <w:b/>
        </w:rPr>
        <w:t>Available abstract (not full text):</w:t>
      </w:r>
      <w:r>
        <w:t xml:space="preserve"> The rapid integration of artificial intelligence (AI) into global economic systems is transforming professional communication, data analysis, and decision-making processes.In this context, future economists are expected not only to demonstrate a high level of Business English proficiency but also possess welldeveloped AI literacy skills.The present study explores pedagogical strategies for fostering AI literacy among economics students in the process of mastering Business English at the university level.The paper defines AI literacy as a multidimensional competence that includes understanding fundamental AI principles, the ability to critically evaluate AIgenerated content, ethical awareness, and the capacity to efficiently and responsibly use AI tools for professional communication and the area of expertise.Integrating AIrelated content into Business English instruction creates a dual-focus learning environment in which language acquisition is combined with the development of digital and analytical competencies.The research outlines practical approaches such as task-based learning with AIpowered tools, the analysis of AI-generated business reports, simulations of datadriven decision-making, and structured prompt design activities in English.These methods encourage students to refine professional vocabulary, improve communicative accuracy, and cultivate critical thinking skills</w:t>
      </w:r>
    </w:p>
    <w:p>
      <w:pPr/>
      <w:r>
        <w:rPr>
          <w:b/>
        </w:rPr>
        <w:t>POSSIBLE 2026:</w:t>
      </w:r>
      <w:r>
        <w:t xml:space="preserve"> Defining core competencies for advanced therapy medicinal products translation — https://doi.org/10.3389/fdgth.2026.1707741</w:t>
      </w:r>
    </w:p>
    <w:p>
      <w:pPr/>
      <w:r>
        <w:rPr>
          <w:b/>
        </w:rPr>
        <w:t>Shared claim-specific concepts:</w:t>
      </w:r>
      <w:r>
        <w:t xml:space="preserve"> core, competencies, professional, training; EU scope not established. This is a provisional connection, not an outcome finding.</w:t>
      </w:r>
    </w:p>
    <w:p>
      <w:pPr>
        <w:pStyle w:val="SourceNote"/>
      </w:pPr>
      <w:r>
        <w:rPr>
          <w:b/>
        </w:rPr>
        <w:t>Available abstract (not full text):</w:t>
      </w:r>
      <w:r>
        <w:t xml:space="preserve"> Background: Translating Advanced Therapy Medicinal Products (ATMPs) from research to clinical application requires a specialized set of priority topic areas that is not yet systematically defined. Methods: We employed a multi-phase approach combining a targeted literature review with a structured expert consensus survey. Selected experts evaluated a set of 35 preselected competencies across seven thematic areas using an anonymous online questionnaire, categorizing them as Fundamental, Ancillary, or Less Important for ATMPs translation. Results: Concordance was high, with 16 competencies reaching the ≥75% consensus threshold as Fundamental. These covered regulatory strategy, manufacturing scalability, quality management, clinical translation, and cross-disciplinary collaboration. Conclusions: This study establishes a validated set of ATMP-specific competencies that can serve as the basis for targeted training programs. Embedding these into education and professional development will help build a workforce capable of navigating the complex and constantly evolving translational needs of ATMPs.</w:t>
      </w:r>
    </w:p>
    <w:p>
      <w:pPr/>
      <w:r>
        <w:rPr>
          <w:b/>
        </w:rPr>
        <w:t>POSSIBLE 2026:</w:t>
      </w:r>
      <w:r>
        <w:t xml:space="preserve"> Core Competencies of the Modern Geriatric Cardiologist: A Framework for Comprehensive Cardiovascular Care in Older Adults — https://doi.org/10.3390/jcm15020749</w:t>
      </w:r>
    </w:p>
    <w:p>
      <w:pPr/>
      <w:r>
        <w:rPr>
          <w:b/>
        </w:rPr>
        <w:t>Shared claim-specific concepts:</w:t>
      </w:r>
      <w:r>
        <w:t xml:space="preserve"> core, competencies; EU scope not established. This is a provisional connection, not an outcome finding.</w:t>
      </w:r>
    </w:p>
    <w:p>
      <w:pPr>
        <w:pStyle w:val="SourceNote"/>
      </w:pPr>
      <w:r>
        <w:rPr>
          <w:b/>
        </w:rPr>
        <w:t>Available abstract (not full text):</w:t>
      </w:r>
      <w:r>
        <w:t xml:space="preserve"> Background: The rapid ageing of the cardiovascular population has profoundly transformed clinical practice, with an increasing proportion of patients presenting advanced age, frailty, multimorbidity, and functional vulnerability. Conventional cardiology models, largely derived from younger and selected populations, often fail to adequately address the complexity of cardiovascular care in older adults. Despite the growing development of cardiogeriatrics, the core competencies required for contemporary geriatric cardiology practice remain insufficiently defined. Methods: This narrative review synthesises evidence from cardiology, geriatrics, heart failure, and the palliative care literature, complemented by clinical expertise in integrated cardiogeriatric care pathways, to identify key competencies relevant to the care of older adults with cardiovascular disease. Results: Four major domains of geriatric cardiology competencies were identified: (1) advanced cardiovascular expertise adapted to ageing physiology, frailty, and multimorbidity; (2) integration of comprehensive geriatric assessment into cardiovascular decision-making; (3) a dedicated cardiogeriatric communication mindset supporting shared decision-making under prognostic uncertainty; and (4) system-based competencies focused on multidisciplinary coordination, care transitions, and therapeutic proportionality. Conclusion</w:t>
      </w:r>
    </w:p>
    <w:p>
      <w:pPr/>
      <w:r>
        <w:rPr>
          <w:b/>
        </w:rPr>
        <w:t>POSSIBLE 2026:</w:t>
      </w:r>
      <w:r>
        <w:t xml:space="preserve"> The Anatomy of Ambition: Identifying Core Competencies Driving Career Progression in Bangalore's IT Sector — https://doi.org/10.59953/paperasia.v42i1b.774</w:t>
      </w:r>
    </w:p>
    <w:p>
      <w:pPr/>
      <w:r>
        <w:rPr>
          <w:b/>
        </w:rPr>
        <w:t>Shared claim-specific concepts:</w:t>
      </w:r>
      <w:r>
        <w:t xml:space="preserve"> core, competencies, training; EU scope not established. This is a provisional connection, not an outcome finding.</w:t>
      </w:r>
    </w:p>
    <w:p>
      <w:pPr>
        <w:pStyle w:val="SourceNote"/>
      </w:pPr>
      <w:r>
        <w:rPr>
          <w:b/>
        </w:rPr>
        <w:t>Available abstract (not full text):</w:t>
      </w:r>
      <w:r>
        <w:t xml:space="preserve"> In Bangalore’s fast-evolving IT sector, professionals face an ambiguous landscape when navigating career advancement, with limited empirical clarity on which competencies truly drive progression. This study addresses that gap by developing a predictive model to evaluate the relative impact of leadership, experience, and problem-solving skills on career growth. Using statistical analysis on a simulated dataset of 150 IT professionals, the findings reveal that leadership competency is the most influential factor (β=2.42, p&lt;0.001), outperforming both experience and problem-solving ability. The research was conducted with the help of statistical analysis, proving that leadership competency is a better indicator of career advancement as compared to experience and problem-solving competency, because the regression model had an R² of 0.904, which indicates that the leadership, experience, and problem-solving competency explained 90.4% of the variance in career advancement. Leadership competency was found to be the most important factor (β=2.42, p&lt;0.001); thus, the ANOVA analysis proved that there are significant differences in leadership scores across different job roles (F(3, 146)=208.66, p&lt;0.001). This indicates that leadership competency is not only a predictor of career advancement but also varies across job roles; therefore, the research is important for individuals to focus on t</w:t>
      </w:r>
    </w:p>
    <w:p>
      <w:pPr/>
      <w:r>
        <w:rPr>
          <w:b/>
        </w:rPr>
        <w:t>POSSIBLE 2026:</w:t>
      </w:r>
      <w:r>
        <w:t xml:space="preserve"> Core Competencies of Early Childhood Education Administrators in Thailand — https://openalex.org/W7221242985</w:t>
      </w:r>
    </w:p>
    <w:p>
      <w:pPr/>
      <w:r>
        <w:rPr>
          <w:b/>
        </w:rPr>
        <w:t>Shared claim-specific concepts:</w:t>
      </w:r>
      <w:r>
        <w:t xml:space="preserve"> core, competencies, professional, national, educational; EU scope not established. This is a provisional connection, not an outcome finding.</w:t>
      </w:r>
    </w:p>
    <w:p>
      <w:pPr>
        <w:pStyle w:val="SourceNote"/>
      </w:pPr>
      <w:r>
        <w:rPr>
          <w:b/>
        </w:rPr>
        <w:t>Available abstract (not full text):</w:t>
      </w:r>
      <w:r>
        <w:t xml:space="preserve"> This study examines the core competencies required of early childhood education administrators in Thailand within the broader context of strengthening leadership capacity and enhancing educational quality. While international scholarship consistently highlights the influence of leadership competencies on educational effectiveness and child development outcomes, Thailand currently lacks a competency-based framework for the preparation and selection of early childhood education leaders. Employing a multi-method design, the study integrated document analysis, regional focus group discussions, expert interviews, and third-order Confirmatory Factor Analysis (CFA) to identify competency domains, assess developmental needs, and propose leadership development guidelines aligned with national standards. Findings revealed three interrelated competency domains: adaptive management of early childhood development centers, academic leadership in early childhood education, and professional development toward excellence. Needs assessment results indicated that knowledge acquisition represented the highest developmental priority, particularly in relation to inclusive education management. The proposed competency model demonstrated strong empirical validity and model fit (χ²/df = 1.139, CFI = 0.997, RMSEA = 0.017). The study further suggests that competency development should emphasize practice-</w:t>
      </w:r>
    </w:p>
    <w:p>
      <w:pPr/>
      <w:r>
        <w:rPr>
          <w:b/>
        </w:rPr>
        <w:t>POSSIBLE 2026:</w:t>
      </w:r>
      <w:r>
        <w:t xml:space="preserve"> Analysis of Correlation Between the Core Competency Status and Spiritual Health of Nursing Intern Students — https://doi.org/10.1155/jonm/3522503</w:t>
      </w:r>
    </w:p>
    <w:p>
      <w:pPr/>
      <w:r>
        <w:rPr>
          <w:b/>
        </w:rPr>
        <w:t>Shared claim-specific concepts:</w:t>
      </w:r>
      <w:r>
        <w:t xml:space="preserve"> core, competencies, they, professional, educational; EU scope not established. This is a provisional connection, not an outcome finding.</w:t>
      </w:r>
    </w:p>
    <w:p>
      <w:pPr>
        <w:pStyle w:val="SourceNote"/>
      </w:pPr>
      <w:r>
        <w:rPr>
          <w:b/>
        </w:rPr>
        <w:t>Available abstract (not full text):</w:t>
      </w:r>
      <w:r>
        <w:t xml:space="preserve"> Aims This study aimed to investigate the current status of nursing intern students’ core competencies and their relationship with spiritual health. Background Cultivating the core competencies of nursing intern students is a significant educational objective. As nursing intern students transition into clinical practice, they encounter heightened levels of stress, which can adversely impact both physical and mental health, potentially hindering the development of their competencies. In recent years, there has been an increasing interest in spiritual health, which can help individuals cope with stress, promoting positive physical and mental health outcomes. However, the relationship between spiritual health and the core competencies of nursing intern students remains unclear. Methods Convenience sampling was used to recruit 312 nursing intern students from five tertiary hospitals in China. Data regarding sociodemographic characteristics, spiritual health, and core competencies were collected using online questionnaires from September 2022 to January 2023. Results The overall average score of core competencies of nursing intern students (149.70 ± 19.09) was at a medium level, among which the score of critical thinking and reasoning ability was the lowest (11.28 ± 2.02). Univariate analysis shows that factors such as place of birth, reasons for choosing the nursing major, and emplo</w:t>
      </w:r>
    </w:p>
    <w:p>
      <w:pPr/>
      <w:r>
        <w:rPr>
          <w:b/>
        </w:rPr>
        <w:t>POSSIBLE 2026:</w:t>
      </w:r>
      <w:r>
        <w:t xml:space="preserve"> Core Competencies of Nurses Working in Hospital Infection Prevention and Control: A Scoping Review and Cluster Analysis — https://doi.org/10.1111/jocn.70410</w:t>
      </w:r>
    </w:p>
    <w:p>
      <w:pPr/>
      <w:r>
        <w:rPr>
          <w:b/>
        </w:rPr>
        <w:t>Shared claim-specific concepts:</w:t>
      </w:r>
      <w:r>
        <w:t xml:space="preserve"> core, competencies, process, training; EU scope not established. This is a provisional connection, not an outcome finding.</w:t>
      </w:r>
    </w:p>
    <w:p>
      <w:pPr>
        <w:pStyle w:val="SourceNote"/>
      </w:pPr>
      <w:r>
        <w:rPr>
          <w:b/>
        </w:rPr>
        <w:t>Available abstract (not full text):</w:t>
      </w:r>
      <w:r>
        <w:t xml:space="preserve"> BACKGROUND: Infection prevention and control (IPC) nursing plays a central role in implementing IPC standards and preventing healthcare-associated infections. However, a unified core competency framework for IPC nursing roles has yet to be clearly defined. AIM: This study aimed to identify and synthesise the core competencies required for IPC nurses, including infection control nurses (ICNs) and infection control link nurses (ICLNs). It also examined how these competencies differ according to role responsibilities and explored patterns of association among competency domains. DESIGN: A scoping review with cluster analysis. METHODS: This scoping review followed a five-stage methodological framework, including identifying the research questions, identifying relevant sources, selecting sources, charting the data and collating, summarising and reporting the results. Based on this process, we conducted high-frequency term analysis and cluster analysis to identify the core competency structure. RESULTS: This review included 18 sources, from which 40 high-frequency terms were extracted and nine core competency domains were identified. Cluster analysis grouped these domains into three clusters: system-supporting and developmental competencies, IPC in clinical practice and microbiology and surveillance. When compared with the World Health Organization framework, these domains showed ove</w:t>
      </w:r>
    </w:p>
    <w:p>
      <w:pPr/>
      <w:r>
        <w:rPr>
          <w:b/>
        </w:rPr>
        <w:t>POSSIBLE 2026:</w:t>
      </w:r>
      <w:r>
        <w:t xml:space="preserve"> Can political economists trace secretive processes? Insights from the case of oil politics and policies in Uganda — https://doi.org/10.1177/07591063261424512</w:t>
      </w:r>
    </w:p>
    <w:p>
      <w:pPr/>
      <w:r>
        <w:rPr>
          <w:b/>
        </w:rPr>
        <w:t>Shared claim-specific concepts:</w:t>
      </w:r>
      <w:r>
        <w:t xml:space="preserve"> economists, particular, individual; EU scope not established. This is a provisional connection, not an outcome finding.</w:t>
      </w:r>
    </w:p>
    <w:p>
      <w:pPr>
        <w:pStyle w:val="SourceNote"/>
      </w:pPr>
      <w:r>
        <w:rPr>
          <w:b/>
        </w:rPr>
        <w:t>Available abstract (not full text):</w:t>
      </w:r>
      <w:r>
        <w:t xml:space="preserve"> Abstract Beyond the diversity of research objects, many political economists share the ambition of providing explanations rather than ‘mere’ descriptions of the social facts and phenomena examined. One way to realize this ambition is to identify and conceptualize causal mechanisms through process-tracing analysis. While process-tracing has been applied in many studies, it has been used far less to investigate activities seen as secretive, located in the Global South, and falling within the domain of quiet politics such as the oil sector. This research gap raises a key issue: can political economists trace secretive processes? Drawing on research on oil politics and policies in Uganda, this article shows to what extent political economists can trace secretive processes. Building on a research design with a broad range of empirical fingerprints such as leaks from the Panama Papers and Wikileaks databases and Hansards from the Ugandan Parliament, I first show that political economists can identify and conceptualize one type of causal mechanism linked to these processes, i.e. “relational mechanisms” that “alter connections among people, groups, and interpersonal networks; with words like ally, attack, subordinate, and appease conveying a sense of relational mechanisms” ( Tilly, 2008 ). Secondly, I shed light on a particular type of causal mechanism that political economists can har</w:t>
      </w:r>
    </w:p>
    <w:p>
      <w:pPr/>
      <w:r>
        <w:rPr>
          <w:b/>
        </w:rPr>
        <w:t>POSSIBLE 2026:</w:t>
      </w:r>
      <w:r>
        <w:t xml:space="preserve"> Developing A Competency Based Framework for OTM in Business Education — Aligning with Industry Needs — https://doi.org/10.56201/ijssmr.vol.12no3.2026.pg1.11</w:t>
      </w:r>
    </w:p>
    <w:p>
      <w:pPr/>
      <w:r>
        <w:rPr>
          <w:b/>
        </w:rPr>
        <w:t>Shared claim-specific concepts:</w:t>
      </w:r>
      <w:r>
        <w:t xml:space="preserve"> core, acquire, training; EU scope not established. This is a provisional connection, not an outcome finding.</w:t>
      </w:r>
    </w:p>
    <w:p>
      <w:pPr>
        <w:pStyle w:val="SourceNote"/>
      </w:pPr>
      <w:r>
        <w:rPr>
          <w:b/>
        </w:rPr>
        <w:t>Available abstract (not full text):</w:t>
      </w:r>
      <w:r>
        <w:t xml:space="preserve"> This study aimed at investigating developing a competency based framework for otm in business education — aligning with industry needs. The study adopted survey research design. The population and sample size of the study was 12 OTM teachers in Business Education department, Nnamdi Azikiwe University, Awka. The instrument used for data collection in this study was questionnaire. Mean statistics was employed to analyzed the data collected. The study found that the frameworks considered necessary in designing competency based model for OTM in business education include; effective stakeholder engagement, framework design, evolution, training and development programs and implementation. The study concluded that the competency based framework for OTM programme contained innovative technical competence, analytical thinking competence, generic/information and problem solvating competence. Hence, the study recommended that curriculum developers should re-design the OTM scheme of work in business education curriculum to reflect on the core competency framework that alien with current industrial needs. Business education department should offer a comprehensive training and development programs for OTM teachers to enhance their understanding of competency frameworks and their relevance to their roles and career development to acquire teaching skills and industry knowledge.</w:t>
      </w:r>
    </w:p>
    <w:p>
      <w:pPr>
        <w:pStyle w:val="Heading2"/>
      </w:pPr>
      <w:r>
        <w:t>691. Pathways for Low-Carbon Transition of the Steel Industry—A Swedish Case Study</w:t>
      </w:r>
    </w:p>
    <w:p>
      <w:pPr>
        <w:pStyle w:val="SourceNote"/>
      </w:pPr>
      <w:r>
        <w:rPr>
          <w:b/>
        </w:rPr>
        <w:t>Original source (2020):</w:t>
      </w:r>
      <w:r>
        <w:t xml:space="preserve"> https://doi.org/10.3390/en13153840</w:t>
      </w:r>
    </w:p>
    <w:p>
      <w:pPr/>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POSSIBLE 2026:</w:t>
      </w:r>
      <w:r>
        <w:t xml:space="preserve"> Low-Carbon Autoclaved Alkali-Activated Blast Furnace Slag Concrete: Microstructure and Mechanical Properties — https://doi.org/10.3390/app16031178</w:t>
      </w:r>
    </w:p>
    <w:p>
      <w:pPr/>
      <w:r>
        <w:rPr>
          <w:b/>
        </w:rPr>
        <w:t>Shared claim-specific concepts:</w:t>
      </w:r>
      <w:r>
        <w:t xml:space="preserve"> show, ccs, blast, furnace, replacement, co2; EU scope not established. This is a provisional connection, not an outcome finding.</w:t>
      </w:r>
    </w:p>
    <w:p>
      <w:pPr>
        <w:pStyle w:val="SourceNote"/>
      </w:pPr>
      <w:r>
        <w:rPr>
          <w:b/>
        </w:rPr>
        <w:t>Available abstract (not full text):</w:t>
      </w:r>
      <w:r>
        <w:t xml:space="preserve"> This paper presents a microstructural, mineralogical, and mechanical study of low-carbon autoclaved concrete (AC), achieved by partially or fully replacing ordinary Portland cement (OPC) with ground-granulated blast furnace slag (BFS) and substituting lime with calcium carbide slag (CCS). Fourteen mixes were produced and evaluated in the green state and after autoclaving. Quantitative X-ray diffraction (XRD) using the Rietveld method, density, compressive strength, and life cycle assessment (LCA) were conducted. Results show that mixes containing BFS achieve green strengths equal to or higher than the OPC reference, ensuring integrity during autoclaving. Using BFS with an adequate calcium supply promotes the formation of pre-autoclave portlandite, which in turn favors tobermorite development and yields post-autoclave strengths comparable to the OPC reference. Partial lime replacement with CCS (50%) maintains mineralogy and strength, whereas excessive CCS may reduce available portlandite and lower strength. Life-cycle assessment indicates that raw material supply dominates emissions and that removing OPC cuts total CO2 by 44% without compromising mechanical performance. These findings demonstrate the feasibility of OPC-lean/OPC-free, lime-optimized autoclaved concretes with substantially lower embodied impacts.</w:t>
      </w:r>
    </w:p>
    <w:p>
      <w:pPr/>
      <w:r>
        <w:rPr>
          <w:b/>
        </w:rPr>
        <w:t>POSSIBLE 2026:</w:t>
      </w:r>
      <w:r>
        <w:t xml:space="preserve"> Engineered Closed-Loop Mineral Storage (ECLMS): A Conceptual Korean CCS Model Bridging Ex-situ Mineralization and Geological Storage — https://doi.org/10.2139/ssrn.6750780</w:t>
      </w:r>
    </w:p>
    <w:p>
      <w:pPr/>
      <w:r>
        <w:rPr>
          <w:b/>
        </w:rPr>
        <w:t>Shared claim-specific concepts:</w:t>
      </w:r>
      <w:r>
        <w:t xml:space="preserve"> ccs, emissions; EU scope visible. This is a provisional connection, not an outcome finding.</w:t>
      </w:r>
    </w:p>
    <w:p>
      <w:pPr>
        <w:pStyle w:val="SourceNote"/>
      </w:pPr>
      <w:r>
        <w:rPr>
          <w:b/>
        </w:rPr>
        <w:t>Available abstract (not full text):</w:t>
      </w:r>
      <w:r>
        <w:t xml:space="preserve"> The expansion of Carbon Border Adjustment Mechanism (CBAM) and the European Union's Emissions Trading System (EU ETS) has sharpened global expectations for permanence, traceability, and accounting integrity in carbon capture and storage (CCS). At the same time, several major industrial economiesincluding the Republic of Korea, Japan, and parts of Southeast Asia-face a structural deficit of natural geological storage reservoirs suitable for conventional CCS. Existing mineralization options, including exsitu slurry reactors, in-situ basalt injection, and surficial mine tailings carbonation, occupy distinct niches but leave a regulatory grey zone for jurisdictions that lack large-scale saline aquifers yet possess abundant abandoned mine voids and alkaline industrial by-products. This perspective proposes Engineered Closed-Loop Mineral Storage (ECLMS) as a new conceptual CCS category. ECLMS combines (i) sealed underground containment in repurposed mine voids or engineered caverns, (ii) aqueous-phase mineral carbonation using slag, basalt, or olivine, and (iii) stabilization of CO₂ as dissolved bicarbonate (HCO₃⁻) and precipitated carbonates within a closed system. We map ECLMS onto the four IPCC trapping mechanisms, distinguish it from adjacent categories (Carbfix-style in-situ injection, Carbon8-style products, Calcarea-style ocean dispersal, and the Korean Dogye colliery pilot), </w:t>
      </w:r>
    </w:p>
    <w:p>
      <w:pPr/>
      <w:r>
        <w:rPr>
          <w:b/>
        </w:rPr>
        <w:t>POSSIBLE 2026:</w:t>
      </w:r>
      <w:r>
        <w:t xml:space="preserve"> Routing India towards Net Zero: Optimal Planning of the CCS Infrastructure — https://doi.org/10.1007/s10666-026-10129-2</w:t>
      </w:r>
    </w:p>
    <w:p>
      <w:pPr/>
      <w:r>
        <w:rPr>
          <w:b/>
        </w:rPr>
        <w:t>Shared claim-specific concepts:</w:t>
      </w:r>
      <w:r>
        <w:t xml:space="preserve"> ccs, emissions; EU scope not established. This is a provisional connection, not an outcome finding.</w:t>
      </w:r>
    </w:p>
    <w:p>
      <w:pPr>
        <w:pStyle w:val="SourceNote"/>
      </w:pPr>
      <w:r>
        <w:rPr>
          <w:b/>
        </w:rPr>
        <w:t>Available abstract (not full text):</w:t>
      </w:r>
      <w:r>
        <w:t xml:space="preserve"> Abstract Given its size, growing population, and emerging economy, India’s energy choices are critically important for mitigating global climate change. The country’s increasing energy consumption, heavily reliant on coal, raises concerns about its ability to achieve its net zero target by 2070. Carbon Capture and Storage (CCS) technologies offer a potential solution to reduce emissions from coal-fired power plants. However, the size, cost, and feasibility of CCS deployment in India remain largely unexplored. This paper addresses this gap by introducing a cost-minimizing Mixed Integer Linear Program (MILP) model for CCS deployment in India. The model incorporates detailed carbon capture investment, pipeline routing, and onshore and offshore storage investments. To examine the implications of CCS adoption, we analyze four scenarios that reflect alternative policy mandates, storage restrictions, and capture targets. Our results reveal several important findings. First, India’s optimal CO 2 pipeline network is characterized by local infrastructures concentrated around storage basins rather than forming a nationally integrated network. Second, a significant portion of emissions is transported along an eastern transportation ’backbone’ in all modeled scenarios.</w:t>
      </w:r>
    </w:p>
    <w:p>
      <w:pPr/>
      <w:r>
        <w:rPr>
          <w:b/>
        </w:rPr>
        <w:t>POSSIBLE 2026:</w:t>
      </w:r>
      <w:r>
        <w:t xml:space="preserve"> CO2 transport for fast-track CCS: Balancing economics and environmental impacts in industrial clusters — https://doi.org/10.1016/j.ijggc.2026.104625</w:t>
      </w:r>
    </w:p>
    <w:p>
      <w:pPr/>
      <w:r>
        <w:rPr>
          <w:b/>
        </w:rPr>
        <w:t>Shared claim-specific concepts:</w:t>
      </w:r>
      <w:r>
        <w:t xml:space="preserve"> show, ccs, co2, emissions; EU scope not established. This is a provisional connection, not an outcome finding.</w:t>
      </w:r>
    </w:p>
    <w:p>
      <w:pPr>
        <w:pStyle w:val="SourceNote"/>
      </w:pPr>
      <w:r>
        <w:rPr>
          <w:b/>
        </w:rPr>
        <w:t>Available abstract (not full text):</w:t>
      </w:r>
      <w:r>
        <w:t xml:space="preserve"> • A Tiered Multi-Objective Optimization (TMOO) method is developed. • Industrial cluster CO 2 transport options were assessed based on cost and LCA impacts. • Power consumed in CO 2 conditioning dominates the cost and LCA impacts. • A low-pressure CO 2 pipeline transport is most optimal for the cluster. • Pipeline construction delays favor CO 2 transport by barges. Carbon Capture and Sequestration is a key technology for decarbonizing energy-intensive industries and power generation. To accelerate its deployment, affordable and efficient carbon dioxide (CO 2 ) transport solutions are needed. In this paper a tiered multi-objective optimization method is developed to predict a hierarchy of CO 2 transport strategies, balancing the financial costs and environmental impacts. The method is applied to optimize the strategies for collecting CO 2 from five energy-intensive industries in the North Sea Port industrial cluster. The results show that a low pressure (35 bar) CO 2 collection pipeline network and a point-to-point CO 2 transport by barges (the ‘hub and spoke’ design) are the two most optimal (tier 1) competitive strategies. Lower-tier solutions involving using higher pressure (110 bar) pipelines and ‘milk round’ shipping of CO 2 , come at greater costs and larger environmental impacts. The costs and environmental impacts are largely attributed to the electricity consumed in CO </w:t>
      </w:r>
    </w:p>
    <w:p>
      <w:pPr/>
      <w:r>
        <w:rPr>
          <w:b/>
        </w:rPr>
        <w:t>POSSIBLE 2026:</w:t>
      </w:r>
      <w:r>
        <w:t xml:space="preserve"> A Structured Risk Framework for CCS AoR Wells: Qualitative FEPs to Semi-Quantitative Rankings — https://doi.org/10.3390/en19051146</w:t>
      </w:r>
    </w:p>
    <w:p>
      <w:pPr/>
      <w:r>
        <w:rPr>
          <w:b/>
        </w:rPr>
        <w:t>Shared claim-specific concepts:</w:t>
      </w:r>
      <w:r>
        <w:t xml:space="preserve"> ccs, co2, emissions, process; EU scope not established. This is a provisional connection, not an outcome finding.</w:t>
      </w:r>
    </w:p>
    <w:p>
      <w:pPr>
        <w:pStyle w:val="SourceNote"/>
      </w:pPr>
      <w:r>
        <w:rPr>
          <w:b/>
        </w:rPr>
        <w:t>Available abstract (not full text):</w:t>
      </w:r>
      <w:r>
        <w:t xml:space="preserve"> Carbon Capture and Sequestration (CCS) is one of the most important technologies that can help many countries to reduce emissions into the atmosphere and lower their carbon footprint, which in turn can help to achieve the net-zero goal. However, when CO2 is injected into a suitable geological formation in the subsurface during CCS operations, it is essential to ensure that the well integrity of the legacy well within the Area of Review (AoR) is maintained so that the injected CO2 will not make its way to the shallow formation, which can ultimately contaminate the Underground Source of Drinking Water (USDW) and make it to the surface, which can have harmful effects on the environment and human health. Hence, this paper presents a semi-quantitative risk assessment framework for legacy wells within a CCS Area of Review (AoR) and for an Underground Injection Control (UIC) Class VI injection well. The method converts a Feature Event and Process screening into an interaction matrix (IM), assigns probability × severity scores using an incident potential matrix (IPM), and derives cause-and-effect metrics to rank barrier elements and wells. The legacy wells are evaluated using a 5 × 5 IM (casing, cement sheath, water composition, gas/CO2, and USDW), and the injector is assessed using a 7 × 7 IM (adding tubing and packer). From the results, it was found that the risk levels of the Types </w:t>
      </w:r>
    </w:p>
    <w:p>
      <w:pPr/>
      <w:r>
        <w:rPr>
          <w:b/>
        </w:rPr>
        <w:t>POSSIBLE 2026:</w:t>
      </w:r>
      <w:r>
        <w:t xml:space="preserve"> Use of blast furnace slag in the production of portland cement and geopolymers: review of properties and characteristics — https://doi.org/10.54033/cadpedv23n1-223</w:t>
      </w:r>
    </w:p>
    <w:p>
      <w:pPr/>
      <w:r>
        <w:rPr>
          <w:b/>
        </w:rPr>
        <w:t>Shared claim-specific concepts:</w:t>
      </w:r>
      <w:r>
        <w:t xml:space="preserve"> substitution, blast, furnace, production, pathway, emission; EU scope not established. This is a provisional connection, not an outcome finding.</w:t>
      </w:r>
    </w:p>
    <w:p>
      <w:pPr>
        <w:pStyle w:val="SourceNote"/>
      </w:pPr>
      <w:r>
        <w:rPr>
          <w:b/>
        </w:rPr>
        <w:t>Available abstract (not full text):</w:t>
      </w:r>
      <w:r>
        <w:t xml:space="preserve"> Geopolymers are inorganic materials produced from the reaction between aluminosilicate precursors and alkaline solutions. These binders exhibit strength and durability properties comparable to Portland cement, but they differ in their consolidation mechanism: while cement depends on clinker formation, a stage that emits large amounts of CO₂, geopolymers harden through a polymerization reaction that occurs at room temperature. As a result, they form a three-dimensional Si–O–Al matrix with high mechanical strength, good chemical stability, and a lower environmental impact. This by-product of pig iron production is composed mainly of SiO₂, Al₂O₃, CaO and MgO, which gives it excellent reactivity for alkaline-activated systems. In addition to directly contributing to the formation of the geopolymeric matrix, slag can also partially or fully replace clinker in alternative binders, reducing the need for calcination and mitigating the emissions associated with the process. Studies available in the literature indicate that geopolymers produced with slag can reach strengths between 70 and 100 MPa after 28 days, demonstrating their technical performance. In this context, a literature review was conducted showing that blast furnace slag has strong potential both for geopolymer production and for partial clinker substitution. The analyzed results reinforce that this technological pathway re</w:t>
      </w:r>
    </w:p>
    <w:p>
      <w:pPr/>
      <w:r>
        <w:rPr>
          <w:b/>
        </w:rPr>
        <w:t>POSSIBLE 2026:</w:t>
      </w:r>
      <w:r>
        <w:t xml:space="preserve"> Cardiovascular Outcomes in Response to Achieved LDL-C Levels After PCI in ACS and CCS — https://doi.org/10.1016/j.jacasi.2026.07.004</w:t>
      </w:r>
    </w:p>
    <w:p>
      <w:pPr/>
      <w:r>
        <w:rPr>
          <w:b/>
        </w:rPr>
        <w:t>Shared claim-specific concepts:</w:t>
      </w:r>
      <w:r>
        <w:t xml:space="preserve"> ccs, compared, current, increased; EU scope not established. This is a provisional connection, not an outcome finding.</w:t>
      </w:r>
    </w:p>
    <w:p>
      <w:pPr>
        <w:pStyle w:val="SourceNote"/>
      </w:pPr>
      <w:r>
        <w:rPr>
          <w:b/>
        </w:rPr>
        <w:t>Available abstract (not full text):</w:t>
      </w:r>
      <w:r>
        <w:t xml:space="preserve"> BACKGROUND: Acute coronary syndrome (ACS) exhibits greater risks of recurrent atherosclerotic cardiovascular disease compared to chronic coronary syndrome (CCS), suggesting the need for more intensified preventive management, including low-density lipoprotein cholesterol (LDL-C) control. However, current guidelines advocate the "same" LDL-C goals in both ACS and CCS. OBJECTIVES: The authors aimed to compare cardiovascular outcomes following attainment of guideline-recommended LDL-C control between ACS and CCS. METHODS: This multicenter retrospective observational study (ACTION-LDLC; jRCT 1050260064) analyzed 2,560 Japanese patients with coronary artery disease (ACS/CCS = 1,682/878). Risk of major adverse cardiovascular events (MACE; cardiac-caused death + nonfatal MI + coronary revascularization in nonculprit segments) was compared according to achieved LDL-C levels 8 weeks after percutaneous coronary intervention (&lt;55, 55-69 and ≥70 mg/dL) in ACS and CCS, respectively. RESULTS: LDL-C &lt;55 mg/dL was achieved in 29.4% and 32.5% of patients with ACS and CCS, respectively (P = 0.124). During the 3.7- and 3.8-year observation, achieving lower LDL-C levels was associated with reduced MACE risks in ACS (P &lt; 0.001) and CCS (P = 0.040). Notably, lower standardized 3-year MACE rates (ACS = 4.4%, CCS = 9.9%, P &lt; 0.001) and greater absolute risk differences (from ≥70 to &lt;55 mg/dL: ACS = -2</w:t>
      </w:r>
    </w:p>
    <w:p>
      <w:pPr/>
      <w:r>
        <w:rPr>
          <w:b/>
        </w:rPr>
        <w:t>POSSIBLE 2026:</w:t>
      </w:r>
      <w:r>
        <w:t xml:space="preserve"> A Systematic Literature Review of Life Cycle Assessment and Environmental Trade-offs Across Green Steel Pathways — https://doi.org/10.12688/f1000research.190858.1</w:t>
      </w:r>
    </w:p>
    <w:p>
      <w:pPr/>
      <w:r>
        <w:rPr>
          <w:b/>
        </w:rPr>
        <w:t>Shared claim-specific concepts:</w:t>
      </w:r>
      <w:r>
        <w:t xml:space="preserve"> show, ccs, blast, furnace, steel, production; EU scope not established. This is a provisional connection, not an outcome finding.</w:t>
      </w:r>
    </w:p>
    <w:p>
      <w:pPr>
        <w:pStyle w:val="SourceNote"/>
      </w:pPr>
      <w:r>
        <w:rPr>
          <w:b/>
        </w:rPr>
        <w:t>Available abstract (not full text):</w:t>
      </w:r>
      <w:r>
        <w:t xml:space="preserve"> Background The steel industry is a major source of global CO 2 emissions, so reducing emissions from steel production is important for meeting climate targets. Life Cycle Assessment (LCA) is widely used to compare the environmental performance of different steel production routes. Methods This systematic literature review examined LCA studies published between 2016 and 2026 on Hydrogen-Based Direct Reduced Iron (H-DRI), electric arc furnace (EAF) steelmaking, and Blast Furnace-Basic Oxygen Furnace (BF-BOF) with Carbon Capture and Storage (CCS). Scopus was used as the main database, while Google Scholar was used as a supplementary source. The review considered GHG emissions, energy use, water consumption, and other environmental impacts. Results The reviewed studies show that H-DRI using renewable electricity can reduce GHG emissions by about 60–96% compared with conventional BF-BOF production. Scrap-based EAF generally reports 400–600 kg CO 2 -eq per tonne of steel, while BF-BOF with CCS can reduce emissions by about 30–50%. Conclusions H-DRI and renewable electricity-based EAF have strong potential for reducing steel-sector emissions. However, their performance varies with electricity and hydrogen sources, resource availability, system boundaries, and LCA assumptions. More consistent LCA methods, wider geographical coverage, and greater consideration of Circular Economy princi</w:t>
      </w:r>
    </w:p>
    <w:p>
      <w:pPr/>
      <w:r>
        <w:rPr>
          <w:b/>
        </w:rPr>
        <w:t>POSSIBLE 2026:</w:t>
      </w:r>
      <w:r>
        <w:t xml:space="preserve"> System Dynamics Model for Decarbonization Pathways in the Global Cement Industry — https://doi.org/10.3390/cleantechnol8040110</w:t>
      </w:r>
    </w:p>
    <w:p>
      <w:pPr/>
      <w:r>
        <w:rPr>
          <w:b/>
        </w:rPr>
        <w:t>Shared claim-specific concepts:</w:t>
      </w:r>
      <w:r>
        <w:t xml:space="preserve"> show, ccs, substitution, primary, production, pathway; EU scope not established. This is a provisional connection, not an outcome finding.</w:t>
      </w:r>
    </w:p>
    <w:p>
      <w:pPr>
        <w:pStyle w:val="SourceNote"/>
      </w:pPr>
      <w:r>
        <w:rPr>
          <w:b/>
        </w:rPr>
        <w:t>Available abstract (not full text):</w:t>
      </w:r>
      <w:r>
        <w:t xml:space="preserve"> Cement production remains one of the largest industrial sources of anthropogenic carbon dioxide (CO2) because of process emissions from limestone calcination and high-temperature fuel combustion. The primary objective of this study is to quantify the comparative effects of isolated and integrated mitigation portfolios on annual and cumulative global cement emissions through 2050 and to identify the principal leverage points needed for deep sectoral decarbonization. To achieve this, a global aggregate system dynamics model was developed and anchored to a 1990–2022 historical production baseline. The model evaluates five internally consistent scenarios: business-as-usual (BAU), efficiency and alternative fuels (EFF), materials efficiency and clinker substitution (MAT), carbon capture and storage (CCS), and an integrated net-zero-emission (NZE) pathway. The results show that while efficiency improvement alone (EFF) reduces 2050 annual emissions by 14.0% relative to BAU, it does not reverse sector-wide emissions growth. Deep decarbonization requires both substantial clinker-demand reduction (MAT, 33.2%) and broad CCS deployment (CCS, 61.1%). Only the integrated NZE pathway achieves an 87.9% reduction, lowering 2050 direct emissions to 325.8 Mt CO2. Cumulative emissions analysis further shows that delayed structural mitigation results in a large long-term carbon burden, with BAU acc</w:t>
      </w:r>
    </w:p>
    <w:p>
      <w:pPr/>
      <w:r>
        <w:rPr>
          <w:b/>
        </w:rPr>
        <w:t>POSSIBLE 2026:</w:t>
      </w:r>
      <w:r>
        <w:t xml:space="preserve"> Environmental assessment of several paths toward a carbon neutral ready-mixed concrete sector — https://doi.org/10.1016/j.cemconres.2026.108148</w:t>
      </w:r>
    </w:p>
    <w:p>
      <w:pPr/>
      <w:r>
        <w:rPr>
          <w:b/>
        </w:rPr>
        <w:t>Shared claim-specific concepts:</w:t>
      </w:r>
      <w:r>
        <w:t xml:space="preserve"> show, ccs, steel, emissions, current; EU scope not established. This is a provisional connection, not an outcome finding.</w:t>
      </w:r>
    </w:p>
    <w:p>
      <w:pPr>
        <w:pStyle w:val="SourceNote"/>
      </w:pPr>
      <w:r>
        <w:rPr>
          <w:b/>
        </w:rPr>
        <w:t>Available abstract (not full text):</w:t>
      </w:r>
      <w:r>
        <w:t xml:space="preserve"> To prevent serious consequences of climate change, it is essential to reduce greenhouse gas emissions, especially CO₂. The concrete industry, largely made up of ready-mixed reinforced concrete (RC), is a key part, as concrete is produced more than all other construction materials combined. This study evaluates decarbonization strategies in the RC sector, including low-clinker concrete (concrete with limestone calcined clay cement - LC 3 and high-volume limestone powder concrete - HVLPC), carbon capture and storage (CCS) and concrete with carbonated recycled aggregates (CRAC). Life cycle assessment was conducted on a typical RC floor slab under current and future conditions, including CCS and full electricity decarbonization. Results show a 60%–90% CO₂ reduction at the concrete level, but only ∼50% overall due to reinforcement impact—insufficient for net-zero under the assumptions made in this study. The best option combines HVLPC, oxyfuel CCS, and green electricity. With CCS and fully decarbonized electricity implemented in the future scenario, differences between conventional and low-clinker concretes drop below 10%. Possible mitigation strategies that can contribute to achieving carbon neutrality in the RC sector are decarbonization of the steel sector, increasing bioenergy and/or green hydrogen use in the kiln's fuel mix and decarbonization of transport.</w:t>
      </w:r>
    </w:p>
    <w:p>
      <w:pPr/>
      <w:r>
        <w:rPr>
          <w:b/>
        </w:rPr>
        <w:t>POSSIBLE 2026:</w:t>
      </w:r>
      <w:r>
        <w:t xml:space="preserve"> Circular futures of the cement and concrete industry in the European Union: enriching prospective life cycle assessment with participatory foresight — https://doi.org/10.1007/s11367-026-02699-w</w:t>
      </w:r>
    </w:p>
    <w:p>
      <w:pPr/>
      <w:r>
        <w:rPr>
          <w:b/>
        </w:rPr>
        <w:t>Shared claim-specific concepts:</w:t>
      </w:r>
      <w:r>
        <w:t xml:space="preserve"> show, compared, emissions, process; EU scope visible. This is a provisional connection, not an outcome finding.</w:t>
      </w:r>
    </w:p>
    <w:p>
      <w:pPr>
        <w:pStyle w:val="SourceNote"/>
      </w:pPr>
      <w:r>
        <w:rPr>
          <w:b/>
        </w:rPr>
        <w:t>Available abstract (not full text):</w:t>
      </w:r>
      <w:r>
        <w:t xml:space="preserve"> Abstract Purpose Given the urgency of the cement and concrete industry to decarbonise by 2050, circular economy (CE) strategies are becoming more eminent. This study aims to identify how CE practices can contribute to lowering environmental impacts and in particular greenhouse gas (GHG) emissions in the European Union. As future developments of our socio-economic systems are inherently uncertain, the analysis also considers the effectiveness of CE measures in different types of decarbonised futures. Methods As part of a prospective LCA (pLCA), the study defines a status quo, a future baseline scenario with a decarbonised energy system and an ambitious circular economy scenario. These are then assessed using the Environmental Footprint (EF 3.1) method for the years 2030 and 2050. To account for the inherently higher epistemic uncertainty in 2050, the ambitious CE scenario is subjected to a sensitivity analysis consisting of four normative socio-economic scenarios on the green transition. The quantification of these alternative future narratives is achieved by means of a stakeholder workshop and sensemaking session. In a final step, the results of the pLCA following the historical trajectory and the ones of the alternative futures are compared and contextualised with the agency of the involved actors. Results and discussion Results indicate that the ambitious CE scenario saves up</w:t>
      </w:r>
    </w:p>
    <w:p>
      <w:pPr/>
      <w:r>
        <w:rPr>
          <w:b/>
        </w:rPr>
        <w:t>POSSIBLE 2026:</w:t>
      </w:r>
      <w:r>
        <w:t xml:space="preserve"> Current Milestone and Emerging Trend of Carbon Capture and Storage (CCS) Technology: Bibliometric Analysis and Review of Risk-Hazard, Economic, and Numerical Assessments — https://doi.org/10.70917/fce-2026-002</w:t>
      </w:r>
    </w:p>
    <w:p>
      <w:pPr/>
      <w:r>
        <w:rPr>
          <w:b/>
        </w:rPr>
        <w:t>Shared claim-specific concepts:</w:t>
      </w:r>
      <w:r>
        <w:t xml:space="preserve"> ccs, co2, emissions, current; EU scope not established. This is a provisional connection, not an outcome finding.</w:t>
      </w:r>
    </w:p>
    <w:p>
      <w:pPr>
        <w:pStyle w:val="SourceNote"/>
      </w:pPr>
      <w:r>
        <w:rPr>
          <w:b/>
        </w:rPr>
        <w:t>Available abstract (not full text):</w:t>
      </w:r>
      <w:r>
        <w:t xml:space="preserve"> Background: Carbon Capture and Storage (CCS) is emerging as a potential solution to reduce CO2 emissions. This technology captures CO2 for reuse or stores it safely underground, preventing pollution of the atmosphere. CCS is the best technology to control climate change and global warming. Purpose: This review aims to map the achievements that have been made and future research trends. Methods: This bibliometric review analyzes CCS-related research from 2010 to 2024 using the Scopus database. VOSviewer and Bibliometrix software are used for data processing and visualization. Findings: Significant advances have been made in CCS technology research. The growth of the number of publications, collaboration networks, the most influential contributors, and research trends has been mapped, which can be used as a reference for future research. Conclusions: The methodology used can still be refined to eliminate the potential bias in data interpretation. However, certain conclusions can be drawn from this bibliometric analysis. The research trend began to shift toward efforts to utilize CO2 in useful products, improve safety, and reduce implementation costs. Originality: This bibliometric review provides an in-depth examination of the scientific literature on CCS, with a particular emphasis on risk assessment, economic perspectives, and numerical modeling. In contrast to previous bibliom</w:t>
      </w:r>
    </w:p>
    <w:p>
      <w:pPr>
        <w:pStyle w:val="Heading2"/>
      </w:pPr>
      <w:r>
        <w:t>692. Perspective of comprehensive and comprehensible multi-model energy and climate science in Europe</w:t>
      </w:r>
    </w:p>
    <w:p>
      <w:pPr>
        <w:pStyle w:val="SourceNote"/>
      </w:pPr>
      <w:r>
        <w:rPr>
          <w:b/>
        </w:rPr>
        <w:t>Original source (2020):</w:t>
      </w:r>
      <w:r>
        <w:t xml:space="preserve"> https://doi.org/10.1016/j.energy.2020.119153</w:t>
      </w:r>
    </w:p>
    <w:p>
      <w:pPr/>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POSSIBLE 2026:</w:t>
      </w:r>
      <w:r>
        <w:t xml:space="preserve"> Emerging risk of Xylella fastidiosa in Europe under global change — https://doi.org/10.1007/s10530-026-03869-5</w:t>
      </w:r>
    </w:p>
    <w:p>
      <w:pPr/>
      <w:r>
        <w:rPr>
          <w:b/>
        </w:rPr>
        <w:t>Shared claim-specific concepts:</w:t>
      </w:r>
      <w:r>
        <w:t xml:space="preserve"> finally, drawing, discuss, need, climate, across; EU scope visible. This is a provisional connection, not an outcome finding.</w:t>
      </w:r>
    </w:p>
    <w:p>
      <w:pPr>
        <w:pStyle w:val="SourceNote"/>
      </w:pPr>
      <w:r>
        <w:rPr>
          <w:b/>
        </w:rPr>
        <w:t>Available abstract (not full text):</w:t>
      </w:r>
      <w:r>
        <w:t xml:space="preserve"> Abstract The insect-borne bacterium Xylella fastidiosa is one of the most damaging plant pathogens affecting perennial crops in Europe since its first detection in 2013. Although its spread has remained geographically constrained, recent outbreaks and surveillance data suggest that larger areas of southern Europe may be transitioning into a second wave of invasion, shifting from localized outbreaks detected after extensive establishment to the early emergence of epidemics in more connected continental landscapes with coexisting lineages. Here, we examine how global change may reshape the invasion dynamics of X. fastidiosa across Europe. Drawing on evidence from national surveys, epidemiological models, and evolutionary studies, we develop a mechanistic framework linking introduction pressure through trade, the expansion and connectivity of invasion hotspots, strain coexistence, and the role of natural ecosystems as pathogen reservoirs and dispersal corridors. We argue that climate change may increase the likelihood that broader regions exceed the critical thermal thresholds required for sustained transmission following introduction. At the same time, repeated introductions of the bacterium and long-term persistence in heterogeneous landscapes may foster the accumulation of genetic diversity and increase evolutionary risk. Finally, we discuss implications for disease management,</w:t>
      </w:r>
    </w:p>
    <w:p>
      <w:pPr/>
      <w:r>
        <w:rPr>
          <w:b/>
        </w:rPr>
        <w:t>POSSIBLE 2026:</w:t>
      </w:r>
      <w:r>
        <w:t xml:space="preserve"> Europe and the Geopolitics of AGI: The Need for a Preparedness Plan — https://doi.org/10.48550/arxiv.2605.13634</w:t>
      </w:r>
    </w:p>
    <w:p>
      <w:pPr/>
      <w:r>
        <w:rPr>
          <w:b/>
        </w:rPr>
        <w:t>Shared claim-specific concepts:</w:t>
      </w:r>
      <w:r>
        <w:t xml:space="preserve"> drawing, need, questions, capacity; EU scope visible. This is a provisional connection, not an outcome finding.</w:t>
      </w:r>
    </w:p>
    <w:p>
      <w:pPr>
        <w:pStyle w:val="SourceNote"/>
      </w:pPr>
      <w:r>
        <w:rPr>
          <w:b/>
        </w:rPr>
        <w:t>Available abstract (not full text):</w:t>
      </w:r>
      <w:r>
        <w:t xml:space="preserve"> Artificial general intelligence (AGI)--defined here as AI systems that match or exceed humans at most economically useful cognitive work--has moved from speculation to the centre of political and strategic debate. This paper examines three questions: how soon AGI might emerge, how it could reshape geopolitics, and whether Europe is adequately prepared. Drawing on empirical trends in AI capabilities, expert forecasting surveys, and policy analysis, we find that a plausible window for AGI emergence falls between 2030 and 2040, or potentially earlier, though substantial uncertainty remains. Our analysis of the geopolitical implications suggests that AGI could fundamentally alter the global distribution of economic and military power, intensify interstate competition, and strain existing governance frameworks. Assessing Europe's current positioning, we identify critical gaps: limited strategic awareness of frontier AI progress, structural weaknesses in compute infrastructure and talent retention, low rates of industrial AI adoption, and fragmented policy responses at both EU and Member State levels that do not match the potential scale of disruption.These findings point to a need for a coordinated European preparedness agenda. We outline policy options centred on building institutional capacity for AGI situational awareness, strengthening Europe's position in the AI value chain, an</w:t>
      </w:r>
    </w:p>
    <w:p>
      <w:pPr/>
      <w:r>
        <w:rPr>
          <w:b/>
        </w:rPr>
        <w:t>POSSIBLE 2026:</w:t>
      </w:r>
      <w:r>
        <w:t xml:space="preserve"> Perceived Social Exclusion during the COVID-19 Pandemic: a European Perspective — https://doi.org/10.1007/s11205-025-03748-x</w:t>
      </w:r>
    </w:p>
    <w:p>
      <w:pPr/>
      <w:r>
        <w:rPr>
          <w:b/>
        </w:rPr>
        <w:t>Shared claim-specific concepts:</w:t>
      </w:r>
      <w:r>
        <w:t xml:space="preserve"> covid-19, pandemic, across; EU scope visible. This is a provisional connection, not an outcome finding.</w:t>
      </w:r>
    </w:p>
    <w:p>
      <w:pPr>
        <w:pStyle w:val="SourceNote"/>
      </w:pPr>
      <w:r>
        <w:rPr>
          <w:b/>
        </w:rPr>
        <w:t>Available abstract (not full text):</w:t>
      </w:r>
      <w:r>
        <w:t xml:space="preserve"> Abstract This paper aims to study the self-perceived social exclusion of EU citizens during the COVID-19 emergency, taking into account their socio-demographic characteristics and the specific contexts of their countries of residence. To this end, we draw on data from the third round of the electronic Eurofund Living, working and COVID-19 survey , conducted between February and March 2021, when countries were still grappling with various levels of lockdown and individuals had been living with COVID-19 restrictions for almost a year. We also rely on data from the Oxford COVID-19 Government Response Tracker (OxCGRT), which collected real-time information on government responses to COVID-19 in several countries during the pandemic crisis. We assume that during the pandemic, government accountability and responsiveness were important determinants of social inclusion and well-being. To test our hypothesis, we use multilevel logistic regression. Our dependent variable is a binary indicator of social exclusion. At the country level, we consider two different sets of explanatory variables concerning, respectively, subjective (i.e., citizens' perceptions) and objective (i.e., measures taken) aspects of governments' responses to COVID-19. Our results document a different gradient of social vulnerability across population groups. Our findings also indicate that social exclusion strongly d</w:t>
      </w:r>
    </w:p>
    <w:p>
      <w:pPr/>
      <w:r>
        <w:rPr>
          <w:b/>
        </w:rPr>
        <w:t>POSSIBLE 2026:</w:t>
      </w:r>
      <w:r>
        <w:t xml:space="preserve"> The Missing Half of Capital: Unlocking Finance for Women-Led Firms in Europe and Central Asia — https://doi.org/10.1596/1813-9450-11379</w:t>
      </w:r>
    </w:p>
    <w:p>
      <w:pPr/>
      <w:r>
        <w:rPr>
          <w:b/>
        </w:rPr>
        <w:t>Shared claim-specific concepts:</w:t>
      </w:r>
      <w:r>
        <w:t xml:space="preserve"> finally, drawing, expand, across; EU scope visible. This is a provisional connection, not an outcome finding.</w:t>
      </w:r>
    </w:p>
    <w:p>
      <w:pPr>
        <w:pStyle w:val="SourceNote"/>
      </w:pPr>
      <w:r>
        <w:rPr>
          <w:b/>
        </w:rPr>
        <w:t>Available abstract (not full text):</w:t>
      </w:r>
      <w:r>
        <w:t xml:space="preserve"> This paper analyzes why women-owned and led small and medium-sized enterprises in Europe and Central Asia face persistent financing gaps and discusses ways to reduce them. Using a journey-mapping framework, the paper identifies 49 barriers faced by women-entrepreneurs in accessing debt and equity finance across three domains: demand-side frictions, supply-side frictions, and ecosystem-level constraints. Drawing on available evidence, the paper documents the presence of several barriers in Europe and Central Asia, including limited collateral, unfavorable loan terms, loan officer bias and misaligned incentives, regulatory gaps, and informational asymmetries. The paper reviews 27 interventions from global experience that have been evaluated as mechanisms to relax these constraints. For debt financing, these include asset-collateralized lending, psychometric credit scoring, flexible and innovative contract structures, tailored products for women, and incentive reforms for loan officers. For equity financing, the evidence points to investment-readiness programs, promotion-focused pitch strategies, and approaches to reduce investor bias by exposing investors to role models and sector-specific information. Further, digital financial services can lower entry barriers and expand alternative credit data; however, more sex-disaggregated evidence is needed to establish causal pathways in </w:t>
      </w:r>
    </w:p>
    <w:p>
      <w:pPr/>
      <w:r>
        <w:rPr>
          <w:b/>
        </w:rPr>
        <w:t>POSSIBLE 2026:</w:t>
      </w:r>
      <w:r>
        <w:t xml:space="preserve"> Learning under pressure: Welfare state responses to Covid-19 in Southern Europe — https://doi.org/10.1177/09589287261419976</w:t>
      </w:r>
    </w:p>
    <w:p>
      <w:pPr/>
      <w:r>
        <w:rPr>
          <w:b/>
        </w:rPr>
        <w:t>Shared claim-specific concepts:</w:t>
      </w:r>
      <w:r>
        <w:t xml:space="preserve"> drawing, covid-19, pandemic; EU scope visible. This is a provisional connection, not an outcome finding.</w:t>
      </w:r>
    </w:p>
    <w:p>
      <w:pPr>
        <w:pStyle w:val="SourceNote"/>
      </w:pPr>
      <w:r>
        <w:rPr>
          <w:b/>
        </w:rPr>
        <w:t>Available abstract (not full text):</w:t>
      </w:r>
      <w:r>
        <w:t xml:space="preserve"> Mediterranean welfare states have generally been treated as a homogeneous group; a ‘family of sinners’ that requires structural reforms to tackle persistent problems. While this applied until the Great Recession, new evidence suggests significant departures from this trajectory. Why did Mediterranean countries move from dualization and retrenchment to more generous measures in 2020, especially in outsiders’ protection? Taking the pandemic as a symmetric shock, we investigate welfare state responses in three Mediterranean regimes - Spain, Portugal and Italy. We find that, while all three departed from past austerity logics, Spain adopted a more encompassing response, entailing generous support towards both core and peripheral workers. Italy and Portugal, instead, persisted in a dual model of core segment protection with transfers for the most vulnerable. Drawing on interview and documentary data, we explain this divergence with the interplay between policy learning on the Left and patterns of ‘crisis corporatism’.</w:t>
      </w:r>
    </w:p>
    <w:p>
      <w:pPr/>
      <w:r>
        <w:rPr>
          <w:b/>
        </w:rPr>
        <w:t>POSSIBLE 2025:</w:t>
      </w:r>
      <w:r>
        <w:t xml:space="preserve"> Colombia, COVID-19, and the Colonial Trap: Reflections on the Politics of Knowledge Production — https://doi.org/10.1177/0094582x241311803</w:t>
      </w:r>
    </w:p>
    <w:p>
      <w:pPr/>
      <w:r>
        <w:rPr>
          <w:b/>
        </w:rPr>
        <w:t>Shared claim-specific concepts:</w:t>
      </w:r>
      <w:r>
        <w:t xml:space="preserve"> finally, drawing, covid-19, pandemic; EU scope visible. This is a provisional connection, not an outcome finding.</w:t>
      </w:r>
    </w:p>
    <w:p>
      <w:pPr>
        <w:pStyle w:val="SourceNote"/>
      </w:pPr>
      <w:r>
        <w:rPr>
          <w:b/>
        </w:rPr>
        <w:t>Available abstract (not full text):</w:t>
      </w:r>
      <w:r>
        <w:t xml:space="preserve">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pPr/>
      <w:r>
        <w:rPr>
          <w:b/>
        </w:rPr>
        <w:t>POSSIBLE 2025:</w:t>
      </w:r>
      <w:r>
        <w:t xml:space="preserve"> Individualism and the Health–Economy Tradeoff During the COVID‐19 Pandemic: Evidence From the European Social Survey — https://doi.org/10.1111/issj.12586</w:t>
      </w:r>
    </w:p>
    <w:p>
      <w:pPr/>
      <w:r>
        <w:rPr>
          <w:b/>
        </w:rPr>
        <w:t>Shared claim-specific concepts:</w:t>
      </w:r>
      <w:r>
        <w:t xml:space="preserve"> finally, drawing, pandemic; EU scope visible. This is a provisional connection, not an outcome finding.</w:t>
      </w:r>
    </w:p>
    <w:p>
      <w:pPr>
        <w:pStyle w:val="SourceNote"/>
      </w:pPr>
      <w:r>
        <w:rPr>
          <w:b/>
        </w:rPr>
        <w:t>Available abstract (not full text):</w:t>
      </w:r>
      <w:r>
        <w:t xml:space="preserve"> ABSTRACT Nationwide containment measures implemented by governments to fight the COVID‐19 pandemic have incurred substantial economic costs, presenting individuals with a tradeoff between public health measures and their economic consequences. Drawing on cultural theory, we investigate the relationship between individualism and individuals’ health–economy tradeoffs during the pandemic and the moderating role of risk perception. Using European Social Survey (ESS) data, our study reveals that individuals with higher levels of individualism prioritize economic activities over public health during the pandemic. Specifically, each additional point increase in individualism raises the probability of prioritizing economic activity over public health by 0.4%. Moreover, higher perceived economic risk weakens individualists’ preference for economic activities and enhances their assessment of health choices. Perceived health risk, however, demonstrates no significant effect. Furthermore, mediation analysis reveals that individualism negatively correlates with trust in government, indirectly weakening individualists’ preference for economic activities. Finally, our heterogeneity analysis reveals that the positive correlation between individualism and economic preferences is stronger among young individuals, high‐income and highly educated groups, employees in private enterprises and self‐e</w:t>
      </w:r>
    </w:p>
    <w:p>
      <w:pPr/>
      <w:r>
        <w:rPr>
          <w:b/>
        </w:rPr>
        <w:t>POSSIBLE 2025:</w:t>
      </w:r>
      <w:r>
        <w:t xml:space="preserve"> Learning lessons from the COVID-19 pandemic and crisis responses — https://doi.org/10.5281/zenodo.16893715</w:t>
      </w:r>
    </w:p>
    <w:p>
      <w:pPr/>
      <w:r>
        <w:rPr>
          <w:b/>
        </w:rPr>
        <w:t>Shared claim-specific concepts:</w:t>
      </w:r>
      <w:r>
        <w:t xml:space="preserve"> finally, drawing, covid-19, pandemic, need, climate; EU scope visible. This is a provisional connection, not an outcome finding.</w:t>
      </w:r>
    </w:p>
    <w:p>
      <w:pPr>
        <w:pStyle w:val="SourceNote"/>
      </w:pPr>
      <w:r>
        <w:rPr>
          <w:b/>
        </w:rPr>
        <w:t>Available abstract (not full text):</w:t>
      </w:r>
      <w:r>
        <w:t xml:space="preserve"> The COVID-19 pandemic was a crisis of far-reaching societal, economic, and political impacts. Responses to the pandemic were no less far-reaching. This report presents a systematic literature review of 150 peer-reviewed articles on how European democracies responded to the COVID-19 crisis with the aim of drawing out useful learnings for climate democracy. In this review, we thus build upon the RETOOL analytical framework to distill lessons about the effectiveness and democratic quality of governance responses to the pandemic in Europe, and what these experiences teach us for future crises – notably the climate crisis. Key lessons show that robust democratic institutions, anchored in legal safeguards against executive overreach and sustained by cultures of consensus, pluralism and tolerance, are crucial to withstand crises. This is a relatively rare combination however, and one that cannot be guaranteed during times of crisis. This points to a need for new participatory forums to bolster existing democratic institutions. The review also looks at issues of justice, since democratic governance should produce just decisions and this is a key issue in climate democracy discussions.The reviewed literature sees justice dimensions as deeply intertwined: threats to recognitional justice often coincide with distributive and procedural injustices, again pointing to a need for more meaning</w:t>
      </w:r>
    </w:p>
    <w:p>
      <w:pPr/>
      <w:r>
        <w:rPr>
          <w:b/>
        </w:rPr>
        <w:t>POSSIBLE 2025:</w:t>
      </w:r>
      <w:r>
        <w:t xml:space="preserve"> The challenges of repeat measurement in times of the COVID-19 pandemic — https://doi.org/10.1093/oso/9780198883319.003.0002</w:t>
      </w:r>
    </w:p>
    <w:p>
      <w:pPr/>
      <w:r>
        <w:rPr>
          <w:b/>
        </w:rPr>
        <w:t>Shared claim-specific concepts:</w:t>
      </w:r>
      <w:r>
        <w:t xml:space="preserve"> finally, drawing, covid-19, pandemic, discuss; EU scope visible. This is a provisional connection, not an outcome finding.</w:t>
      </w:r>
    </w:p>
    <w:p>
      <w:pPr>
        <w:pStyle w:val="SourceNote"/>
      </w:pPr>
      <w:r>
        <w:rPr>
          <w:b/>
        </w:rPr>
        <w:t>Available abstract (not full text):</w:t>
      </w:r>
      <w:r>
        <w:t xml:space="preserve"> Abstract The Europeans’ Understandings and Evaluations of Democracy module was first fielded in the European Social Survey (ESS) in 2012/13 before being selected as a repeat module for the 2020/21 round. This chapter discusses the fundamental elements behind the data collected for the analysis used in this book: namely the ESS and its questionnaire. After a short introduction to the ESS, this chapter summarizes the main design decisions that underpin both the original and repeat module. It then moves on to discuss the decision-making around which items to repeat and which to discard from the earlier module. Finally, the chapter investigates how the face-to-face ESS fieldwork was disrupted by the COVID-19 pandemic, leading to delays with data collection continuing into 2022 rather than ending in 2021, as initially planned. In addition to the delays, some countries had to switch data collection from face-to-face (in-person and web interviews) to self-completion mode (web and paper self-completion) to remove or reduce face-to-face contact during the pandemic. The potential impact of this change on analysis of this module will be discussed, drawing on two parallel-run experiments conducted in Finland and Great Britain. The chapter concludes that while ESS still provides robust comparative data, users should be aware of potential mode differences and the possible impact of disrupted</w:t>
      </w:r>
    </w:p>
    <w:p>
      <w:pPr/>
      <w:r>
        <w:rPr>
          <w:b/>
        </w:rPr>
        <w:t>POSSIBLE 2025:</w:t>
      </w:r>
      <w:r>
        <w:t xml:space="preserve"> The European Union’s experience with the “Hamiltonian moment” after the COVID-19 pandemic — https://doi.org/10.30783/nevsosbilen.1614103</w:t>
      </w:r>
    </w:p>
    <w:p>
      <w:pPr/>
      <w:r>
        <w:rPr>
          <w:b/>
        </w:rPr>
        <w:t>Shared claim-specific concepts:</w:t>
      </w:r>
      <w:r>
        <w:t xml:space="preserve"> covid-19, pandemic, disruptive; EU scope visible. This is a provisional connection, not an outcome finding.</w:t>
      </w:r>
    </w:p>
    <w:p>
      <w:pPr>
        <w:pStyle w:val="SourceNote"/>
      </w:pPr>
      <w:r>
        <w:rPr>
          <w:b/>
        </w:rPr>
        <w:t>Available abstract (not full text):</w:t>
      </w:r>
      <w:r>
        <w:t xml:space="preserve"> This study examines the European Union (EU)’s economic relief package announced for member states in the aftermath of COVID-19 and the ensuing debates over whether the EU is evolving into a federation. To establish the theoretical framework, the origins of the concept of the “Hamiltonian Moment,” as well as the arguments and discussions put forth by proponents of federalism within the EU are analyzed. Following an exploration of these two approaches, a general evaluation of the scope of the economic package is provided. This study argues that, due to the differences between the context in which the federalist structure in the United States (US) was established and the current environment within the EU, it is impossible to replicate the financial system created by A. Hamilton in the US within the EU. After elaborating on the conceptual background and related developments, the institutional and political perspectives of the EU on this matter, the steps it has taken, and the methods it has employed are presented. The post-COVID-19 global order has confronted every state with new political and economic challenges. Supranational structures have also been affected by the disruptive impact of COVID-19.</w:t>
      </w:r>
    </w:p>
    <w:p>
      <w:pPr/>
      <w:r>
        <w:rPr>
          <w:b/>
        </w:rPr>
        <w:t>POSSIBLE 2025:</w:t>
      </w:r>
      <w:r>
        <w:t xml:space="preserve"> From the “European university” to the Europeanisation of universities in Europe — https://doi.org/10.4324/9781003490654-7</w:t>
      </w:r>
    </w:p>
    <w:p>
      <w:pPr/>
      <w:r>
        <w:rPr>
          <w:b/>
        </w:rPr>
        <w:t>Shared claim-specific concepts:</w:t>
      </w:r>
      <w:r>
        <w:t xml:space="preserve"> discuss, need, climate; EU scope visible. This is a provisional connection, not an outcome finding.</w:t>
      </w:r>
    </w:p>
    <w:p>
      <w:pPr>
        <w:pStyle w:val="SourceNote"/>
      </w:pPr>
      <w:r>
        <w:rPr>
          <w:b/>
        </w:rPr>
        <w:t>Available abstract (not full text):</w:t>
      </w:r>
      <w:r>
        <w:t xml:space="preserve"> This chapter seeks to disclose and critically discuss the multifaceted origins of the French President Emmanuel Macron’s European Universities Initiative (EUI) launched in 2017. It argues that the initiative can be grasped in a threefold way, namely, as (i) a recombination of the “Bologna process,” focused on quality and convergence of structures in higher education, and the “Lisbon Strategy,” centred on research excellence and global competitiveness; (ii) a decade-old ambition to create - if not “a European university” - a set of leading comprehensive European Universities capable of competing on a global level with their counterparts from the US ivy league and the likes; and (iii) an extension of the need for further modernisation of the European university landscape, taking into account the need both to engage broadly with a multiplicity of stakeholder groups and to address pending complex societal problems and challenges, such as climate change. In terms of the system of governance put forth by the EUI, the chapter concludes that it can be best conceived of as an “evolutionary and experimental network of university networks” with significant potential for transforming the landscape of European Universities.</w:t>
      </w:r>
    </w:p>
    <w:p>
      <w:pPr/>
      <w:r>
        <w:rPr>
          <w:b/>
        </w:rPr>
        <w:t>POSSIBLE 2024:</w:t>
      </w:r>
      <w:r>
        <w:t xml:space="preserve"> Muslims in Europe and Covid-19 — https://doi.org/10.5617/jais.10871</w:t>
      </w:r>
    </w:p>
    <w:p>
      <w:pPr/>
      <w:r>
        <w:rPr>
          <w:b/>
        </w:rPr>
        <w:t>Shared claim-specific concepts:</w:t>
      </w:r>
      <w:r>
        <w:t xml:space="preserve"> covid-19, pandemic, questions; EU scope visible. This is a provisional connection, not an outcome finding.</w:t>
      </w:r>
    </w:p>
    <w:p>
      <w:pPr>
        <w:pStyle w:val="SourceNote"/>
      </w:pPr>
      <w:r>
        <w:rPr>
          <w:b/>
        </w:rPr>
        <w:t>Available abstract (not full text):</w:t>
      </w:r>
      <w:r>
        <w:t xml:space="preserve">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pPr>
        <w:pStyle w:val="Heading2"/>
      </w:pPr>
      <w:r>
        <w:t>693. Population aging, migration, and productivity in Europe</w:t>
      </w:r>
    </w:p>
    <w:p>
      <w:pPr>
        <w:pStyle w:val="SourceNote"/>
      </w:pPr>
      <w:r>
        <w:rPr>
          <w:b/>
        </w:rPr>
        <w:t>Original source (2020):</w:t>
      </w:r>
      <w:r>
        <w:t xml:space="preserve"> https://doi.org/10.1073/pnas.1918988117</w:t>
      </w:r>
    </w:p>
    <w:p>
      <w:pPr/>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pPr/>
      <w:r>
        <w:rPr>
          <w:b/>
        </w:rPr>
        <w:t>POSSIBLE 2026:</w:t>
      </w:r>
      <w:r>
        <w:t xml:space="preserve"> LABOR FORCE PARTICIPATION RATES: DETERMINANTS, TRENDS, AND EMERGING ISSUES ACROSS REGIONS AND DEMOGRAPHICS — https://doi.org/10.21203/rs.3.rs-10078651/v1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Abstract Background Labor force participation rate (LFPR) is a fundamental indicator of economic vitality and social inclusion. Despite its central importance for labor economics and policy, no comprehensive systematic review has synthesized the full spectrum of demographic, household, cultural, economic, and technological determinants of LFPR across global contexts. Objectives This systematic review aims to: (1) identify and synthesize empirical evidence on the determinants of LFPR across regions and demographic groups; (2) assess the effectiveness of policy interventions, particularly family-friendly policies; and (3) identify critical research gaps, particularly regarding technological change and gig economy dynamics. Methods Following PRISMA (Preferred Reporting Items for Systematic Reviews and Meta-Analyses) guidelines, we systematically searched Scopus, JSTOR, and the ILO Research Library. After duplicate removal, title/abstract screening, and full-text eligibility assessment applying predefined inclusion and exclusion criteria, 55 studies were included in the qualitative synthesis. Results Age, gender, education, marital status, and health are primary drivers of participation. Household composition and childcare availability are the single strongest mediators of female LFPR, while cultural norms and institutional policies explain substantial cross-national variation. Fam</w:t>
      </w:r>
    </w:p>
    <w:p>
      <w:pPr/>
      <w:r>
        <w:rPr>
          <w:b/>
        </w:rPr>
        <w:t>POSSIBLE 2026:</w:t>
      </w:r>
      <w:r>
        <w:t xml:space="preserve"> Pakistan-South Korea Relations: Exploring New Avenues and Policy Options — https://doi.org/10.62345/jads.2026.15.3.19</w:t>
      </w:r>
    </w:p>
    <w:p>
      <w:pPr/>
      <w:r>
        <w:rPr>
          <w:b/>
        </w:rPr>
        <w:t>Shared claim-specific concepts:</w:t>
      </w:r>
      <w:r>
        <w:t xml:space="preserve"> terms, options, population; EU scope not established. This is a provisional connection, not an outcome finding.</w:t>
      </w:r>
    </w:p>
    <w:p>
      <w:pPr>
        <w:pStyle w:val="SourceNote"/>
      </w:pPr>
      <w:r>
        <w:rPr>
          <w:b/>
        </w:rPr>
        <w:t>Available abstract (not full text):</w:t>
      </w:r>
      <w:r>
        <w:t xml:space="preserve"> Pakistan and South Korea have enjoyed long-standing relations, based on decades of bilateral cooperation across multiple areas. The relationship between the Islamic Republic of Pakistan and the Republic of Korea is marked by mutual trust, respect and support on important regional and international issues. Both states share similar historical background but a different present picture. Both states achieved independence in the 1940s, both agricultural-based ,but economically poor, depending heavily on foreign aid and investment. However, South Korea has progressed significantly, transforming from an aid recipient to a donor. At the moment, South Korea is the 3rd largest exporter in Asia and the 8th-largest exporter worldwide. Pakistan, on the other hand, progressed slowly, ranking 16th in Asia in exports and 67th globally. South Korea thus offers so much to learn from, in terms of economic development and industrial progress. Nonetheless, Pakistan, with its rich natural resources and youthful population, is attractive to foreign investors such as South Korea. There is so much untapped potential in Pakistan that the partners need to explore and invest in. Further, Pakistan can serve as a vital gateway for South Korea to the Middle East, Central Asia, and Africa. This article examines bilateral relations between Pakistan and South Korea,, focusing on key areas of cooperation. The 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options, sweden;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2025:</w:t>
      </w:r>
      <w:r>
        <w:t xml:space="preserve"> A social network analysis of the European science–policy–society interface on biodiversity — https://doi.org/10.1111/cobi.70023</w:t>
      </w:r>
    </w:p>
    <w:p>
      <w:pPr/>
      <w:r>
        <w:rPr>
          <w:b/>
        </w:rPr>
        <w:t>Shared claim-specific concepts:</w:t>
      </w:r>
      <w:r>
        <w:t xml:space="preserve"> terms, options, participation, among; EU scope visible. This is a provisional connection, not an outcome finding.</w:t>
      </w:r>
    </w:p>
    <w:p>
      <w:pPr>
        <w:pStyle w:val="SourceNote"/>
      </w:pPr>
      <w:r>
        <w:rPr>
          <w:b/>
        </w:rPr>
        <w:t>Available abstract (not full text):</w:t>
      </w:r>
      <w:r>
        <w:t xml:space="preserve"> Despite the wealth of evidence on biodiversity status, trends, and policy options in Europe, knowledge often fails to inform policy makers and decision makers effectively. Implementing the EU Biodiversity Strategy for 2030 will require the transformation of engagement and exchange between knowledge providers and policy and decision makers. This is one of the main goals of the forthcoming EU Science Service for Biodiversity. We sought to support this endeavor by mapping the landscape of actors at the biodiversity science-policy-society interface. We first compiled an extensive database of actors (n = 215) by combining existing databases, searching the web, and consulting experts. We then interviewed representatives of key organizations (n = 28) to elicit data about their network of relations with other organizations. Additional qualitative data were elicited from a subset of organizations (n = 17/28) focusing on the roles of different actors in knowledge cocreation and their potential contribution to the functioning of the Science Service for Biodiversity. The social network analysis mapped the interactions (and lack thereof) between 101 organized actors. Central to the network were EU organizations, other international and intergovernmental organizations, and one well-known public interest group. A more varied mix of organizations had the potential to act as bridges between unc</w:t>
      </w:r>
    </w:p>
    <w:p>
      <w:pPr/>
      <w:r>
        <w:rPr>
          <w:b/>
        </w:rPr>
        <w:t>POSSIBLE 2025:</w:t>
      </w:r>
      <w:r>
        <w:t xml:space="preserve"> The Cyclical Effects on Labor Force Participation: A Study of the Saudi Labor Market using ARDL Techniques — https://doi.org/10.48084/etasr.9351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This article assesses the cyclical effects on Labor Force Participation (LFP) in the Saudi labor market. The Discouraged Worker Effect (DWF) and Added Worker Effect (AWF) for men and women LFP rates were examined by applying the Autoregressive Distributed Lag (ARDL) method. The results showed the existence of AWF in the long run in the case of women. They also confirmed that the women's LFP rate is countercyclical to economic activity and procyclical to unemployment and inflation rates. However, there is no evidence of the impact of the unemployment rate and economic cycles on women's decision to participate in the labor force in the short run. Moreover, the results support the invariance unemployment hypothesis for men's decision to participate in the labor force. This means that these factors do not affect men's decision to join the workforce, but other factors make them look for work to increase income. This study also suggests that women can be motivated to enter the labor market if their chances of finding work are improved through an active economic policy that creates jobs for both men and women.</w:t>
      </w:r>
    </w:p>
    <w:p>
      <w:pPr/>
      <w:r>
        <w:rPr>
          <w:b/>
        </w:rPr>
        <w:t>POSSIBLE 2025:</w:t>
      </w:r>
      <w:r>
        <w:t xml:space="preserve"> Labor Policies and Immigrant Employment — https://doi.org/10.1111/joes.70010</w:t>
      </w:r>
    </w:p>
    <w:p>
      <w:pPr/>
      <w:r>
        <w:rPr>
          <w:b/>
        </w:rPr>
        <w:t>Shared claim-specific concepts:</w:t>
      </w:r>
      <w:r>
        <w:t xml:space="preserve"> participation, integration, improve; EU scope visible. This is a provisional connection, not an outcome finding.</w:t>
      </w:r>
    </w:p>
    <w:p>
      <w:pPr>
        <w:pStyle w:val="SourceNote"/>
      </w:pPr>
      <w:r>
        <w:rPr>
          <w:b/>
        </w:rPr>
        <w:t>Available abstract (not full text):</w:t>
      </w:r>
      <w:r>
        <w:t xml:space="preserve"> ABSTRACT This survey describes the recent literature on integration and active labor market policies that strive to enhance the employment of immigrants. We searched several databases, and after screening, 63 studies satisfied our predetermined inclusion criteria. The first criterion is that the studies examine policies in Europe. Second, the search was limited to studies published between 2005 and 2024. Third, our primary outcome of interest is employment. Other outcome variables are income, labor market participation, and duration of unemployment. We focus on studies that offer experimental or quasi‐experimental evidence on the effects of policies on the employment of immigrants. We divide the policy measures into the following five groups: integration programs, language training, benefits, childcare, and residency policies. Our main finding is that well‐executed integration measures can improve the labor market attachment of immigrants, speed up the process of entering employment, and improve the quality of attained jobs.</w:t>
      </w:r>
    </w:p>
    <w:p>
      <w:pPr/>
      <w:r>
        <w:rPr>
          <w:b/>
        </w:rPr>
        <w:t>POSSIBLE 2025:</w:t>
      </w:r>
      <w:r>
        <w:t xml:space="preserve"> Returning to Work: Older Adults' Labor Force Participation and Health Status — https://doi.org/10.1111/cwe.70001</w:t>
      </w:r>
    </w:p>
    <w:p>
      <w:pPr/>
      <w:r>
        <w:rPr>
          <w:b/>
        </w:rPr>
        <w:t>Shared claim-specific concepts:</w:t>
      </w:r>
      <w:r>
        <w:t xml:space="preserve"> participation, population; EU scope not established. This is a provisional connection, not an outcome finding.</w:t>
      </w:r>
    </w:p>
    <w:p>
      <w:pPr>
        <w:pStyle w:val="SourceNote"/>
      </w:pPr>
      <w:r>
        <w:rPr>
          <w:b/>
        </w:rPr>
        <w:t>Available abstract (not full text):</w:t>
      </w:r>
      <w:r>
        <w:t xml:space="preserve"> Abstract This study investigated the effects of labor force participation on the physical and mental health of older adults, using the implementation of the provincial‐level Regulations on the Protection of the Rights and Interests of the Olderly as an entry point and applying the control function method to address endogeneity. The results indicate that the labor force participation of older adults improved their physical health significantly but had no significant effect on mental health. The positive effect on physical health was stronger for women, urban residents, those with lower education levels, and those with health insurance. Labor force participation operated through income effects and health behavior channels but no evidence was found for a social support channel. These results suggest that removing institutional barriers and empowering older adults can help to address the challenges of an aging population and promote a healthier China.</w:t>
      </w:r>
    </w:p>
    <w:p>
      <w:pPr/>
      <w:r>
        <w:rPr>
          <w:b/>
        </w:rPr>
        <w:t>POSSIBLE 2025:</w:t>
      </w:r>
      <w:r>
        <w:t xml:space="preserve"> The Impact of Female Labor Force Participation on Regional Economic and Income Convergence — https://doi.org/10.15408/etk.v24i2.41688</w:t>
      </w:r>
    </w:p>
    <w:p>
      <w:pPr/>
      <w:r>
        <w:rPr>
          <w:b/>
        </w:rPr>
        <w:t>Shared claim-specific concepts:</w:t>
      </w:r>
      <w:r>
        <w:t xml:space="preserve"> participation, high, even, improve; EU scope not established. This is a provisional connection, not an outcome finding.</w:t>
      </w:r>
    </w:p>
    <w:p>
      <w:pPr>
        <w:pStyle w:val="SourceNote"/>
      </w:pPr>
      <w:r>
        <w:rPr>
          <w:b/>
        </w:rPr>
        <w:t>Available abstract (not full text):</w:t>
      </w:r>
      <w:r>
        <w:t xml:space="preserve"> Research originality: Women tend to be chosen as the non-labor force, even though they are potential workers who can contribute directly to the economy. Their level of education influences this contribution. Research objectives: This research examined the impact of female labor force participation on regional economic and income convergence. Research methods: Pooled Least Squares (PLS) and panel data estimation were conducted using cross-sectional data on 472 cities/districts across Indonesia between 2016 and 2022. Empirical result: The findings reveal that female labor force participation significantly enhances regional economic growth only when women have at least a senior high school education. However, their contribution to accelerating economic convergence remains suboptimal, as most female workers are elementary school graduates. Implications: To improve the contribution of the female workforce to the economy, the government should extend compulsory education from 9 to 12 years, expand access to non-formal education for women, and establish a female-friendly labor market through job flexibility and improved childcare access. JEL Classification: I25, J21, E12, J20</w:t>
      </w:r>
    </w:p>
    <w:p>
      <w:pPr/>
      <w:r>
        <w:rPr>
          <w:b/>
        </w:rPr>
        <w:t>POSSIBLE 2024:</w:t>
      </w:r>
      <w:r>
        <w:t xml:space="preserve"> Policy options for sustainable access to off-patent antibiotics in Europe — https://doi.org/10.1038/s44259-024-00061-4</w:t>
      </w:r>
    </w:p>
    <w:p>
      <w:pPr/>
      <w:r>
        <w:rPr>
          <w:b/>
        </w:rPr>
        <w:t>Shared claim-specific concepts:</w:t>
      </w:r>
      <w:r>
        <w:t xml:space="preserve"> options,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value of national defense: Assessing public preferences for defense policy options — https://doi.org/10.1016/j.ejpoleco.2024.102595</w:t>
      </w:r>
    </w:p>
    <w:p>
      <w:pPr/>
      <w:r>
        <w:rPr>
          <w:b/>
        </w:rPr>
        <w:t>Shared claim-specific concepts:</w:t>
      </w:r>
      <w:r>
        <w:t xml:space="preserve"> terms, options, population; EU scope visible. This is a provisional connection, not an outcome finding.</w:t>
      </w:r>
    </w:p>
    <w:p>
      <w:pPr>
        <w:pStyle w:val="SourceNote"/>
      </w:pPr>
      <w:r>
        <w:rPr>
          <w:b/>
        </w:rPr>
        <w:t>Available abstract (not full text):</w:t>
      </w:r>
      <w:r>
        <w:t xml:space="preserve">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pPr/>
      <w:r>
        <w:rPr>
          <w:b/>
        </w:rPr>
        <w:t>POSSIBLE 2024:</w:t>
      </w:r>
      <w:r>
        <w:t xml:space="preserve"> Policies of Plastic Use in European Countries — https://doi.org/10.1201/9781003387862-3</w:t>
      </w:r>
    </w:p>
    <w:p>
      <w:pPr/>
      <w:r>
        <w:rPr>
          <w:b/>
        </w:rPr>
        <w:t>Shared claim-specific concepts:</w:t>
      </w:r>
      <w:r>
        <w:t xml:space="preserve"> terms, options, dependency; EU scope visible. This is a provisional connection, not an outcome finding.</w:t>
      </w:r>
    </w:p>
    <w:p>
      <w:pPr>
        <w:pStyle w:val="SourceNote"/>
      </w:pPr>
      <w:r>
        <w:rPr>
          <w:b/>
        </w:rPr>
        <w:t>Available abstract (not full text):</w:t>
      </w:r>
      <w:r>
        <w:t xml:space="preserve">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pPr/>
      <w:r>
        <w:rPr>
          <w:b/>
        </w:rPr>
        <w:t>POSSIBLE 2024:</w:t>
      </w:r>
      <w:r>
        <w:t xml:space="preserve"> Religion and female labor force participation in India — https://doi.org/10.1111/rode.13154</w:t>
      </w:r>
    </w:p>
    <w:p>
      <w:pPr/>
      <w:r>
        <w:rPr>
          <w:b/>
        </w:rPr>
        <w:t>Shared claim-specific concepts:</w:t>
      </w:r>
      <w:r>
        <w:t xml:space="preserve"> participation, among, improve; EU scope not established. This is a provisional connection, not an outcome finding.</w:t>
      </w:r>
    </w:p>
    <w:p>
      <w:pPr>
        <w:pStyle w:val="SourceNote"/>
      </w:pPr>
      <w:r>
        <w:rPr>
          <w:b/>
        </w:rPr>
        <w:t>Available abstract (not full text):</w:t>
      </w:r>
      <w:r>
        <w:t xml:space="preserve"> Abstract This paper primarily aims to identify the impact of religion on currently working women in India by considering the National Family Health Survey 2015–2016 data. It also incorporates several socioeconomics variables as controls. The models are estimated with aggregate as well as disaggregated urban–rural as well as zonal data. The results suggest that compared to the Hindus, Christian and Buddhist women have higher odds of labor force participation and Muslim and Sikh women have lower odds. Extensive analysis of the data indicates that economic well‐being among the Sikhs and the status of being married among the Muslims could be the primary factors responsible for their lower workforce participation. Additionally, lower age, lower education, better economic well‐being, the status of being married, large family size, having only one child, male household heads, and younger children are associated with lower workforce participation. Furthermore, education seems to be more accessible to women from urban areas and wealthier sections. Based on these observations, the study recommends devising policies for greater provisions for higher education in rural areas and among the poorer sections of society. Also, imparting awareness and developing an understanding of the importance of female labor force participation is crucial to improve women's labor force participation in India</w:t>
      </w:r>
    </w:p>
    <w:p>
      <w:pPr>
        <w:pStyle w:val="Heading2"/>
      </w:pPr>
      <w:r>
        <w:t>694. Post-normal times: re-thinking the futures of the EU-Africa relationship</w:t>
      </w:r>
    </w:p>
    <w:p>
      <w:pPr>
        <w:pStyle w:val="SourceNote"/>
      </w:pPr>
      <w:r>
        <w:rPr>
          <w:b/>
        </w:rPr>
        <w:t>Original source (2020):</w:t>
      </w:r>
      <w:r>
        <w:t xml:space="preserve"> https://doi.org/10.1186/s40309-020-00167-8</w:t>
      </w:r>
    </w:p>
    <w:p>
      <w:pPr/>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POSSIBLE 2026:</w:t>
      </w:r>
      <w:r>
        <w:t xml:space="preserve"> HISTORICAL AND LEGAL PRECONDITIONS FOR THE ESTABLISHMENT OF EUROPEAN UNION AGENCIES — https://doi.org/10.23856/7642</w:t>
      </w:r>
    </w:p>
    <w:p>
      <w:pPr/>
      <w:r>
        <w:rPr>
          <w:b/>
        </w:rPr>
        <w:t>Shared claim-specific concepts:</w:t>
      </w:r>
      <w:r>
        <w:t xml:space="preserve"> establishment, process; EU scope visible. This is a provisional connection, not an outcome finding.</w:t>
      </w:r>
    </w:p>
    <w:p>
      <w:pPr>
        <w:pStyle w:val="SourceNote"/>
      </w:pPr>
      <w:r>
        <w:rPr>
          <w:b/>
        </w:rPr>
        <w:t>Available abstract (not full text):</w:t>
      </w:r>
      <w:r>
        <w:t xml:space="preserve"> The article examines the historical and legal preconditions for the establishment of European Union agencies as specific administrative bodies within the EU legal order. The relevance of the topic is determined by the fact that EU agencies have become important instruments for the implementation of Union policies, although their development was not initially directly provided for by the founding treaties. The article argues that the emergence of EU agencies was caused by the gradual complication of European integration, the expansion of the internal market, the need for technical expertise, the development of regulatory policies and the search for more flexible forms of administrative governance. Special attention is paid to the early stage of agency formation in the 1970s, the new wave of agencification in the 1990s, and the transformation of agencies after the Maastricht, Amsterdam, Nice and Lisbon Treaties. The study shows that the establishment of EU agencies was not a random institutional process but a response to functional needs of the Union. It is concluded that the historical and legal evolution of EU agencies reflects the transformation of the EU from a primarily economic community into a complex system of multilevel public administration.</w:t>
      </w:r>
    </w:p>
    <w:p>
      <w:pPr/>
      <w:r>
        <w:rPr>
          <w:b/>
        </w:rPr>
        <w:t>POSSIBLE 2026:</w:t>
      </w:r>
      <w:r>
        <w:t xml:space="preserve"> European middle powers: Germany, France and Italy as international actors — https://openalex.org/W7215008340</w:t>
      </w:r>
    </w:p>
    <w:p>
      <w:pPr/>
      <w:r>
        <w:rPr>
          <w:b/>
        </w:rPr>
        <w:t>Shared claim-specific concepts:</w:t>
      </w:r>
      <w:r>
        <w:t xml:space="preserve"> powers, major, they; EU scope visible. This is a provisional connection, not an outcome finding.</w:t>
      </w:r>
    </w:p>
    <w:p>
      <w:pPr>
        <w:pStyle w:val="SourceNote"/>
      </w:pPr>
      <w:r>
        <w:rPr>
          <w:b/>
        </w:rPr>
        <w:t>Available abstract (not full text):</w:t>
      </w:r>
      <w:r>
        <w:t xml:space="preserve"> Behind the geopolitics of great power competition lies a broad and diverse group of international actors that cannot match the status of major powers, yet wield considerable influence in specific policies and regions. These states are often referred to as middle powers, and they include actors from both the West and the Global South. They tend to act in multilateral formats, join alliances with like-minded partners and diversify their foreign policy partnerships. This Research Paper examines the concept of middlepowerness and applies it to an investigation of the foreign policies of the largest EU member states: Germany, France and Italy. Despite their relative decline compared with major and rising powers, these states retain significant resources that enable them to exert autonomous influence on specific issues in global politics. This capacity is particularly significant at a time of crisis in the transatlantic alliance due to the progressive US disengagement from Europe and from liberal values. The EU can act as a “power amplifier” for member states, but pooling the resources of middle powers does not automatically turn either those states or the EU into major powers in foreign policy.</w:t>
      </w:r>
    </w:p>
    <w:p>
      <w:pPr/>
      <w:r>
        <w:rPr>
          <w:b/>
        </w:rPr>
        <w:t>POSSIBLE 2026:</w:t>
      </w:r>
      <w:r>
        <w:t xml:space="preserve"> EPPO (European Public Prosecutor`s Office): objectives, powers and operating methods — https://openalex.org/W7220177938</w:t>
      </w:r>
    </w:p>
    <w:p>
      <w:pPr/>
      <w:r>
        <w:rPr>
          <w:b/>
        </w:rPr>
        <w:t>Shared claim-specific concepts:</w:t>
      </w:r>
      <w:r>
        <w:t xml:space="preserve"> establishment, powers, major; EU scope visible. This is a provisional connection, not an outcome finding.</w:t>
      </w:r>
    </w:p>
    <w:p>
      <w:pPr>
        <w:pStyle w:val="SourceNote"/>
      </w:pPr>
      <w:r>
        <w:rPr>
          <w:b/>
        </w:rPr>
        <w:t>Available abstract (not full text):</w:t>
      </w:r>
      <w:r>
        <w:t xml:space="preserve"> Corruption and fraud are major threats to the financial integrity of the European Union (EU), causing significant losses to the European budget and affecting the mechanisms for redistributing funds between Member States. According to the report on the protection of the EU's financial interests, fraud affecting the Union's financial interests exceeded €1.9 billion. In this context, the need for transnational institutions became evident that go beyond the legal boundaries of Member States, providing a coordinated framework for investigating cross-border financial crimes.Prior to the establishment of the EPPO, economic crimes affecting the EU budget were investigated at national level, which often led to a lack of coordinated action and low recovery rates. This fragmentation has been identified by the European Commission as a major vulnerability in the fight against fraud, underscoring the need for a common institution for all participating Member States.</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powers, understand, process, role, they;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African Perspectives on Decolonising Linguistics — https://doi.org/10.1111/josl.70017</w:t>
      </w:r>
    </w:p>
    <w:p>
      <w:pPr/>
      <w:r>
        <w:rPr>
          <w:b/>
        </w:rPr>
        <w:t>Shared claim-specific concepts:</w:t>
      </w:r>
      <w:r>
        <w:t xml:space="preserve"> interactions, major, they; EU scope visible. This is a provisional connection, not an outcome finding.</w:t>
      </w:r>
    </w:p>
    <w:p>
      <w:pPr>
        <w:pStyle w:val="SourceNote"/>
      </w:pPr>
      <w:r>
        <w:rPr>
          <w:b/>
        </w:rPr>
        <w:t>Available abstract (not full text):</w:t>
      </w:r>
      <w:r>
        <w:t xml:space="preserve"> Growing up in the late 1960s in a small town in Eastern Zambia bordering Mozambique and Malawi, where at least four languages were spoken at home and in the town, multilingualism is my mother tongue. I grew up interacting with people from different ethnolinguistic backgrounds who lived, and still live, side-by-side speaking each other's languages and living multilingually. Scholarship on the sociolinguistic situation in Africa shows that a typical African speaks at least three languages (Banda 2009; McLaughlin 2009). The literature also intimates that not only do they not hierarchise them additively as first, second, third, fourth languages and so forth, but the languages are typically acquired outside the formal school system, unlike in the Global North (Banda 2009; Brock-Utne 2009). Starting my primary school in the late 1960s, other Zambian children and I experienced a renaissance of some sort: the unusual and negative impact of forced monolingualism, not in an African language, but in a foreign language, English. The emergent African government after Zambia's independence from British colonial rule in October 1964, instituted a new language education policy that the medium of instruction was going to be English right from the first grade, replacing the missionary and colonial education policy, where the first four or five years were done using an African language medium of </w:t>
      </w:r>
    </w:p>
    <w:p>
      <w:pPr/>
      <w:r>
        <w:rPr>
          <w:b/>
        </w:rPr>
        <w:t>POSSIBLE 2026:</w:t>
      </w:r>
      <w:r>
        <w:t xml:space="preserve"> PRECONDITIONS AND LEGAL FOUNDATIONS FOR THE ESTABLISHMENT OF THE EUROPEAN ATOMIC ENERGY COMMUNITY (EURATOM) — https://doi.org/10.52058/2786-6025-2026-4(58)-64-73</w:t>
      </w:r>
    </w:p>
    <w:p>
      <w:pPr/>
      <w:r>
        <w:rPr>
          <w:b/>
        </w:rPr>
        <w:t>Shared claim-specific concepts:</w:t>
      </w:r>
      <w:r>
        <w:t xml:space="preserve"> establishment, powers, well, process; EU scope visible. This is a provisional connection, not an outcome finding.</w:t>
      </w:r>
    </w:p>
    <w:p>
      <w:pPr>
        <w:pStyle w:val="SourceNote"/>
      </w:pPr>
      <w:r>
        <w:rPr>
          <w:b/>
        </w:rPr>
        <w:t>Available abstract (not full text):</w:t>
      </w:r>
      <w:r>
        <w:t xml:space="preserve"> This article provides a comprehensive historical and legal analysis of the formation of the European Atomic Energy Community (Euratom), focusing on the development of its institutional and legal framework and the specific features of legal regulation of the nuclear energy sector within the context of European integration.The main focus is on examining the preconditions for the emergence of Euratom as a specific supranational organization operating at the intersection of energy policy, international law, and national security issues.The legal nature of Euratom is analyzed, in particular its status as a separate subject of international law with its own legal personality and a specialized sphere of competence covering exclusively the peaceful use of nuclear energy.Particular attention is paid to the provisions governing the organization and financing of research programs, as well as the establishment of specialized bodies, notably the Joint Research Center.The paper highlights the legal contradictions that arose during the negotiation process among member states, particularly regarding the scope of the delegation of sovereign powers, the establishment of a monopoly on nuclear materials, and the admissibility of supranational control in this sphere.It is argued that the dual nature of nuclear technologies necessitated limiting Euratom's competence to the sphere of civilian use of </w:t>
      </w:r>
    </w:p>
    <w:p>
      <w:pPr/>
      <w:r>
        <w:rPr>
          <w:b/>
        </w:rPr>
        <w:t>POSSIBLE 2026:</w:t>
      </w:r>
      <w:r>
        <w:t xml:space="preserve"> Decolonising the entrepreneurship curriculum in South Africa — https://doi.org/10.36096/ijbes.v8i1.1129</w:t>
      </w:r>
    </w:p>
    <w:p>
      <w:pPr/>
      <w:r>
        <w:rPr>
          <w:b/>
        </w:rPr>
        <w:t>Shared claim-specific concepts:</w:t>
      </w:r>
      <w:r>
        <w:t xml:space="preserve"> decolonise, crucial; EU scope not established. This is a provisional connection, not an outcome finding.</w:t>
      </w:r>
    </w:p>
    <w:p>
      <w:pPr>
        <w:pStyle w:val="SourceNote"/>
      </w:pPr>
      <w:r>
        <w:rPr>
          <w:b/>
        </w:rPr>
        <w:t>Available abstract (not full text):</w:t>
      </w:r>
      <w:r>
        <w:t xml:space="preserve"> This paper examines the need to decolonise entrepreneurship education in South Africa by addressing epistemic inequalities and aligning curricula with local socio-economic realities. Grounded in decolonial and human capital theories, the study critiques existing programmes that are dominated by Western pedagogies privileging individualism and profit maximization. A literature review shows that current curricula inadequately reflect indigenous knowledge, community-oriented practices, and the informal economy, which remains a crucial site for livelihoods and economic participation. Three key gaps are identified: an overreliance on Eurocentric content, weak contextual relevance to South Africa’s socio-economic challenges, and the exclusion of indigenous and community-driven approaches. These shortcomings limit the curriculum’s capacity to prepare students to address pressing issues such as unemployment, inequality, and informality. The study argues for a decolonised curriculum that integrates African epistemologies, emphasizes social and community entrepreneurship, and produces graduates capable of contributing to inclusive and sustainable development. This study adopts a conceptual and integrative literature-based approach to examine the decolonisation of entrepreneurship education in South Africa. Drawing on peer-reviewed journal articles, policy documents, doctoral studies, and</w:t>
      </w:r>
    </w:p>
    <w:p>
      <w:pPr/>
      <w:r>
        <w:rPr>
          <w:b/>
        </w:rPr>
        <w:t>POSSIBLE 2026:</w:t>
      </w:r>
      <w:r>
        <w:t xml:space="preserve"> Towards a Decolonised University in South Africa: Filling the Blanks — https://doi.org/10.1057/s41307-026-00452-4</w:t>
      </w:r>
    </w:p>
    <w:p>
      <w:pPr/>
      <w:r>
        <w:rPr>
          <w:b/>
        </w:rPr>
        <w:t>Shared claim-specific concepts:</w:t>
      </w:r>
      <w:r>
        <w:t xml:space="preserve"> efforts, decolonise, understand, they; EU scope not established. This is a provisional connection, not an outcome finding.</w:t>
      </w:r>
    </w:p>
    <w:p>
      <w:pPr>
        <w:pStyle w:val="SourceNote"/>
      </w:pPr>
      <w:r>
        <w:rPr>
          <w:b/>
        </w:rPr>
        <w:t>Available abstract (not full text):</w:t>
      </w:r>
      <w:r>
        <w:t xml:space="preserve"> Abstract Research on the decolonisation of the higher education sector in South Africa continues to mount, though what remains underexplored is an evaluation of the efforts made towards establishing a decolonised university in its triple functions: teaching-learning, research and community engagement. Using literature from the public domain and document analysis, the qualitative study employs the South African context to analyse the efforts done so far to decolonise the three core functions of the university, so as to understand how the country has aligned to the decolonisation call. Deploying the decolonial lens, findings demonstrate that although universities in South Africa have remarkably engaged in the decolonisation of teaching, learning and research, they have overlooked the third core mandate—community engagement, which is still heavily girded by Western thinking and practice. Decolonising only the two core functions of the university, overlooking the third mission, makes the decolonisation agenda incomplete. The review underscores the need to seriously consider the decolonisation of community engagement whose mandate is to enhance social transformation and address societal problems. Beyond South Africa, the study provides valuable lessons to other countries in comparable contexts, given that very few universities in postcolonial contexts are immune to colonial legacies</w:t>
      </w:r>
    </w:p>
    <w:p>
      <w:pPr/>
      <w:r>
        <w:rPr>
          <w:b/>
        </w:rPr>
        <w:t>POSSIBLE 2026:</w:t>
      </w:r>
      <w:r>
        <w:t xml:space="preserve"> The Relationship between Georgia and the Papacy in the Context of the Geopolitical Interests of the Great European Powers (1918–1921) — https://doi.org/10.61097/12301604/pg36/2026/209-234</w:t>
      </w:r>
    </w:p>
    <w:p>
      <w:pPr/>
      <w:r>
        <w:rPr>
          <w:b/>
        </w:rPr>
        <w:t>Shared claim-specific concepts:</w:t>
      </w:r>
      <w:r>
        <w:t xml:space="preserve"> powers, relationship, major, role; EU scope visible. This is a provisional connection, not an outcome finding.</w:t>
      </w:r>
    </w:p>
    <w:p>
      <w:pPr>
        <w:pStyle w:val="SourceNote"/>
      </w:pPr>
      <w:r>
        <w:rPr>
          <w:b/>
        </w:rPr>
        <w:t>Available abstract (not full text):</w:t>
      </w:r>
      <w:r>
        <w:t xml:space="preserve"> This paper examines the place and role of relations between Georgia and the Holy See during the period 1918–1921 within the broader context of the geopolitical interests of the major European powers in the Caucasus. The study investigates the ecclesiastical and political significance of these relations and their relevance to the strategic objectives pursued by European states in the region. The central hypothesis is that, although papal representatives operated within a complex political environment, their primary responsibilities remained religious and ecclesiastical in nature. At the same time, the activities of the Holy See and its representatives could, in certain circumstances, coincide with or indirectly support the interests of particular European powers, especially Catholic France. Special attention is devoted to the mission of the Apostolic Visitor Antoine Delpuche and its significance in the context of the geopolitical competition among the major European powers in the Caucasus. The research employs a qualitative methodology based on the analysis of documentary sources, including archival materials, newspapers, correspondence, and other primary sources. The study also applies textual content analysis and selected case studies focusing on the policies and interests of France and Great Britain in the region.</w:t>
      </w:r>
    </w:p>
    <w:p>
      <w:pPr/>
      <w:r>
        <w:rPr>
          <w:b/>
        </w:rPr>
        <w:t>POSSIBLE 2025:</w:t>
      </w:r>
      <w:r>
        <w:t xml:space="preserve"> Establishment of the Authority for Anti-Money Laundering . Why Does the European Union Need to Institutionalize Anti-Money Laundering? — https://doi.org/10.31743/recl.18302</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pPr/>
      <w:r>
        <w:rPr>
          <w:b/>
        </w:rPr>
        <w:t>POSSIBLE 2025:</w:t>
      </w:r>
      <w:r>
        <w:t xml:space="preserve"> The separation of powers and the administrative branch in the European Union — https://doi.org/10.1093/icon/moaf048</w:t>
      </w:r>
    </w:p>
    <w:p>
      <w:pPr/>
      <w:r>
        <w:rPr>
          <w:b/>
        </w:rPr>
        <w:t>Shared claim-specific concepts:</w:t>
      </w:r>
      <w:r>
        <w:t xml:space="preserve"> powers, assessing, role, played; EU scope visible. This is a provisional connection, not an outcome finding.</w:t>
      </w:r>
    </w:p>
    <w:p>
      <w:pPr>
        <w:pStyle w:val="SourceNote"/>
      </w:pPr>
      <w:r>
        <w:rPr>
          <w:b/>
        </w:rPr>
        <w:t>Available abstract (not full text):</w:t>
      </w:r>
      <w:r>
        <w:t xml:space="preserve">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pPr/>
      <w:r>
        <w:rPr>
          <w:b/>
        </w:rPr>
        <w:t>POSSIBLE 2025:</w:t>
      </w:r>
      <w:r>
        <w:t xml:space="preserve"> Building Trade Institutions After the EU:Trade Powers in the UK — https://openalex.org/W7203962608</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pPr>
        <w:pStyle w:val="Heading2"/>
      </w:pPr>
      <w:r>
        <w:t>695. Quantifying the sensitivity of european power systems to energy scenarios and climate change projections</w:t>
      </w:r>
    </w:p>
    <w:p>
      <w:pPr>
        <w:pStyle w:val="SourceNote"/>
      </w:pPr>
      <w:r>
        <w:rPr>
          <w:b/>
        </w:rPr>
        <w:t>Original source (2020):</w:t>
      </w:r>
      <w:r>
        <w:t xml:space="preserve"> https://doi.org/10.1016/j.renene.2020.09.125</w:t>
      </w:r>
    </w:p>
    <w:p>
      <w:pPr/>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POSSIBLE 2026:</w:t>
      </w:r>
      <w:r>
        <w:t xml:space="preserve"> Stability Rules: Succession Institutions, Conflict, and Divergent Paths of State Development — https://openalex.org/W7164271797</w:t>
      </w:r>
    </w:p>
    <w:p>
      <w:pPr/>
      <w:r>
        <w:rPr>
          <w:b/>
        </w:rPr>
        <w:t>Shared claim-specific concepts:</w:t>
      </w:r>
      <w:r>
        <w:t xml:space="preserve"> show, first, divergent, power, system, over; EU scope visible. This is a provisional connection, not an outcome finding.</w:t>
      </w:r>
    </w:p>
    <w:p>
      <w:pPr>
        <w:pStyle w:val="SourceNote"/>
      </w:pPr>
      <w:r>
        <w:rPr>
          <w:b/>
        </w:rPr>
        <w:t>Available abstract (not full text):</w:t>
      </w:r>
      <w:r>
        <w:t xml:space="preserve"> How do political systems secure stable transfers of power, and what are the long-run consequences of failing to do so? This dissertation argues that the organization of succession is a fundamental determinant of both political stability and state development. Succession institutions matter in two ways. First, clear and impersonal rules reduce uncertainty by coordinating elite expectations over who should rule next. Second, they shape who competes for power in the first place—selecting for claimants with either limited capacity and incentives for rebellion or, alternatively, empowering rivals prone to contest the throne. Where succession institutions fail along these dimensions, transfers of power become focal points for violence, generating recurrent patterns of conflict that shape divergent paths of state development over the long run. The dissertation develops this argument across three chapters. The first examines how variation in succession rules shaped the likelihood of conflict in pre-modern monarchies. I argue that succession institutions differ along three key dimensions: whether successors are identified before or after a ruler’s death, whether succession follows a fixed, rule-based line (e.g., birth-order) or a discretionary process, and whether power transfers vertically across generations or laterally within them. The advanced identification of successors and fixed,</w:t>
      </w:r>
    </w:p>
    <w:p>
      <w:pPr/>
      <w:r>
        <w:rPr>
          <w:b/>
        </w:rPr>
        <w:t>POSSIBLE 2026:</w:t>
      </w:r>
      <w:r>
        <w:t xml:space="preserve"> Understanding Divergent Convergence: — https://doi.org/10.5195/jwsr.2026.1370</w:t>
      </w:r>
    </w:p>
    <w:p>
      <w:pPr/>
      <w:r>
        <w:rPr>
          <w:b/>
        </w:rPr>
        <w:t>Shared claim-specific concepts:</w:t>
      </w:r>
      <w:r>
        <w:t xml:space="preserve"> divergent, system, marked, within; EU scope not established. This is a provisional connection, not an outcome finding.</w:t>
      </w:r>
    </w:p>
    <w:p>
      <w:pPr>
        <w:pStyle w:val="SourceNote"/>
      </w:pPr>
      <w:r>
        <w:rPr>
          <w:b/>
        </w:rPr>
        <w:t>Available abstract (not full text):</w:t>
      </w:r>
      <w:r>
        <w:t xml:space="preserve"> The twenty-first century is marked by a profound transformation of the global capitalist system, characterized by simultaneous convergence between the Global North (GN) and the Global South (GS), alongside increasing divergence within the GS. At the center of this process, the Sino-Asian macro-regional formation has emerged as a new pole of accumulation, reshaping global hierarchies while deepening asymmetries within the GS. This article addresses three interrelated questions: how this transformation has unfolded, why Sino-Asia has become a dynamic center of the global system, and what explains the growing divergence within the GS. To do so, it advances a complementary multilevel framework integrating Arrighian World System Analysis (WSA), Latin American Structuralism (LAS), and Historical Institutionalism (HI). The analysis shows that Arrighian systemic cycles of accumulation—particularly the transition from financial to material phases—account for the conditions underlying the rise of Sino-Asia and a more dynamic GS, but are insufficient to explain intraregional divergence. Prebischian LAS addresses this limitation by highlighting the role of industrialization, technological upgrading, and regional integration in shaping differentiated development trajectories. Integrated within a systemic perspective, HI helps identify state capacity as the key mechanism enabling these proce</w:t>
      </w:r>
    </w:p>
    <w:p>
      <w:pPr/>
      <w:r>
        <w:rPr>
          <w:b/>
        </w:rPr>
        <w:t>POSSIBLE 2026:</w:t>
      </w:r>
      <w:r>
        <w:t xml:space="preserve"> Negotiating Post-Carbon Futures: Divergent Imaginaries in the Redevelopment of Ratcliffe-on Soar Power Station — https://openalex.org/W7163849930</w:t>
      </w:r>
    </w:p>
    <w:p>
      <w:pPr/>
      <w:r>
        <w:rPr>
          <w:b/>
        </w:rPr>
        <w:t>Shared claim-specific concepts:</w:t>
      </w:r>
      <w:r>
        <w:t xml:space="preserve"> first, divergent, power, within; EU scope not established. This is a provisional connection, not an outcome finding.</w:t>
      </w:r>
    </w:p>
    <w:p>
      <w:pPr>
        <w:pStyle w:val="SourceNote"/>
      </w:pPr>
      <w:r>
        <w:rPr>
          <w:b/>
        </w:rPr>
        <w:t>Available abstract (not full text):</w:t>
      </w:r>
      <w:r>
        <w:t xml:space="preserve"> The UK achieved the ambitious goal of becoming the first G7 country to phase out coal-firedelectricity, with its last power station, Ratcliffe-on-Soar closing in 2024. Ensuring thisgeneration of transitioning communities does not follow in the footsteps of ‘left behind’ UKex-mining villages for example, is imperative. This study investigates and compares theimaginaries of place leaders and locals in a region experiencing a post-carbon transition, froma critical realist perspective. The paper addresses the current gap in imaginaries literature tothoroughly engage with subjective theories such as sense of place and value judgments, as wellas understanding the implications of imaginaries on economic processes. A conceptualframework is built to extend Benners (2025) conceptualisation of imaginaries, by delineatingfour key dimensions: spatial, temporal, thematic and tonal. The framework is then applied tothe case study of the redevelopment of Ratcliffe-on-Soar power station in Nottinghamshire, tocompare the imaginaries of place leaders and locals, by conducting six semi-structuredinterviews and document analysis. The findings are then operationalised within an indexdeveloped in this paper, to quantitatively map out the orientation of actors’ imaginaries. Thestudy finds that the two groups diverged, to varying degrees, across all four dimensions ofimaginaries. Additionally, it identi</w:t>
      </w:r>
    </w:p>
    <w:p>
      <w:pPr/>
      <w:r>
        <w:rPr>
          <w:b/>
        </w:rPr>
        <w:t>POSSIBLE 2026:</w:t>
      </w:r>
      <w:r>
        <w:t xml:space="preserve"> Divergent Perceptions, Divergent Pay: Inflation and the Gender Wage Gap — https://doi.org/10.65864/sws4jidg0w</w:t>
      </w:r>
    </w:p>
    <w:p>
      <w:pPr/>
      <w:r>
        <w:rPr>
          <w:b/>
        </w:rPr>
        <w:t>Shared claim-specific concepts:</w:t>
      </w:r>
      <w:r>
        <w:t xml:space="preserve"> first, divergent, lead, within; EU scope not established. This is a provisional connection, not an outcome finding.</w:t>
      </w:r>
    </w:p>
    <w:p>
      <w:pPr>
        <w:pStyle w:val="SourceNote"/>
      </w:pPr>
      <w:r>
        <w:rPr>
          <w:b/>
        </w:rPr>
        <w:t>Available abstract (not full text):</w:t>
      </w:r>
      <w:r>
        <w:t xml:space="preserve"> Inflationary shocks do not affect all workers equally. Comparing men and women, we document two facts. First, both demand- and supply-driven inflationary shocks widen the gender wage gap within industries and occupations. Because these shocks imply opposite business-cycle conditions, their common effect points to inflation as the relevant force. Second, women and men perceive the same inflationary shocks as having different labor-market consequences: women expect conditions to worsen, while men expect them to improve. This asymmetry creates an expectations channel linking inflation to unequal wage growth. We formalize this channel in a New Keynesian search-and-matching model with male and female workers, imperfect information, and gender-specific ambiguity attitudes. Common macroeconomic signals lead ambiguity-averse women to place greater weight on adverse supply-driven states. For inflationary signals, this lowers their perceived outside options and wage demands relative to men's. Divergent perceptions translate common inflationary shocks into divergent pay.</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divergent, differences, climate;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DIVERGENT URBAN TRAJECTORIES IN CENTRAL AND EASTERN EUROPE: A COMPLEX TYPOLOGY OF SMALL TOWNS IN BULGARIA AND HUNGARY — https://doi.org/10.7546/pg.1-2.2026.01</w:t>
      </w:r>
    </w:p>
    <w:p>
      <w:pPr/>
      <w:r>
        <w:rPr>
          <w:b/>
        </w:rPr>
        <w:t>Shared claim-specific concepts:</w:t>
      </w:r>
      <w:r>
        <w:t xml:space="preserve"> set, divergent, within; EU scope visible. This is a provisional connection, not an outcome finding.</w:t>
      </w:r>
    </w:p>
    <w:p>
      <w:pPr>
        <w:pStyle w:val="SourceNote"/>
      </w:pPr>
      <w:r>
        <w:rPr>
          <w:b/>
        </w:rPr>
        <w:t>Available abstract (not full text):</w:t>
      </w:r>
      <w:r>
        <w:t xml:space="preserve"> The current study aims to develop a comparative typology of small towns in Bulgaria and Hungary in order to explore the spatial differentiation of their demographic, urbanistic, and socio-economic trajectories.A set of 21 indicators divided into 5 groups (demographic, urbanistic, infrastructural, socioeconomic, and administrative-functional) was used for classification.As a result, six clusters are identified by applying the Partitioning Around Medoids (PAM) clustering procedure.After determining the number of towns included in every cluster, a brief analysis was provided describing their strengths and weaknesses according to the mentioned indicators.The typology reveals substantial internal differentiation within both national contexts.Bulgarian towns form five clusters, including a unique outlier dominated by tourism-driven dynamics, while Hungarian towns are represented in all six clusters, with one cluster comprising exclusively Hungarian settlements.The findings demonstrate that small towns in Bulgaria</w:t>
      </w:r>
    </w:p>
    <w:p>
      <w:pPr/>
      <w:r>
        <w:rPr>
          <w:b/>
        </w:rPr>
        <w:t>POSSIBLE 2026:</w:t>
      </w:r>
      <w:r>
        <w:t xml:space="preserve"> Regularization of divergent integrals in complex geometry — https://doi.org/10.63959/chalmers.dt/5908</w:t>
      </w:r>
    </w:p>
    <w:p>
      <w:pPr/>
      <w:r>
        <w:rPr>
          <w:b/>
        </w:rPr>
        <w:t>Shared claim-specific concepts:</w:t>
      </w:r>
      <w:r>
        <w:t xml:space="preserve"> first, divergent, power, over, associated; EU scope not established. This is a provisional connection, not an outcome finding.</w:t>
      </w:r>
    </w:p>
    <w:p>
      <w:pPr>
        <w:pStyle w:val="SourceNote"/>
      </w:pPr>
      <w:r>
        <w:rPr>
          <w:b/>
        </w:rPr>
        <w:t>Available abstract (not full text):</w:t>
      </w:r>
      <w:r>
        <w:t xml:space="preserve"> A unifying theme of this thesis is the study of Archimedean zeta functions defined by complex-geometric data. Classically, Archimedean zeta functions over C are parameter-dependent integrals over a domain in Cn, where the parameter is a complex power of the modulus of a holomorphic function. We consider a global complex-geometric generalization in which the integration is over a complex manifold or reduced analytic space, and where the modulus of a holomorphic function is replaced by the norm of a holomorphic section of a vector bundle.The first two papers concern finite parts of divergent integrals on reduced complex analytic spaces. Given a singular differential form whose singularities are determined a holomorphic section of a vector bundle, a Hermitian metric induces a natural regularization of the divergent integral, giving rise to an Archimedean zeta function. A finite part of the divergent integral is defined as the constant term in the Laurent expansion of this zeta function about 0. Paper I establishes an explicit formula describing the dependence of the resulting finite part on the choice of Hermitian metric. Paper II develops a current calculus adapted to this setting and derives decomposition formulas that permit explicit computations of certain finite parts. We illustrate these formulas with a family of examples on projective space, where the resulting finite parts</w:t>
      </w:r>
    </w:p>
    <w:p>
      <w:pPr/>
      <w:r>
        <w:rPr>
          <w:b/>
        </w:rPr>
        <w:t>POSSIBLE 2026:</w:t>
      </w:r>
      <w:r>
        <w:t xml:space="preserve"> The Evolution of FTTH Networks in Europe and South Korea—Regulatory Power — https://doi.org/10.3390/telecom7030059</w:t>
      </w:r>
    </w:p>
    <w:p>
      <w:pPr/>
      <w:r>
        <w:rPr>
          <w:b/>
        </w:rPr>
        <w:t>Shared claim-specific concepts:</w:t>
      </w:r>
      <w:r>
        <w:t xml:space="preserve"> show, time, power, differences, over; EU scope visible. This is a provisional connection, not an outcome finding.</w:t>
      </w:r>
    </w:p>
    <w:p>
      <w:pPr>
        <w:pStyle w:val="SourceNote"/>
      </w:pPr>
      <w:r>
        <w:rPr>
          <w:b/>
        </w:rPr>
        <w:t>Available abstract (not full text):</w:t>
      </w:r>
      <w:r>
        <w:t xml:space="preserve"> Regulations of next-generation networks (NGNs) have played a central role in the transition from copper networks to broadband networks in Fiber to The Home (FTTH), also allowing for a reduction in asymmetries between incumbent operators and their competitors. Despite common European Union directives, telecom infrastructure development varies across countries due to differences in regulation, investment models, legacy networks, operators’ behavior, and public policies. This study analyzes the evolution of Very High-Capacity Networks (VHCNs), focusing on the implementation of FTTH in four European countries (Portugal, Spain, France, and Germany), and in South Korea. The latter was included as a benchmark in government-driven broadband development. The analysis considers key factors influencing FTTH development, including infrastructure regulation, fiber investment incentives, incumbent strategies, infrastructure sharing and co-investment, rural coverage plans, and demographic differences of each country. The results show that regulatory measures directly influence the pace of FTTH installation; but its effectiveness also depends on investment incentives, market competition, and demand factors. Portugal, Spain, and France have high FTTH coverage despite different regulatory and investment models. In contrast, Germany relied on xDSL over copper networks for a long time, causing sig</w:t>
      </w:r>
    </w:p>
    <w:p>
      <w:pPr/>
      <w:r>
        <w:rPr>
          <w:b/>
        </w:rPr>
        <w:t>POSSIBLE 2026:</w:t>
      </w:r>
      <w:r>
        <w:t xml:space="preserve"> Behaviour of K. pneumoniae|Carbapenems in Several European Countries According to Clustering Time-Series Health Data with Generalised Affinity Coefficient — https://doi.org/10.3390/antibiotics15090895</w:t>
      </w:r>
    </w:p>
    <w:p>
      <w:pPr/>
      <w:r>
        <w:rPr>
          <w:b/>
        </w:rPr>
        <w:t>Shared claim-specific concepts:</w:t>
      </w:r>
      <w:r>
        <w:t xml:space="preserve"> first, time, over; EU scope visible. This is a provisional connection, not an outcome finding.</w:t>
      </w:r>
    </w:p>
    <w:p>
      <w:pPr>
        <w:pStyle w:val="SourceNote"/>
      </w:pPr>
      <w:r>
        <w:rPr>
          <w:b/>
        </w:rPr>
        <w:t>Available abstract (not full text):</w:t>
      </w:r>
      <w:r>
        <w:t xml:space="preserve"> Background/Objectives: Antimicrobial resistance (AMR) constitutes a major public health and economic burden in contemporary society. This work aims to identify the patterns and temporal trends of Klebsiella pneumoniae resistance to carbapenems across several European countries. Methods: Data on K. pneumoniae resistance to carbapenems in several countries from 2005 to 2021 (with data available up to 2023) were retrieved from the public ECDC website in 2023. Agglomerative Hierarchical Cluster Analysis (HCA), based on the new generalised affinity coefficient, was applied to the estimated ARIMA models. Results: The dendrogram at the cut-off presented four clusters: the first cluster with Slovenia, Luxembourg, Italy and Estonia; the second cluster with Romania, Malta, Greece, Portugal and Spain; the third cluster Denmark, France and Czechia; and finally the fourth cluster with Lithuania, Cyprus, Finland, Austria, Belgium and Slovakia. Although the resistance values showed an increasing trend over the years in clusters II and III, the increase was more pronounced in cluster II. Conclusions: The application of data analysis, for the first time, using HCA based on a new similarity coefficient, namely, the generalised affinity coefficient, enables the evaluation of time-series patterns in different regions and enables the identification of clusters of countries showing similar temporal </w:t>
      </w:r>
    </w:p>
    <w:p>
      <w:pPr/>
      <w:r>
        <w:rPr>
          <w:b/>
        </w:rPr>
        <w:t>POSSIBLE 2026:</w:t>
      </w:r>
      <w:r>
        <w:t xml:space="preserve"> Four Case Studies in Comparison and Analogy: Political and Religious Culture, Conversion, Genealogy, and Time in Latin Europe and Medieval Japan — https://doi.org/10.3390/rel17101120</w:t>
      </w:r>
    </w:p>
    <w:p>
      <w:pPr/>
      <w:r>
        <w:rPr>
          <w:b/>
        </w:rPr>
        <w:t>Shared claim-specific concepts:</w:t>
      </w:r>
      <w:r>
        <w:t xml:space="preserve"> show, first, time, marked, within, any; EU scope visible. This is a provisional connection, not an outcome finding.</w:t>
      </w:r>
    </w:p>
    <w:p>
      <w:pPr>
        <w:pStyle w:val="SourceNote"/>
      </w:pPr>
      <w:r>
        <w:rPr>
          <w:b/>
        </w:rPr>
        <w:t>Available abstract (not full text):</w:t>
      </w:r>
      <w:r>
        <w:t xml:space="preserve"> Our article follows two related objectives. We, first, reconsider the relationship between religion and politics by eschewing the uniform modern State–Church model and questioning its Eurocentric tenets. To do so, we focus on the Middle Ages and pair our decentring perspective with a comparison between Latin Europe in the 9th to 13th centuries and medieval Japan from the late Heian period to the Kamakura and early Muromachi eras (10th to 14th centuries). While comparisons between medieval Japan and Western Europe are well established, we propose, furthermore, to reassess them in light of a comparative approach that is informed less by affinities than by analogies following the pioneering work of the British anthropologist Marilyn Strathern. In our case, we examine the analogy between the conceptual pairs, regnum vs. sacerdotium and ōbō vs. buppō, i.e., imperial vs. Buddhist law. We operationalise in particular Strathern’s strategy of negation, i.e., the productive acknowledgement that some cultural traits cannot truly be present in another culture. Starting with affinities and moving towards analogies, we show, first, that European as well as Japanese binaries admit declensions that extend to the hostile subordination or even violent rejection of one of the terms. Both traditions, for instance, justified armed violence in defence of the sacred, whether through the conversion of</w:t>
      </w:r>
    </w:p>
    <w:p>
      <w:pPr/>
      <w:r>
        <w:rPr>
          <w:b/>
        </w:rPr>
        <w:t>POSSIBLE 2026:</w:t>
      </w:r>
      <w:r>
        <w:t xml:space="preserve"> It’s time for Europe. The first Prodi government and the path toward the euro (1996–98) — https://doi.org/10.1080/1354571x.2026.2616128</w:t>
      </w:r>
    </w:p>
    <w:p>
      <w:pPr/>
      <w:r>
        <w:rPr>
          <w:b/>
        </w:rPr>
        <w:t>Shared claim-specific concepts:</w:t>
      </w:r>
      <w:r>
        <w:t xml:space="preserve"> first, time, over, within; EU scope visible. This is a provisional connection, not an outcome finding.</w:t>
      </w:r>
    </w:p>
    <w:p>
      <w:pPr>
        <w:pStyle w:val="SourceNote"/>
      </w:pPr>
      <w:r>
        <w:rPr>
          <w:b/>
        </w:rPr>
        <w:t>Available abstract (not full text):</w:t>
      </w:r>
      <w:r>
        <w:t xml:space="preserve"> This article reconstructs the trajectory through which the first Prodi government (1996–1998) succeeded in bringing Italy back to the core of European integration after years of political marginalization, financial instability, and diplomatic isolation. Drawing on extensive archival material, it analyzes the dual challenge faced by Prodi: regaining the trust of European partners and restoring domestic credibility after the turbulent Berlusconi and Dini governments. The chapter examines the strategic centrality of Europe within the Olive Tree coalition’s platform, the role of key technocrats such as Ciampi and Dini, and the intense diplomatic efforts undertaken between 1996 and 1998. Particular attention is devoted to the negotiations over the Maastricht parameters, the struggle to meet convergence criteria, and the creation of the ‘Group of Four’, which coordinated Italy’s final push toward E.M.U. membership. Ultimately, the article shows how political determination, fiscal consolidation, and diplomatic activism enabled Italy to join the founding group of countries adopting the euro.</w:t>
      </w:r>
    </w:p>
    <w:p>
      <w:pPr/>
      <w:r>
        <w:rPr>
          <w:b/>
        </w:rPr>
        <w:t>POSSIBLE 2026:</w:t>
      </w:r>
      <w:r>
        <w:t xml:space="preserve"> "An ogre at our doorstep": Can the Russian threat unite Europe? — https://doi.org/10.5937/pr87-64658</w:t>
      </w:r>
    </w:p>
    <w:p>
      <w:pPr/>
      <w:r>
        <w:rPr>
          <w:b/>
        </w:rPr>
        <w:t>Shared claim-specific concepts:</w:t>
      </w:r>
      <w:r>
        <w:t xml:space="preserve"> first, time, divergent, power, balance, over; EU scope visible. This is a provisional connection, not an outcome finding.</w:t>
      </w:r>
    </w:p>
    <w:p>
      <w:pPr>
        <w:pStyle w:val="SourceNote"/>
      </w:pPr>
      <w:r>
        <w:rPr>
          <w:b/>
        </w:rPr>
        <w:t>Available abstract (not full text):</w:t>
      </w:r>
      <w:r>
        <w:t xml:space="preserve"> This paper examines whether the perception of a Russian threat can serve as a unifying force for the European Union (EU) in the field of security and defense. Triggered by Russia's invasion of Ukraine, European political discourse has increasingly framed Moscow as an aggressive and expansionist power posing a continental-scale danger. This narrative, vividly articulated by French President Emmanuel Macron's depiction of Russia as an "ogre at Europe's doorstep," has been used to justify accelerated militarization, deeper defense integration, and renewed calls for European strategic autonomy independent of the United States. The paper critically reassesses these assumptions. The central argument is that emphasizing the Russian threat is insufficient to generate a cohesive and unified European defense policy. The analysis proceeds along two main lines. First, it questions the credibility of portraying Russia as an existential threat to the entire European security architecture. Second, it demonstrates that Russia's actions do not generate uniform levels of concern across EU member states due to divergent threat perceptions and particular interests. The theoretical framework is grounded in realism, primarily Stephen Walt's theory of the balance of threat and Randall Schweller's theory of the balance of interests. The balance of threat approach highlights that states respond not sim</w:t>
      </w:r>
    </w:p>
    <w:p>
      <w:pPr>
        <w:pStyle w:val="Heading2"/>
      </w:pPr>
      <w:r>
        <w:t>696. Recycling of European plastic is a pathway for plastic debris in the ocean</w:t>
      </w:r>
    </w:p>
    <w:p>
      <w:pPr>
        <w:pStyle w:val="SourceNote"/>
      </w:pPr>
      <w:r>
        <w:rPr>
          <w:b/>
        </w:rPr>
        <w:t>Original source (2020):</w:t>
      </w:r>
      <w:r>
        <w:t xml:space="preserve"> https://doi.org/10.1016/j.envint.2020.105893</w:t>
      </w:r>
    </w:p>
    <w:p>
      <w:pPr/>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pPr/>
      <w:r>
        <w:rPr>
          <w:b/>
        </w:rPr>
        <w:t>POSSIBLE 2026:</w:t>
      </w:r>
      <w:r>
        <w:t xml:space="preserve"> Cash Flow Associations of European Investment Funds in Times of High Uncertainty — https://doi.org/10.5709/ce.1897-9254.593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This study explores the associations between cash flows among various types of investment funds in Europe from 2020 to 2022, a period marked by unprecedented economic and geopolitical uncertainty due to the COVID-19 pandemic, the Russian invasion of Ukraine, as well as rising interest rates and inflation. Using the Apriori algorithm, a data mining technique typically applied in marketing research, we analyze fund-level net sales data across 28 European countries to identify patterns in investor behavior. The results indicate that investors did not systematically shift capital from equity funds to bond or money market funds during periods of heightened market volatility, challenging the traditional flight-to-safety hypothesis. Instead, fund cash flows showed a tendency for concurrent purchases and sales across different fund types, suggesting that portfolio adjustments were driven by broader investment strategies rather than short-term risk aversion. The most frequent association observed was between equity UCITS and multi-asset UCITS, with positive net sales in both fund types occurring in over 52% of cases. The findings have important implications for fund managers and policymakers seeking to anticipate investor behavior, manage liquidity risks, and design investment products that align with investor preferences during periods of financial instability.</w:t>
      </w:r>
    </w:p>
    <w:p>
      <w:pPr/>
      <w:r>
        <w:rPr>
          <w:b/>
        </w:rPr>
        <w:t>POSSIBLE 2026:</w:t>
      </w:r>
      <w:r>
        <w:t xml:space="preserve"> Does Economic Policy Uncertainty Influence ESG Performance? Evidence from European Banking Sector — https://doi.org/10.5539/ijbm.v21n5p163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The purpose of this paper is to investigate the impact of economic policy uncertainty (EPU) on environmental, social and governance (ESG) performance in the European banking sector and then to investigate the moderating influence of board gender diversity (BGD) on this relationship. We analyzed a sample of 113 European Union banks for the period 2016-2024 and we developed an econometric model applying a dynamic panel data regression analysis (generalized Method of Moments – GMM System) on 1,017 bank-year observations. To test research hypotheses, we considered BGD in terms of female participation on the board of directors and we measured ESG dimensions by using the ESG score provided by LSEG Refinitiv. The results highlight that EPU affects the ESG performance of European banks and specifically, demonstrate that EPU reduces the overall ESG score. EPU also declines governance and environmental engagements but enhances the social activities to dampen uncertainty during periods of high EPU. This study also suggests that the presence of women on board mitigate these negative effects since the influence of EPU on overall ESG performance is positive in this circumstance. The investigation is highly relevant for regulators, policymakers, potential investors, managers and other stakeholders who are interested in improving the ESG performance of banks under different uncertainties. In t</w:t>
      </w:r>
    </w:p>
    <w:p>
      <w:pPr/>
      <w:r>
        <w:rPr>
          <w:b/>
        </w:rPr>
        <w:t>POSSIBLE 2026:</w:t>
      </w:r>
      <w:r>
        <w:t xml:space="preserve"> Dealing with and communicating data uncertainties in agricultural remote sensing: a comprehensive approach — https://doi.org/10.1016/j.rsase.2026.102202</w:t>
      </w:r>
    </w:p>
    <w:p>
      <w:pPr/>
      <w:r>
        <w:rPr>
          <w:b/>
        </w:rPr>
        <w:t>Shared claim-specific concepts:</w:t>
      </w:r>
      <w:r>
        <w:t xml:space="preserve"> data, uncertainty, high, factors; EU scope visible. This is a provisional connection, not an outcome finding.</w:t>
      </w:r>
    </w:p>
    <w:p>
      <w:pPr>
        <w:pStyle w:val="SourceNote"/>
      </w:pPr>
      <w:r>
        <w:rPr>
          <w:b/>
        </w:rPr>
        <w:t>Available abstract (not full text):</w:t>
      </w:r>
      <w:r>
        <w:t xml:space="preserve"> The European Space Agency's (ESA) Copernicus program has provided free access to satellite remote sensing data, making it an attractive option for public institutions. Government institutions are currently evaluating and identifying use cases for satellite imagery. Agricultural administration stands to benefit particularly, with the potential uses being substantial, especially in this area. This is primarily driven by two factors: (1) legal requirements within the framework of the Common Agricultural Policy (CAP), and (2) the substantial proportion of agricultural land within the total land cover in a mid-European study area. In the domain of agriculture and environmental discourse, there are a variety of applications for agricultural remote sensing in the context of providing a database for decision makers within the agricultural administration. The administration's activities are connected with the careful handling of the created geodata products, depending on the data requirements and the uncertainties inherent in the products as a result of the creation process. Government institutions have high accuracy requirements for the products they use to make decisions. In this regard, this thesis examines the factors that influence the informative value of agricultural remote sensing products and proposes possible solutions in understanding and communicating data uncertainties. Thi</w:t>
      </w:r>
    </w:p>
    <w:p>
      <w:pPr/>
      <w:r>
        <w:rPr>
          <w:b/>
        </w:rPr>
        <w:t>POSSIBLE 2026:</w:t>
      </w:r>
      <w:r>
        <w:t xml:space="preserve"> High-resolution European soil property maps leveraging foundation-model Earth observation embeddings — https://doi.org/10.5194/egusphere-egu26-18609</w:t>
      </w:r>
    </w:p>
    <w:p>
      <w:pPr/>
      <w:r>
        <w:rPr>
          <w:b/>
        </w:rPr>
        <w:t>Shared claim-specific concepts:</w:t>
      </w:r>
      <w:r>
        <w:t xml:space="preserve"> data, uncertainty, three, high; EU scope visible. This is a provisional connection, not an outcome finding.</w:t>
      </w:r>
    </w:p>
    <w:p>
      <w:pPr>
        <w:pStyle w:val="SourceNote"/>
      </w:pPr>
      <w:r>
        <w:rPr>
          <w:b/>
        </w:rPr>
        <w:t>Available abstract (not full text):</w:t>
      </w:r>
      <w:r>
        <w:t xml:space="preserve"> High-resolution soil property maps (SPMs) are of high relevance on multiple spatial scales. At field-scale, highly resolved knowledge of soil properties can inform soil management zone delineation for precision agriculture applications like irrigation, fertilisation or compaction risk management. On regional to national scales, high-resolution SPMs can aid in formulating soil policy with accurate baselines and realistic improvement goals. They may assist in soil unit definition, aiding in the balancing act between scientific precision and geographic cohesion, i.e. administrative effectiveness. On a continental, European scale, these SPMs can inform on the adequacy of Soil Monitoring Law implementation and can increase the representativity of continental soil sampling campaigns.Contributing to this effort, we produced 10 m-resolution maps of soil pH, bulk density, coarse fragments, and texture (sand, silt, clay). This represents a large increase in spatial resolution compared to previously published maps, whose cells cover at least 250 x 250 m. We generated our maps by training shallow property-specific artificial neural networks (ANNs) on soil sample data across the EU-27 + the United Kingdom. We used soil data from the Land Use/Coverage Area frame statistical Survey (LUCAS): texture and coarse fragments data from the 2009 campaign, and pH and bulk density data from 2018. Inste</w:t>
      </w:r>
    </w:p>
    <w:p>
      <w:pPr/>
      <w:r>
        <w:rPr>
          <w:b/>
        </w:rPr>
        <w:t>POSSIBLE 2026:</w:t>
      </w:r>
      <w:r>
        <w:t xml:space="preserve"> Mapping the waste network and data uncertainties: a detailed examination of textile waste data in the Czech Republic — https://doi.org/10.1007/s10098-026-03563-z</w:t>
      </w:r>
    </w:p>
    <w:p>
      <w:pPr/>
      <w:r>
        <w:rPr>
          <w:b/>
        </w:rPr>
        <w:t>Shared claim-specific concepts:</w:t>
      </w:r>
      <w:r>
        <w:t xml:space="preserve"> data, high, material; EU scope visible. This is a provisional connection, not an outcome finding.</w:t>
      </w:r>
    </w:p>
    <w:p>
      <w:pPr>
        <w:pStyle w:val="SourceNote"/>
      </w:pPr>
      <w:r>
        <w:rPr>
          <w:b/>
        </w:rPr>
        <w:t>Available abstract (not full text):</w:t>
      </w:r>
      <w:r>
        <w:t xml:space="preserve"> The European Union mandate for separate textile waste collection necessitates the development of robust infrastructural and processing frameworks to advance circular economy objectives. Strategic planning for this systemic transition inherently relies on rigorous baseline analyses. To support these analytical demands, current monitoring mechanisms are undergoing systematic refinement through the aggregation of operational data from producers and waste management entities. Although these aggregated datasets are routinely utilized for strategic planning, the fundamental structural integrity of the data, specifically their adherence to basic logical constraints and topological relationships, is rarely subjected to rigorous evaluation. To address this methodological gap, the present study introduces a unified indicator designed to objectively quantify the reporting error rate within waste management monitoring systems. The proposed metric is subsequently validated through a detailed case study focussing on textile waste flows in the Czech Republic. The application of the unified indicator quantifies the overall systemic reporting error at 19.7%. The most significant discrepancies occur during transport, directly impacting the accuracy of final waste treatment reporting. Beyond the diagnostics of reporting fidelity, the underlying material flow analysis demonstrates that 39% of text</w:t>
      </w:r>
    </w:p>
    <w:p>
      <w:pPr/>
      <w:r>
        <w:rPr>
          <w:b/>
        </w:rPr>
        <w:t>POSSIBLE 2026:</w:t>
      </w:r>
      <w:r>
        <w:t xml:space="preserve"> Assessing the impact of data uncertainty on remote sensing estimation of plant functional diversity — https://doi.org/10.64898/2026.09.21.753123</w:t>
      </w:r>
    </w:p>
    <w:p>
      <w:pPr/>
      <w:r>
        <w:rPr>
          <w:b/>
        </w:rPr>
        <w:t>Shared claim-specific concepts:</w:t>
      </w:r>
      <w:r>
        <w:t xml:space="preserve"> data, uncertainty, three, factors, different; EU scope not established. This is a provisional connection, not an outcome finding.</w:t>
      </w:r>
    </w:p>
    <w:p>
      <w:pPr>
        <w:pStyle w:val="SourceNote"/>
      </w:pPr>
      <w:r>
        <w:rPr>
          <w:b/>
        </w:rPr>
        <w:t>Available abstract (not full text):</w:t>
      </w:r>
      <w:r>
        <w:t xml:space="preserve"> ABSTRACT Remote sensing mapping of plant functional diversity (PFD) is increasingly used at the science-policy interface. Yet assessments of uncertainty and quality standards for these products are seldom provided, as the impact of measurement uncertainty on PFD estimates, i.e., the variability across pixels, is still poorly understood. We use trait maps and hyperspectral imagery simulations from the Biodiversity Observing System Simulation Experiment (BOSSE) to assess the impact of different types of uncertainty on the estimation PFD. Results show that uncertainties stemming from random errors affect the estimation of PFD (up to three times) more than those arising from systematic errors, with spectral and spatial error correlation reducing their impact. Standardization computing PFD metrics reduces systematic errors, making in-situ-measured plant traits and remote sensing reflectance factors more robust estimators of PFD than other remote sensing proxies derived from reflectance (e.g., spectral indices or optical traits). The impact of uncertainty propagation from reflectance factors to these often-preferred secondary proxies increases with their complexity. Nonetheless, trait uncertainty can spuriously diminish differences between PFD derived from the ground (plant traits) and satellite imagery, as it can reduce uncertainty-induced or inherent biases between the PFD metrics </w:t>
      </w:r>
    </w:p>
    <w:p>
      <w:pPr/>
      <w:r>
        <w:rPr>
          <w:b/>
        </w:rPr>
        <w:t>POSSIBLE 2026:</w:t>
      </w:r>
      <w:r>
        <w:t xml:space="preserve"> Robust multiplier data envelopment analysis under data uncertainty: Correlated budgeted and order statistics models — https://doi.org/10.1016/j.ejor.2026.03.013</w:t>
      </w:r>
    </w:p>
    <w:p>
      <w:pPr/>
      <w:r>
        <w:rPr>
          <w:b/>
        </w:rPr>
        <w:t>Shared claim-specific concepts:</w:t>
      </w:r>
      <w:r>
        <w:t xml:space="preserve"> data, uncertainty, efficiency; EU scope not established. This is a provisional connection, not an outcome finding.</w:t>
      </w:r>
    </w:p>
    <w:p>
      <w:pPr>
        <w:pStyle w:val="SourceNote"/>
      </w:pPr>
      <w:r>
        <w:rPr>
          <w:b/>
        </w:rPr>
        <w:t>Available abstract (not full text):</w:t>
      </w:r>
      <w:r>
        <w:t xml:space="preserve"> In engineering and management, multiplier Data Envelopment Analysis (DEA) models provide decision-makers with a foundational and interpretable framework by defining efficiency as the ratio of weighted outputs to weighted inputs. However, the pervasive presence of data uncertainty across applications is often overlooked, compromising the robustness of the results. This paper builds on the widely adopted budgeted uncertainty model in robust optimisation to develop two novel robust multiplier-based DEA models: one that incorporates correlated budgeted uncertainty to account for dependencies among uncertain variables, and another that employs order statistics to capture distribution-based risk scenarios. The proposed models are examined through both theoretical analysis and computational experiments using real and simulated datasets. The results demonstrate that the correlated model strikes an effective balance between robustness and computational efficiency, whereas the order statistics model enhances reliability by explicitly capturing distributional characteristics of the uncertain data. Together, these models are complementary, with the correlated budgeted model suited to large-scale or routine evaluations, and the order statistics model preferable when resilience under extreme uncertainty is the priority. This study provides decision-makers with practical guidance for selectin</w:t>
      </w:r>
    </w:p>
    <w:p>
      <w:pPr/>
      <w:r>
        <w:rPr>
          <w:b/>
        </w:rPr>
        <w:t>POSSIBLE 2026:</w:t>
      </w:r>
      <w:r>
        <w:t xml:space="preserve"> Life cycle assessment of chemicals: data generation and uncertainty — https://doi.org/10.1007/s00706-026-03527-5</w:t>
      </w:r>
    </w:p>
    <w:p>
      <w:pPr/>
      <w:r>
        <w:rPr>
          <w:b/>
        </w:rPr>
        <w:t>Shared claim-specific concepts:</w:t>
      </w:r>
      <w:r>
        <w:t xml:space="preserve"> data, uncertainty, different; EU scope not established. This is a provisional connection, not an outcome finding.</w:t>
      </w:r>
    </w:p>
    <w:p>
      <w:pPr>
        <w:pStyle w:val="SourceNote"/>
      </w:pPr>
      <w:r>
        <w:rPr>
          <w:b/>
        </w:rPr>
        <w:t>Available abstract (not full text):</w:t>
      </w:r>
      <w:r>
        <w:t xml:space="preserve"> Chemicals play an important role in many products and industries, but there is a lack of data on the production processes and environmental impacts of the different types of chemicals. Based on this problem, this paper presents a review of methods for the generation of life cycle inventory data and life cycle impact assessment results for chemicals not yet included in life cycle assessment databases. 31 methods in peer-reviewed papers, mainly from 2012 to 2021, were evaluated and methodologies on how to gain the data were identified and clustered. The identified subcategories include knowledge engineering and data mining, process simulation, predictive LCA using machine learning, and multivariate statistics as well as the identification of chemicals for special purposes using computer-aided molecular design. The areas and literature were summarized by application and according to advantages or disadvantages of the methods. Additionally, the possibilities of including model and data uncertainties were discussed and open science aspects of software and programming code were evaluated, as these provide a good basis for other researchers to further expand the solutions developed.</w:t>
      </w:r>
    </w:p>
    <w:p>
      <w:pPr/>
      <w:r>
        <w:rPr>
          <w:b/>
        </w:rPr>
        <w:t>POSSIBLE 2026:</w:t>
      </w:r>
      <w:r>
        <w:t xml:space="preserve"> 3D Glacial Isostatic Adjustment along the deglacial forebulge of the Atlantic coasts of North America and Europe — https://doi.org/10.5194/egusphere-egu26-15680</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The deglacial forebulge along the Atlantic coasts of North America and Europe has been a key area for glacial isostatic adjustment (GIA) studies. Relative sea level (RSL) changes in this region are highly sensitive to the 3D Earth structure, and the area hosts abundant RSL data that can help constrain the 3D Earth structure. However, many previous studies either relied primarily on 1D Earth models or adopted 3D structures without systematically exploring the magnitude of lateral heterogeneity or the uncertainty associated with deglacial ice histories. Here, we use the latest standardized deglacial RSL databases from the Atlantic coasts of North America and Europe for comparison with 3D GIA models coupled with two widely used ice models, ICE-6G_C and ANU-ICE. Our 3D Earth model consists of a 1D background viscosity model (ηo) and lateral viscosity variations; the latter are derived from shear velocity anomalies in a seismic tomography model and scaled by a factor (β) denoting the magnitude of lateral heterogeneity. We explore a range of ηo and β to assess the sensitivity of RSL predictions to both the background viscosity and the magnitude of lateral heterogeneity. The RSL databases include sea-level index points and limiting data, which we further classify by depositional setting (base of basal, basal, intercalated). We compare the RSL data to the GIA model predictions using a </w:t>
      </w:r>
    </w:p>
    <w:p>
      <w:pPr/>
      <w:r>
        <w:rPr>
          <w:b/>
        </w:rPr>
        <w:t>POSSIBLE 2026:</w:t>
      </w:r>
      <w:r>
        <w:t xml:space="preserve"> How Data Uncertainty Influences Estimates of Root Zone Water Storage Capacity — https://doi.org/10.1029/2025wr042672</w:t>
      </w:r>
    </w:p>
    <w:p>
      <w:pPr/>
      <w:r>
        <w:rPr>
          <w:b/>
        </w:rPr>
        <w:t>Shared claim-specific concepts:</w:t>
      </w:r>
      <w:r>
        <w:t xml:space="preserve"> data, uncertainty, high, different; EU scope not established. This is a provisional connection, not an outcome finding.</w:t>
      </w:r>
    </w:p>
    <w:p>
      <w:pPr>
        <w:pStyle w:val="SourceNote"/>
      </w:pPr>
      <w:r>
        <w:rPr>
          <w:b/>
        </w:rPr>
        <w:t>Available abstract (not full text):</w:t>
      </w:r>
      <w:r>
        <w:t xml:space="preserve"> Abstract Root zone water storage capacity () sets the lower limit on the water available to plants and is critical for modeling terrestrial water and carbon fluxes. Due to subsurface heterogeneity in soils, roots, and geology, in‐situ measurements of are infeasible at regional to global scales. Instead, is often estimated using a water balance approach—calculating the difference between precipitation and evapotranspiration to approximate water deficits. This method can be applied using diverse data sets, including those from eddy covariance, satellite remote sensing, reanalysis, and land surface model outputs. However, each data product contains its own uncertainties, and the influence of data set choice on estimates has not been quantified. In this study, we assess the uncertainty in estimates across 90 FLUXNET sites in the continental United States with at least 5 years of data, comparing results from six different precipitation and evapotranspiration data sets. We find substantial variation in estimates across data sets, sites, and land cover types, with particularly high uncertainty for values exceeding 500 mm. Much of this uncertainty can be attributed to differences among evapotranspiration products rather than random errors. Our analysis shows that single data set approaches to quantifying underestimate the variability that emerges when multiple data sets are considered,</w:t>
      </w:r>
    </w:p>
    <w:p>
      <w:pPr/>
      <w:r>
        <w:rPr>
          <w:b/>
        </w:rPr>
        <w:t>POSSIBLE 2026:</w:t>
      </w:r>
      <w:r>
        <w:t xml:space="preserve"> Economic Policy Uncertainty and Income Inequality Across Europe — https://openalex.org/W7128567058</w:t>
      </w:r>
    </w:p>
    <w:p>
      <w:pPr/>
      <w:r>
        <w:rPr>
          <w:b/>
        </w:rPr>
        <w:t>Shared claim-specific concepts:</w:t>
      </w:r>
      <w:r>
        <w:t xml:space="preserve"> data, uncertainty, three; EU scope visible. This is a provisional connection, not an outcome finding.</w:t>
      </w:r>
    </w:p>
    <w:p>
      <w:pPr>
        <w:pStyle w:val="SourceNote"/>
      </w:pPr>
      <w:r>
        <w:rPr>
          <w:b/>
        </w:rPr>
        <w:t>Available abstract (not full text):</w:t>
      </w:r>
      <w:r>
        <w:t xml:space="preserve"> This paper investigates the impact of Economic Policy Uncertainty (EPU) on income inequality across a broad set of European countries from 1995 to 2022, with a particular focus on the core-periphery divide.Applying both time series and panel data methodologies-including Vector Autoregressions (VAR), panel VAR, and local projections-we assess how economic uncertainty influences inequality dynamics.Our findings reveal three key insights.First, uncertainty shocks significantly affect income inequality in nearly all countries, and the effect is time-varying.Second, the effect is heterogenous across countries but varies: uncertainty tends to reduce inequality in core European countries such as Belgium, Germany, Ireland, and the Netherlands, while mainly increasing it in periphery and intermediate countries like France, Greece, Italy, and Spain.Third, panel analysis confirms this asymmetry, showing more persistent and positive inequality effects in periphery countries.These results suggest that income inequality in Europe's periphery is more vulnerable to economic uncertainty, underscoring the importance of stable policy environments and targeted fiscal responses.</w:t>
      </w:r>
    </w:p>
    <w:p>
      <w:pPr/>
      <w:r>
        <w:rPr>
          <w:b/>
        </w:rPr>
        <w:t>POSSIBLE 2026:</w:t>
      </w:r>
      <w:r>
        <w:t xml:space="preserve"> High-resolution European soil property maps based on LUCAS and AlphaEarth Foundations satellite embeddings — https://doi.org/10.5281/zenodo.18184831</w:t>
      </w:r>
    </w:p>
    <w:p>
      <w:pPr/>
      <w:r>
        <w:rPr>
          <w:b/>
        </w:rPr>
        <w:t>Shared claim-specific concepts:</w:t>
      </w:r>
      <w:r>
        <w:t xml:space="preserve"> data, uncertainty, three; EU scope visible. This is a provisional connection, not an outcome finding.</w:t>
      </w:r>
    </w:p>
    <w:p>
      <w:pPr>
        <w:pStyle w:val="SourceNote"/>
      </w:pPr>
      <w:r>
        <w:rPr>
          <w:b/>
        </w:rPr>
        <w:t>Available abstract (not full text):</w:t>
      </w:r>
      <w:r>
        <w:t xml:space="preserve"> General Information The dataset can be found under this link: https://igeocloud.boku.ac.at/index.php/s/9KQqb8pxPrArTta It includes maps of soil texture (sand, silt, clay), coarse fragments, pH and bulk density. The values represent the 0-20 cm depth level of soil. Additionally, model uncertainty maps for each soil property are available. Spatially, the maps cover the surface area of all 27 EU member states, as well as the United Kingdom with a spatial resolution of 10 metres. Temporally, they were made with covariates from 2018, based on LUCAS soil sample data from 2009 (texture + coarse) or 2018 (pH + bulk density). Description of the data in the dataset For each included soil property, we provide the property map as well as the uncertainty map as cloud-optimized GeoTiff (COG) files. Each soil property folder includes one COG for each of the 122 tiles that cover Europe (see Fig. 3 of the paper). The projection is always WGS84 (EPSG:4326). In each tile of the bulk density, pH and coarse maps, the first band of the GeoTiff contains the soil property values, while the second band, called "uncertainty", contains the model uncertainty estimation of the soil property values. In the case of soil texture files, the sand, silt and clay values are the first three bands, while their respective uncertainty estimates are bands four through six. Before using the soil property maps, the prop</w:t>
      </w:r>
    </w:p>
    <w:p>
      <w:pPr>
        <w:pStyle w:val="Heading2"/>
      </w:pPr>
      <w:r>
        <w:t>697. Renewables in the European power system and the impact on system rotational inertia</w:t>
      </w:r>
    </w:p>
    <w:p>
      <w:pPr>
        <w:pStyle w:val="SourceNote"/>
      </w:pPr>
      <w:r>
        <w:rPr>
          <w:b/>
        </w:rPr>
        <w:t>Original source (2020):</w:t>
      </w:r>
      <w:r>
        <w:t xml:space="preserve"> https://doi.org/10.1016/j.energy.2020.117776</w:t>
      </w:r>
    </w:p>
    <w:p>
      <w:pPr/>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POSSIBLE 2026:</w:t>
      </w:r>
      <w:r>
        <w:t xml:space="preserve"> ETS Price Signal in the Power Sector: Evidence on Decarbonisation and Policy Overlap — https://doi.org/10.32388/iogu7j</w:t>
      </w:r>
    </w:p>
    <w:p>
      <w:pPr/>
      <w:r>
        <w:rPr>
          <w:b/>
        </w:rPr>
        <w:t>Shared claim-specific concepts:</w:t>
      </w:r>
      <w:r>
        <w:t xml:space="preserve"> divergent, decarbonisation, renewable, carbon; EU scope visible. This is a provisional connection, not an outcome finding.</w:t>
      </w:r>
    </w:p>
    <w:p>
      <w:pPr>
        <w:pStyle w:val="SourceNote"/>
      </w:pPr>
      <w:r>
        <w:rPr>
          <w:b/>
        </w:rPr>
        <w:t>Available abstract (not full text):</w:t>
      </w:r>
      <w:r>
        <w:t xml:space="preserve">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two, decarbonisation, carbon;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2026:</w:t>
      </w:r>
      <w:r>
        <w:t xml:space="preserve"> Decarbonisation of Kazakhstan's Economy: From Climate Goals to Practical Outcomes — https://doi.org/10.52821/2789-4401-2026-3-7-27</w:t>
      </w:r>
    </w:p>
    <w:p>
      <w:pPr/>
      <w:r>
        <w:rPr>
          <w:b/>
        </w:rPr>
        <w:t>Shared claim-specific concepts:</w:t>
      </w:r>
      <w:r>
        <w:t xml:space="preserve"> decarbonisation, findings, carbon; EU scope not established. This is a provisional connection, not an outcome finding.</w:t>
      </w:r>
    </w:p>
    <w:p>
      <w:pPr>
        <w:pStyle w:val="SourceNote"/>
      </w:pPr>
      <w:r>
        <w:rPr>
          <w:b/>
        </w:rPr>
        <w:t>Available abstract (not full text):</w:t>
      </w:r>
      <w:r>
        <w:t xml:space="preserve">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pPr/>
      <w:r>
        <w:rPr>
          <w:b/>
        </w:rPr>
        <w:t>POSSIBLE 2026:</w:t>
      </w:r>
      <w:r>
        <w:t xml:space="preserve"> A Global Benchmark of the Vector-Based Routing Model MizuRoute: Similarities and Divergent Patterns in Simulated River Discharge — https://doi.org/10.3390/w18040485</w:t>
      </w:r>
    </w:p>
    <w:p>
      <w:pPr/>
      <w:r>
        <w:rPr>
          <w:b/>
        </w:rPr>
        <w:t>Shared claim-specific concepts:</w:t>
      </w:r>
      <w:r>
        <w:t xml:space="preserve"> divergent, simulated, generation; EU scope not established. This is a provisional connection, not an outcome finding.</w:t>
      </w:r>
    </w:p>
    <w:p>
      <w:pPr>
        <w:pStyle w:val="SourceNote"/>
      </w:pPr>
      <w:r>
        <w:rPr>
          <w:b/>
        </w:rPr>
        <w:t>Available abstract (not full text):</w:t>
      </w:r>
      <w:r>
        <w:t xml:space="preserve"> Large-scale river modeling has transitioned toward vector-based routing, yet the global fidelity of standalone frameworks like mizuRoute remains poorly characterized due to fragmented observation networks and unquantified systematic biases. This study addresses this gap by establishing a comprehensive global benchmark using a harmonized database of 12,115 in situ gauging stations integrated with multi-dimensional catchment attributes. Simulations utilize the 5 km MERIT-Hydro network driven by ERA5-Land runoff from 1980 to 2024. Our results reveal a robust global median Pearson correlation of 0.53, though simulation efficiency is highly bifurcated with a median Kling–Gupta Efficiency (KGE) of 0.17. High fidelity is concentrated in humid temperate and cold regions, whereas performance collapses in arid zones (median KGE = −0.15) due to the structural omission of channel transmission losses. Attribution analysis identifies the aridity–moisture gradient and vegetation density as primary drivers of model skill, while topographic complexity is well-preserved by the vector framework. Furthermore, anthropogenic regulation significantly degrades accuracy; in basins with high reservoir density, naturalized routing fails to capture regulated flow signatures, leading to a sharp decline in efficiency. This work provides the first global appraisal of the mizuRoute framework and highlights th</w:t>
      </w:r>
    </w:p>
    <w:p>
      <w:pPr/>
      <w:r>
        <w:rPr>
          <w:b/>
        </w:rPr>
        <w:t>POSSIBLE 2026:</w:t>
      </w:r>
      <w:r>
        <w:t xml:space="preserve"> Metabolic rate measurements of two benthic invertebrates under simulated climate change conditions — https://doi.org/10.3897/bdj.14.e187026</w:t>
      </w:r>
    </w:p>
    <w:p>
      <w:pPr/>
      <w:r>
        <w:rPr>
          <w:b/>
        </w:rPr>
        <w:t>Shared claim-specific concepts:</w:t>
      </w:r>
      <w:r>
        <w:t xml:space="preserve"> two, simulated, increasing; EU scope not established. This is a provisional connection, not an outcome finding.</w:t>
      </w:r>
    </w:p>
    <w:p>
      <w:pPr>
        <w:pStyle w:val="SourceNote"/>
      </w:pPr>
      <w:r>
        <w:rPr>
          <w:b/>
        </w:rPr>
        <w:t>Available abstract (not full text):</w:t>
      </w:r>
      <w:r>
        <w:t xml:space="preserve"> Background: Climate change is profoundly altering marine ecosystems through ocean warming and acidification. These stressors are especially pronounced in the Mediterranean Sea, a climate change hotspot projected to warm faster than the global average. Increased temperatures and reduced pH directly affect metabolic processes in marine invertebrates by elevating respiration rates up to species-specific thermal limits, beyond which physiological performance declines. Ocean acidification further disrupts metabolic processes by increasing energetic maintenance costs. Sessile and sedentary marine invertebrates, such as sponges and benthic gastropods, are particularly exposed to such environmental shifts due to their limited ability to escape unfavorable conditions, making physiological plasticity and local adaptation crucial for persistence. New information: . Using a common garden experiment, individuals from North and South Aegean populations were exposed for three months to simulated climate change conditions combining increased temperature and reduced pH. The dataset documents respiration measurements obtained using metabolic chambers after three months of exposure, allowing comparisons across species, geographic origin, and experimental treatments.The dataset accounts for intraspecific variation in these responses, providing insight into potential adaptive differences among geog</w:t>
      </w:r>
    </w:p>
    <w:p>
      <w:pPr/>
      <w:r>
        <w:rPr>
          <w:b/>
        </w:rPr>
        <w:t>POSSIBLE 2026:</w:t>
      </w:r>
      <w:r>
        <w:t xml:space="preserve"> An audit of corporate decarbonisation ambition against low carbon futures — https://doi.org/10.1038/s41598-025-20203-6</w:t>
      </w:r>
    </w:p>
    <w:p>
      <w:pPr/>
      <w:r>
        <w:rPr>
          <w:b/>
        </w:rPr>
        <w:t>Shared claim-specific concepts:</w:t>
      </w:r>
      <w:r>
        <w:t xml:space="preserve"> divergent, decarbonisation, show, increasing, total, renewable; EU scope not established. This is a provisional connection, not an outcome finding.</w:t>
      </w:r>
    </w:p>
    <w:p>
      <w:pPr>
        <w:pStyle w:val="SourceNote"/>
      </w:pPr>
      <w:r>
        <w:rPr>
          <w:b/>
        </w:rPr>
        <w:t>Available abstract (not full text):</w:t>
      </w:r>
      <w:r>
        <w:t xml:space="preserve"> Atmospheric greenhouse gas concentration has been steadily increasing since the 19th century, causing global warming. Despite efforts to reduce emissions, current projections anticipate a significant increase in global surface temperature by the end of the century, which may push us beyond a safe and just operating space. We must develop emissions pathways that consider renewable technology innovation, climate policy development and consumer behaviour change. In this manuscript we assess corporate emissions reduction ambition in the context of reduction pathways, and in doing so show that company reporting has reached a scale and quality that it can be used to supplement global emissions forecasting. We find emissions disclosures of target-setting companies to account for roughly 20% of global [Formula: see text] emissions and 60% of global market capitalisation. Of these, we find near-term targets to be consistent with the aggressive reduction requirements of the divergent net-zero scenario published by the Network for Greening the Financial System, but commitments to 2050 are lacking. There is a large disparity between the total market capitalisation of disclosing companies and the total emissions they cover, a disconnect which we emphasise must be addressed by future policy.</w:t>
      </w:r>
    </w:p>
    <w:p>
      <w:pPr/>
      <w:r>
        <w:rPr>
          <w:b/>
        </w:rPr>
        <w:t>POSSIBLE 2026:</w:t>
      </w:r>
      <w:r>
        <w:t xml:space="preserve"> How can trade unions act strategically in response to decarbonisation? Union strategic capacity and automotive transition policies in Germany, Spain and the UK — https://doi.org/10.1177/10242589261444001</w:t>
      </w:r>
    </w:p>
    <w:p>
      <w:pPr/>
      <w:r>
        <w:rPr>
          <w:b/>
        </w:rPr>
        <w:t>Shared claim-specific concepts:</w:t>
      </w:r>
      <w:r>
        <w:t xml:space="preserve"> two, decarbonisation, energy; EU scope visible. This is a provisional connection, not an outcome finding.</w:t>
      </w:r>
    </w:p>
    <w:p>
      <w:pPr>
        <w:pStyle w:val="SourceNote"/>
      </w:pPr>
      <w:r>
        <w:rPr>
          <w:b/>
        </w:rPr>
        <w:t>Available abstract (not full text):</w:t>
      </w:r>
      <w:r>
        <w:t xml:space="preserve"> Climate policy measures and the energy transition present challenges for unions beyond the traditional scope of collective bargaining and social dialogue. Union responses to policies to phase out internal combustion engines must simultaneously address climate, environmental and industrial policy issues, and influence decision-making within multinational corporations and the web of supply chain firms that participate in production. Studies point to the need for capacity building to enable unions to respond to these complex challenges. Nevertheless, the nature of the union ‘capacity’ to be mobilised in climate responses, and how this is developing in diverse institutional contexts, remains unclear. Building on Richard Hyman’s concept of ‘strategic capacity’, the article explores how different dimensions of union capacity are mobilised to respond to challenges posed by internal combustion engine phase-out policies. This article draws on a study that maps trade unions’ responses to such policies in the United Kingdom and two EU countries.</w:t>
      </w:r>
    </w:p>
    <w:p>
      <w:pPr/>
      <w:r>
        <w:rPr>
          <w:b/>
        </w:rPr>
        <w:t>POSSIBLE 2026:</w:t>
      </w:r>
      <w:r>
        <w:t xml:space="preserve"> Technological Innovation and Adoption : Technological Pathways to Transport Decarbonisation: A Comparative Study of Denmark and the Netherlands — https://openalex.org/W7160813360</w:t>
      </w:r>
    </w:p>
    <w:p>
      <w:pPr/>
      <w:r>
        <w:rPr>
          <w:b/>
        </w:rPr>
        <w:t>Shared claim-specific concepts:</w:t>
      </w:r>
      <w:r>
        <w:t xml:space="preserve"> decarbonisation, show, carbon; EU scope visible. This is a provisional connection, not an outcome finding.</w:t>
      </w:r>
    </w:p>
    <w:p>
      <w:pPr>
        <w:pStyle w:val="SourceNote"/>
      </w:pPr>
      <w:r>
        <w:rPr>
          <w:b/>
        </w:rPr>
        <w:t>Available abstract (not full text):</w:t>
      </w:r>
      <w:r>
        <w:t xml:space="preserve"> In advanced economies, where mobility systems are intricately linked to current infrastructures, governance structures, and social practices, reducing carbon emissions from the transport sector continues to be a persistent challenge within European climate policy. Through a comparative qualitative case study of Denmark and the Netherlands, this thesis investigates how technological innovations are conceived, regulated, and mobilised in support of transport decarbonisation. Both nations have developed different strategies for sustainable transport transitions, despite operating under common European climate objectives and long-term decarbonisation targets. The study focusses on how institutional structures, policy frameworks, and future-oriented narratives influence national transition pathways rather than evaluating technological performance. The study uses a qualitative secondary data methodology, utilising strategic reports, policy documents, and European-level materials gathered between March and July 2025. An examination of both structural dynamics and interpretive aspects of change is made possible by the Multi-Level Perspective on socio-technical transitions and the idea of sociotechnical imaginaries. The results demonstrate that while the Netherlands adopts a more decentralised and experimental approach that promotes a wider range of innovations, Denmark's transition is </w:t>
      </w:r>
    </w:p>
    <w:p>
      <w:pPr/>
      <w:r>
        <w:rPr>
          <w:b/>
        </w:rPr>
        <w:t>POSSIBLE 2026:</w:t>
      </w:r>
      <w:r>
        <w:t xml:space="preserve"> Policy Plateau and Structural Regime Shift: Hybrid Forecasting of the EU Decarbonisation Gap Toward 2030 Targets — https://doi.org/10.3390/su18021114</w:t>
      </w:r>
    </w:p>
    <w:p>
      <w:pPr/>
      <w:r>
        <w:rPr>
          <w:b/>
        </w:rPr>
        <w:t>Shared claim-specific concepts:</w:t>
      </w:r>
      <w:r>
        <w:t xml:space="preserve"> decarbonisation, findings, energy; EU scope visible. This is a provisional connection, not an outcome finding.</w:t>
      </w:r>
    </w:p>
    <w:p>
      <w:pPr>
        <w:pStyle w:val="SourceNote"/>
      </w:pPr>
      <w:r>
        <w:rPr>
          <w:b/>
        </w:rPr>
        <w:t>Available abstract (not full text):</w:t>
      </w:r>
      <w:r>
        <w:t xml:space="preserve"> This study investigates the structural evolution and projected trajectory of greenhouse gas (GHG) emissions across the EU27 from 1990 to 2030, with a particular focus on their implications for the effectiveness of European climate policy. Drawing on official sectoral data and employing a multi-method framework combining time series modelling (ARIMA), machine learning (Random Forest), regime-switching analysis, and segmented linear regression, we assess past dynamics, detect structural shifts, and forecast future trends. Empirical findings, based on Markov-switching models and segmented regression analysis, indicate a statistically significant regime change around 2014, marking a transition to a new emissions pattern characterised by a deceleration in reduction rates. While the energy sector experienced the most significant decline, agriculture and industry have gained relative prominence, underscoring their growing strategic importance as targets for policy interventions. Hybrid ARIMA–ML forecasts indicate that, under current trajectories, the EU is unlikely to meet its 2030 Fit for 55 targets without adaptive and sector-specific interventions, with a projected shortfall of 12–15 percentage points relative to 1990 levels, excluding LULUCF. The results underscore critical weaknesses in the EU’s climate policy architecture and reveal a clear need for transformative recalibration.</w:t>
      </w:r>
    </w:p>
    <w:p>
      <w:pPr/>
      <w:r>
        <w:rPr>
          <w:b/>
        </w:rPr>
        <w:t>POSSIBLE 2026:</w:t>
      </w:r>
      <w:r>
        <w:t xml:space="preserve"> Stakeholder engagement in decarbonisation and ESG strategies: Investigating global patterns of energy companies in CCUS innovation — https://doi.org/10.1016/j.esr.2025.102013</w:t>
      </w:r>
    </w:p>
    <w:p>
      <w:pPr/>
      <w:r>
        <w:rPr>
          <w:b/>
        </w:rPr>
        <w:t>Shared claim-specific concepts:</w:t>
      </w:r>
      <w:r>
        <w:t xml:space="preserve"> decarbonisation, findings, show, energy, carbon; EU scope not established. This is a provisional connection, not an outcome finding.</w:t>
      </w:r>
    </w:p>
    <w:p>
      <w:pPr>
        <w:pStyle w:val="SourceNote"/>
      </w:pPr>
      <w:r>
        <w:rPr>
          <w:b/>
        </w:rPr>
        <w:t>Available abstract (not full text):</w:t>
      </w:r>
      <w:r>
        <w:t xml:space="preserve"> Formulating decarbonisation strategies with carbon capture, utilization, and storage (CCUS) technologies, as well as integration of an environmental, social, and governance (ESG) strategy into the core business of multinational companies, are highly debated research areas. The former would bring an efficient medium-term solution for industrial decarbonisation but has technological and economic difficulties. The latter would incite corporate sustainability but has concerns about its financial effects. Multinational energy companies, however, face these strategic challenges at the same time. Building on a common theoretical basis, i.e., the stakeholder view, the goal of this study is to explore the interrelations of CCUS innovation, ESG performance, and external stakeholder involvement. The research focused on the largest energy companies worldwide (n = 129). Results show that more than 75 % of companies stepped into the first CCUS technology development phase within the stage-gate innovation process model (discovery). Findings suggest that corporate strategies which include external collaborations result not only in higher CCUS innovation performance, but it also results in higher ESG performance. Nevertheless, only those companies’ ESG scores benefit from CCUS innovation and external stakeholder involvement, which are at least in the first CCUS innovation phase. To the best of </w:t>
      </w:r>
    </w:p>
    <w:p>
      <w:pPr/>
      <w:r>
        <w:rPr>
          <w:b/>
        </w:rPr>
        <w:t>POSSIBLE 2026:</w:t>
      </w:r>
      <w:r>
        <w:t xml:space="preserve"> Divergent rhizosphere microbial necromass dynamics between two plant species in response to water addition in a semi-arid region — https://doi.org/10.1038/s41598-026-52433-7</w:t>
      </w:r>
    </w:p>
    <w:p>
      <w:pPr/>
      <w:r>
        <w:rPr>
          <w:b/>
        </w:rPr>
        <w:t>Shared claim-specific concepts:</w:t>
      </w:r>
      <w:r>
        <w:t xml:space="preserve"> two, divergent, key, findings, total, carbon; EU scope not established. This is a provisional connection, not an outcome finding.</w:t>
      </w:r>
    </w:p>
    <w:p>
      <w:pPr>
        <w:pStyle w:val="SourceNote"/>
      </w:pPr>
      <w:r>
        <w:rPr>
          <w:b/>
        </w:rPr>
        <w:t>Available abstract (not full text):</w:t>
      </w:r>
      <w:r>
        <w:t xml:space="preserve"> Microbial necromass carbon influences soil organic carbon (SOC) persistence, yet its response to soil moisture change in semi-arid rhizospheres remains unclear. Avena sativa and Leymus chinensis, which are widely cultivated in semi-arid areas, were selected for a three-month indoor pot cultivation experiment. The responses of soil microbial necromass carbon to water addition and the key drivers in the rhizosphere soil of these plants were identified. The results demonstrated that water addition significantly decreased the concentrations of bacterial necromass carbon (BNC), fungal necromass carbon (FNC), and SOC in the Avena sativa rhizosphere, but increased them in the Leymus chinensis rhizosphere. However, water addition consistently reduced the contribution of microbial necromass carbon to SOC across both rhizosphere soils. The FNC accounted for a larger proportion of SOC than BNC, but the dynamic of SOC was more closely associated with the change in BNC. Both BNC and FNC showed significant correlations with microbial properties (gene abundances and enzyme activities). However, the BNC was closely related to soil nutrient availability, whereas FNC was linked to the ratio of SOC to total nitrogen. These findings demonstrate that rhizosphere microbial necromass carbon dynamics in response to moisture change are plant-specific and driven by distinct factors. Therefore, accuratel</w:t>
      </w:r>
    </w:p>
    <w:p>
      <w:pPr/>
      <w:r>
        <w:rPr>
          <w:b/>
        </w:rPr>
        <w:t>POSSIBLE 2026:</w:t>
      </w:r>
      <w:r>
        <w:t xml:space="preserve"> Cultural heritage as a structural modifier of rooftop solar deployment: A building-level framework for heritage-constrained urban decarbonisation — https://doi.org/10.1016/j.apenergy.2026.128610</w:t>
      </w:r>
    </w:p>
    <w:p>
      <w:pPr/>
      <w:r>
        <w:rPr>
          <w:b/>
        </w:rPr>
        <w:t>Shared claim-specific concepts:</w:t>
      </w:r>
      <w:r>
        <w:t xml:space="preserve"> decarbonisation, generation, renewable, energy; EU scope visible. This is a provisional connection, not an outcome finding.</w:t>
      </w:r>
    </w:p>
    <w:p>
      <w:pPr>
        <w:pStyle w:val="SourceNote"/>
      </w:pPr>
      <w:r>
        <w:rPr>
          <w:b/>
        </w:rPr>
        <w:t>Available abstract (not full text):</w:t>
      </w:r>
      <w:r>
        <w:t xml:space="preserve"> Cultural heritage protection constrains rooftop photovoltaic (PV) deployment across a substantial share of the European building stock, yet existing solar cadastres consistently ignore heritage-related regulatory constraints, leading to systematic overestimation of deployable PV capacity in historically developed urban environments. This study develops and applies a heritage-aware analytical framework that integrates building-level energy-demand modelling, a GIS-based rooftop PV cadastre and scenario-based interpretation of heritage regulations to assess realistic decarbonisation pathways for heritage-constrained urban building stocks.Applied to the Municipality of Maribor, Slovenia, the framework shows that formally protected buildings account for a disproportionately large share of technically suitable rooftop area — more than three times their share of the building stock. Across five heritage-based scenarios, deployable rooftop PV potential ranges from 68% to 93% of the technical baseline, with differences determined primarily by institutional interpretation of regulations rather than the legal framework itself. Heritage constraints produce differentiated building-level electricity self-sufficiency outcomes, with residential and public-sector buildings in heritage-sensitive areas most affected under restrictive regulatory interpretations.At the municipal scale, rooftop PV al</w:t>
      </w:r>
    </w:p>
    <w:p>
      <w:pPr>
        <w:pStyle w:val="Heading2"/>
      </w:pPr>
      <w:r>
        <w:t>698. Scenarios for population health inequalities in 2030 in Europe</w:t>
      </w:r>
    </w:p>
    <w:p>
      <w:pPr>
        <w:pStyle w:val="SourceNote"/>
      </w:pPr>
      <w:r>
        <w:rPr>
          <w:b/>
        </w:rPr>
        <w:t>Original source (2020):</w:t>
      </w:r>
      <w:r>
        <w:t xml:space="preserve"> https://doi.org/10.1093/eurpub/ckaa165.1288</w:t>
      </w:r>
    </w:p>
    <w:p>
      <w:pPr/>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project, factors, across, regions;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Projected excess mortality from PM 2.5 exposure in Europe under future climate and sociodemographic pathways — https://doi.org/10.1088/2752-5309/ae868a</w:t>
      </w:r>
    </w:p>
    <w:p>
      <w:pPr/>
      <w:r>
        <w:rPr>
          <w:b/>
        </w:rPr>
        <w:t>Shared claim-specific concepts:</w:t>
      </w:r>
      <w:r>
        <w:t xml:space="preserve"> project, three, across, approach; EU scope visible. This is a provisional connection, not an outcome finding.</w:t>
      </w:r>
    </w:p>
    <w:p>
      <w:pPr>
        <w:pStyle w:val="SourceNote"/>
      </w:pPr>
      <w:r>
        <w:rPr>
          <w:b/>
        </w:rPr>
        <w:t>Available abstract (not full text):</w:t>
      </w:r>
      <w:r>
        <w:t xml:space="preserve"> Abstract Fine particulate matter (PM 2.5 ) is a major human health risk factor. Despite significant efforts to reduce air pollution in Europe the aging population, urbanization, and climate change, demand an assessment of potential impacts of future pollution trends. The interactions of climate change and PM 2.5 pollution, and their effects on adverse health outcomes require a comprehensive approach to effectively address these environmental and public health challenges and link them with future scenarios. In this study, we use three shared socio-economic pathways (SSPs) to examine potential changes in societal, demographic, and economic trends over the century in combination with three future radiative forcing trajectories. We use three scenarios: the SSP1-2.6, SSP2-4.5, and SSP5-8.5. We examine the consequences of these pathways on population exposure to PM 2.5 in the coming decades, focusing on the years 2030, 2040, 2050 and 2100. The study evaluates excess mortality across various health outcomes, such as cardiovascular and respiratory diseases, using novel relative risk functions and public health data. We find that air pollution in Europe will continue to decline over the coming decades across all scenarios. The projected excess mortality attributable to PM 2.5 exposure varies by region, future pathway, and period, and is mainly driven by the projected demographic changes</w:t>
      </w:r>
    </w:p>
    <w:p>
      <w:pPr/>
      <w:r>
        <w:rPr>
          <w:b/>
        </w:rPr>
        <w:t>POSSIBLE 2026:</w:t>
      </w:r>
      <w:r>
        <w:t xml:space="preserve"> Revisiting the factor structure of the EURO-D, a depressive symptomatology scale: An exploratory graph analysis in 26 European countries — https://doi.org/10.1017/gmh.2026.10204</w:t>
      </w:r>
    </w:p>
    <w:p>
      <w:pPr/>
      <w:r>
        <w:rPr>
          <w:b/>
        </w:rPr>
        <w:t>Shared claim-specific concepts:</w:t>
      </w:r>
      <w:r>
        <w:t xml:space="preserve"> across, approach, applied; EU scope visible. This is a provisional connection, not an outcome finding.</w:t>
      </w:r>
    </w:p>
    <w:p>
      <w:pPr>
        <w:pStyle w:val="SourceNote"/>
      </w:pPr>
      <w:r>
        <w:rPr>
          <w:b/>
        </w:rPr>
        <w:t>Available abstract (not full text):</w:t>
      </w:r>
      <w:r>
        <w:t xml:space="preserve"> Despite the widely use and multiple validations of the EURO-D scale, its factor structure is still under debate. Exploratory Graph Analysis (EGA), a novel network psychometric method, offers a promising approach to examining dimensionality. METHODOLOGY: = 22,567). EGA was applied to the derivation sample to determine the structure of the EURO-D scale, utilizing two estimation methods: Graphical Least Absolute Shrinkage and Selection Operator (GLASSO) and Triangulated Maximally Filtered Graph (TMFG). The identified factor structures were then tested via Confirmatory Factor Analysis (CFA) in the cross-validation sample for model fit. RESULTS: EGA consistently revealed a two-factor structure with minor differences in the placement of suicidality and fatigue items across estimation methods. CFA results confirmed an adequate model fit for both solutions. CONCLUSION: This study combines exploratory (EGA) and confirmatory (CFA) approaches, supporting a two-factor structure for the EU-RO-D scale with alternative placements for fatigue and suicidality items. Results are discussed in contrast to previous studies reporting two and three-factor solutions with different assignments of these items.</w:t>
      </w:r>
    </w:p>
    <w:p>
      <w:pPr/>
      <w:r>
        <w:rPr>
          <w:b/>
        </w:rPr>
        <w:t>POSSIBLE 2026:</w:t>
      </w:r>
      <w:r>
        <w:t xml:space="preserve"> THE DIVERSITY OF EUROPEAN FUNDING MECHANISMS: INSIGHTS INTO THEIR TYPOLOGIES — https://doi.org/10.24818/imc/2025/05.09</w:t>
      </w:r>
    </w:p>
    <w:p>
      <w:pPr/>
      <w:r>
        <w:rPr>
          <w:b/>
        </w:rPr>
        <w:t>Shared claim-specific concepts:</w:t>
      </w:r>
      <w:r>
        <w:t xml:space="preserve"> project, horizon, developed, key, across; EU scope visible. This is a provisional connection, not an outcome finding.</w:t>
      </w:r>
    </w:p>
    <w:p>
      <w:pPr>
        <w:pStyle w:val="SourceNote"/>
      </w:pPr>
      <w:r>
        <w:rPr>
          <w:b/>
        </w:rPr>
        <w:t>Available abstract (not full text):</w:t>
      </w:r>
      <w:r>
        <w:t xml:space="preserve"> The European Union (EU) has developed a complex architecture of funding mechanisms aimed at promoting economic cohesion, social inclusion, and sustainable development across its member states. This paper explores the diversity of European funding instruments and provides a structured typology. By distinguishing between traditional grant-based schemes, financial instruments such as loans and guarantees, and hybrid mechanisms combining public and private capital, the study highlights the evolving nature of EU financial governance. The analysis also considers the interplay between centralized programs that European Commission is managing (e.g., Horizon Europe, LIFE, Erasmus+) and shared management funds administered at national or regional levels (e.g., the European Structural and Investment Funds). The paper identifies key trends in funding diversification, including the increasing emphasis on performance-based financing, digitalization of fund management, and alignment with the European Green Deal objectives. The findings underline that understanding the typologies of EU funding mechanisms is essential for improving policy coherence, enhancing absorption capacity, and ensuring that resources effectively address territorial and sectoral disparities. Ultimately, this study contributes to a clearer comprehension of how the EU’s multifaceted financial ecosystem supports integration </w:t>
      </w:r>
    </w:p>
    <w:p>
      <w:pPr/>
      <w:r>
        <w:rPr>
          <w:b/>
        </w:rPr>
        <w:t>POSSIBLE 2026:</w:t>
      </w:r>
      <w:r>
        <w:t xml:space="preserve"> Emission Scenarios for Europe under the CATALYSE Project: Beyond the Green Deal — https://openalex.org/W7125621332</w:t>
      </w:r>
    </w:p>
    <w:p>
      <w:pPr/>
      <w:r>
        <w:rPr>
          <w:b/>
        </w:rPr>
        <w:t>Shared claim-specific concepts:</w:t>
      </w:r>
      <w:r>
        <w:t xml:space="preserve"> project, funded, horizon, factors, across, approach;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Dietary assessment and dietary guidelines across 11 European Union countries: a review from the PLAN’EAT project — https://doi.org/10.3389/fnut.2025.1699036</w:t>
      </w:r>
    </w:p>
    <w:p>
      <w:pPr/>
      <w:r>
        <w:rPr>
          <w:b/>
        </w:rPr>
        <w:t>Shared claim-specific concepts:</w:t>
      </w:r>
      <w:r>
        <w:t xml:space="preserve"> project, horizon, key, across, until; EU scope visible. This is a provisional connection, not an outcome finding.</w:t>
      </w:r>
    </w:p>
    <w:p>
      <w:pPr>
        <w:pStyle w:val="SourceNote"/>
      </w:pPr>
      <w:r>
        <w:rPr>
          <w:b/>
        </w:rPr>
        <w:t>Available abstract (not full text):</w:t>
      </w:r>
      <w:r>
        <w:t xml:space="preserve"> Introduction: This paper presents a comparative assessment of dietary intake collection for surveillance and monitoring for adult population, Food Composition Databases (FCDBs), and Food-Based Dietary Guidelines (FBDGs) for children/adolescents, adults and the elderly population. Data and information were gathered until August 2025, concerning the 11 European countries participating in the European Horizon project PLAN'EAT "Food systems transformation toward healthy and sustainable dietary behavior." Methodology: This assessment was conducted through questionnaires completed by PLAN'EAT partners, who collected data from scientific literature and official documents in their native languages. Results: Despite efforts such as the European Food Safety Agency's EU Menu initiative to standardize dietary monitoring, significant inconsistencies persist in food intake assessment methodologies, database structures, and the development of dietary guidelines. These disparities hinder cross-country comparability, thereby limiting the evaluation of the effectiveness of EU-wide nutrition policies. The study identifies the aspects to be implemented in survey protocols, portion size assessment, software tools, and emphasizes the need to integrate current consumers' eating habits when developing dietary guidelines. The importance of harmonizing data collection methods, ensuring regular national </w:t>
      </w:r>
    </w:p>
    <w:p>
      <w:pPr/>
      <w:r>
        <w:rPr>
          <w:b/>
        </w:rPr>
        <w:t>POSSIBLE 2026:</w:t>
      </w:r>
      <w:r>
        <w:t xml:space="preserve"> Unequal healthy ageing trajectories across Europe: socioeconomic development and age-related disease burden in the European Union and South-Eastern European countries — https://doi.org/10.1007/s11357-026-02273-0</w:t>
      </w:r>
    </w:p>
    <w:p>
      <w:pPr/>
      <w:r>
        <w:rPr>
          <w:b/>
        </w:rPr>
        <w:t>Shared claim-specific concepts:</w:t>
      </w:r>
      <w:r>
        <w:t xml:space="preserve"> key, factors, inequalities, across; EU scope visible. This is a provisional connection, not an outcome finding.</w:t>
      </w:r>
    </w:p>
    <w:p>
      <w:pPr>
        <w:pStyle w:val="SourceNote"/>
      </w:pPr>
      <w:r>
        <w:rPr>
          <w:b/>
        </w:rPr>
        <w:t>Available abstract (not full text):</w:t>
      </w:r>
      <w:r>
        <w:t xml:space="preserve"> Although life expectancy has increased, many of the added years are lived in poor health, highlighting growing inequalities in ageing trajectories. Despite the increasing need for ageing-related health strategies, non-EU European countries remain underrepresented in comparative research, leaving limited evidence on healthy ageing disparities between EU and South-Eastern European (SEE) nations. This study explored variations in key health and socioeconomic indicators of societal ageing and age-related disease burden among individuals aged 70 and older across European countries, with a focus on EU and non-EU SEE nations. Data for 33 European countries were extracted from Global Burden of Disease 2021 study. Indicators included mortality, years lived with disability (YLD), healthy life expectancy (HALE), current health expenditure (HE), and Human Development Index (HDI). Hierarchical cluster analysis was used to classify EU countries, and SEE countries were analysed separately. Trends in mortality, YLD rates, and HALE were analysed using Joinpoint regression. Spearman's rank correlation was used to assess relationships between health, socioeconomic factors, and disease burden. Western and Northern European countries showed the most favourable values for indicators, while SEE countries exhibited the highest all-cause and cardiovascular mortality and the lowest HALE and HDI values. </w:t>
      </w:r>
    </w:p>
    <w:p>
      <w:pPr/>
      <w:r>
        <w:rPr>
          <w:b/>
        </w:rPr>
        <w:t>POSSIBLE 2026:</w:t>
      </w:r>
      <w:r>
        <w:t xml:space="preserve"> Causes and extent of avoidable mortality across the european union: insights for advancing healthy aging — https://doi.org/10.1007/s11357-025-02045-2</w:t>
      </w:r>
    </w:p>
    <w:p>
      <w:pPr/>
      <w:r>
        <w:rPr>
          <w:b/>
        </w:rPr>
        <w:t>Shared claim-specific concepts:</w:t>
      </w:r>
      <w:r>
        <w:t xml:space="preserve"> three, across, approach; EU scope visible. This is a provisional connection, not an outcome finding.</w:t>
      </w:r>
    </w:p>
    <w:p>
      <w:pPr>
        <w:pStyle w:val="SourceNote"/>
      </w:pPr>
      <w:r>
        <w:rPr>
          <w:b/>
        </w:rPr>
        <w:t>Available abstract (not full text):</w:t>
      </w:r>
      <w:r>
        <w:t xml:space="preserve"> Although population aging is a global worldwide phenomenon, it is most pronounced in European Union countries. An unhealthy ageing population not only places a heavy burden on healthcare, but also hinders sustainable socio-economic development. Supporting healthy aging can be achieved through evidence-based strategies aimed at reducing avoidable mortality and interventions that promote these strategies. Our study is based on a secondary analysis of Eurostat data for 2022 to describe the extent and structure of avoidable (divided to preventable and treatable) mortality stratified by sex for each EU country. Cluster analyses based on avoidable mortality indicators (preventable mortality rate, treatable mortality rate, preventable-to-treatable mortality ratio, and male-to-female avoidable mortality rate ratio) and the cause-specific composition of avoidable mortality were used to highlight similarities and differences between countries. Classification based on the available mortality indicators revealed regional patterns. Western and Northern EU countries were predominantly in Cluster 1 which had the lowest preventable and treatable mortality rates, as well as relatively balanced sex ratios. However, these countries had a higher preventable-to-treatable mortality ratio indicating potential delays or gaps in preventive services. Mediterranean EU countries were in Cluster 2 showing </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project, factors, across;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key, across, regions;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Building a Healthy Urban Design Index (HUDI): how to promote health and sustainability in European cities — https://doi.org/10.1016/s2542-5196(25)00109-3</w:t>
      </w:r>
    </w:p>
    <w:p>
      <w:pPr/>
      <w:r>
        <w:rPr>
          <w:b/>
        </w:rPr>
        <w:t>Shared claim-specific concepts:</w:t>
      </w:r>
      <w:r>
        <w:t xml:space="preserve"> project, horizon, developed, key, factors, across; EU scope visible. This is a provisional connection, not an outcome finding.</w:t>
      </w:r>
    </w:p>
    <w:p>
      <w:pPr>
        <w:pStyle w:val="SourceNote"/>
      </w:pPr>
      <w:r>
        <w:rPr>
          <w:b/>
        </w:rPr>
        <w:t>Available abstract (not full text):</w:t>
      </w:r>
      <w:r>
        <w:t xml:space="preserve"> Background As global urbanisation accelerates, alongside declining environmental quality and increasing climate challenges, it is increasingly vital for urban planners and policy makers to integrate health and wellbeing considerations into urban planning. This study introduces the Healthy Urban Design Index (HUDI), a high-resolution spatial index developed for European cities. HUDI combines policy-relevant indicators related to urban design, sustainable transportation, environmental quality, and greenspace accessibility—key factors influencing human health and well-being. Unlike existing indices, which often focus on few or large metropolitan cities and lack spatial granularity, HUDI offers high resolution and extends its scope to small-sized and medium-sized cities, home to over 50% of Europe's population. Methods We analysed 917 European cities in total, 916 cities and one larger city, on the basis of the 2018 Urban Audit database. Using open-source spatial data, we mapped cities at a fine 250 m grid cell scale. To compare cities effectively, we grouped them into five city clusters on the basis of population size, following the definition of the Organisation for Economic Co-operation and Development: large metropolitan (11), metropolitan (53), medium-sized (177) and small (638) cities, and small towns (38). A set of 13 indicators, across four overarching domains of urban desi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developed, factors, across;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pStyle w:val="Heading2"/>
      </w:pPr>
      <w:r>
        <w:t>699. Scenarios for the Development of Multimodal Transport in the TRITIA Cross-Border Area</w:t>
      </w:r>
    </w:p>
    <w:p>
      <w:pPr>
        <w:pStyle w:val="SourceNote"/>
      </w:pPr>
      <w:r>
        <w:rPr>
          <w:b/>
        </w:rPr>
        <w:t>Original source (2020):</w:t>
      </w:r>
      <w:r>
        <w:t xml:space="preserve"> https://doi.org/10.3390/su12177021</w:t>
      </w:r>
    </w:p>
    <w:p>
      <w:pPr/>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POSSIBLE 2026:</w:t>
      </w:r>
      <w:r>
        <w:t xml:space="preserve"> Factors determining digitalization in Polish companies in the context of the European industrial strategy — https://doi.org/10.29119/1641-3466.2026.246.5</w:t>
      </w:r>
    </w:p>
    <w:p>
      <w:pPr/>
      <w:r>
        <w:rPr>
          <w:b/>
        </w:rPr>
        <w:t>Shared claim-specific concepts:</w:t>
      </w:r>
      <w:r>
        <w:t xml:space="preserve"> purpose, identify, factors, determining, within; EU scope visible. This is a provisional connection, not an outcome finding.</w:t>
      </w:r>
    </w:p>
    <w:p>
      <w:pPr>
        <w:pStyle w:val="SourceNote"/>
      </w:pPr>
      <w:r>
        <w:rPr>
          <w:b/>
        </w:rPr>
        <w:t>Available abstract (not full text):</w:t>
      </w:r>
      <w:r>
        <w:t xml:space="preserve"> Purpose: The purpose of this study was to identify and analyse the key factors that shape and drive the digitalisation processes of Polish enterprises within the broader framework of the European Industrial Strategy. More specifically, the study aimed to determine the significance of individual entrepreneurial ecosystem components—particularly government policy, institutional support, relational networks, and human‑capital capacities—in influencing firms’ progress toward digital transformation. Design/methodology/approach: The starting point for the research discussed in this article was to determine the degree of identification, significance, and comparison of the elements of the ecosystem, with a particular focus on the role of higher education institutions. Higher education institutions are a significant component considered in most economic development policies, as they play a crucial role in transferring knowledge and scientific achievements to businesses and are vital in building national, sectoral, and technological ecosystems. To achieve this goal, data was collected using the CATI method in a nationwide study of enterprises (n = 302). Findings: The research findings indicated a weak identification of the elements of the entrepreneurial ecosystem within the processes of digitalisation. Furthermore, it revealed that government policy is the best-identified element of the</w:t>
      </w:r>
    </w:p>
    <w:p>
      <w:pPr/>
      <w:r>
        <w:rPr>
          <w:b/>
        </w:rPr>
        <w:t>POSSIBLE 2026:</w:t>
      </w:r>
      <w:r>
        <w:t xml:space="preserve"> FINTECH ECOSYSTEM OF UKRAINE IN THE EUROPEAN CONTEXT — https://doi.org/10.31651/2076-5843-2026-2-174-187</w:t>
      </w:r>
    </w:p>
    <w:p>
      <w:pPr/>
      <w:r>
        <w:rPr>
          <w:b/>
        </w:rPr>
        <w:t>Shared claim-specific concepts:</w:t>
      </w:r>
      <w:r>
        <w:t xml:space="preserve"> therefore, purpose, identify; EU scope visible. This is a provisional connection, not an outcome finding.</w:t>
      </w:r>
    </w:p>
    <w:p>
      <w:pPr>
        <w:pStyle w:val="SourceNote"/>
      </w:pPr>
      <w:r>
        <w:rPr>
          <w:b/>
        </w:rPr>
        <w:t>Available abstract (not full text):</w:t>
      </w:r>
      <w:r>
        <w:t xml:space="preserve"> Introduction. The rapid development of financial technologies (FinTech) is transforming the financial sector through the expansion of digital payment services, open banking, artificial intelligence, and crypto-assets. While the European Union has established a comprehensive regulatory framework for digital finance, Ukraine continues to adapt its legislation to European standards. Therefore, assessing the Ukrainian FinTech ecosystem in the European context is essential for identifying regulatory gaps and substantiating directions for its integration into the European digital financial space. Purpose. The purpose of the article is to investigate the current state of the Ukrainian FinTech ecosystem in the European context, identify the key features of its regulatory environment, and substantiate strategic directions for its harmonization with European Union standards. Results. The current state of the Ukrainian FinTech ecosystem in the European context is assessed through a comparative analysis of its market structure, regulatory environment, and integration potential. The structural characteristics of the Ukrainian FinTech market are identified based on the distribution of companies across the main functional segments, confirming the dominance of technological infrastructure and digital payment services. The key technological trends of the ecosystem are analyzed, including the wi</w:t>
      </w:r>
    </w:p>
    <w:p>
      <w:pPr/>
      <w:r>
        <w:rPr>
          <w:b/>
        </w:rPr>
        <w:t>POSSIBLE 2025:</w:t>
      </w:r>
      <w:r>
        <w:t xml:space="preserve"> Pedoclimatic, knowledge and management factors drive European soybean and faba bean yields — https://doi.org/10.1007/s13593-025-01056-9</w:t>
      </w:r>
    </w:p>
    <w:p>
      <w:pPr/>
      <w:r>
        <w:rPr>
          <w:b/>
        </w:rPr>
        <w:t>Shared claim-specific concepts:</w:t>
      </w:r>
      <w:r>
        <w:t xml:space="preserve"> therefore, purpose, identify, factors; EU scope visible. This is a provisional connection, not an outcome finding.</w:t>
      </w:r>
    </w:p>
    <w:p>
      <w:pPr>
        <w:pStyle w:val="SourceNote"/>
      </w:pPr>
      <w:r>
        <w:rPr>
          <w:b/>
        </w:rPr>
        <w:t>Available abstract (not full text):</w:t>
      </w:r>
      <w:r>
        <w:t xml:space="preserve"> Abstract The low usage of grain legumes in European cropping systems is often attributed to yield gaps due to limiting pedoclimatic conditions, sub-optimal management practices, and farmers’ limited experience and knowledge in growing these crops. The relative contributions of these factors to current grain legume yield gaps at European scale and, in particular, the difference between yields achieved by experienced farmers and those achieved by novices remain unknown. We therefore explored the relationship between yields and these different factors, to identify areas where farmers require more support to close the yield gaps in grain legume production. To this purpose, we conducted a large-scale online farmer survey in nine European countries with a focus on soybean and faba bean. For both crops, classification and regression tree analysis identified country of production as the primary explanatory variable of yield variation and confirmed the hypothesis that greater experience and knowledge is associated with higher yields. However, the effect of several factors differed between the crops, showing the need for legume-specific strategies. Experience and knowledge were particularly important for soybean, although also relevant for faba bean in low-yielding environments. Other important factors identified to determine yield for soybean included farm specialization, agroclimatic z</w:t>
      </w:r>
    </w:p>
    <w:p>
      <w:pPr/>
      <w:r>
        <w:rPr>
          <w:b/>
        </w:rPr>
        <w:t>POSSIBLE 2025:</w:t>
      </w:r>
      <w:r>
        <w:t xml:space="preserve"> Evaluating the factors affecting dairy commodity returns: the case of European dairy markets — https://doi.org/10.3846/bmee.2025.21568</w:t>
      </w:r>
    </w:p>
    <w:p>
      <w:pPr/>
      <w:r>
        <w:rPr>
          <w:b/>
        </w:rPr>
        <w:t>Shared claim-specific concepts:</w:t>
      </w:r>
      <w:r>
        <w:t xml:space="preserve"> therefore, purpose, factors, within; EU scope visible. This is a provisional connection, not an outcome finding.</w:t>
      </w:r>
    </w:p>
    <w:p>
      <w:pPr>
        <w:pStyle w:val="SourceNote"/>
      </w:pPr>
      <w:r>
        <w:rPr>
          <w:b/>
        </w:rPr>
        <w:t>Available abstract (not full text):</w:t>
      </w:r>
      <w:r>
        <w:t xml:space="preserve"> Purpose – motivated by the price spikes and booms in major commodities markets around the world, this study looks into the factors that affect the variance in returns from dairy futures contracts. The purpose of the study is to determine whether dairy commodity prices – especially in times of economic turmoil – are being driven away from their fundamental value. The study focuses on European dairy futures markets, which are less studied by other authors in their research and are at a nascent stage of development in comparison to other agricultural commodity markets. The study includes various determinants such as energy prices, major stock indices, as well as market related variables such as financial speculation, in order to test whether returns from dairy commodities can be explained solely by macroeconomic factors or if this impact is amplified by trade volume or financial speculation within these markets. Therefore, the paper aims to assess the determinants of dairy futures prices before and after 2020, when the COVID-19 pandemic began and was followed by the war in Ukraine. Research methodology – the authors analyse dairy commodities traded on the European Energy Exchange (EEX) and employ the generalised autoregressive conditional heteroskedasticity (GARCH) modelling, as well as the Augmented Dickey-Fuller (ADF) and Granger non-causality tests to analyse what drives the re</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identify, factors, within;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2025:</w:t>
      </w:r>
      <w:r>
        <w:t xml:space="preserve"> DETERMINING POVERTY FACTORS USING LOGIT MODELS — https://doi.org/10.63452/ijafssr.2025.3601</w:t>
      </w:r>
    </w:p>
    <w:p>
      <w:pPr/>
      <w:r>
        <w:rPr>
          <w:b/>
        </w:rPr>
        <w:t>Shared claim-specific concepts:</w:t>
      </w:r>
      <w:r>
        <w:t xml:space="preserve"> factors, determining, four; EU scope visible. This is a provisional connection, not an outcome finding.</w:t>
      </w:r>
    </w:p>
    <w:p>
      <w:pPr>
        <w:pStyle w:val="SourceNote"/>
      </w:pPr>
      <w:r>
        <w:rPr>
          <w:b/>
        </w:rPr>
        <w:t>Available abstract (not full text):</w:t>
      </w:r>
      <w:r>
        <w:t xml:space="preserve"> This study examines the factors of poverty across six European countries—three in Southern Europe (Greece, Spain, Portugal) and three in Central/Northern Europe (Germany, the Netherlands, Belgium)—using 2023 cross-sectional data from the EU Statistics on Income and Living Conditions (EU-SILC). Focusing on individuals aged 30 to 65, the analysis applies logistic regression to assess the impact of nine socioeconomic variables on the probability of living below the poverty line. The findings reveal that four factors—ability to afford a holiday, ability to cover unexpected expenses, access to a car, and participation in leisure activities—are statistically significant predictors of poverty in all countries examined. Notable differences are observed in the significance and magnitude of other variables, such as education level and social activity, highlighting the influence of national socioeconomic contexts. The results underscore the value of targeted, evidence-based social policies that address both shared and countryspecific drivers of poverty.</w:t>
      </w:r>
    </w:p>
    <w:p>
      <w:pPr/>
      <w:r>
        <w:rPr>
          <w:b/>
        </w:rPr>
        <w:t>POSSIBLE 2025:</w:t>
      </w:r>
      <w:r>
        <w:t xml:space="preserve"> Prevalence of Glaucoma in Europe and Projections to 2050 — https://doi.org/10.1016/j.ophtha.2025.06.002</w:t>
      </w:r>
    </w:p>
    <w:p>
      <w:pPr/>
      <w:r>
        <w:rPr>
          <w:b/>
        </w:rPr>
        <w:t>Shared claim-specific concepts:</w:t>
      </w:r>
      <w:r>
        <w:t xml:space="preserve"> purpose, within, regional;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2024:</w:t>
      </w:r>
      <w:r>
        <w:t xml:space="preserve"> FACTOR ANALYSIS OF DEMAND FOR INDONESIAN NICKEL EXPORTS IN EUROPE — https://openalex.org/W7218287029</w:t>
      </w:r>
    </w:p>
    <w:p>
      <w:pPr/>
      <w:r>
        <w:rPr>
          <w:b/>
        </w:rPr>
        <w:t>Shared claim-specific concepts:</w:t>
      </w:r>
      <w:r>
        <w:t xml:space="preserve"> therefore, purpose, factors, four; EU scope visible. This is a provisional connection, not an outcome finding.</w:t>
      </w:r>
    </w:p>
    <w:p>
      <w:pPr>
        <w:pStyle w:val="SourceNote"/>
      </w:pPr>
      <w:r>
        <w:rPr>
          <w:b/>
        </w:rPr>
        <w:t>Available abstract (not full text):</w:t>
      </w:r>
      <w:r>
        <w:t xml:space="preserve"> The purpose of this study is to determine the demand factors for Indonesian nickel exports in Europe. Regarding the formulation of the problem in this study, what are the factors for the demand for Indonesian nickel by Europe. Although the research method used is qualitative. Based on the results of this study it can be concluded that Nickel is a silvery-white hard metal with a slight luster of gold pattern. Nickel itself is a metal that is strong, dense, durable, heat and corrosion resistant. In addition, nickel is also a metal with good conductors of electricity and heat and one of the four very important metal elements because this metal is ferromagnetic or can be said to be easily magnetized at certain room temperatures. Therefore, nickel has a variety of uses that can be utilized in a variety of products. One of them is the raw material for making cables. Nickel is a scarce natural resource, therefore countries that do not have this natural resource must import it from producing countries. At the same time, producing countries must ensure that there are no shortages.</w:t>
      </w:r>
    </w:p>
    <w:p>
      <w:pPr/>
      <w:r>
        <w:rPr>
          <w:b/>
        </w:rPr>
        <w:t>POSSIBLE 2024:</w:t>
      </w:r>
      <w:r>
        <w:t xml:space="preserve"> Factors of Credit Ratings for Transfer Pricing of Loans in European Conditions — https://doi.org/10.18267/j.polek.1421</w:t>
      </w:r>
    </w:p>
    <w:p>
      <w:pPr/>
      <w:r>
        <w:rPr>
          <w:b/>
        </w:rPr>
        <w:t>Shared claim-specific concepts:</w:t>
      </w:r>
      <w:r>
        <w:t xml:space="preserve"> therefore, purpose, identify, factors, cross-border; EU scope visible. This is a provisional connection, not an outcome finding.</w:t>
      </w:r>
    </w:p>
    <w:p>
      <w:pPr>
        <w:pStyle w:val="SourceNote"/>
      </w:pPr>
      <w:r>
        <w:rPr>
          <w:b/>
        </w:rPr>
        <w:t>Available abstract (not full text):</w:t>
      </w:r>
      <w:r>
        <w:t xml:space="preserve"> In accord with international transfer pricing regulations, the borrower's creditworthiness is the main factor to be reflected in valuation of cross-border loan transactions between associated enterprises. However, trouble invariably arises for small and medium-sized enterprises that do not have an assigned credit rating. The aim of this paper is to determine the most reliable predictors of a company's credit rating for European entities facing missing rating coverage for the purpose of transfer pricing. Based on 2015-2019 data sourced from the Orbis database, the study examines key financial ratios and non-financial information that could be instrumental in reconstructing a long-term rating category of a company assigned by Moody's Investors Service. The results identify interest coverage as the most useful predictor. Therefore, a law-approved and tax-acceptable approach to pricing of financial transactions between unrated parties (i.e., without credit rating) should preferably exploit interest coverage as a link to the otherwise missing ratings.</w:t>
      </w:r>
    </w:p>
    <w:p>
      <w:pPr/>
      <w:r>
        <w:rPr>
          <w:b/>
        </w:rPr>
        <w:t>POSSIBLE 2024:</w:t>
      </w:r>
      <w:r>
        <w:t xml:space="preserve"> The Devil in the details: The factors determining the selection of intrazonal congestion management methods across Europe — https://doi.org/10.1016/j.heliyon.2024.e26610</w:t>
      </w:r>
    </w:p>
    <w:p>
      <w:pPr/>
      <w:r>
        <w:rPr>
          <w:b/>
        </w:rPr>
        <w:t>Shared claim-specific concepts:</w:t>
      </w:r>
      <w:r>
        <w:t xml:space="preserve"> identify, factors, determining; EU scope visible. This is a provisional connection, not an outcome finding.</w:t>
      </w:r>
    </w:p>
    <w:p>
      <w:pPr>
        <w:pStyle w:val="SourceNote"/>
      </w:pPr>
      <w:r>
        <w:rPr>
          <w:b/>
        </w:rPr>
        <w:t>Available abstract (not full text):</w:t>
      </w:r>
      <w:r>
        <w:t xml:space="preserve"> The European electricity market is becoming increasingly interconnected, raising questions about how intrazonal congestion management, typically governed by national regulations, interacts with the coupled cross-zonal markets. A major concern is the lack of information regarding intrazonal congestion management methods. This paper addresses this issue by examining different ways in which European transmission system operators (TSOs) use third-party resources to manage congestion in short-term electricity markets. We create a decision-tree-based classification to represent all identified congestion management methods and select three cases for comprehensive evaluation using predefined assessment criteria. While doing so, we identify a trade-off between efficiency and ease of implementation. The balance between these two factors is determined by the severity of the congestion. In a severely congested grid, locational signals are critical, requiring a better alignment between the network representation in the market clearing and the physical network constraints. When the congestion is less severe, TSOs can choose other congestion management methods based on factors such as the predictability of congestion and resource availability. These findings shed light on the complexities of congestion management in an integrated European market and can inform future policy decisions.</w:t>
      </w:r>
    </w:p>
    <w:p>
      <w:pPr/>
      <w:r>
        <w:rPr>
          <w:b/>
        </w:rPr>
        <w:t>POSSIBLE 2024:</w:t>
      </w:r>
      <w:r>
        <w:t xml:space="preserve"> Identifying fit-for purpose methods for monitoring fish communities — https://doi.org/10.3389/fmars.2023.1322367</w:t>
      </w:r>
    </w:p>
    <w:p>
      <w:pPr/>
      <w:r>
        <w:rPr>
          <w:b/>
        </w:rPr>
        <w:t>Shared claim-specific concepts:</w:t>
      </w:r>
      <w:r>
        <w:t xml:space="preserve"> therefore, purpose, identify, four; EU scope not established. This is a provisional connection, not an outcome finding.</w:t>
      </w:r>
    </w:p>
    <w:p>
      <w:pPr>
        <w:pStyle w:val="SourceNote"/>
      </w:pPr>
      <w:r>
        <w:rPr>
          <w:b/>
        </w:rPr>
        <w:t>Available abstract (not full text):</w:t>
      </w:r>
      <w:r>
        <w:t xml:space="preserve"> Scientific monitoring is a fundamental basis of scientific advice. Among others, monitoring aims at contributing towards understanding the influence of anthropogenic use (e.g. fisheries), the health of a stock and individuum and effectiveness of management and conservation measures (e.g. MPAs). Monitoring of demersal and benthic fish communities is often based on invasive methods like bottom trawling, however in some cases less invasive methods might be available. The need for developing alternative and less invasive monitoring methods is supported by an increasing number of Marine Protected Areas and Windfarms where traditional methods such as trawls cannot be deployed due to conservational or technical and safety reasons. To support the development of new monitoring concepts, we conducted a literature review to identify limits and opportunities of methods that are already available. Furthermore, we present a fit-for purpose guide that can help identifying the appropriate method for individual purposes. We defined eight different methods which were analyzed using four different criteria and listed their advantages and disadvantages. We further apply this guide to monitoring in Marine Protected Areas in the Baltic Sea as a case study, indicating that besides traditional bottom trawling, alternative and less invasive methods could be sufficient for specific research purposes. We</w:t>
      </w:r>
    </w:p>
    <w:p>
      <w:pPr/>
      <w:r>
        <w:rPr>
          <w:b/>
        </w:rPr>
        <w:t>POSSIBLE 2024:</w:t>
      </w:r>
      <w:r>
        <w:t xml:space="preserve"> Identifying the Challenges in the Detection and Protection of Child Victims of Human Trafficking in Spain: A Case Study of the Southern European Border — https://doi.org/10.3390/socsci13110566</w:t>
      </w:r>
    </w:p>
    <w:p>
      <w:pPr/>
      <w:r>
        <w:rPr>
          <w:b/>
        </w:rPr>
        <w:t>Shared claim-specific concepts:</w:t>
      </w:r>
      <w:r>
        <w:t xml:space="preserve"> therefore, set, factors, regional; EU scope visible. This is a provisional connection, not an outcome finding.</w:t>
      </w:r>
    </w:p>
    <w:p>
      <w:pPr>
        <w:pStyle w:val="SourceNote"/>
      </w:pPr>
      <w:r>
        <w:rPr>
          <w:b/>
        </w:rPr>
        <w:t>Available abstract (not full text):</w:t>
      </w:r>
      <w:r>
        <w:t xml:space="preserve"> Despite the improvements in enhanced child protection, there is an increasing concern about the vulnerability and cases of child trafficking in Spain, the southern gateway to Europe from the African continent. Analyzing 23 interviews with professionals in the field, this article identifies the factors that contribute to high levels of child trafficking in Spain. This study identifies three primary results: (1) The dangers of residential childcare as places of recruitment; (2) The southern European and Spanish border as a place of elevated risk for the recruitment of children; (3) The stereotypes regarding child trafficking make invisible male victims, other types of trafficking for non-sexual purposes, domestic trafficking, and individual trafficking. Therefore, it remains imperative to advance a set of policies that: (i) invest in specific residential childcare resources for child victims either alone or with family members; (ii) invest in smaller residential childcare to prevent abuse; (iii) invest in mentoring programs for children previously under state guardianship; (iv) improve the working conditions and the training of residential childcare staff; (v) increase the visibility and diversity of child trafficking while avoiding stereotypes; (vi) improve the regional coordination; (vii) invest in campaigns to inform children about the dangers involved in running away, exploit</w:t>
      </w:r>
    </w:p>
    <w:p>
      <w:pPr>
        <w:pStyle w:val="Heading2"/>
      </w:pPr>
      <w:r>
        <w:t>700. Shared Socio-economic Pathways for European agriculture and food systems: The Eur-Agri-SSPs</w:t>
      </w:r>
    </w:p>
    <w:p>
      <w:pPr>
        <w:pStyle w:val="SourceNote"/>
      </w:pPr>
      <w:r>
        <w:rPr>
          <w:b/>
        </w:rPr>
        <w:t>Original source (2020):</w:t>
      </w:r>
      <w:r>
        <w:t xml:space="preserve"> https://doi.org/10.1016/j.gloenvcha.2020.102159</w:t>
      </w:r>
    </w:p>
    <w:p>
      <w:pPr/>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POSSIBLE 2024:</w:t>
      </w:r>
      <w:r>
        <w:t xml:space="preserve"> SMaRT M-Seq: an optimized step-by-step protocol for M protein sequencing in monoclonal gammopathies — https://doi.org/10.1093/biomethods/bpae074</w:t>
      </w:r>
    </w:p>
    <w:p>
      <w:pPr/>
      <w:r>
        <w:rPr>
          <w:b/>
        </w:rPr>
        <w:t>Shared claim-specific concepts:</w:t>
      </w:r>
      <w:r>
        <w:t xml:space="preserve"> followed, protocol, approach; EU scope not established. This is a provisional connection, not an outcome finding.</w:t>
      </w:r>
    </w:p>
    <w:p>
      <w:pPr>
        <w:pStyle w:val="SourceNote"/>
      </w:pPr>
      <w:r>
        <w:rPr>
          <w:b/>
        </w:rPr>
        <w:t>Available abstract (not full text):</w:t>
      </w:r>
      <w:r>
        <w:t xml:space="preserve">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pPr/>
      <w:r>
        <w:rPr>
          <w:b/>
        </w:rPr>
        <w:t>POSSIBLE 2023:</w:t>
      </w:r>
      <w:r>
        <w:t xml:space="preserve"> An intelligent extension of the training set for the Persian n-gram language model: an enrichment algorithm — https://doi.org/10.7764/onomazein.61.09</w:t>
      </w:r>
    </w:p>
    <w:p>
      <w:pPr/>
      <w:r>
        <w:rPr>
          <w:b/>
        </w:rPr>
        <w:t>Shared claim-specific concepts:</w:t>
      </w:r>
      <w:r>
        <w:t xml:space="preserve"> extend, set, approach; EU scope not established. This is a provisional connection, not an outcome finding.</w:t>
      </w:r>
    </w:p>
    <w:p>
      <w:pPr>
        <w:pStyle w:val="SourceNote"/>
      </w:pPr>
      <w:r>
        <w:rPr>
          <w:b/>
        </w:rPr>
        <w:t>Available abstract (not full text):</w:t>
      </w:r>
      <w:r>
        <w:t xml:space="preserve"> In this article, we are going to introduce an automatic mechanism to intelligently extend the training set to improve the n-gram language model of Persian. Given the free word-order property in Persian, our enrichment algorithm diversifies n-gram combinations in baseline training data through dependency reordering, adding permissible sentences and filtering ungrammatical sentences using a hybrid empirical (heuristic) and linguistic approach. Experiments performed on baseline training set (taken from a standard Persian corpus) and the resulting enriched training set indicate a declining trend in average relative perplexity (between 34% to 73%) for informal/spoken vs. formal/written Persian test data.</w:t>
      </w:r>
    </w:p>
    <w:p>
      <w:pPr/>
      <w:r>
        <w:rPr>
          <w:b/>
        </w:rPr>
        <w:t>POSSIBLE 2023:</w:t>
      </w:r>
      <w:r>
        <w:t xml:space="preserve"> Population health differences in cross-border regions within the European Union and Schengen area: a protocol for a scoping review — https://doi.org/10.1136/bmjopen-2022-068571</w:t>
      </w:r>
    </w:p>
    <w:p>
      <w:pPr/>
      <w:r>
        <w:rPr>
          <w:b/>
        </w:rPr>
        <w:t>Shared claim-specific concepts:</w:t>
      </w:r>
      <w:r>
        <w:t xml:space="preserve"> protocol, regional, systems; EU scope visible. This is a provisional connection, not an outcome finding.</w:t>
      </w:r>
    </w:p>
    <w:p>
      <w:pPr>
        <w:pStyle w:val="SourceNote"/>
      </w:pPr>
      <w:r>
        <w:rPr>
          <w:b/>
        </w:rPr>
        <w:t>Available abstract (not full text):</w:t>
      </w:r>
      <w:r>
        <w:t xml:space="preserve"> INTRODUCTION: Along with European integration and the harmonisation of living conditions, improvements in health have been observed over the past decades. However, sociospatial inequalities within and across member states still exist today. While drivers of these health inequalities have been widely researched on a national and regional scale, cross-border regions remain understudied. The removal of border controls within the European Union (EU) member states has facilitated economic convergence and created new opportunities, including cross-border cooperation in the healthcare systems. However, whether and how these developments have influenced the population health in the respective cross-border regions is unclear. Hence, this scoping review aims to examine the empirical literature on the changes in health outcomes over time at the population level in EU cross-border areas. Additionally, we aim to identify the type of evidence and available data sources in those studies. Finally, we will determine the research gaps in the literature. METHODS AND ANALYSIS: We will follow the Joanna Briggs Institute methodology for this scoping review. The 'Population-Concept-Context' framework will be used to identify the eligibility criteria. A three-step search strategy will be conducted to find relevant studies in the databases of PubMed, Web of Science, Scopus and EBSCOhost (SocIndex). Add</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providing, regional;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Multicentre evaluation of a selective isolation protocol for detection of mcr-positive E. coli and Salmonella spp. in food-producing animals and meat — https://doi.org/10.1111/lam.13717</w:t>
      </w:r>
    </w:p>
    <w:p>
      <w:pPr/>
      <w:r>
        <w:rPr>
          <w:b/>
        </w:rPr>
        <w:t>Shared claim-specific concepts:</w:t>
      </w:r>
      <w:r>
        <w:t xml:space="preserve"> followed, protocol, food, approach; EU scope visible. This is a provisional connection, not an outcome finding.</w:t>
      </w:r>
    </w:p>
    <w:p>
      <w:pPr>
        <w:pStyle w:val="SourceNote"/>
      </w:pPr>
      <w:r>
        <w:rPr>
          <w:b/>
        </w:rPr>
        <w:t>Available abstract (not full text):</w:t>
      </w:r>
      <w:r>
        <w:t xml:space="preserve">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pPr/>
      <w:r>
        <w:rPr>
          <w:b/>
        </w:rPr>
        <w:t>POSSIBLE 2022:</w:t>
      </w:r>
      <w:r>
        <w:t xml:space="preserve"> Implementation of a pan-European ecosystem and an interoperable platform for Smart and Healthy Ageing in Europe: An Innovation Action research protocol — https://doi.org/10.12688/openreseurope.14827.1</w:t>
      </w:r>
    </w:p>
    <w:p>
      <w:pPr/>
      <w:r>
        <w:rPr>
          <w:b/>
        </w:rPr>
        <w:t>Shared claim-specific concepts:</w:t>
      </w:r>
      <w:r>
        <w:t xml:space="preserve"> protocol, set, systems, approach; EU scope visible. This is a provisional connection, not an outcome finding.</w:t>
      </w:r>
    </w:p>
    <w:p>
      <w:pPr>
        <w:pStyle w:val="SourceNote"/>
      </w:pPr>
      <w:r>
        <w:rPr>
          <w:b/>
        </w:rPr>
        <w:t>Available abstract (not full text):</w:t>
      </w:r>
      <w:r>
        <w:t xml:space="preserve">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pPr/>
      <w:r>
        <w:rPr>
          <w:b/>
        </w:rPr>
        <w:t>POSSIBLE 2022:</w:t>
      </w:r>
      <w:r>
        <w:t xml:space="preserve"> Stepped care management of insomnia co-occurring with sleep apnea: the AIR study protocol — https://doi.org/10.1186/s13063-022-06753-4</w:t>
      </w:r>
    </w:p>
    <w:p>
      <w:pPr/>
      <w:r>
        <w:rPr>
          <w:b/>
        </w:rPr>
        <w:t>Shared claim-specific concepts:</w:t>
      </w:r>
      <w:r>
        <w:t xml:space="preserve"> protocol, providing, approach; EU scope not established. This is a provisional connection, not an outcome finding.</w:t>
      </w:r>
    </w:p>
    <w:p>
      <w:pPr>
        <w:pStyle w:val="SourceNote"/>
      </w:pPr>
      <w:r>
        <w:rPr>
          <w:b/>
        </w:rPr>
        <w:t>Available abstract (not full text):</w:t>
      </w:r>
      <w:r>
        <w:t xml:space="preserve">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r>
        <w:rPr>
          <w:b/>
        </w:rPr>
        <w:t>POSSIBLE 2022:</w:t>
      </w:r>
      <w:r>
        <w:t xml:space="preserve"> SME patenting - an empirical analysis in nine countries — https://doi.org/10.24406/publica-fhg-296539</w:t>
      </w:r>
    </w:p>
    <w:p>
      <w:pPr/>
      <w:r>
        <w:rPr>
          <w:b/>
        </w:rPr>
        <w:t>Shared claim-specific concepts:</w:t>
      </w:r>
      <w:r>
        <w:t xml:space="preserve"> set, detail, systems; EU scope not established. This is a provisional connection, not an outcome finding.</w:t>
      </w:r>
    </w:p>
    <w:p>
      <w:pPr>
        <w:pStyle w:val="SourceNote"/>
      </w:pPr>
      <w:r>
        <w:rPr>
          <w:b/>
        </w:rPr>
        <w:t>Available abstract (not full text):</w:t>
      </w:r>
      <w:r>
        <w:t xml:space="preserve"> Empirical evidence shows that the distribution of patent applications is highly skewed in terms of company size, with a few large enterprises being responsible for the majority of patent applications. Small and medium-sized enterprises (SMEs), on the other hand, are important players in national innovation systems and are the subject of policy sup-port in many countries. Thus, this study examines the participation rate of SMEs in patenting activities in more detail, differentiating SME patent filings by country and technology area. The analyses are based on a unique, integrated and enriched patent data set of nearly 1.2 million patent applications, built upon PATSTAT data, separating companies into SMEs and large enterprises. The results of descriptive and multivariate analyses reveal that SMEs file fewer interna-tional patents than multinational enterprises (MNEs). However, those SMEs which are active internationally even outperform their larger counterparts in terms of international-ization. It can further be observed that SMEs are more active in emerging technologies, have smaller inventor teams and smaller family sizes on average. Furthermore, patents filed by SMEs are withdrawn more frequently but refused less often. Patents of large firms, on the other hand, have a higher chance of being granted and are cited more frequently.</w:t>
      </w:r>
    </w:p>
    <w:p>
      <w:pPr/>
      <w:r>
        <w:rPr>
          <w:b/>
        </w:rPr>
        <w:t>POSSIBLE 2022:</w:t>
      </w:r>
      <w:r>
        <w:t xml:space="preserve"> Potential impact of four invasive alien plants on the provision of ecosystem services in Europe under present and future climatic scenarios — https://doi.org/10.1016/j.ecoser.2022.101459</w:t>
      </w:r>
    </w:p>
    <w:p>
      <w:pPr/>
      <w:r>
        <w:rPr>
          <w:b/>
        </w:rPr>
        <w:t>Shared claim-specific concepts:</w:t>
      </w:r>
      <w:r>
        <w:t xml:space="preserve"> protocol, socio-economic, food; EU scope visible. This is a provisional connection, not an outcome finding.</w:t>
      </w:r>
    </w:p>
    <w:p>
      <w:pPr>
        <w:pStyle w:val="SourceNote"/>
      </w:pPr>
      <w:r>
        <w:rPr>
          <w:b/>
        </w:rPr>
        <w:t>Available abstract (not full text):</w:t>
      </w:r>
      <w:r>
        <w:t xml:space="preserve"> Invasive alien species (IAS) are one of the main threats to biodiversity conservation, with significant socio-economic and ecological impacts as they disrupt ecosystem services and compromise human well-being. Global change may exacerbate the impacts of IAS, since rising temperatures and human activities favour their introduction and range expansion. Therefore, anticipating the impacts of biological invasions is crucial to support decision-making for their management. In this work, the potential impacts of four invasive alien plant species: Ailanthus altissima, Baccharis halimifolia, Impatiens glandulifera and Pueraria montana, on the provision of three ecosystem services in Europe were evaluated under current and future climate change scenarios. Using a risk analysis protocol, we determined that the most affected services are food provisioning, soil erosion regulation and the maintenance of biological diversity. To evaluate future impacts, species distribution models were calibrated using bioclimatic, environmental and human impact variables. We found that most of continental Europe is suitable for the establishment of A. altissima, B. halimifolia and I. glandulifera, while the potential distribution of P. montana is more limited. Models anticipate a shift in the distribution range for the species towards the north and east of Europe under future scenarios. Bivariate analysis </w:t>
      </w:r>
    </w:p>
    <w:p>
      <w:pPr/>
      <w:r>
        <w:rPr>
          <w:b/>
        </w:rPr>
        <w:t>POSSIBLE 2022:</w:t>
      </w:r>
      <w:r>
        <w:t xml:space="preserve"> A study protocol of the adaptation and evaluation by means of a cluster-RCT of an integrated workplace health promotion program based on a European good practice — https://doi.org/10.1186/s12889-022-13352-0</w:t>
      </w:r>
    </w:p>
    <w:p>
      <w:pPr/>
      <w:r>
        <w:rPr>
          <w:b/>
        </w:rPr>
        <w:t>Shared claim-specific concepts:</w:t>
      </w:r>
      <w:r>
        <w:t xml:space="preserve"> followed, protocol, approach; EU scope visible. This is a provisional connection, not an outcome finding.</w:t>
      </w:r>
    </w:p>
    <w:p>
      <w:pPr>
        <w:pStyle w:val="SourceNote"/>
      </w:pPr>
      <w:r>
        <w:rPr>
          <w:b/>
        </w:rPr>
        <w:t>Available abstract (not full text):</w:t>
      </w:r>
      <w:r>
        <w:t xml:space="preserve"> BACKGROUND: An integrated workplace health promotion program (WHPP) which targets multiple lifestyle factors at different levels (individual and organizational) is potentially more effective than a single component WHPP. The aim of this study is to describe the protocol of a study to tailor a European good practice of such an integral approach to the Dutch context and to evaluate its effectiveness and implementation. METHODS: This study consists of two components. First, the five steps of the Map of Adaptation Process (MAP) will be followed to tailor the Lombardy WHP to the Dutch context. Both the employers and employees will be actively involved in this process. Second, the effectiveness of the integrated Dutch WHPP will be evaluated in a clustered randomized controlled trial (C-RCT) with measurements at baseline, 6 months and 12 months. Clusters will be composed based on working locations or units - dependent on the organization's structure and randomization within each organization takes place after baseline measurements. Primary outcome will be a combined lifestyle score. Secondary outcomes will be the separate lifestyle behaviors targeted, stress, work-life balance, need for recovery, general health, and well-being. Simultaneously, a process evaluation will be conducted. The study population will consist of employees from multiple organizations in different industry sector</w:t>
      </w:r>
    </w:p>
    <w:p>
      <w:pPr/>
      <w:r>
        <w:rPr>
          <w:b/>
        </w:rPr>
        <w:t>POSSIBLE 2021:</w:t>
      </w:r>
      <w:r>
        <w:t xml:space="preserve"> Comparison of Two Experimental Mouse Dry Eye Models through Inflammatory Gene Set Enrichment Analysis Based on a Multiplexed Transcriptomic Approach — https://doi.org/10.3390/ijms221910770</w:t>
      </w:r>
    </w:p>
    <w:p>
      <w:pPr/>
      <w:r>
        <w:rPr>
          <w:b/>
        </w:rPr>
        <w:t>Shared claim-specific concepts:</w:t>
      </w:r>
      <w:r>
        <w:t xml:space="preserve"> set, pathways, approach; EU scope not established. This is a provisional connection, not an outcome finding.</w:t>
      </w:r>
    </w:p>
    <w:p>
      <w:pPr>
        <w:pStyle w:val="SourceNote"/>
      </w:pPr>
      <w:r>
        <w:rPr>
          <w:b/>
        </w:rPr>
        <w:t>Available abstract (not full text):</w:t>
      </w:r>
      <w:r>
        <w:t xml:space="preserve"> The goal of this study was to explore the specific signaling pathways related to inflammation in two experimental mouse dry eye (EDE) models. Female C57BL/6 mice housed for 10 days in a controlled desiccative environment were either treated with scopolamine (EDE-1; n = 18) or subjected to extraorbital lacrimal gland excision bilaterally (EDE-2; n = 10). Non-induced mice (n = 20) served as healthy controls. A corneal fluorescein staining (CFS) scoring was used at baseline through to day (D) 10 to evaluate epitheliopathy. At D10, corneas and conjunctivas were collected for multiplexed transcriptomic analysis with the NanoString® mouse inflammatory CodeSet. Both EDE-1 and EDE-2 mice presented a change in corneal integrity, with a significant increase in CFS scores at D10. More gene transcripts were identified in EDE-2 compared with EDE-1 (116 vs. 96, respectively), and only a few were common to both models, 13 for the cornea and 6 for the conjunctiva. The gene functional annotation analysis revealed that the same inflammatory pathways were involved in both models. Comparative profiling of gene expression in the two EDE models leads to the identification of various targets and signaling pathways, which can be extrapolated to and confirmed in human disease.</w:t>
      </w:r>
    </w:p>
    <w:p>
      <w:pPr/>
      <w:r>
        <w:rPr>
          <w:b/>
        </w:rPr>
        <w:t>POSSIBLE 2021:</w:t>
      </w:r>
      <w:r>
        <w:t xml:space="preserve"> A European aerosol phenomenology - 7: High-time resolution chemical characteristics of submicron particulate matter across Europe — https://doi.org/10.1016/j.aeaoa.2021.100108</w:t>
      </w:r>
    </w:p>
    <w:p>
      <w:pPr/>
      <w:r>
        <w:rPr>
          <w:b/>
        </w:rPr>
        <w:t>Shared claim-specific concepts:</w:t>
      </w:r>
      <w:r>
        <w:t xml:space="preserve"> followed, set, regional; EU scope visible. This is a provisional connection, not an outcome finding.</w:t>
      </w:r>
    </w:p>
    <w:p>
      <w:pPr>
        <w:pStyle w:val="SourceNote"/>
      </w:pPr>
      <w:r>
        <w:rPr>
          <w:b/>
        </w:rPr>
        <w:t>Available abstract (not full text):</w:t>
      </w:r>
      <w:r>
        <w:t xml:space="preserve"> Similarities and differences in the submicron atmospheric aerosol chemical composition are analyzed from a unique set of measurements performed at 21 sites across Europe for at least one year. These sites are located between 35 and 62°N and 10° W – 26°E, and represent various types of settings (remote, coastal, rural, industrial, urban). Measurements were all carried out on-line with a 30-min time resolution using mass spectroscopy based instruments known as Aerosol Chemical Speciation Monitors (ACSM) and Aerosol Mass Spectrometers (AMS) and following common measurement guidelines. Data regarding organics, sulfate, nitrate and ammonium concentrations, as well as the sum of them called non-refractory submicron aerosol mass concentration ([NR-PM1]) are discussed. NR-PM1 concentrations generally increase from remote to urban sites. They are mostly larger in the mid-latitude band than in southern and northern Europe. On average, organics account for the major part (36–64%) of NR-PM1 followed by sulfate (12–44%) and nitrate (6–35%). The annual mean chemical composition of NR-PM1 at rural (or regional background) sites and urban background sites are very similar. Considering rural and regional background sites only, nitrate contribution is higher and sulfate contribution is lower in mid-latitude Europe compared to northern and southern Europe. Large seasonal variations in concentrati</w:t>
      </w:r>
    </w:p>
    <w:p>
      <w:pPr>
        <w:pStyle w:val="Heading2"/>
      </w:pPr>
      <w:r>
        <w:t>701. Socio-technical transitions in UK electricity: part 1 – history, actors and pathways</w:t>
      </w:r>
    </w:p>
    <w:p>
      <w:pPr>
        <w:pStyle w:val="SourceNote"/>
      </w:pPr>
      <w:r>
        <w:rPr>
          <w:b/>
        </w:rPr>
        <w:t>Original source (2020):</w:t>
      </w:r>
      <w:r>
        <w:t xml:space="preserve"> https://doi.org/10.1680/jener.19.00051</w:t>
      </w:r>
    </w:p>
    <w:p>
      <w:pPr/>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POSSIBLE 2026:</w:t>
      </w:r>
      <w:r>
        <w:t xml:space="preserve"> Gender Norms and Leadership Exclusion with a Focus on Women’s Pathways to Power in Southern Nigeria — https://openalex.org/W7216889169</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pPr/>
      <w:r>
        <w:rPr>
          <w:b/>
        </w:rPr>
        <w:t>POSSIBLE 2026:</w:t>
      </w:r>
      <w:r>
        <w:t xml:space="preserve"> The G20 in Focus: An Anthology of African Analyses, Priorities, and Pathways — https://doi.org/10.36615/9781997468950</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pPr/>
      <w:r>
        <w:rPr>
          <w:b/>
        </w:rPr>
        <w:t>POSSIBLE 2026:</w:t>
      </w:r>
      <w:r>
        <w:t xml:space="preserve"> The Kynurenine Pathway in Tuberculosis: Focus on Immunometabolic Regulation, Compartment-Specific Biology, and Therapeutic Potential — https://doi.org/10.3390/life16081350</w:t>
      </w:r>
    </w:p>
    <w:p>
      <w:pPr/>
      <w:r>
        <w:rPr>
          <w:b/>
        </w:rPr>
        <w:t>Shared claim-specific concepts:</w:t>
      </w:r>
      <w:r>
        <w:t xml:space="preserve"> pathways, focus, including, potential, assessment; EU scope not established. This is a provisional connection, not an outcome finding.</w:t>
      </w:r>
    </w:p>
    <w:p>
      <w:pPr>
        <w:pStyle w:val="SourceNote"/>
      </w:pPr>
      <w:r>
        <w:rPr>
          <w:b/>
        </w:rPr>
        <w:t>Available abstract (not full text):</w:t>
      </w:r>
      <w:r>
        <w:t xml:space="preserve"> Tuberculosis (TB) remains a global health problem, and attention is focused on host immunometabolic pathways influencing antimicrobial immunity, tissue injury, and treatment response. This comprehensive review integrates evidence on the kynurenine pathway (KP) of tryptophan (TRP) metabolism in TB and evaluates its potential as a host-directed therapeutic target. Evidence from human cohorts, in vitro systems, animal models, and non-human primates indicates that Mycobacterium tuberculosis activates the KP across myeloid, antigen-presenting, non-hematopoietic lung, granulomatous, pleural, and central nervous system compartments. KP activation is shaped by interferon-γ signaling, mycobacterial burden, infection duration, strain virulence, and host regulatory mechanisms. Increased indoleamine 2,3-dioxygenase-related (IDO) activity, TRP depletion, kynurenine accumulation, and kynurenine–aryl hydrocarbon receptor (AhR) signaling are associated with impaired T-cell proliferation and recruitment, suppressive myeloid phenotypes, and spatially restricted immunoregulatory niches within granulomas. Accumulated data indicate context-dependent protective effects of the KP manipulations, through restriction of excessive inflammation. Furthermore, the KP-related changes may have biomarker value. Integrated assessment of enzyme expression, kynurenine-to-tryptophan ratio (K/T ratio), downstream m</w:t>
      </w:r>
    </w:p>
    <w:p>
      <w:pPr/>
      <w:r>
        <w:rPr>
          <w:b/>
        </w:rPr>
        <w:t>POSSIBLE 2026:</w:t>
      </w:r>
      <w:r>
        <w:t xml:space="preserve"> Decarbonization Pathways for Offshore Oil Power Systems: The Case of Saudi Arabia — https://doi.org/10.30573/ks--2026-dp24</w:t>
      </w:r>
    </w:p>
    <w:p>
      <w:pPr/>
      <w:r>
        <w:rPr>
          <w:b/>
        </w:rPr>
        <w:t>Shared claim-specific concepts:</w:t>
      </w:r>
      <w:r>
        <w:t xml:space="preserve"> pathways, focus, power, assessment; EU scope not established. This is a provisional connection, not an outcome finding.</w:t>
      </w:r>
    </w:p>
    <w:p>
      <w:pPr>
        <w:pStyle w:val="SourceNote"/>
      </w:pPr>
      <w:r>
        <w:rPr>
          <w:b/>
        </w:rPr>
        <w:t>Available abstract (not full text):</w:t>
      </w:r>
      <w:r>
        <w:t xml:space="preserve"> Decarbonizing offshore oil production platforms is a viable option to lower product-level carbon intensity, which is increasingly linked to market access and long-term competitiveness. This study provides a techno-economic assessment of alternative low-carbon power supply pathways for offshore oil platform operations, with a focus on major offshore fields operated by Saudi Aramco. We develop KAPSARC Offshore Oil and Gas Power Load (KAP-LOAD) – a physics-based, bottom-up framework that constructs field-specific electrical demand profiles from core offshore processes.</w:t>
      </w:r>
    </w:p>
    <w:p>
      <w:pPr/>
      <w:r>
        <w:rPr>
          <w:b/>
        </w:rPr>
        <w:t>POSSIBLE 2026:</w:t>
      </w:r>
      <w:r>
        <w:t xml:space="preserve"> Synchronization Pathways and Resilience in Power Grids — https://doi.org/10.48550/arxiv.2609.00910</w:t>
      </w:r>
    </w:p>
    <w:p>
      <w:pPr/>
      <w:r>
        <w:rPr>
          <w:b/>
        </w:rPr>
        <w:t>Shared claim-specific concepts:</w:t>
      </w:r>
      <w:r>
        <w:t xml:space="preserve"> pathways, power, potential; EU scope visible. This is a provisional connection, not an outcome finding.</w:t>
      </w:r>
    </w:p>
    <w:p>
      <w:pPr>
        <w:pStyle w:val="SourceNote"/>
      </w:pPr>
      <w:r>
        <w:rPr>
          <w:b/>
        </w:rPr>
        <w:t>Available abstract (not full text):</w:t>
      </w:r>
      <w:r>
        <w:t xml:space="preserve"> Ensuring a sustainable energy supply requires maintaining power-grid stability. Rotor dynamics are governed by the swing equation, which takes the form of a second-order Kuramoto model with a correlation between power and total coupling strength. Yet the microscopic mechanisms that nucleate and propagate synchronized clusters remain poorly understood. Using a minimal model motivated by empirical grid data and the \Adhoc potential method, we reveal two distinct seed cluster types and propagation pathways: a population-driven seed cluster at the center of the power distribution propagating to its tails by rotor accretion, and, for a symmetric distribution, coupling-driven seed clusters at its tails propagating inward to the center by cluster merger. These differences generate distinct order-parameter patterns, while inertia controls whether the seed clusters persist with distinct angular velocities. The same propagation pathways also govern recovery following external disturbances. We further confirm that the same selection--persistence rule holds in data-derived annealed representations of European power grids. Therefore, our results can inform strategies for sustaining stable power-grid operation. More generally, our pathway-based framework reframes synchronization by emphasizing the dynamics of cluster formation and recovery rather than relying solely on static criteria.</w:t>
      </w:r>
    </w:p>
    <w:p>
      <w:pPr/>
      <w:r>
        <w:rPr>
          <w:b/>
        </w:rPr>
        <w:t>POSSIBLE 2026:</w:t>
      </w:r>
      <w:r>
        <w:t xml:space="preserve"> Hydrogen-Based Energy Storage in Power Grids: A Pathway to Renewable Integration and Decarbonization — https://doi.org/10.1007/978-981-95-8142-9_7</w:t>
      </w:r>
    </w:p>
    <w:p>
      <w:pPr/>
      <w:r>
        <w:rPr>
          <w:b/>
        </w:rPr>
        <w:t>Shared claim-specific concepts:</w:t>
      </w:r>
      <w:r>
        <w:t xml:space="preserve"> pathways, power, potential, electricity, heating; EU scope not established. This is a provisional connection, not an outcome finding.</w:t>
      </w:r>
    </w:p>
    <w:p>
      <w:pPr>
        <w:pStyle w:val="SourceNote"/>
      </w:pPr>
      <w:r>
        <w:rPr>
          <w:b/>
        </w:rPr>
        <w:t>Available abstract (not full text):</w:t>
      </w:r>
      <w:r>
        <w:t xml:space="preserve"> The rapid expansion of variable renewable energy sources such as wind and solar has introduced significant challenges to power grid stability, flexibility, and reliability. Energy storage technologies are therefore essential to enable large-scale renewable integration and deep decarbonization of electricity systems. Among the available options, hydrogen-based energy storage has emerged as a promising long-duration and seasonal storage solution due to its high energy density, scalability, and cross-sector coupling potential. This chapter examines the role of hydrogen as an energy carrier within modern power grids, focusing on power-to-hydrogen-to-power pathways enabled by electrolysis, hydrogen storage, and reconversion through fuel cells or hydrogen-fueled turbines. Key technological components, system architectures, and integration strategies are critically reviewed, along with operational, economic, and infrastructure-related challenges. The chapter further explores the contribution of hydrogen-based storage to grid flexibility, renewable curtailment reduction, and emissions mitigation, highlighting its synergies with transportation, industry, and heating sectors. Policy frameworks, market mechanisms, and future research directions necessary for large-scale deployment are also discussed. Overall, hydrogen-based energy storage is presented as a pivotal enabler for achieving re</w:t>
      </w:r>
    </w:p>
    <w:p>
      <w:pPr/>
      <w:r>
        <w:rPr>
          <w:b/>
        </w:rPr>
        <w:t>POSSIBLE 2026:</w:t>
      </w:r>
      <w:r>
        <w:t xml:space="preserve"> Analysis of the energy efficiency of ammonia utilization as a decarbonization pathway in thermal power generation — https://doi.org/10.1016/j.cles.2026.100255</w:t>
      </w:r>
    </w:p>
    <w:p>
      <w:pPr/>
      <w:r>
        <w:rPr>
          <w:b/>
        </w:rPr>
        <w:t>Shared claim-specific concepts:</w:t>
      </w:r>
      <w:r>
        <w:t xml:space="preserve"> pathways, power, transport, terms, performance; EU scope not established. This is a provisional connection, not an outcome finding.</w:t>
      </w:r>
    </w:p>
    <w:p>
      <w:pPr>
        <w:pStyle w:val="SourceNote"/>
      </w:pPr>
      <w:r>
        <w:rPr>
          <w:b/>
        </w:rPr>
        <w:t>Available abstract (not full text):</w:t>
      </w:r>
      <w:r>
        <w:t xml:space="preserve"> Ammonia is being considered a promising option for decarbonizing thermal power generation. The feasibility of ammonia deployment is often discussed in economic terms. However, the assumptions underlying cost estimation may be ambiguous. To address the ambiguity inherent in cost estimation, this paper uses “energy efficiency” for system comparison, together with engineering characteristics, to evaluate the feasibility of deploying ammonia. The entire process, from the supply of energy in a resource-rich country through marine transport to power generation in an energy-importing country, is modeled for ammonia, coal, and liquefied natural gas (LNG), assuming that CO 2 is captured and stored underground within the system. The results indicate that while ammonia can support decarbonization as a coal alternative, under the assumed modeling conditions, LNG with carbon capture and storage (CCS) exhibits the highest system energy efficiency. Sensitivity analysis reveals that ammonia synthesis efficiency is the primary lever for improving the total chain performance, followed by power generation efficiency, whereas transport distance and injection pressure have minimal impacts. Focusing on carbon-based emissions, ammonia could compete with coal if synthesis efficiency increases by 20% alongside high thermal efficiency. However, energy efficiency is an engineering indicator and does not </w:t>
      </w:r>
    </w:p>
    <w:p>
      <w:pPr/>
      <w:r>
        <w:rPr>
          <w:b/>
        </w:rPr>
        <w:t>POSSIBLE 2026:</w:t>
      </w:r>
      <w:r>
        <w:t xml:space="preserve"> REMIND-PyPSA-Eur: integrating power system flexibility into sector-coupled energy transition pathways — https://doi.org/10.1088/2516-1083/ae3ffe</w:t>
      </w:r>
    </w:p>
    <w:p>
      <w:pPr/>
      <w:r>
        <w:rPr>
          <w:b/>
        </w:rPr>
        <w:t>Shared claim-specific concepts:</w:t>
      </w:r>
      <w:r>
        <w:t xml:space="preserve"> pathways, power, sector, electricity, transport, all; EU scope visible. This is a provisional connection, not an outcome finding.</w:t>
      </w:r>
    </w:p>
    <w:p>
      <w:pPr>
        <w:pStyle w:val="SourceNote"/>
      </w:pPr>
      <w:r>
        <w:rPr>
          <w:b/>
        </w:rPr>
        <w:t>Available abstract (not full text):</w:t>
      </w:r>
      <w:r>
        <w:t xml:space="preserve"> Abstract The rapid expansion of low-cost renewable electricity combined with end-use electrification in transport, industry, and buildings offers a promising path to deep decarbonisation. However, aligning variable supply with demand requires strategies for daily and seasonal balancing. Existing models either lack the wide scope required for long-term transition pathways or the spatio-temporal detail to capture power system variability and flexibility. Here, we combine the complementary strengths of REMIND, a long-term integrated assessment model, and PyPSA-Eur, an hourly energy system model, through a bi-directional, price-based and iterative soft coupling. REMIND provides pathway variables such as sectoral electricity demand, installed capacities, and costs to PyPSA-Eur, which returns optimised operational variables such as capacity factors, storage requirements, and relative prices. After sufficient convergence, this integrated approach jointly optimises long-term investment and short-term operation. We demonstrate the coupling for two Germany-focused scenarios, with and without demand-side flexibility, reaching climate neutrality by 2045. Our results confirm that a sector-coupled energy system with nearly 100% renewable electricity is technically possible and economically viable. Power system flexibility influences long-term pathways through price differentiation: supply-si</w:t>
      </w:r>
    </w:p>
    <w:p>
      <w:pPr/>
      <w:r>
        <w:rPr>
          <w:b/>
        </w:rPr>
        <w:t>POSSIBLE 2026:</w:t>
      </w:r>
      <w:r>
        <w:t xml:space="preserve"> Pathways to climate-resilient cocoa: is solar-powered Irrigation-as-a-Service a viable adaptation strategy? — https://openalex.org/W7199631403</w:t>
      </w:r>
    </w:p>
    <w:p>
      <w:pPr/>
      <w:r>
        <w:rPr>
          <w:b/>
        </w:rPr>
        <w:t>Shared claim-specific concepts:</w:t>
      </w:r>
      <w:r>
        <w:t xml:space="preserve"> pathways, focus, sector, environmental; EU scope not established. This is a provisional connection, not an outcome finding.</w:t>
      </w:r>
    </w:p>
    <w:p>
      <w:pPr>
        <w:pStyle w:val="SourceNote"/>
      </w:pPr>
      <w:r>
        <w:rPr>
          <w:b/>
        </w:rPr>
        <w:t>Available abstract (not full text):</w:t>
      </w:r>
      <w:r>
        <w:t xml:space="preserve"> This study examines smallholder farmers’ perceptions and the enabling conditions for adopting irrigation in Ghana’s cocoa sector, specifically focusing on solar-powered Irrigation-as-a-Service (IAS). Research was conducted in the Eastern, Ashanti, and Central regions using a qualitative design involving focus groups and interviews with farmers, cooperative leaders, and agricultural officials. The analysis centers on six themes: climate impacts, irrigation technology perceptions, existing IAS models, the viability of solar-powered bundles, financing, and adoption barriers. Findings reveal that erratic rainfall, prolonged dry spells, and rising temperatures are severely disrupting production, leading to yield declines and income instability. Consequently, farmers increasingly view irrigation as a critical adaptation strategy. However, access remains constrained by high capital costs, weak institutional support, and limited technical knowledge. While farmers show strong enthusiasm for solar-powered systems—valuing their low operating costs and alignment with clean energy—implementation is hindered by financing challenges, maintenance issues, and insecure land tenure. Regional dynamics vary: Eastern Region farmers have more exposure to irrigation initiatives; Ashanti farmers demonstrate stronger interest in collective ownership through cooperatives; and in the Central Region, illeg</w:t>
      </w:r>
    </w:p>
    <w:p>
      <w:pPr/>
      <w:r>
        <w:rPr>
          <w:b/>
        </w:rPr>
        <w:t>POSSIBLE 2026:</w:t>
      </w:r>
      <w:r>
        <w:t xml:space="preserve"> Ukraine’s wartime power system: damage, resilience, and pathways for renewable recovery — https://doi.org/10.1186/s13705-026-00597-5</w:t>
      </w:r>
    </w:p>
    <w:p>
      <w:pPr/>
      <w:r>
        <w:rPr>
          <w:b/>
        </w:rPr>
        <w:t>Shared claim-specific concepts:</w:t>
      </w:r>
      <w:r>
        <w:t xml:space="preserve"> pathways, focus, power, electricity, environmental, assessment; EU scope visible. This is a provisional connection, not an outcome finding.</w:t>
      </w:r>
    </w:p>
    <w:p>
      <w:pPr>
        <w:pStyle w:val="SourceNote"/>
      </w:pPr>
      <w:r>
        <w:rPr>
          <w:b/>
        </w:rPr>
        <w:t>Available abstract (not full text):</w:t>
      </w:r>
      <w:r>
        <w:t xml:space="preserve"> Abstract Background The war in Ukraine has caused severe damage to the national power grid, significantly impacting social welfare through the loss of electricity for civilian households, healthcare, and water supply infrastructure. This study examines the urgent need for a sustainable recovery that integrates energy security with European Union decarbonization objectives and environmental resilience. The novelty lies in linking real-time wartime outage dynamics with empirically grounded decentralized recovery pathways, offering a framework to “build back better” under active conflict. The purpose is to evaluate the conditions under which a centralized energy system can be reconstructed to reduce military vulnerability while remaining compatible with long-term climate goals. Methods The study applied an integrated analytical approach by adapting internationally recognized Recovery and Peacebuilding Assessment and Rapid Damage and Needs Assessment frameworks to an active-war context. Data were synthesized from over 100 verified sources supplemented by Geographic Information System based mapping to visualize damage intensity across 24 administrative regions. The analysis relies on cross-referencing state reports with international assessments. Results Findings show that Ukraine’s effective electricity generation capacity fell by approximately 61% by late 2023 (from 36.0 GW to 13.</w:t>
      </w:r>
    </w:p>
    <w:p>
      <w:pPr/>
      <w:r>
        <w:rPr>
          <w:b/>
        </w:rPr>
        <w:t>POSSIBLE 2026:</w:t>
      </w:r>
      <w:r>
        <w:t xml:space="preserve"> Expanding participation in computing: Navigating power and privilege on the pathway to a computer science degree — https://doi.org/10.7282/t3-4c70-v602</w:t>
      </w:r>
    </w:p>
    <w:p>
      <w:pPr/>
      <w:r>
        <w:rPr>
          <w:b/>
        </w:rPr>
        <w:t>Shared claim-specific concepts:</w:t>
      </w:r>
      <w:r>
        <w:t xml:space="preserve"> pathways, power, use, three; EU scope not established. This is a provisional connection, not an outcome finding.</w:t>
      </w:r>
    </w:p>
    <w:p>
      <w:pPr>
        <w:pStyle w:val="SourceNote"/>
      </w:pPr>
      <w:r>
        <w:rPr>
          <w:b/>
        </w:rPr>
        <w:t>Available abstract (not full text):</w:t>
      </w:r>
      <w:r>
        <w:t xml:space="preserve"> Until recently, a great deal of public and private investment focused on expanding participation in the computing education and workforce, focusing on women and other groups who are minoritized in the U.S. So far solutions have included coding clubs for kids, initiatives to increase participation in high school courses, and efforts that improve undergraduate computer science curricula to increase retention and recruitment into degree programs. At the heart of many initiatives is the hope that addressing participation gaps at earlier points in the educational pathway will lead to greater representation of these groups in the computing workforce. The policy framing of the issue has a great deal to do with the solutions and interventions that have been used to solve it. Theories such as the “leaky pipeline,” the chilly climate, and other frameworks have drawn attention to specific aspects of computing pathways and not others, leading to persistent blind spots in our understanding of how inequality is reproduced in computer science, especially at the critically important undergraduate level. These theories have directed our attention to developing educational reforms and supportive curricula without considering how power and privilege are maintained in higher education to exclude those with marginalized identities.The purpose of this study is to contribute to theory that will lead </w:t>
      </w:r>
    </w:p>
    <w:p>
      <w:pPr/>
      <w:r>
        <w:rPr>
          <w:b/>
        </w:rPr>
        <w:t>POSSIBLE 2026:</w:t>
      </w:r>
      <w:r>
        <w:t xml:space="preserve"> Immunomodulatory Phytochemicals in Cancer: Mechanistic Pathways and Translational Potential — https://doi.org/10.1002/cbdv.202502737</w:t>
      </w:r>
    </w:p>
    <w:p>
      <w:pPr/>
      <w:r>
        <w:rPr>
          <w:b/>
        </w:rPr>
        <w:t>Shared claim-specific concepts:</w:t>
      </w:r>
      <w:r>
        <w:t xml:space="preserve"> pathways, focus, including, potential; EU scope not established. This is a provisional connection, not an outcome finding.</w:t>
      </w:r>
    </w:p>
    <w:p>
      <w:pPr>
        <w:pStyle w:val="SourceNote"/>
      </w:pPr>
      <w:r>
        <w:rPr>
          <w:b/>
        </w:rPr>
        <w:t>Available abstract (not full text):</w:t>
      </w:r>
      <w:r>
        <w:t xml:space="preserve"> Cancer development is linked to dysregulated immune surveillance, chronic inflammation, and immunosuppressive signaling within the tumor microenvironment. Emerging evidence suggests that the anticancer effects of naturally occurring phytochemicals are not directly mediated by cytotoxicity but rather by altering key components of both innate and adaptive immunity. Over the last few years, significant progress has been made in understanding the interactions of specific classes of phytochemicals, including polyphenols, flavonoids, alkaloids, and terpenoids, with immune-linked signal transduction mechanisms involved in carcinogenesis. These include the suppression of pro- and anti-inflammatory mediators, the control of immune checkpoint-related pathways, the polarization of tumor-associated macrophages, the enhancement of cytotoxic T-cell and natural killer cell functions, and the suppression of angiogenic and metastatic signaling. Notably, many phytochemicals have demonstrated translational relevance, and some have advanced to later clinical trial phases. This narrative review highlights the recent preclinical, translational, and clinical evidence on the immunomodulatory effects of phytochemicals in cancer prevention and treatment. There is an accentuated focus on mechanistic convergence, the strength of the evidence, and translational potential, and the most frequently targeted i</w:t>
      </w:r>
    </w:p>
    <w:p>
      <w:pPr>
        <w:pStyle w:val="Heading2"/>
      </w:pPr>
      <w:r>
        <w:t>702. Spatial Simulation of Codesigned Land Cover Change Scenarios in New England: Alternative Futures and Their Consequences for Conservation Priorities</w:t>
      </w:r>
    </w:p>
    <w:p>
      <w:pPr>
        <w:pStyle w:val="SourceNote"/>
      </w:pPr>
      <w:r>
        <w:rPr>
          <w:b/>
        </w:rPr>
        <w:t>Original source (2020):</w:t>
      </w:r>
      <w:r>
        <w:t xml:space="preserve"> https://doi.org/10.1029/2019ef001348</w:t>
      </w:r>
    </w:p>
    <w:p>
      <w:pPr/>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POSSIBLE 2026:</w:t>
      </w:r>
      <w:r>
        <w:t xml:space="preserve"> Preparing to Prepare a Manuscript — https://doi.org/10.1097/nur.0000000000000973</w:t>
      </w:r>
    </w:p>
    <w:p>
      <w:pPr/>
      <w:r>
        <w:rPr>
          <w:b/>
        </w:rPr>
        <w:t>Shared claim-specific concepts:</w:t>
      </w:r>
      <w:r>
        <w:t xml:space="preserve"> help, prepare, often; EU scope not established. This is a provisional connection, not an outcome finding.</w:t>
      </w:r>
    </w:p>
    <w:p>
      <w:pPr>
        <w:pStyle w:val="SourceNote"/>
      </w:pPr>
      <w:r>
        <w:rPr>
          <w:b/>
        </w:rPr>
        <w:t>Available abstract (not full text):</w:t>
      </w:r>
      <w:r>
        <w:t xml:space="preserve">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pPr/>
      <w:r>
        <w:rPr>
          <w:b/>
        </w:rPr>
        <w:t>POSSIBLE 2026:</w:t>
      </w:r>
      <w:r>
        <w:t xml:space="preserve"> A Scientist Just Like Me — https://doi.org/10.5539/hes.v16n3p586</w:t>
      </w:r>
    </w:p>
    <w:p>
      <w:pPr/>
      <w:r>
        <w:rPr>
          <w:b/>
        </w:rPr>
        <w:t>Shared claim-specific concepts:</w:t>
      </w:r>
      <w:r>
        <w:t xml:space="preserve"> help, scientists, often, resource; EU scope not established. This is a provisional connection, not an outcome finding.</w:t>
      </w:r>
    </w:p>
    <w:p>
      <w:pPr>
        <w:pStyle w:val="SourceNote"/>
      </w:pPr>
      <w:r>
        <w:rPr>
          <w:b/>
        </w:rPr>
        <w:t>Available abstract (not full text):</w:t>
      </w:r>
      <w:r>
        <w:t xml:space="preserve"> Children’s perceptions of science and scientists are formed at an early age and could influence engagement and confidence in science and future career choices. Unfortunately, these perceptions often remain narrow and stereotyped, particularly portraying scientists as white, male, laboratory‑based and historically distant figures. This paper presents a resource and preliminary evaluation of A Scientist Just Like Me (ASJLM), that aimed to address these misconceptions using diverse, contemporary and relatable science role models. ASJLM seeks to help pupils connect science to their own lives, experiences and values. 64 scientist profiles were developed, representing diversity in gender, ethnicity, disability, discipline, career route and sector. Profile narratives highlight personal interests, career journeys, challenges faced and transferable skills such as curiosity, collaboration and resilience. Preliminary classroom workshops conducted in six UK primary schools with approximately 500 pupils indicate that children initially held strongly gendered and limited views of scientists. Engagement with this resource broadened pupils’ understanding of who scientists are, what they do, and the skills required to work in science, with teachers reporting increased participation and confidence, particularly among girls. Findings suggest that intentional exposure to diverse role models in pri</w:t>
      </w:r>
    </w:p>
    <w:p>
      <w:pPr/>
      <w:r>
        <w:rPr>
          <w:b/>
        </w:rPr>
        <w:t>POSSIBLE 2026:</w:t>
      </w:r>
      <w:r>
        <w:t xml:space="preserve"> Blue Justice: diverging perceptions between coastal planners and fishers in the blue economy — https://doi.org/10.1007/s11625-026-01868-y</w:t>
      </w:r>
    </w:p>
    <w:p>
      <w:pPr/>
      <w:r>
        <w:rPr>
          <w:b/>
        </w:rPr>
        <w:t>Shared claim-specific concepts:</w:t>
      </w:r>
      <w:r>
        <w:t xml:space="preserve"> abstract, planners, often, local; EU scope visible. This is a provisional connection, not an outcome finding.</w:t>
      </w:r>
    </w:p>
    <w:p>
      <w:pPr>
        <w:pStyle w:val="SourceNote"/>
      </w:pPr>
      <w:r>
        <w:rPr>
          <w:b/>
        </w:rPr>
        <w:t>Available abstract (not full text):</w:t>
      </w:r>
      <w:r>
        <w:t xml:space="preserve"> Abstract Growth in blue industries require heightened attention to justice in coastal governance. However, our understanding of different societal groups’ perceptions of justice in the context of the blue economy and coastal governance is limited. To address this gap, we developed a survey instrument to assess justice perceptions for local fisheries and subsequently used this instrument to elicit justice perceptions among coastal planners and three groups of fishers (Indigenous Sami, the Kven national minority and other non-Indigenous). Specifically, we examined perceptions about coastal zone use and decision-making with respect to three key dimensions of justice: distribution (how costs and benefits are distributed), procedure (how decisions are made), and recognition (whether sociocultural diversity is recognised and respected). Based on data from 705 fishers from the three groups and 41 planners across 69 coastal municipalities in Northern Norway, we found significant differences in perceptions of justice between planners and fishers, while the groups of fishers had relatively similar perceptions. Overall, planners tended to have more favorable justice evaluations than fishers. Moreover, planners report knowledge gaps pertaining to how changes in the use of the coastal zone have impacted local fisheries. Our quantitative analysis shows that fishers’ perceptions of injustice </w:t>
      </w:r>
    </w:p>
    <w:p>
      <w:pPr/>
      <w:r>
        <w:rPr>
          <w:b/>
        </w:rPr>
        <w:t>POSSIBLE 2026:</w:t>
      </w:r>
      <w:r>
        <w:t xml:space="preserve"> Can AI Scientists Coordinate at Runtime? — https://doi.org/10.48550/arxiv.2610.00980</w:t>
      </w:r>
    </w:p>
    <w:p>
      <w:pPr/>
      <w:r>
        <w:rPr>
          <w:b/>
        </w:rPr>
        <w:t>Shared claim-specific concepts:</w:t>
      </w:r>
      <w:r>
        <w:t xml:space="preserve"> scientists, four, conditions; EU scope not established. This is a provisional connection, not an outcome finding.</w:t>
      </w:r>
    </w:p>
    <w:p>
      <w:pPr>
        <w:pStyle w:val="SourceNote"/>
      </w:pPr>
      <w:r>
        <w:rPr>
          <w:b/>
        </w:rPr>
        <w:t>Available abstract (not full text):</w:t>
      </w:r>
      <w:r>
        <w:t xml:space="preserve"> Multi-agent AI scientists have shown improving performance across a diverse range of tasks. Yet a common approach is design-time agentic orchestration, which typically relies on fixed workflows. In contrast, human scientists coordinate and adjust their division of labor at runtime. We therefore ask: can AI scientists also coordinate at runtime? To this end, we introduce Runtime Agent Coordination (RAC), which selects agents from existing AI-scientist hosts during execution, assigns scoped work contracts, and provides artifact-grounded verification. Verification informs subsequent agents without blocking transitions or discarding artifacts. We conduct a single-seed exploratory evaluation across Agent Laboratory, EvoScientist, and ARK on ResearchClawBench, preserving host models, tools, and permissions under host-calibrated budgets. Four cumulative conditions separate native execution, runtime communication, runtime selection, and the combined addition of contracts and verification. Runtime selection yields the highest observed mean score for each host; adding contracts and verification reduces these means, with host-dependent outcomes relative to native execution. These results motivate runtime coordination while exposing the limits of additional coordination mechanisms under constrained budgets. Code is available at https://github.com/systemind-team/Runtime-AI-Scientist.</w:t>
      </w:r>
    </w:p>
    <w:p>
      <w:pPr/>
      <w:r>
        <w:rPr>
          <w:b/>
        </w:rPr>
        <w:t>POSSIBLE 2026:</w:t>
      </w:r>
      <w:r>
        <w:t xml:space="preserve"> Preparing Students for Nuclear Science: Identity Development in a Preinternship Course — https://doi.org/10.1021/acsomega.6c08686</w:t>
      </w:r>
    </w:p>
    <w:p>
      <w:pPr/>
      <w:r>
        <w:rPr>
          <w:b/>
        </w:rPr>
        <w:t>Shared claim-specific concepts:</w:t>
      </w:r>
      <w:r>
        <w:t xml:space="preserve"> abstract, help, prepare, engage; EU scope not established. This is a provisional connection, not an outcome finding.</w:t>
      </w:r>
    </w:p>
    <w:p>
      <w:pPr>
        <w:pStyle w:val="SourceNote"/>
      </w:pPr>
      <w:r>
        <w:rPr>
          <w:b/>
        </w:rPr>
        <w:t>Available abstract (not full text):</w:t>
      </w:r>
      <w:r>
        <w:t xml:space="preserve"> Abstract Undergraduate research experiences (UREs) and internships provide students with opportunities to engage in authentic scientific practices, yet less is known about how students are best prepared to enter these intense research environments. This study examined students’ experiences in a nuclear chemistry course designed to prepare them for a summer internship at a national laboratory. Using Hyater-Adams et al.’s Critical Physics Identity framework, adapted to the context of experimental nuclear science, we analyzed semistructured interviews from five undergraduate students. Findings indicate that the instructor, peer cohort, and field trips served as important relational and material resources; however, students did not interpret these resources uniformly. Rather, prior experiences, confidence, and self-doubt shaped how students engaged with and made meaning of shared course experiences. Consequently, the same course structures affected identity development in ways that were unique to each student. The adapted framework provided a lens for understanding how students differentially interpreted ideational, relational, and material resources as they developed identities in relation to nuclear science. These findings suggest that courses designed to prepare students for research experiences should incorporate regular check-ins and mentoring structures that help students nav</w:t>
      </w:r>
    </w:p>
    <w:p>
      <w:pPr/>
      <w:r>
        <w:rPr>
          <w:b/>
        </w:rPr>
        <w:t>POSSIBLE 2026:</w:t>
      </w:r>
      <w:r>
        <w:t xml:space="preserve"> The Left Needs Bureaucrats — https://doi.org/10.1353/dss.2026.a980268</w:t>
      </w:r>
    </w:p>
    <w:p>
      <w:pPr/>
      <w:r>
        <w:rPr>
          <w:b/>
        </w:rPr>
        <w:t>Shared claim-specific concepts:</w:t>
      </w:r>
      <w:r>
        <w:t xml:space="preserve"> abstract, help, planners; EU scope not established. This is a provisional connection, not an outcome finding.</w:t>
      </w:r>
    </w:p>
    <w:p>
      <w:pPr>
        <w:pStyle w:val="SourceNote"/>
      </w:pPr>
      <w:r>
        <w:rPr>
          <w:b/>
        </w:rPr>
        <w:t>Available abstract (not full text):</w:t>
      </w:r>
      <w:r>
        <w:t xml:space="preserve"> ABSTRACT: With Zohran Mamdani’s ascent to Gracie Mansion, a democratic socialist is now chief executive for the largest municipal bureaucracy in the United States, meaning that he oversees the daily activities of roughly 300,000 employees. Most of these employees are what the political scientist Michael Lipsky called “street-level bureaucrats”: the teachers, firefighters, cops, bus drivers, and others whose jobs put them into direct and regular contact with civilians. But they also include the urban planners, economists, analysts, and administrators who operate behind the scenes and at the higher echelons of city government: the people who help write the city’s budget, study traffic patterns, and run grant and incentive programs.</w:t>
      </w:r>
    </w:p>
    <w:p>
      <w:pPr/>
      <w:r>
        <w:rPr>
          <w:b/>
        </w:rPr>
        <w:t>POSSIBLE 2026:</w:t>
      </w:r>
      <w:r>
        <w:t xml:space="preserve"> Educational strategies for preparing nurse practitioners for rural practice — https://doi.org/10.1097/jxx.0000000000001357</w:t>
      </w:r>
    </w:p>
    <w:p>
      <w:pPr/>
      <w:r>
        <w:rPr>
          <w:b/>
        </w:rPr>
        <w:t>Shared claim-specific concepts:</w:t>
      </w:r>
      <w:r>
        <w:t xml:space="preserve"> abstract, help, often; EU scope not established. This is a provisional connection, not an outcome finding.</w:t>
      </w:r>
    </w:p>
    <w:p>
      <w:pPr>
        <w:pStyle w:val="SourceNote"/>
      </w:pPr>
      <w:r>
        <w:rPr>
          <w:b/>
        </w:rPr>
        <w:t>Available abstract (not full text):</w:t>
      </w:r>
      <w:r>
        <w:t xml:space="preserve"> ABSTRACT: Rural communities experience health care workforce shortages, poorer health outcomes, and significant barriers related to health care access, transportation, behavioral health services, and other social drivers of health. Nurse practitioners (NPs) are well positioned to address these disparities; however, traditional NP education often emphasizes urban and suburban practice environments, leaving graduates underprepared for the realities of rural practice. Preparing NPs to serve rural populations requires competencies that extend beyond clinical care, including cultural humility, community engagement, telehealth delivery, interprofessional collaboration, ethical navigation of dual-role relationships, and an understanding of the structural factors that influence rural health. This article examines educational strategies that can strengthen NP preparation for rural practice and support the development of a sustainable rural health care workforce. Key considerations include rural culture, community strengths, social drivers of health, occupational and environmental health risks, and the contextual factors that shape health care delivery in rural communities. Educational approaches discussed include community-based learning, service-learning, distance education, telehealth training, rural immersion experiences, mentorship, and longitudinal rural exposure. Examples from est</w:t>
      </w:r>
    </w:p>
    <w:p>
      <w:pPr/>
      <w:r>
        <w:rPr>
          <w:b/>
        </w:rPr>
        <w:t>POSSIBLE 2026:</w:t>
      </w:r>
      <w:r>
        <w:t xml:space="preserve"> Who Receives Scientific Deference? Gender and the Public Construction of Social Scientists — https://doi.org/10.1177/08912432261465433</w:t>
      </w:r>
    </w:p>
    <w:p>
      <w:pPr/>
      <w:r>
        <w:rPr>
          <w:b/>
        </w:rPr>
        <w:t>Shared claim-specific concepts:</w:t>
      </w:r>
      <w:r>
        <w:t xml:space="preserve"> scientists, often, four; EU scope not established. This is a provisional connection, not an outcome finding.</w:t>
      </w:r>
    </w:p>
    <w:p>
      <w:pPr>
        <w:pStyle w:val="SourceNote"/>
      </w:pPr>
      <w:r>
        <w:rPr>
          <w:b/>
        </w:rPr>
        <w:t>Available abstract (not full text):</w:t>
      </w:r>
      <w:r>
        <w:t xml:space="preserve"> Drawing on feminist metascience and Ridgeway’s “framed by gender” theory, I ask: How are men and women social scientists constructed in public media? I conduct a comparative analysis of media portrayals of eight public sociologists (four women–men pairs): Arlie Hochschild–Barry Glassner, Juliet Schor–Richard Florida, Angela Duckworth–Daniel Kahneman, and Michelle Alexander–William Julius Wilson. Findings reveal that women’s work is frequently de-legitimized by trivializing their contributions and emphasizing political biases, whereas men’s work is framed as empirical, rigorous, and legitimate, even when flawed. Women are often denied what I call “scientific deference” á la Goffman. These asymmetries underscore that scientific meritocracy and objectivity are not intrinsic properties of science but are instead culturally constructed ideals. By demonstrating how media narratives reflect and sustain gendered hierarchies of epistemic authority, this study extends feminist critiques of science beyond STEM and highlights the role of public discourse in shaping who counts as a legitimate scientist.</w:t>
      </w:r>
    </w:p>
    <w:p>
      <w:pPr/>
      <w:r>
        <w:rPr>
          <w:b/>
        </w:rPr>
        <w:t>POSSIBLE 2026:</w:t>
      </w:r>
      <w:r>
        <w:t xml:space="preserve"> Applying a psychological problem-solving framework to science communication: insights from a qualitative pilot study observing scientists preparing children’s university lectures — https://doi.org/10.3389/fcomm.2026.1799922</w:t>
      </w:r>
    </w:p>
    <w:p>
      <w:pPr/>
      <w:r>
        <w:rPr>
          <w:b/>
        </w:rPr>
        <w:t>Shared claim-specific concepts:</w:t>
      </w:r>
      <w:r>
        <w:t xml:space="preserve"> scientists, often, planning; EU scope not established. This is a provisional connection, not an outcome finding.</w:t>
      </w:r>
    </w:p>
    <w:p>
      <w:pPr>
        <w:pStyle w:val="SourceNote"/>
      </w:pPr>
      <w:r>
        <w:rPr>
          <w:b/>
        </w:rPr>
        <w:t>Available abstract (not full text):</w:t>
      </w:r>
      <w:r>
        <w:t xml:space="preserve"> The article examines the planning of science communication and empirically tests whether psychological problem-solving theory (i.e., complex problem-solving and Dörner's idealized process model) can be used to describe planning processes. To this end, the authors conducted a qualitative study with eight scientists who were preparing a lecture for a children's university. Using an observational design with think aloud protocol. The results show that the planning process fulfills the characteristics of a complex problem, particularly in terms of variable interconnectedness, the lack of transparency regarding the target group, and conflicting goals (polytely). When applying Dörner's idealized process model, it turned out the planning process was not linear, but predominantly iterative. The modeling and information collection phase accounted for the largest proportion of the process, whereas elementary goal development was often addressed only marginally or at a very late stage. The study concludes that problem-solving psychology can serve as a framework to analyze and potentially enhance planning efficiency in science communication.</w:t>
      </w:r>
    </w:p>
    <w:p>
      <w:pPr/>
      <w:r>
        <w:rPr>
          <w:b/>
        </w:rPr>
        <w:t>POSSIBLE 2026:</w:t>
      </w:r>
      <w:r>
        <w:t xml:space="preserve"> Trends of Major Crop Produdictivity in Nashik District: A Geographical Analysis — https://doi.org/10.5281/zenodo.18907960</w:t>
      </w:r>
    </w:p>
    <w:p>
      <w:pPr/>
      <w:r>
        <w:rPr>
          <w:b/>
        </w:rPr>
        <w:t>Shared claim-specific concepts:</w:t>
      </w:r>
      <w:r>
        <w:t xml:space="preserve"> abstract, planners, scientists, high; EU scope not established. This is a provisional connection, not an outcome finding.</w:t>
      </w:r>
    </w:p>
    <w:p>
      <w:pPr>
        <w:pStyle w:val="SourceNote"/>
      </w:pPr>
      <w:r>
        <w:rPr>
          <w:b/>
        </w:rPr>
        <w:t>Available abstract (not full text):</w:t>
      </w:r>
      <w:r>
        <w:t xml:space="preserve"> Abstract The present research paper an intend to analyse the trends of agricultural productivity of different crops in Nashik District through the period of 1991 to 2024. This study is based on secondary data collected from socio-economic abstract of Nashik district. The cropping productivity is based on physical, climate, social, economic, technological and organization factors, and attitude of farmers, etc. The data regarding trends of cropping productivity have been calculated and presented with the r value and trend line graph. There are several factors such as Physiographic, temperature, rainfall, soil, drainage, etc influenced on the trend of agricultural productivity in Nashik district. Because Nashik district of same part found in dry area and some part found as hilly area as well as some position obtained in the vicinity of river basin so there is high variation in the trends of different crops. Amongst these, rice, wheat, maize, gram, tur, mung, sugarcane, etc having a positive correlation through the period of 1991 to 2024 and bajra, jowar and groundnut having negative correlation with declined trends of the productivity. The current study gives an idea of real situation of agricultural productivity and helps to minimize the regional inequalities in Nashik district and also helps to planners, agricultural scientists and research scholars.</w:t>
      </w:r>
    </w:p>
    <w:p>
      <w:pPr/>
      <w:r>
        <w:rPr>
          <w:b/>
        </w:rPr>
        <w:t>POSSIBLE 2026:</w:t>
      </w:r>
      <w:r>
        <w:t xml:space="preserve"> Preparing future physics teachers through Flat-Earth arguments: strengthening scientific reasoning — https://doi.org/10.1088/1361-6404/ae3403</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This article explores the educational potential of engaging with conspiracy theories—specifically the Flat-Earth belief—as a way to foster scientific and critical thinking in future physics teachers. Rather than treating such ideas as mere curiosities, we use them as a basis for applying Newtonian gravity to various mass distributions with planar symmetry. We show how the predictions of these models diverge significantly from empirical observations, such as the direction of gravitational acceleration and the behavior of atmospheric pressure. By systematically analyzing these inconsistencies, students can strengthen their understanding of classical mechanics while learning to recognize pseudoscientific argumentation. We argue that this type of ‘safe sandbox’ can help build epistemic vigilance and prepare educators to address more complex and socially relevant cases of misinformation, such as climate change denial.</w:t>
      </w:r>
    </w:p>
    <w:p>
      <w:pPr/>
      <w:r>
        <w:rPr>
          <w:b/>
        </w:rPr>
        <w:t>POSSIBLE 2026:</w:t>
      </w:r>
      <w:r>
        <w:t xml:space="preserve"> CENSUS UNDERCOUNTS, DIGITAL DISPLACEMENT, AND DATA JUSTICE: What Social Scientists and Data Users Need to Know About the 2020 US Census — https://doi.org/10.1111/1468-2427.70069</w:t>
      </w:r>
    </w:p>
    <w:p>
      <w:pPr/>
      <w:r>
        <w:rPr>
          <w:b/>
        </w:rPr>
        <w:t>Shared claim-specific concepts:</w:t>
      </w:r>
      <w:r>
        <w:t xml:space="preserve"> abstract, scientists, often; EU scope not established. This is a provisional connection, not an outcome finding.</w:t>
      </w:r>
    </w:p>
    <w:p>
      <w:pPr>
        <w:pStyle w:val="SourceNote"/>
      </w:pPr>
      <w:r>
        <w:rPr>
          <w:b/>
        </w:rPr>
        <w:t>Available abstract (not full text):</w:t>
      </w:r>
      <w:r>
        <w:t xml:space="preserve"> Abstract Census data are foundational to democracy, research and equitable urban policy. In addition to supporting political reapportionment and redistricting, census data serve as the backbone of the federal statistical data system and are often considered the highest quality data—the ‘gold standard'—for scholarly and policy research. In the United States, undercounts, new data protection mechanisms, and other challenges are eroding data quality and threatening census data as a trusted public good. First, I review the accuracy of the 2020 Census. The data show that the 2020 Census, while accurate, excluded millions of Americans; undercounts were severe for people of color, immigrants, and other marginalized communities. Second, I explain the US Census Bureau’s decision to protect individual privacy by intentionally distorting census data with differential privacy, leading to the ‘digital displacement' of certain populations. Together, the ‘double whammy' of worsening coverage error and differential privacy disproportionately affects communities of color and other marginalized groups, underscoring issues of data justice. Navigating this uneven and increasingly precarious digital landscape, I argue, requires practicing statistical citizenship , a theoretically informed approach that properly situates data limitations and simultaneously recognizes the politics of census data to s</w:t>
      </w:r>
    </w:p>
    <w:p>
      <w:pPr>
        <w:pStyle w:val="Heading2"/>
      </w:pPr>
      <w:r>
        <w:t>703. Systemic Design for Policy-Making: Towards the Next Circular Regions</w:t>
      </w:r>
    </w:p>
    <w:p>
      <w:pPr>
        <w:pStyle w:val="SourceNote"/>
      </w:pPr>
      <w:r>
        <w:rPr>
          <w:b/>
        </w:rPr>
        <w:t>Original source (2020):</w:t>
      </w:r>
      <w:r>
        <w:t xml:space="preserve"> https://doi.org/10.3390/su12114494</w:t>
      </w:r>
    </w:p>
    <w:p>
      <w:pPr/>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POSSIBLE 2026:</w:t>
      </w:r>
      <w:r>
        <w:t xml:space="preserve"> Business Model Innovation for Circular Transformation in the Built Environment — https://doi.org/10.1007/978-3-032-35104-3_109</w:t>
      </w:r>
    </w:p>
    <w:p>
      <w:pPr/>
      <w:r>
        <w:rPr>
          <w:b/>
        </w:rPr>
        <w:t>Shared claim-specific concepts:</w:t>
      </w:r>
      <w:r>
        <w:t xml:space="preserve"> transformation, circular, design, systemic, paths; EU scope visible. This is a provisional connection, not an outcome finding.</w:t>
      </w:r>
    </w:p>
    <w:p>
      <w:pPr>
        <w:pStyle w:val="SourceNote"/>
      </w:pPr>
      <w:r>
        <w:rPr>
          <w:b/>
        </w:rPr>
        <w:t>Available abstract (not full text):</w:t>
      </w:r>
      <w:r>
        <w:t xml:space="preserve">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pPr/>
      <w:r>
        <w:rPr>
          <w:b/>
        </w:rPr>
        <w:t>POSSIBLE 2026:</w:t>
      </w:r>
      <w:r>
        <w:t xml:space="preserve"> From Startup Support to System Transformation: Intermediaries in Circular Entrepreneurial Ecosystems — https://doi.org/10.5445/ir/1000191564</w:t>
      </w:r>
    </w:p>
    <w:p>
      <w:pPr/>
      <w:r>
        <w:rPr>
          <w:b/>
        </w:rPr>
        <w:t>Shared claim-specific concepts:</w:t>
      </w:r>
      <w:r>
        <w:t xml:space="preserve"> transformation, circular, economy; EU scope not established. This is a provisional connection, not an outcome finding.</w:t>
      </w:r>
    </w:p>
    <w:p>
      <w:pPr>
        <w:pStyle w:val="SourceNote"/>
      </w:pPr>
      <w:r>
        <w:rPr>
          <w:b/>
        </w:rPr>
        <w:t>Available abstract (not full text):</w:t>
      </w:r>
      <w:r>
        <w:t xml:space="preserve"> Diese Dissertation untersucht, wie Intermediäre zirkuläre Startups innerhalb von Entrepreneurial Ecosystems (EEs) unterstützen und wie ihre Aktivitäten zur Transformation hin zu einer Circular Economy (CE) auf Ökosystem- und institutioneller Ebene beitragen. Obwohl das Interesse an zirkulärem Unternehmertum und EEs wächst, fehlt bislang ein integriertes Verständnis darüber, wie Intermediäre die Struktur von Ökosystemen, deren relationale Dynamiken sowie institutionelle Logiken prägen und dadurch die Entwicklung zirkulärer Startups beeinflussen. Zur Schließung dieser Forschungslücke verfolgt die Arbeit ein multimethodisches Forschungsdesign. Eine systematische Literaturrecherche (SLR) konzeptualisiert Circular Entrepreneurial Ecosystems (CEEs), indem sie aufzeigt, wie etablierte Ökosystemelemente qualitativ neu ausgerichtet werden müssen, um den Bedürfnissen zirkulärer Startups gerecht zu werden. Empirische Analysen auf der Grundlage von einer Sozialen Netzwerkanalyse und Experteninterviews erweitern diese Konzeptualisierung, indem sie die strukturelle Entstehung von CEEs untersuchen und intermediärzentrierte, wenig verdich-tete und vertrauensbasierte Subökosysteme identifizieren. Da beide Studien die zentrale Bedeutung von Intermediären für die Gestaltung von CEEs hervorheben, untersucht die dritte Studie ihre Funktionen systematisch. Eine zweite SLR entwickelt hierfür ein Mehr</w:t>
      </w:r>
    </w:p>
    <w:p>
      <w:pPr/>
      <w:r>
        <w:rPr>
          <w:b/>
        </w:rPr>
        <w:t>POSSIBLE 2026:</w:t>
      </w:r>
      <w:r>
        <w:t xml:space="preserve"> The Circular Economy in European Union Supply Chains: A Literature Review — https://doi.org/10.1002/sd.70855</w:t>
      </w:r>
    </w:p>
    <w:p>
      <w:pPr/>
      <w:r>
        <w:rPr>
          <w:b/>
        </w:rPr>
        <w:t>Shared claim-specific concepts:</w:t>
      </w:r>
      <w:r>
        <w:t xml:space="preserve"> circular, economy, impacts, effective; EU scope visible. This is a provisional connection, not an outcome finding.</w:t>
      </w:r>
    </w:p>
    <w:p>
      <w:pPr>
        <w:pStyle w:val="SourceNote"/>
      </w:pPr>
      <w:r>
        <w:rPr>
          <w:b/>
        </w:rPr>
        <w:t>Available abstract (not full text):</w:t>
      </w:r>
      <w:r>
        <w:t xml:space="preserve"> ABSTRACT This research aims to analyze the implementation of the circular economy (CE) in European Union (EU) supply chains (SC), highlighting its potential to transform production systems and maximize resource efficiency while minimizing waste. Our study identifies the major trends and advancements in this field, focusing on the barriers that prevent its full adoption. The methodology employed is a scientometric analysis based on the Scopus and Web of Science (WoS) databases. The review process is developed in two main stages. First, the PRISMA method is applied to identify relevant literature. The second stage involves a quantitative scientometric analysis alongside the Tree of Science (ToS) methodology for qualitative assessment. The objective is to determine the key contributions and their evolution over time in the field of the circular economy. The main results show that scientific production in Europe has grown significantly since 2018, with Italy and the United Kingdom being the countries with the highest number of publications and citations on the subject. The industries most engaged in adopting the CE include the chemical, food, and waste management sectors. Overall, it is observed that circular practices such as resource recirculation, waste valorization, and energy recovery are associated not only with environmental benefits but also with improved economic performan</w:t>
      </w:r>
    </w:p>
    <w:p>
      <w:pPr/>
      <w:r>
        <w:rPr>
          <w:b/>
        </w:rPr>
        <w:t>POSSIBLE 2026:</w:t>
      </w:r>
      <w:r>
        <w:t xml:space="preserve"> Circular Transformation in the Silk Sector: A Fuzzy Delphi–DEMATEL Analysis of Critical Factors — https://doi.org/10.1002/bse.71647</w:t>
      </w:r>
    </w:p>
    <w:p>
      <w:pPr/>
      <w:r>
        <w:rPr>
          <w:b/>
        </w:rPr>
        <w:t>Shared claim-specific concepts:</w:t>
      </w:r>
      <w:r>
        <w:t xml:space="preserve"> transformation, circular, economy, design, expertise; EU scope not established. This is a provisional connection, not an outcome finding.</w:t>
      </w:r>
    </w:p>
    <w:p>
      <w:pPr>
        <w:pStyle w:val="SourceNote"/>
      </w:pPr>
      <w:r>
        <w:rPr>
          <w:b/>
        </w:rPr>
        <w:t>Available abstract (not full text):</w:t>
      </w:r>
      <w:r>
        <w:t xml:space="preserve"> ABSTRACT The circular transformation in the silk industry is crucial for enhancing resource efficiency and minimizing waste. Despite growing interest in circularity within the textile sector, the silk industry remains underexplored. This study addresses this gap by systematically assessing the barriers and enablers influencing circular economy adoption in silk. A two‐stage methodology was applied. First, a comprehensive literature review combined with expert input identified key factors, which were then validated using the fuzzy Delphi method (FDM) with 16 experts from industry and academia, resulting in nine barriers and 12 enablers. Next, the Decision‐Making Trial and Evaluation Laboratory (DEMATEL) technique examined the prominence and causal relationships among these factors. Results indicate that lack of policy support from fashion brands, ineffective planning, and inadequate communication are the most significant barriers, while limited consumer awareness and high technology costs strongly influence other barriers. Key enablers include upcycling business models, rediscovery of silk knowledge, and waste material recovery. Resource efficiency culture, design for longevity, and traditional expertise act as causal drivers. The study provides actionable guidance for managers, policymakers, and researchers, offering practical and theoretical insights to advance circularity in s</w:t>
      </w:r>
    </w:p>
    <w:p>
      <w:pPr/>
      <w:r>
        <w:rPr>
          <w:b/>
        </w:rPr>
        <w:t>POSSIBLE 2026:</w:t>
      </w:r>
      <w:r>
        <w:t xml:space="preserve"> TOWARDS A SUSTAINABLE FUTURE: GENDER EQUALITY AND DIGITAL TRANSFORMATION IN BAHRAIN’S CIRCULAR ECONOMY — https://doi.org/10.18623/rvd.v23.5175</w:t>
      </w:r>
    </w:p>
    <w:p>
      <w:pPr/>
      <w:r>
        <w:rPr>
          <w:b/>
        </w:rPr>
        <w:t>Shared claim-specific concepts:</w:t>
      </w:r>
      <w:r>
        <w:t xml:space="preserve"> transformation, circular, economy, perspective; EU scope not established. This is a provisional connection, not an outcome finding.</w:t>
      </w:r>
    </w:p>
    <w:p>
      <w:pPr>
        <w:pStyle w:val="SourceNote"/>
      </w:pPr>
      <w:r>
        <w:rPr>
          <w:b/>
        </w:rPr>
        <w:t>Available abstract (not full text):</w:t>
      </w:r>
      <w:r>
        <w:t xml:space="preserve"> Gender inequalities in economic opportunities are worsening daily, demanding action from various stakeholders. In light of this situation, digital transformation tools and the integration of a gender perspective into the circular economy can contribute to narrowing this gap. Thus, this paper aims at investigating the role of gender equality and digital transformation in promoting a sustainable circular economy in Bahrain. This is an in-depth qualitative study based on the collection of primary data from relevant fields. Interviews were conducted with 15 policymakers and officials in Bahraini government agencies concerned with sustainability, circular economy, digital transformation, and women's empowerment and gender equality. Thematic analysis was used to analyze the data extracted from the interviews. The results show that the role of gender equality in achieving circular economy is represented by inclusive decision-making process women’s economic empowerment gender-responsive policies female leadership in sustainability, and women's technological skills. While the role of digital transformation in achieving circular economy is realized through financial inclusion digital platforms for circular practices, technological infrastructure, and technological innovation. Given the aforementioned conclusions, this study recommends the need to providing opportunities, programs, and pl</w:t>
      </w:r>
    </w:p>
    <w:p>
      <w:pPr/>
      <w:r>
        <w:rPr>
          <w:b/>
        </w:rPr>
        <w:t>POSSIBLE 2026:</w:t>
      </w:r>
      <w:r>
        <w:t xml:space="preserve"> Circular Economy Practices and Barriers within European SMEs in the Construction Sector — https://doi.org/10.14207/ejsd.2026.v15n1p53</w:t>
      </w:r>
    </w:p>
    <w:p>
      <w:pPr/>
      <w:r>
        <w:rPr>
          <w:b/>
        </w:rPr>
        <w:t>Shared claim-specific concepts:</w:t>
      </w:r>
      <w:r>
        <w:t xml:space="preserve"> circular, economy, design, systemic, expertise; EU scope visible. This is a provisional connection, not an outcome finding.</w:t>
      </w:r>
    </w:p>
    <w:p>
      <w:pPr>
        <w:pStyle w:val="SourceNote"/>
      </w:pPr>
      <w:r>
        <w:rPr>
          <w:b/>
        </w:rPr>
        <w:t>Available abstract (not full text):</w:t>
      </w:r>
      <w:r>
        <w:t xml:space="preserve"> Despite growing policy ambition under the European Green Deal and Circular Economy Action Plan, circular economy (CE) adoption among resource-intensive sectors, such as the construction sector, remains limited. This study provides the first large-scale quantitative assessment of the difficulties experienced within the European SMEs in the construction sector during transitioning to environmentally sustainable CE implementation. Analyzing data from 2,242 SMEs in the 2024 Flash Eurobarometer 549 survey, the study used logistic regression to test four hypotheses on cost, administrative, expertise, and market-related barriers across nine CE practices. The findings reveal that while operational CE actions, such as resource efficiency in water, energy, and materials, are relatively widespread, more systemic strategies like circular design and switching to greener suppliers of materials are underutilized. Not surprisingly, cost is the most commonly reported difficulty by SMEs in the construction sector. Technical, administrative and market-related difficulties are not often considered significant barriers. Challenges linked to environmental reporting arise in a couple of models, indicating a moderate concern rather than a widespread barrier. Finally, firm size tends to boost the likelihood of undertaking CE actions, pointing to the importance of organizational resources, whereas turno</w:t>
      </w:r>
    </w:p>
    <w:p>
      <w:pPr/>
      <w:r>
        <w:rPr>
          <w:b/>
        </w:rPr>
        <w:t>POSSIBLE 2026:</w:t>
      </w:r>
      <w:r>
        <w:t xml:space="preserve"> Organizational inertia in a digital transformation project — https://openalex.org/W7199709296</w:t>
      </w:r>
    </w:p>
    <w:p>
      <w:pPr/>
      <w:r>
        <w:rPr>
          <w:b/>
        </w:rPr>
        <w:t>Shared claim-specific concepts:</w:t>
      </w:r>
      <w:r>
        <w:t xml:space="preserve"> transformation, processes; EU scope not established. This is a provisional connection, not an outcome finding.</w:t>
      </w:r>
    </w:p>
    <w:p>
      <w:pPr>
        <w:pStyle w:val="SourceNote"/>
      </w:pPr>
      <w:r>
        <w:rPr>
          <w:b/>
        </w:rPr>
        <w:t>Available abstract (not full text):</w:t>
      </w:r>
      <w:r>
        <w:t xml:space="preserve"> Digital transformation is a new strategic imperative for organizations to master in order to stay relevant and competitive in the rapidly changing operating environment. Digital transformation is not merely a technology implementation project, but a considerable transformation for the underlining business processes, business models and organizational elements. When organization is faced with a change, the pace and intensity of the transformation greatly affects how organization and its members react to that change. This is an inflexion point where organizational inertia typically occurs and acts as a hindering force, or when pushed, a cause for resisting force towards transformation. Organizational inertia is estimated to cause 70% of digital transformation projects to fail. Organizational abilities, such as dynamic capabilities and strategic agility plays a significant role in controlling and anticipating these challenges. To illustrate the interplay and effects of organizational inertia, dynamic capabilities and strategic agility to digital transformation outcomes, this study introduces a theoretical framework. The framework further visualizes the enabling effects of dynamic capabilities and strategic agility to a digital transformation project. This illustration visualizes the research setting for the research questions. The purpose of this study is to understand how organiz</w:t>
      </w:r>
    </w:p>
    <w:p>
      <w:pPr/>
      <w:r>
        <w:rPr>
          <w:b/>
        </w:rPr>
        <w:t>POSSIBLE 2026:</w:t>
      </w:r>
      <w:r>
        <w:t xml:space="preserve"> Foodways as Sites of Knowledge and Transformation — https://doi.org/10.1007/978-3-032-28126-5</w:t>
      </w:r>
    </w:p>
    <w:p>
      <w:pPr/>
      <w:r>
        <w:rPr>
          <w:b/>
        </w:rPr>
        <w:t>Shared claim-specific concepts:</w:t>
      </w:r>
      <w:r>
        <w:t xml:space="preserve"> transformation, perspective; EU scope not established. This is a provisional connection, not an outcome finding.</w:t>
      </w:r>
    </w:p>
    <w:p>
      <w:pPr>
        <w:pStyle w:val="SourceNote"/>
      </w:pPr>
      <w:r>
        <w:rPr>
          <w:b/>
        </w:rPr>
        <w:t>Available abstract (not full text):</w:t>
      </w:r>
      <w:r>
        <w:t xml:space="preserve"> This open access book offers an elaboration on foodways as both a geographical concept and an area of study that recognizes local food systems as essential to social justice and long-term sustainability. Approaching food through the lens of foodways provides an alternative to classical scholarship on food security, which often focuses on poverty in order to propose new globalized solutions. Instead, this perspective directs research toward the preservation of cultural and biological diversity, the protection of land rights, and the promotion of social justice. With a specific focus on the MENA region, contributors to this edited collection engage with reflexive and collaborative methodologies, including participatory visual methods, storytelling, radical learning, land-based and socially rooted knowledges, embodied practices, visceral methods, and community mapping. Such approaches can help negotiate outsider–insider tensions while co-producing knowledge that is accountable to communities and relevant to wider societal debates.</w:t>
      </w:r>
    </w:p>
    <w:p>
      <w:pPr/>
      <w:r>
        <w:rPr>
          <w:b/>
        </w:rPr>
        <w:t>POSSIBLE 2026:</w:t>
      </w:r>
      <w:r>
        <w:t xml:space="preserve"> Circular economy transition of European regions: The role of regulative, normative, and cultural–cognitive institutions — https://doi.org/10.1016/j.euroecorev.2026.105409</w:t>
      </w:r>
    </w:p>
    <w:p>
      <w:pPr/>
      <w:r>
        <w:rPr>
          <w:b/>
        </w:rPr>
        <w:t>Shared claim-specific concepts:</w:t>
      </w:r>
      <w:r>
        <w:t xml:space="preserve"> transformation, circular, economy; EU scope visible. This is a provisional connection, not an outcome finding.</w:t>
      </w:r>
    </w:p>
    <w:p>
      <w:pPr>
        <w:pStyle w:val="SourceNote"/>
      </w:pPr>
      <w:r>
        <w:rPr>
          <w:b/>
        </w:rPr>
        <w:t>Available abstract (not full text):</w:t>
      </w:r>
      <w:r>
        <w:t xml:space="preserve"> The transition toward a circular economy (CE) represents not only an economic shift but also a profound social and institutional transformation that redefines production, consumption, and policy. This study provides the first macro-level empirical assessment of the CE transition across European regions over the last two decades. It then examines how regional regulative, normative, and cultural-cognitive institutions shape regional CE performance, while also accounting for key confounding factors, including EU cohesion funds, regional autonomy, and the EU Circular Economy Action Plan (CEAP). The results reveal strong spatial and temporal heterogeneity, as well as distinct effects across institutional dimensions. Regulative institutions exhibit the most consistent positive association across and within countries. Normative institutions matter most within major regions, while cultural-cognitive institutions provide more modest support for CE efforts. Importantly, the combination of all institutional pillars is associated with the largest gains in circularity. EU cohesion funds significantly support CE progress, while the post-2015 results suggest that the CEAP reshaped the relative importance of institutional pillars. Overall, the findings highlight the importance of coordinated institutional frameworks and targeted policy support in advancing the regional CE transition.</w:t>
      </w:r>
    </w:p>
    <w:p>
      <w:pPr/>
      <w:r>
        <w:rPr>
          <w:b/>
        </w:rPr>
        <w:t>POSSIBLE 2026:</w:t>
      </w:r>
      <w:r>
        <w:t xml:space="preserve"> Integration of Industry 4.0 and Circular Economy as a determinant of sustainable transformation of enterprise value creation chains — https://doi.org/10.2478/emj-2026-0018</w:t>
      </w:r>
    </w:p>
    <w:p>
      <w:pPr/>
      <w:r>
        <w:rPr>
          <w:b/>
        </w:rPr>
        <w:t>Shared claim-specific concepts:</w:t>
      </w:r>
      <w:r>
        <w:t xml:space="preserve"> transformation, circular, economy, processes, innovative; EU scope not established. This is a provisional connection, not an outcome finding.</w:t>
      </w:r>
    </w:p>
    <w:p>
      <w:pPr>
        <w:pStyle w:val="SourceNote"/>
      </w:pPr>
      <w:r>
        <w:rPr>
          <w:b/>
        </w:rPr>
        <w:t>Available abstract (not full text):</w:t>
      </w:r>
      <w:r>
        <w:t xml:space="preserve"> Abstract The contemporary global economy remains overwhelmingly influenced by the inventions of the Industrial Revolution 4.0 (IR 4.0), also referred to as Industry 4.0 (I 4.0). This article examines the potential impact of IR 4.0 inventions on changes in enterprise value-creation processes and their interface with the principles of the Circular Economy (CE) as a sine qua non for the functioning of Sustainable Value Creation Chains (SVCCs). This article is theoretical and conceptual. It is based on desk research. Predictive and prescriptive analyses played a fundamental role in the research due to the predominantly futurological nature of the considerations. The research identifies the benefits, threats, and barriers affecting how the IR 4.0 and CE interface is implemented, as well as its significance for establishing SVCCs. The research expands knowledge on this subject and may inspire entrepreneurs to undertake innovative, pro-ecological activities in their enterprises. These reflections may also serve as a basis for further theoretical and practical research. The originality of the research is demonstrated through its comprehensiveness, i.e. the predicted revolutionary changes arising from applied IR 4.0 inventions combined with CE principles in VCCs and the anticipated effects of this interface.</w:t>
      </w:r>
    </w:p>
    <w:p>
      <w:pPr/>
      <w:r>
        <w:rPr>
          <w:b/>
        </w:rPr>
        <w:t>POSSIBLE 2026:</w:t>
      </w:r>
      <w:r>
        <w:t xml:space="preserve"> AI-Driven campaigning and the transformation of trust in electoral politics — https://doi.org/10.33545/26646021.2026.v8.i1a.827</w:t>
      </w:r>
    </w:p>
    <w:p>
      <w:pPr/>
      <w:r>
        <w:rPr>
          <w:b/>
        </w:rPr>
        <w:t>Shared claim-specific concepts:</w:t>
      </w:r>
      <w:r>
        <w:t xml:space="preserve"> transformation, innovative; EU scope visible. This is a provisional connection, not an outcome finding.</w:t>
      </w:r>
    </w:p>
    <w:p>
      <w:pPr>
        <w:pStyle w:val="SourceNote"/>
      </w:pPr>
      <w:r>
        <w:rPr>
          <w:b/>
        </w:rPr>
        <w:t>Available abstract (not full text):</w:t>
      </w:r>
      <w:r>
        <w:t xml:space="preserve"> Electoral campaigns in democracies are undergoing a fundamental shift from traditional public campaigning to AI-enabled private persuasion [1]. This paper examines how artificial intelligence tools including chatbots, generative media, and microtargeted advertising are deployed in recent campaigns across the United States and Europe, analyzing implications for voter trust, democratic legitimacy, and political accountability [2]. Drawing on comparative case analysis of campaigns in the U.S. (including diaspora-targeted outreach in New York City), Germany, France, and the UK from 2023 to 2025, we demonstrate that AI-driven personalized messaging challenges communication transparency while enabling innovative voter engagement [3]. We argue that AI offers potential for enhanced voter outreach, particularly to marginalized and diaspora communities, while simultaneously eroding trust through hidden messaging, synthetic media, and public discourse fragmentation [4]. The paper concludes with evidence-based policy recommendations for campaign transparency, deepfake detection, and updated electoral regulations, and identifies future research directions at the intersection of artificial intelligence and democratic integrity [5].</w:t>
      </w:r>
    </w:p>
    <w:p>
      <w:pPr/>
      <w:r>
        <w:rPr>
          <w:b/>
        </w:rPr>
        <w:t>POSSIBLE 2026:</w:t>
      </w:r>
      <w:r>
        <w:t xml:space="preserve"> Enabling the Circular Food Economy Through Industry 4.0: A Review of Applications, Challenges, and Policies in the European Union — https://doi.org/10.1111/1541-4337.70431</w:t>
      </w:r>
    </w:p>
    <w:p>
      <w:pPr/>
      <w:r>
        <w:rPr>
          <w:b/>
        </w:rPr>
        <w:t>Shared claim-specific concepts:</w:t>
      </w:r>
      <w:r>
        <w:t xml:space="preserve"> transformation, circular, economy, driven, innovative; EU scope visible. This is a provisional connection, not an outcome finding.</w:t>
      </w:r>
    </w:p>
    <w:p>
      <w:pPr>
        <w:pStyle w:val="SourceNote"/>
      </w:pPr>
      <w:r>
        <w:rPr>
          <w:b/>
        </w:rPr>
        <w:t>Available abstract (not full text):</w:t>
      </w:r>
      <w:r>
        <w:t xml:space="preserve"> The transition to a circular economy (CE) is a critical strategy for improving the sustainability and resilience of the global food system. Industry 4.0 (I4.0) and its associated digital technologies offer a powerful means of accelerating this transformation. This systematic review provides a comprehensive analysis of the synergy between I4.0 and the CE within the European Union's food supply chain, integrating technological applications, implementation barriers, and policy frameworks. Key I4.0 applications are reviewed across the CE hierarchy, including artificial intelligence (AI)-driven demand forecasting and precision agriculture for waste prevention, machine learning-optimized bioprocessing for valorizing by-products into food-grade ingredients, and blockchain and the Internet of Things for enhancing traceability and transparency in circular flows. However, the transition faces significant barriers. Technological challenges include a lack of interoperability and data standards. Economic hurdles involve high initial investment costs and uncertain returns on investment, particularly for small- and medium-sized enterprises (SMEs). Furthermore, managerial and organizational inertia stems from a digital skills gap and resistance to change, while social concerns relate to consumer acceptance, data privacy, and digital equity. Synthesizing these findings, this review articulates </w:t>
      </w:r>
    </w:p>
    <w:p>
      <w:pPr>
        <w:pStyle w:val="Heading2"/>
      </w:pPr>
      <w:r>
        <w:t>704. The Impact of Decarbonization Scenarios on Air Quality and Human Health in Poland—Analysis of Scenarios up to 2050</w:t>
      </w:r>
    </w:p>
    <w:p>
      <w:pPr>
        <w:pStyle w:val="SourceNote"/>
      </w:pPr>
      <w:r>
        <w:rPr>
          <w:b/>
        </w:rPr>
        <w:t>Original source (2020):</w:t>
      </w:r>
      <w:r>
        <w:t xml:space="preserve"> https://doi.org/10.3390/atmos11111222</w:t>
      </w:r>
    </w:p>
    <w:p>
      <w:pPr/>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POSSIBLE 2026:</w:t>
      </w:r>
      <w:r>
        <w:t xml:space="preserve"> Pro-environmental behaviour in Europe — https://openalex.org/W7213476392</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Laboratory Experiments on Savannah and European Boreal Forest Fire Emissions — https://doi.org/10.1029/2025jd044543</w:t>
      </w:r>
    </w:p>
    <w:p>
      <w:pPr/>
      <w:r>
        <w:rPr>
          <w:b/>
        </w:rPr>
        <w:t>Shared claim-specific concepts:</w:t>
      </w:r>
      <w:r>
        <w:t xml:space="preserve"> also, emissions, number, three; EU scope visible. This is a provisional connection, not an outcome finding.</w:t>
      </w:r>
    </w:p>
    <w:p>
      <w:pPr>
        <w:pStyle w:val="SourceNote"/>
      </w:pPr>
      <w:r>
        <w:rPr>
          <w:b/>
        </w:rPr>
        <w:t>Available abstract (not full text):</w:t>
      </w:r>
      <w:r>
        <w:t xml:space="preserve"> Abstract Landscape fire is among the largest sources of aerosols and trace gases globally. However, the emissions are highly variable and strongly affected by the type of biomass and combustion characteristics. We investigated the effect of combustion characteristics on the burning emissions from three biomass types: woody plants and grasses from southern African savannah and European boreal forest surface based on experiments at the ILMARI combustion facility in Kuopio, Finland. Considering emission factors (EF) for organic aerosol (OA) and for the sum of volatile organic compounds (VOCs), we observed a linear increase in the EF with decreasing modified combustion efficiency (MCE) down to MCE of 0.6. For instance, for woody plants from savannah flaming combustion EF OA is 6.1 g kg −1 at MCE of 0.94, while extreme smoldering EF OA at MCE of 0.67 is 54 g kg −1 . Interestingly, the effect of biomass type was minor compared to MCE, which was also seen for aerosol particle number size distributions. Likewise, the absorption Ångström exponent increased with decreasing MCE. Furthermore, OA in our experiments is absorbing not only at the short wavelengths, which is typical of brown carbon, but even at the longest wavelengths (880 and 950 nm), which are often considered to represent only absorption by black carbon. The biomass type impacted the OA and VOC composition, especially in hig</w:t>
      </w:r>
    </w:p>
    <w:p>
      <w:pPr/>
      <w:r>
        <w:rPr>
          <w:b/>
        </w:rPr>
        <w:t>POSSIBLE 2026:</w:t>
      </w:r>
      <w:r>
        <w:t xml:space="preserve"> Emission Scenarios for Europe under the CATALYSE Project: Beyond the Green Deal — https://openalex.org/W7125621332</w:t>
      </w:r>
    </w:p>
    <w:p>
      <w:pPr/>
      <w:r>
        <w:rPr>
          <w:b/>
        </w:rPr>
        <w:t>Shared claim-specific concepts:</w:t>
      </w:r>
      <w:r>
        <w:t xml:space="preserve"> also, pm2, emissions, reduction, about, project;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Europe's Global Gateway Policy: The European Response to BRI in Africa — https://doi.org/10.4203/ccc.15.13.1</w:t>
      </w:r>
    </w:p>
    <w:p>
      <w:pPr/>
      <w:r>
        <w:rPr>
          <w:b/>
        </w:rPr>
        <w:t>Shared claim-specific concepts:</w:t>
      </w:r>
      <w:r>
        <w:t xml:space="preserve"> also, reduction, external, project; EU scope visible. This is a provisional connection, not an outcome finding.</w:t>
      </w:r>
    </w:p>
    <w:p>
      <w:pPr>
        <w:pStyle w:val="SourceNote"/>
      </w:pPr>
      <w:r>
        <w:rPr>
          <w:b/>
        </w:rPr>
        <w:t>Available abstract (not full text):</w:t>
      </w:r>
      <w:r>
        <w:t xml:space="preserve"> In 2022 European Union has released a new policy to foster trade and transport connections globally, including a specific focus on Africa, by selecting 11 priority transport corridors and a revision of external funding and financing sources.It was also quite clear from the statements that this policy aims at fostering European trade and position in Africa and elsewhere to balance the Belt and Road Initiative (BRI) and other external influences.Given the current economic and geopolitical situations, this strategy is becoming relevant in achieving transport connections also in order to foster the project of Africa trade union and get access to essential mineral resources that are necessary to mitigate climate change and achieve carbon emission reduction targets.The paper aims at providing an analysis of this policy in regards especially of the transport corridors strategy, inherited from the PIDA strategy, and to confront it with BRI initiative on transport corridors in Africa with a specific focus on railway corridors.</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also, showed, external;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Dementia-free life expectancy in Europe — https://openalex.org/W7135476202</w:t>
      </w:r>
    </w:p>
    <w:p>
      <w:pPr/>
      <w:r>
        <w:rPr>
          <w:b/>
        </w:rPr>
        <w:t>Shared claim-specific concepts:</w:t>
      </w:r>
      <w:r>
        <w:t xml:space="preserve"> also, number, life; EU scope visible. This is a provisional connection, not an outcome finding.</w:t>
      </w:r>
    </w:p>
    <w:p>
      <w:pPr>
        <w:pStyle w:val="SourceNote"/>
      </w:pPr>
      <w:r>
        <w:rPr>
          <w:b/>
        </w:rPr>
        <w:t>Available abstract (not full text):</w:t>
      </w:r>
      <w:r>
        <w:t xml:space="preserve">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also, emissions, co2;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emissions, lead, reduction, three;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Energy Efficiency, CO2 Emission Reduction, and Real Estate Investment in Northern Europe: Trends and Impact on Sustainability — https://doi.org/10.3390/buildings15071195</w:t>
      </w:r>
    </w:p>
    <w:p>
      <w:pPr/>
      <w:r>
        <w:rPr>
          <w:b/>
        </w:rPr>
        <w:t>Shared claim-specific concepts:</w:t>
      </w:r>
      <w:r>
        <w:t xml:space="preserve"> emissions, reduction, co2; EU scope visible. This is a provisional connection, not an outcome finding.</w:t>
      </w:r>
    </w:p>
    <w:p>
      <w:pPr>
        <w:pStyle w:val="SourceNote"/>
      </w:pPr>
      <w:r>
        <w:rPr>
          <w:b/>
        </w:rPr>
        <w:t>Available abstract (not full text):</w:t>
      </w:r>
      <w:r>
        <w:t xml:space="preserve"> Energy efficiency and CO2 emission reduction are key objectives related to climate change mitigation, sustainable development, and energy resource management. In the Nordic context, energy consumption trends in both the residential and industrial sectors are closely linked to European Union policies, technological innovation, and real estate investments. In recent decades, the development and renovation of the real estate sector has become one of the most important factors determining changes in energy consumption, especially in residential buildings, which remain among the largest energy consumers and polluters. In this context, countries’ efforts to reduce CO2 emissions and increase energy efficiency are inseparable from the real estate sector’s contribution to these processes, by promoting investments in building modernization and energy-saving technologies. However, the real estate sector remains a complex area where economic interests need to be reconciled with environmental objectives, especially in the context of EU strategies such as the Renovation Wave and the Energy Efficiency Directive. This article examines the links between real estate investment, energy efficiency, and CO2 emission reduction, based on quantitative analysis, to assess how the development of the real estate sector and EU policy measures affect sustainable development in Northern Europe. This study u</w:t>
      </w:r>
    </w:p>
    <w:p>
      <w:pPr/>
      <w:r>
        <w:rPr>
          <w:b/>
        </w:rPr>
        <w:t>POSSIBLE 2025:</w:t>
      </w:r>
      <w:r>
        <w:t xml:space="preserve"> Burden and risk factors of colorectal cancer in Europe from 1990 to 2021 — https://doi.org/10.1097/cej.0000000000000963</w:t>
      </w:r>
    </w:p>
    <w:p>
      <w:pPr/>
      <w:r>
        <w:rPr>
          <w:b/>
        </w:rPr>
        <w:t>Shared claim-specific concepts:</w:t>
      </w:r>
      <w:r>
        <w:t xml:space="preserve"> also, showed, analyzed, life; EU scope visible. This is a provisional connection, not an outcome finding.</w:t>
      </w:r>
    </w:p>
    <w:p>
      <w:pPr>
        <w:pStyle w:val="SourceNote"/>
      </w:pPr>
      <w:r>
        <w:rPr>
          <w:b/>
        </w:rPr>
        <w:t>Available abstract (not full text):</w:t>
      </w:r>
      <w:r>
        <w:t xml:space="preserve"> BACKGROUND: Colorectal cancer (CRC) poses a significant health burden in Europe, but comprehensive studies on this region are limited. METHODS: Using data from the Global Burden of Diseases (GBD), Injuries, and Risk Factors Study 2021, we analyzed the regional distribution and temporal trends of the CRC and early-onset CRC burden in Europe from 1990 to 2021. Decomposition analysis was applied to quantify the contributions of population growth, aging, and epidemiological changes. The research also evaluated major risk factors associated with CRC and early-onset CRC. RESULTS: The burden of CRC in Europe was found to be higher than the global average. While the age-standardized incidence rate (ASIR) increased, both the age-standardized mortality rate (ASMR) and age-standardized disability-adjusted life years rate (ASDR) decreased. Early-onset CRC exhibits similar distribution characteristics and patterns of change. Males had a significantly higher CRC burden than females. Population aging was the primary driver of increased burden in Europe. Risk factor analysis revealed that low whole grain intake and high red meat consumption were the primary contributors to the elevated ASMR and ASDR of CRC and early-onset CRC. Additionally, the CRC and early-onset CRC burden associated with high BMI and high fasting plasma glucose showed an increasing trend. CONCLUSION: The overall burden of C</w:t>
      </w:r>
    </w:p>
    <w:p>
      <w:pPr/>
      <w:r>
        <w:rPr>
          <w:b/>
        </w:rPr>
        <w:t>POSSIBLE 2025:</w:t>
      </w:r>
      <w:r>
        <w:t xml:space="preserve"> Continuing recovery of wolves in Europe — https://doi.org/10.1371/journal.pstr.0000158</w:t>
      </w:r>
    </w:p>
    <w:p>
      <w:pPr/>
      <w:r>
        <w:rPr>
          <w:b/>
        </w:rPr>
        <w:t>Shared claim-specific concepts:</w:t>
      </w:r>
      <w:r>
        <w:t xml:space="preserve"> life, eur;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pStyle w:val="Heading2"/>
      </w:pPr>
      <w:r>
        <w:t>705. The convergence or divergence of labour resources in Poland?</w:t>
      </w:r>
    </w:p>
    <w:p>
      <w:pPr>
        <w:pStyle w:val="SourceNote"/>
      </w:pPr>
      <w:r>
        <w:rPr>
          <w:b/>
        </w:rPr>
        <w:t>Original source (2020):</w:t>
      </w:r>
      <w:r>
        <w:t xml:space="preserve"> https://doi.org/10.15611/pn.2020.4.07</w:t>
      </w:r>
    </w:p>
    <w:p>
      <w:pPr/>
      <w:r>
        <w:t>Original wording (abstract; indexed_source_text_not_full_document_verified): Eurostat’s projections indicate that by 2050 Poland will see a significant reduction in and ageing of its labour resources.</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significant;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Energy Supply Shocks and Inflation in Central and Eastern Europe: Evidence from Bayesian SVARs and Local Projections — https://doi.org/10.3390/commodities5030017</w:t>
      </w:r>
    </w:p>
    <w:p>
      <w:pPr/>
      <w:r>
        <w:rPr>
          <w:b/>
        </w:rPr>
        <w:t>Shared claim-specific concepts:</w:t>
      </w:r>
      <w:r>
        <w:t xml:space="preserve"> projections, indicate, poland; EU scope visible. This is a provisional connection, not an outcome finding.</w:t>
      </w:r>
    </w:p>
    <w:p>
      <w:pPr>
        <w:pStyle w:val="SourceNote"/>
      </w:pPr>
      <w:r>
        <w:rPr>
          <w:b/>
        </w:rPr>
        <w:t>Available abstract (not full text):</w:t>
      </w:r>
      <w:r>
        <w:t xml:space="preserve"> Energy price shocks have been the main drivers of inflation in Europe during the last decade. This paper examines cross-country differences in the transmission and magnitude of energy supply shocks in the Visegrád Group countries (Poland, Czechia, Hungary, and Slovakia) over the period 2015–2026. To identify energy-related disturbances and evaluate their macroeconomic effects, we estimate Bayesian Structural Vector Autoregressive (BSVAR) models with sign restrictions and complement the analysis with Local Projections. The results indicate substantial heterogeneity in inflation responses across countries. Oil supply shocks increase inflation by approximately 0.8 percentage points in Czechia and 0.7 percentage points in Hungary, compared with around 0.5 percentage points in Poland and Slovakia. Similar response patterns are observed for gas supply shocks, suggesting that stronger commodity price pass-through contributes to the larger inflationary effects in Czechia and Hungary. The analysis also reveals methodological challenges in identifying the effects of increased LNG imports. Both models indicate LNG-related shocks are highly correlated with pipeline gas supply shocks. In fact, its imports have mitigated energy shortages and reduced price pressures.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significant, ageing,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Forestry and demographic transition in Europe: exploring the nexus — https://doi.org/10.12899/asr-2709</w:t>
      </w:r>
    </w:p>
    <w:p>
      <w:pPr/>
      <w:r>
        <w:rPr>
          <w:b/>
        </w:rPr>
        <w:t>Shared claim-specific concepts:</w:t>
      </w:r>
      <w:r>
        <w:t xml:space="preserve"> ageing, labour; EU scope visible. This is a provisional connection, not an outcome finding.</w:t>
      </w:r>
    </w:p>
    <w:p>
      <w:pPr>
        <w:pStyle w:val="SourceNote"/>
      </w:pPr>
      <w:r>
        <w:rPr>
          <w:b/>
        </w:rPr>
        <w:t>Available abstract (not full text):</w:t>
      </w:r>
      <w:r>
        <w:t xml:space="preserve"> Europe’s future is being shaped by a demographic transition of unprecedented scale, characterized by population ageing, a declining labour force, and the abandonment of rural areas in favour of urban centres. Within the forestry sector, these dynamics pose critical challenges, particularly in relation to ageing forest landowners and an increasingly elderly workforce. Despite their relevance, the interconnections between demographic change, spatial reorganization of population, and forest management remain insufficiently explored in the forestry literature. This concept note seeks to address this gap by identifying critical risks, emerging needs, and key research opportunities, and by proposing an evidence-based framework to support analysis and decision-making within this complex and evolving context.</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projections, indicate, significant, resources;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Trends and Patterns in Shared Accommodation in Europe and Serbia: What Do We Know So Far? — https://doi.org/10.2478/bsrj-2025-0006</w:t>
      </w:r>
    </w:p>
    <w:p>
      <w:pPr/>
      <w:r>
        <w:rPr>
          <w:b/>
        </w:rPr>
        <w:t>Shared claim-specific concepts:</w:t>
      </w:r>
      <w:r>
        <w:t xml:space="preserve"> eurostat, indicate, resources; EU scope visible. This is a provisional connection, not an outcome finding.</w:t>
      </w:r>
    </w:p>
    <w:p>
      <w:pPr>
        <w:pStyle w:val="SourceNote"/>
      </w:pPr>
      <w:r>
        <w:rPr>
          <w:b/>
        </w:rPr>
        <w:t>Available abstract (not full text):</w:t>
      </w:r>
      <w:r>
        <w:t xml:space="preserve"> Abstract Background Sharing economy is a socio-economic paradigm characterised by the collaborative utilisation of resources and services among individuals, facilitated through digital platforms. Shared accommodation attracts the attention of various stakeholders due to its impact on societal shifts towards collaborative living models and housing policies. Objectives This paper explores trends and patterns of the use of shared accommodation in Europe and Serbia. Methods/Approach Data on the European level was collected from Eurostat, while in Serbia, a survey was conducted among the student population. Results The results on the European level show that participation in shared accommodation is increasing and that socio-demographic background impacts the level of participation. In the Serbian context, results indicate that socio-demographic factors do not influence the participation of students in shared accommodation practices. The main obstacle indicated was the lack of trust in the provider. The most important aspects that individuals considered when choosing shared accommodation were lower prices and better location. Conclusions There is a positive trend in Europe regarding the usage of shared accommodation. In Serbia, the student population uses shared accommodation; however, physical and performance risks are seen as obstacles to participation.</w:t>
      </w:r>
    </w:p>
    <w:p>
      <w:pPr/>
      <w:r>
        <w:rPr>
          <w:b/>
        </w:rPr>
        <w:t>POSSIBLE 2025:</w:t>
      </w:r>
      <w:r>
        <w:t xml:space="preserve"> Long-Term Spending Projections in Israel — https://doi.org/10.1787/81e81270-en</w:t>
      </w:r>
    </w:p>
    <w:p>
      <w:pPr/>
      <w:r>
        <w:rPr>
          <w:b/>
        </w:rPr>
        <w:t>Shared claim-specific concepts:</w:t>
      </w:r>
      <w:r>
        <w:t xml:space="preserve"> projections, labour; EU scope not established. This is a provisional connection, not an outcome finding.</w:t>
      </w:r>
    </w:p>
    <w:p>
      <w:pPr>
        <w:pStyle w:val="SourceNote"/>
      </w:pPr>
      <w:r>
        <w:rPr>
          <w:b/>
        </w:rPr>
        <w:t>Available abstract (not full text):</w:t>
      </w:r>
      <w:r>
        <w:t xml:space="preserve"> Long-term fiscal projections provide decision makers with tools to assess the long term impact of policy choices. The Israeli Ministry of Finance does not regularly conduct and publish long-term fiscal projections. The absence of such projections limits the Ministry’s ability to reflect the long-term implications of economic decisions for policymakers, which is crucial for addressing structural challenges and maintaining fiscal sustainability. This report presents the key features of a long-term spending projections model to help the Ministry address this limitation. The model is based on an adapted version of the OECD Long-Term Model, calibrated to Israel’s demographics and labour market. The model enables dynamic analyses of how employment, productivity, population growth and policy reforms shape fiscal outcomes. The report presents some key results of the model, emphasising that GDP per capita growth is expected to remain relatively stable and strong. Fiscal pressures are anticipated to ease in the long run, but demography and labour market integration for Haredim and Arab Israelis will be critical factors shaping long-term fiscal results. The report also identifies ways to better monitor long-term fiscal developments and strengthen the fiscal framework.</w:t>
      </w:r>
    </w:p>
    <w:p>
      <w:pPr/>
      <w:r>
        <w:rPr>
          <w:b/>
        </w:rPr>
        <w:t>POSSIBLE 2024:</w:t>
      </w:r>
      <w:r>
        <w:t xml:space="preserve"> Patterns of aortic valve replacement in Europe and adoption by sex — https://doi.org/10.1016/j.ijcard.2024.131996</w:t>
      </w:r>
    </w:p>
    <w:p>
      <w:pPr/>
      <w:r>
        <w:rPr>
          <w:b/>
        </w:rPr>
        <w:t>Shared claim-specific concepts:</w:t>
      </w:r>
      <w:r>
        <w:t xml:space="preserve"> eurostat, poland, significant; EU scope visible. This is a provisional connection, not an outcome finding.</w:t>
      </w:r>
    </w:p>
    <w:p>
      <w:pPr>
        <w:pStyle w:val="SourceNote"/>
      </w:pPr>
      <w:r>
        <w:rPr>
          <w:b/>
        </w:rPr>
        <w:t>Available abstract (not full text):</w:t>
      </w:r>
      <w:r>
        <w:t xml:space="preserve"> OBJECTIVE: Management of patients with severe aortic stenosis (AS) may differ according to the patient sex. This study aimed to describe patterns of aortic valve replacement (AVR) for severe AS across Europe, including stratification by sex. METHODS: Procedure volume data for surgical aortic valve replacement (SAVR) and transcatheter aortic valve implantation (TAVI) for six years (2015-2020) were extracted from national databases for Austria, Czech Republic, Denmark, England, Finland, France, Germany, Norway, Poland, Spain, Sweden, and Switzerland and stratified by sex. Patients per million population (PPM) undergoing AVR per year were calculated using population estimates from Eurostat. RESULTS: Between 2015 and 2019, AVR procedures grew at an average annual rate of 3.9%. In 2020, the average total PPM undergoing AVR across all countries was 339, with 51% of procedures being TAVI and 49% SAVR. AVR PPM varied widely between countries, with the highest and lowest in Germany and Poland, respectively. The average total PPM was higher for men than women (423 vs. 258), but a higher proportion of women (62%) than men (44%) received TAVI. The proportion of TAVI among total AVR procedures increased with age, with an overall average of 96% of men and 98% of women aged ≥85 years receiving TAVI; however, adoption of TAVI varied by country. CONCLUSIONS: The analysis of temporal trends in t</w:t>
      </w:r>
    </w:p>
    <w:p>
      <w:pPr/>
      <w:r>
        <w:rPr>
          <w:b/>
        </w:rPr>
        <w:t>POSSIBLE 2024:</w:t>
      </w:r>
      <w:r>
        <w:t xml:space="preserve"> ECONOMIC INACTIVITY: SUGGESTIONS FOR TAPPING THE POOL OF POTENTIAL LABOUR FORCE IN EUROPE AND TÜRKİYE — https://doi.org/10.18070/erciyesiibd.1541334</w:t>
      </w:r>
    </w:p>
    <w:p>
      <w:pPr/>
      <w:r>
        <w:rPr>
          <w:b/>
        </w:rPr>
        <w:t>Shared claim-specific concepts:</w:t>
      </w:r>
      <w:r>
        <w:t xml:space="preserve"> indicate, significant, labour; EU scope visible. This is a provisional connection, not an outcome finding.</w:t>
      </w:r>
    </w:p>
    <w:p>
      <w:pPr>
        <w:pStyle w:val="SourceNote"/>
      </w:pPr>
      <w:r>
        <w:rPr>
          <w:b/>
        </w:rPr>
        <w:t>Available abstract (not full text):</w:t>
      </w:r>
      <w:r>
        <w:t xml:space="preserve"> Labour force shortages are persistent labour market problems of both Europe and Türkiye although there is a significant pool of inactive people not participating in the labour force. Analyzing every aspect of ‘being out of labour force’ status of working age population in a country has great importance for monitoring labour market cycles, since shifts in participation in the labour force is a key determinant of economic growth. Having a direct causality with growth, empirical field literature generally focuses on unemployment segment of the labour force whereas people that are out of labour force are in some cases close in numbers to the unemployed and even more than unemployed in some other cases. Therefore the transition of people from ‘inactive but willing to work’ status to ‘active’ labour force is of vital importance. This study, motivated by these considerations, aims to fill a gap in the literature employing a model where we tested the effects of social protection expenditures per capita and GDP per capita on five different economic inactivity indicators across European countries and Türkiye in 2010-2022 using panel data techniques. Our findings indicate that cause-specific and fine-tuned policies can induce transition from inactive status to active labour force.</w:t>
      </w:r>
    </w:p>
    <w:p>
      <w:pPr/>
      <w:r>
        <w:rPr>
          <w:b/>
        </w:rPr>
        <w:t>POSSIBLE 2023:</w:t>
      </w:r>
      <w:r>
        <w:t xml:space="preserve"> Long-term economic impacts of coastal floods in Europe: a probabilistic analysis — https://doi.org/10.3934/environsci.2023033</w:t>
      </w:r>
    </w:p>
    <w:p>
      <w:pPr/>
      <w:r>
        <w:rPr>
          <w:b/>
        </w:rPr>
        <w:t>Shared claim-specific concepts:</w:t>
      </w:r>
      <w:r>
        <w:t xml:space="preserve"> projections, indicate, significant; EU scope visible. This is a provisional connection, not an outcome finding.</w:t>
      </w:r>
    </w:p>
    <w:p>
      <w:pPr>
        <w:pStyle w:val="SourceNote"/>
      </w:pPr>
      <w:r>
        <w:rPr>
          <w:b/>
        </w:rPr>
        <w:t>Available abstract (not full text):</w:t>
      </w:r>
      <w:r>
        <w:t xml:space="preserve"> In this article we quantify the long-term economic impacts of coastal flooding in Europe. In particular, how the direct coastal damages generate long-term economic losses that propagate and compound throughout the century. A set of probabilistic projections of inundation-related direct damages (to residential buildings, firms' physical assets and agriculture production) is used as an exogenous shock to a dynamic stochastic economic model. The article considers explicitly the uncertainty related to the economic agents' behaviour and other relevant macroeconomic assumptions, i.e., how would consumers finance the repairing of their homes, how long does it take for a firm to reconstruct, whether firms decide to build-back-better after the inundation and possibly compensate the losses with a productivity gain. Our findings indicate that the long-term impacts of coastal floods could be larger than the direct damages. Under a high emission scenario (RCP8.5) the EU27 plus UK could lose every year between 0.25% and 0.91% of output by 2100, twice as much as the direct damages. The welfare losses present a strong regional variation, with the South (Bulgaria, Greece, Italy, Malta, Portugal and Spain), and United Kingdom (UK) plus Ireland regions showing the highest damages and a significant part of the population that could suffer significant welfare losses by the end of the century.</w:t>
      </w:r>
    </w:p>
    <w:p>
      <w:pPr>
        <w:pStyle w:val="Heading2"/>
      </w:pPr>
      <w:r>
        <w:t>706. The development of a system of «green» skills in the strategizing of labor resources of industrial enterprises</w:t>
      </w:r>
    </w:p>
    <w:p>
      <w:pPr>
        <w:pStyle w:val="SourceNote"/>
      </w:pPr>
      <w:r>
        <w:rPr>
          <w:b/>
        </w:rPr>
        <w:t>Original source (2020):</w:t>
      </w:r>
      <w:r>
        <w:t xml:space="preserve"> https://doi.org/10.17073/2072-1633-2019-4-484-493</w:t>
      </w:r>
    </w:p>
    <w:p>
      <w:pPr/>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pPr/>
      <w:r>
        <w:rPr>
          <w:b/>
        </w:rPr>
        <w:t>POSSIBLE 2026:</w:t>
      </w:r>
      <w:r>
        <w:t xml:space="preserve"> FORECASTS OF THE NUMBER OF CATTLE GRAZED ON PASTURES IN THE REPUBLIC OF KARAKALPAKSTAN — https://doi.org/10.5281/zenodo.21772231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FORECASTS OF THE NUMBER OF CATTLE GRAZED ON PASTURES IN THE REPUBLIC OF KARAKALPAKSTAN — https://openalex.org/W7220162741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Forecasting flight delays in Poland using the Holt-Winters method — https://doi.org/10.5604/01.3001.0055.9300</w:t>
      </w:r>
    </w:p>
    <w:p>
      <w:pPr/>
      <w:r>
        <w:rPr>
          <w:b/>
        </w:rPr>
        <w:t>Shared claim-specific concepts:</w:t>
      </w:r>
      <w:r>
        <w:t xml:space="preserve"> article, presents, forecasts, need; EU scope visible. This is a provisional connection, not an outcome finding.</w:t>
      </w:r>
    </w:p>
    <w:p>
      <w:pPr>
        <w:pStyle w:val="SourceNote"/>
      </w:pPr>
      <w:r>
        <w:rPr>
          <w:b/>
        </w:rPr>
        <w:t>Available abstract (not full text):</w:t>
      </w:r>
      <w:r>
        <w:t xml:space="preserve">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pPr/>
      <w:r>
        <w:rPr>
          <w:b/>
        </w:rPr>
        <w:t>POSSIBLE 2026:</w:t>
      </w:r>
      <w:r>
        <w:t xml:space="preserve"> Theory and Practice of Gas Consumption Forecasting in Planning the Development of Regional Gas Supply Systems — https://doi.org/10.1134/s1075700725700935</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pPr/>
      <w:r>
        <w:rPr>
          <w:b/>
        </w:rPr>
        <w:t>POSSIBLE 2026:</w:t>
      </w:r>
      <w:r>
        <w:t xml:space="preserve"> Density forecasting: A survey — https://doi.org/10.82444/warw.33523213</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pPr/>
      <w:r>
        <w:rPr>
          <w:b/>
        </w:rPr>
        <w:t>POSSIBLE 2026:</w:t>
      </w:r>
      <w:r>
        <w:t xml:space="preserve"> AI Displacement Risk in the Labor Market: Evidence, Exposure, and the Imperative for Adaptive Organizational Strategy — https://doi.org/10.70175/hclreview.2020.33.2.6</w:t>
      </w:r>
    </w:p>
    <w:p>
      <w:pPr/>
      <w:r>
        <w:rPr>
          <w:b/>
        </w:rPr>
        <w:t>Shared claim-specific concepts:</w:t>
      </w:r>
      <w:r>
        <w:t xml:space="preserve"> article, presents, labor, skills; EU scope not established. This is a provisional connection, not an outcome finding.</w:t>
      </w:r>
    </w:p>
    <w:p>
      <w:pPr>
        <w:pStyle w:val="SourceNote"/>
      </w:pPr>
      <w:r>
        <w:rPr>
          <w:b/>
        </w:rPr>
        <w:t>Available abstract (not full text):</w:t>
      </w:r>
      <w:r>
        <w:t xml:space="preserve"> Artificial intelligence—particularly generative large language models (LLMs)—presents organizations with a transformative technology whose labor market implications remain nascent yet consequential. This article synthesizes emerging empirical research on AI-driven job displacement and augmentation, focusing on the gap between theoretical automation potential and observed real-world implementation. Drawing on recent studies that combine task-level exposure metrics with employment and usage data, it examines which occupations face greatest risk, how demographic characteristics intersect with exposure, and the limited but suggestive early evidence of labor market disruption. The article then proposes evidence-based organizational responses—ranging from transparent workforce planning and skills investment to redesigned roles and adaptive governance—alongside long-term capability-building strategies. By grounding recommendations in validated research, this work offers leaders a framework for navigating AI's labor implications responsibly, mitigating harm, and preparing for an accelerating pace of workplace transformation.</w:t>
      </w:r>
    </w:p>
    <w:p>
      <w:pPr/>
      <w:r>
        <w:rPr>
          <w:b/>
        </w:rPr>
        <w:t>POSSIBLE 2026:</w:t>
      </w:r>
      <w:r>
        <w:t xml:space="preserve"> FORECAST OF AGRICULTURAL AND RURAL TERRITORY DEVELOPMENT, TAKING INTO ACCOUNT DIVERSIFICATION OF ACTIVITIES BASED ON AGRICULTURAL TOURISM — https://doi.org/10.33305/263-124</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The development of rural areas and agriculture are interrelated, and the results of their development indicate strategic planning problems. Among the various areas of diversification, agritourism is the most significant for the development of agriculture and rural areas, combining the development of the territory and production into a single system and creating a synergistic effect. As an additional type of activity of agricultural producers, it is not a substitute, but stimulating the main production. This article presents forecasts for the development of agriculture and rural areas of the study region (using the example of the Kostroma region), taking into account the factor of their diversification based on agricultural tourism. Two types of forecasts have been developed: inertial and scenario. Inertial forecasts are built using trends based on the assumption that the prevailing trends are unchanged. Scenario forecasts take into account the impact of the development of agritourism on the indicators of agriculture and rural areas. Inertial and scenario forecasts of the main indicative indicators at different levels of the economic system in the studied region give different results. The developed forecasts can make it possible to carry out program-targeted planning, assess the effectiveness of the implementation of state regional programs, and adjust control actions.</w:t>
      </w:r>
    </w:p>
    <w:p>
      <w:pPr/>
      <w:r>
        <w:rPr>
          <w:b/>
        </w:rPr>
        <w:t>POSSIBLE 2026:</w:t>
      </w:r>
      <w:r>
        <w:t xml:space="preserve"> METHODS OF ASSESSING LABOR PRODUCTIVITY — https://doi.org/10.36871/u.i.k.2026.02.04.001</w:t>
      </w:r>
    </w:p>
    <w:p>
      <w:pPr/>
      <w:r>
        <w:rPr>
          <w:b/>
        </w:rPr>
        <w:t>Shared claim-specific concepts:</w:t>
      </w:r>
      <w:r>
        <w:t xml:space="preserve"> article, presents, international, labor, organization, managers; EU scope not established. This is a provisional connection, not an outcome finding.</w:t>
      </w:r>
    </w:p>
    <w:p>
      <w:pPr>
        <w:pStyle w:val="SourceNote"/>
      </w:pPr>
      <w:r>
        <w:rPr>
          <w:b/>
        </w:rPr>
        <w:t>Available abstract (not full text):</w:t>
      </w:r>
      <w:r>
        <w:t xml:space="preserve"> The article presents a comprehensive study of methods for assessing labor productivity as a key element of the performance management system in a modern organization. The evolution of approaches to measuring labor efficiency, classification of existing methods (natural, labor, cost), as well as modern integrated techniques including KPIs (Key Performance Indicators) and the Balanced Scorecard are examined. Special attention is paid to the problem of selecting adequate tools depending on the industry specifics and strategic goals of the enterprise. Based on the analysis of Russian and international practice, the main limitations of traditional methods are identified and ways to overcome them using digital HR analytics tools are proposed. The research results can be useful for managers, labor economists, and HR specialists.</w:t>
      </w:r>
    </w:p>
    <w:p>
      <w:pPr/>
      <w:r>
        <w:rPr>
          <w:b/>
        </w:rPr>
        <w:t>POSSIBLE 2026:</w:t>
      </w:r>
      <w:r>
        <w:t xml:space="preserve"> PREVENTING FORCED LABOR OF MINORS IN UZBEKISTAN — https://doi.org/10.5281/zenodo.18766762</w:t>
      </w:r>
    </w:p>
    <w:p>
      <w:pPr/>
      <w:r>
        <w:rPr>
          <w:b/>
        </w:rPr>
        <w:t>Shared claim-specific concepts:</w:t>
      </w:r>
      <w:r>
        <w:t xml:space="preserve"> article, presents, international, labor, organization, related; EU scope not established. This is a provisional connection, not an outcome finding.</w:t>
      </w:r>
    </w:p>
    <w:p>
      <w:pPr>
        <w:pStyle w:val="SourceNote"/>
      </w:pPr>
      <w:r>
        <w:rPr>
          <w:b/>
        </w:rPr>
        <w:t>Available abstract (not full text):</w:t>
      </w:r>
      <w:r>
        <w:t xml:space="preserve"> The article provides a detailed analysis of the problems related to the involvement of minors in forced labor in Uzbekistan and the measures taken to prevent it. It discusses the negative effects of child labor on children’s education, academic development, and health. In addition, information is provided on the measures implemented and the adopted legal acts aimed at preventing the involvement of minors in forced labor.The article presents conclusions based on the statistical data of the International Labour Organization (ILO) regarding “The state of protection of child labor in Uzbekistan.” It also examines issues related to protecting the labor rights of minors in Uzbekistan, cooperation with other countries in this field, and the integration of foreign projects into the territory of Uzbekistan. Finally, solutions aimed at preventing the involvement of minors in forced labor are proposed.</w:t>
      </w:r>
    </w:p>
    <w:p>
      <w:pPr/>
      <w:r>
        <w:rPr>
          <w:b/>
        </w:rPr>
        <w:t>POSSIBLE 2026:</w:t>
      </w:r>
      <w:r>
        <w:t xml:space="preserve"> Short-Term Electricity Price Forecasting: A Review of Point Forecasting Methods, Metrics, and Empirical Evaluation — https://doi.org/10.3390/en19174000</w:t>
      </w:r>
    </w:p>
    <w:p>
      <w:pPr/>
      <w:r>
        <w:rPr>
          <w:b/>
        </w:rPr>
        <w:t>Shared claim-specific concepts:</w:t>
      </w:r>
      <w:r>
        <w:t xml:space="preserve"> article, presents, forecasts, related; EU scope not established. This is a provisional connection, not an outcome finding.</w:t>
      </w:r>
    </w:p>
    <w:p>
      <w:pPr>
        <w:pStyle w:val="SourceNote"/>
      </w:pPr>
      <w:r>
        <w:rPr>
          <w:b/>
        </w:rPr>
        <w:t>Available abstract (not full text):</w:t>
      </w:r>
      <w:r>
        <w:t xml:space="preserve"> Increasing variability in electricity production and demand contributes to greater electricity price volatility across different markets. The effective implementation of business processes related to broadly defined electricity trading therefore requires reliable electricity price forecasts. Consequently, electricity price forecasting has grown in both importance and research interest. This article presents an in-depth literature review of short-term point electricity price forecasting at the native temporal resolutions of the reviewed markets, primarily hourly and 30 min intervals, with selected studies using 15 min and 5 min intervals. The review concerns forecasts of individual market-interval prices and does not address forecasts of daily aggregated prices. The analysis covers the input data used in forecasting models, the main forecasting approaches, modelling techniques, and error measures. Forecast quality is examined with respect to market characteristics, forecasting methods, and explanatory variables. General trends in the reported results are identified, together with descriptive relationships among selected error measures. Particular attention is given to the RMSE-to-MAE ratio, referred to in this review as the Error Dispersion Factor (EDF), which is treated solely as a descriptive summary of the relative inequality of absolute forecast-error magnitudes in a given s</w:t>
      </w:r>
    </w:p>
    <w:p>
      <w:pPr/>
      <w:r>
        <w:rPr>
          <w:b/>
        </w:rPr>
        <w:t>POSSIBLE 2026:</w:t>
      </w:r>
      <w:r>
        <w:t xml:space="preserve"> FEMINIZATION OF LABOR, DOUBLE BURDEN AND INVISIBLE WORK — https://doi.org/10.58532/nbennurepscb3p2c4</w:t>
      </w:r>
    </w:p>
    <w:p>
      <w:pPr/>
      <w:r>
        <w:rPr>
          <w:b/>
        </w:rPr>
        <w:t>Shared claim-specific concepts:</w:t>
      </w:r>
      <w:r>
        <w:t xml:space="preserve"> article, presents, international, labor, organization; EU scope not established. This is a provisional connection, not an outcome finding.</w:t>
      </w:r>
    </w:p>
    <w:p>
      <w:pPr>
        <w:pStyle w:val="SourceNote"/>
      </w:pPr>
      <w:r>
        <w:rPr>
          <w:b/>
        </w:rPr>
        <w:t>Available abstract (not full text):</w:t>
      </w:r>
      <w:r>
        <w:t xml:space="preserve"> This article presents a comprehensive sociological and gendered analysis of the feminization of labor, focusing on the intersections between paid employment, unpaid domestic and care work, and gender inequality. While women’s participation in the global labor market is increasing, their work is often concentrated in low-paying, precarious, and gender-segregated occupations, reflecting persistent social, economic, and cultural inequalities (ILO, 2022; UNRISD, 2018). Based on India-specific data from the International Labor Organization (ILO), the United Nations Research Institute for Social Development (UNRISD), and the Periodic Labor Force Survey (PLFS) and Time Use Survey (TUS), this paper examines informal employment, the dual burden, emotional labor, invisible work, domestic work, digital labor, and structural and cultural barriers. The analysis demonstrates that, despite women’s central role in sustaining families and economies, much of their labor remains undervalued and invisible. The article concludes that achieving gender equality requires the parallel cultural recognition of all forms of labor, the redistribution of care responsibilities, and structural reform of labor policy and social systems (Folbre, 2001; Walby, 1990).</w:t>
      </w:r>
    </w:p>
    <w:p>
      <w:pPr/>
      <w:r>
        <w:rPr>
          <w:b/>
        </w:rPr>
        <w:t>POSSIBLE 2026:</w:t>
      </w:r>
      <w:r>
        <w:t xml:space="preserve"> Labor education practices in modern schools: analysis results — https://doi.org/10.54884/1815-7041-2026-86-1-133-143</w:t>
      </w:r>
    </w:p>
    <w:p>
      <w:pPr/>
      <w:r>
        <w:rPr>
          <w:b/>
        </w:rPr>
        <w:t>Shared claim-specific concepts:</w:t>
      </w:r>
      <w:r>
        <w:t xml:space="preserve"> article, presents, labor, professional, skills; EU scope not established. This is a provisional connection, not an outcome finding.</w:t>
      </w:r>
    </w:p>
    <w:p>
      <w:pPr>
        <w:pStyle w:val="SourceNote"/>
      </w:pPr>
      <w:r>
        <w:rPr>
          <w:b/>
        </w:rPr>
        <w:t>Available abstract (not full text):</w:t>
      </w:r>
      <w:r>
        <w:t xml:space="preserve"> The article presents the results of a survey of representatives of educational organizations in 68 regions of the Russian Federation. The purpose of the study was to identify, analyze, and describe current practices of labor education in schools. The analysis of the survey results revealed the dominant role of labor education in the career guidance of schoolchildren, the orientation of labor education practices towards the socialization of students, a significant expansion of social partnership precisely within the framework of the implementation of labor education practices. The results obtained indicate that labor education in modern schools is considered not only as a means of forming practical skills, but also as an important component of professional self-determination, socialization and integration of education with the community and the labor market.</w:t>
      </w:r>
    </w:p>
    <w:p>
      <w:pPr>
        <w:pStyle w:val="Heading2"/>
      </w:pPr>
      <w:r>
        <w:t>707. The role of gases in the European energy transition</w:t>
      </w:r>
    </w:p>
    <w:p>
      <w:pPr>
        <w:pStyle w:val="SourceNote"/>
      </w:pPr>
      <w:r>
        <w:rPr>
          <w:b/>
        </w:rPr>
        <w:t>Original source (2020):</w:t>
      </w:r>
      <w:r>
        <w:t xml:space="preserve"> https://doi.org/10.32609/j.ruje.6.55105</w:t>
      </w:r>
    </w:p>
    <w:p>
      <w:pPr/>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POSSIBLE 2026:</w:t>
      </w:r>
      <w:r>
        <w:t xml:space="preserve"> Net Zero Emissions and Positive Energy Districts: A Potential Solution to Achieve the European Climate Targets — https://doi.org/10.1109/tia.2026.3661957</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CO2 in The Realm of Net-Zero — https://doi.org/10.30967/ijcrset/ekrem-alagoz/211</w:t>
      </w:r>
    </w:p>
    <w:p>
      <w:pPr/>
      <w:r>
        <w:rPr>
          <w:b/>
        </w:rPr>
        <w:t>Shared claim-specific concepts:</w:t>
      </w:r>
      <w:r>
        <w:t xml:space="preserve"> net, zero, carbon; EU scope not established. This is a provisional connection, not an outcome finding.</w:t>
      </w:r>
    </w:p>
    <w:p>
      <w:pPr>
        <w:pStyle w:val="SourceNote"/>
      </w:pPr>
      <w:r>
        <w:rPr>
          <w:b/>
        </w:rPr>
        <w:t>Available abstract (not full text):</w:t>
      </w:r>
      <w:r>
        <w:t xml:space="preserve"> The paper titled "CO2 in the realm of Net Zero" provides a detailed analysis of the efforts to reduce CO2 emissions and achieve net-zero emissions. The paper emphasizes the importance of reducing CO2 emissions to mitigate the impacts of climate change. The paper discusses the role of Carbon Capture, Utilization, and Storage (CCUS) technology in reducing CO2 emissions in the energy sector and analyzes different approaches towards achieving a net-zero emissions target. The paper also evaluates the challenges and opportunities for reducing CO2 emissions in the manufacturing and transportation industries. Additionally, the paper explores the concept of the circular carbon economy and its potential to reduce CO2 emissions. Finally, the paper summarizes the key findings from various case studies and analyses and highlights the overall challenges and opportunities for reducing CO2 emissions in various industries. The paper concludes by emphasizing the importance of continued efforts in this area and highlighting the implications for future initiatives in reducing CO2 emissions and achieving net-zero.</w:t>
      </w:r>
    </w:p>
    <w:p>
      <w:pPr/>
      <w:r>
        <w:rPr>
          <w:b/>
        </w:rPr>
        <w:t>POSSIBLE 2026:</w:t>
      </w:r>
      <w:r>
        <w:t xml:space="preserve"> Global Pathways to Net Zero — https://doi.org/10.4018/979-8-3373-5238-1.ch014</w:t>
      </w:r>
    </w:p>
    <w:p>
      <w:pPr/>
      <w:r>
        <w:rPr>
          <w:b/>
        </w:rPr>
        <w:t>Shared claim-specific concepts:</w:t>
      </w:r>
      <w:r>
        <w:t xml:space="preserve"> net, zero, targets, gas, carbon; EU scope visible. This is a provisional connection, not an outcome finding.</w:t>
      </w:r>
    </w:p>
    <w:p>
      <w:pPr>
        <w:pStyle w:val="SourceNote"/>
      </w:pPr>
      <w:r>
        <w:rPr>
          <w:b/>
        </w:rPr>
        <w:t>Available abstract (not full text):</w:t>
      </w:r>
      <w:r>
        <w:t xml:space="preserve"> This study evaluated corporate alignment with the 2050 Net Zero Emissions targets, a cornerstone of the global transition to a low-carbon economy as mandated by the Paris Agreement. Utilizing the Transition Pathway Initiative (TPI) framework, as endorsed by OECD reports, we analyzed the carbon performance of 2,028 firms across 24 sectors and 28 countries. Companies are scored on a 0–5 scale, with 5 indicating the highest alignment with net-zero goals. Through descriptive statistics, statistical analyses, and hierarchical clustering, we assessed performance variations by firm size, sector, and countries, comparing their alignment with Paris-Compliant Pathways. Results reveal that larger firms, sectors such as telecommunications and oil &amp; gas, and European countries like Denmark and France exhibit superior carbon management, while smaller firms, carbon-intensive sectors like coal mining, and regions like China and the Middle East lag. These findings reveal sectoral and regional disparities, offering actionable insights to guide decarbonization efforts by policymakers and investors.</w:t>
      </w:r>
    </w:p>
    <w:p>
      <w:pPr/>
      <w:r>
        <w:rPr>
          <w:b/>
        </w:rPr>
        <w:t>POSSIBLE 2026:</w:t>
      </w:r>
      <w:r>
        <w:t xml:space="preserve"> Ammonia at the net-zero crossroads — https://doi.org/10.1038/s41467-026-75880-2</w:t>
      </w:r>
    </w:p>
    <w:p>
      <w:pPr/>
      <w:r>
        <w:rPr>
          <w:b/>
        </w:rPr>
        <w:t>Shared claim-specific concepts:</w:t>
      </w:r>
      <w:r>
        <w:t xml:space="preserve"> extensive, infrastructure, carbon, hydrogen; EU scope not established. This is a provisional connection, not an outcome finding.</w:t>
      </w:r>
    </w:p>
    <w:p>
      <w:pPr>
        <w:pStyle w:val="SourceNote"/>
      </w:pPr>
      <w:r>
        <w:rPr>
          <w:b/>
        </w:rPr>
        <w:t>Available abstract (not full text):</w:t>
      </w:r>
      <w:r>
        <w:t xml:space="preserve"> Ammonia is indispensable for food production and an emerging carbon-free energy vector, yet its synthesis via the fossil-fuelled Haber-Bosch process makes it a major source of carbon dioxide. We introduce the Ammonia Rainbow, a classification framework combining physics-based modelling, learning-curve analysis, and life-cycle sustainability assessment to evaluate net-zero transitions across eight ammonia production technologies. Here we show that, assuming global ammonia demand doubles to meet projected food and energy needs, net-zero ammonia is not achievable by 2050 under any current policy or technological scenario. Even optimistic deployment of green routes demands extensive infrastructure, consuming over 40 percent of available green hydrogen alongside large fractions of carbon capture and renewable energy capacity. Electrochemical routes offer long-term promise but are unlikely to reach commercial viability before 2070 without disruptive innovation. By exposing these hidden systems-level burdens, we challenge the prevailing assumption of unchecked demand growth and argue for demand-side measures, efficiency improvements, and alternative decarbonisation strategies.</w:t>
      </w:r>
    </w:p>
    <w:p>
      <w:pPr/>
      <w:r>
        <w:rPr>
          <w:b/>
        </w:rPr>
        <w:t>POSSIBLE 2026:</w:t>
      </w:r>
      <w:r>
        <w:t xml:space="preserve"> Empirical insights into residual emissions in urban net-zero targets — https://doi.org/10.1038/s41558-026-02691-0</w:t>
      </w:r>
    </w:p>
    <w:p>
      <w:pPr/>
      <w:r>
        <w:rPr>
          <w:b/>
        </w:rPr>
        <w:t>Shared claim-specific concepts:</w:t>
      </w:r>
      <w:r>
        <w:t xml:space="preserve"> net, zero, targets, carbon, availability; EU scope visible. This is a provisional connection, not an outcome finding.</w:t>
      </w:r>
    </w:p>
    <w:p>
      <w:pPr>
        <w:pStyle w:val="SourceNote"/>
      </w:pPr>
      <w:r>
        <w:rPr>
          <w:b/>
        </w:rPr>
        <w:t>Available abstract (not full text):</w:t>
      </w:r>
      <w:r>
        <w:t xml:space="preserve"> Abstract Cities increasingly pledge net-zero emissions targets, but the robustness of their residual emissions strategies remains uncertain. We examine the approaches of 103 European cities aiming at net zero by 2030. Total residual emissions are 61.4 MtCO 2 e originating mostly from buildings and transport, with the median at 0.8 tCO 2 e per capita, indicating a rapid decarbonization process. All municipal strategies rely on temporary, land-based CO 2 removal, then carbon credits (40%) and permanent CO 2 removal (32%). We develop the residual emissions strategy robustness index to assess the robustness of compensation strategies, indicating that the current maturity is medium-low with notable geographical disparities. Although cities invest in options mapping and governance, little attention is paid to land availability, the potential of the urban fabric to become a distributed carbon sink, provisions against carbon reversals, monitoring, timing and quantification (estimates cover only 18% of total residual emissions). We also distil recommendations and best practices to address residual emissions.</w:t>
      </w:r>
    </w:p>
    <w:p>
      <w:pPr/>
      <w:r>
        <w:rPr>
          <w:b/>
        </w:rPr>
        <w:t>POSSIBLE 2026:</w:t>
      </w:r>
      <w:r>
        <w:t xml:space="preserve"> Living worlds for net zero: Sensory and embodied visioning in transition management — https://doi.org/10.1016/j.futures.2026.103884</w:t>
      </w:r>
    </w:p>
    <w:p>
      <w:pPr/>
      <w:r>
        <w:rPr>
          <w:b/>
        </w:rPr>
        <w:t>Shared claim-specific concepts:</w:t>
      </w:r>
      <w:r>
        <w:t xml:space="preserve"> net, zero, developed; EU scope not established. This is a provisional connection, not an outcome finding.</w:t>
      </w:r>
    </w:p>
    <w:p>
      <w:pPr>
        <w:pStyle w:val="SourceNote"/>
      </w:pPr>
      <w:r>
        <w:rPr>
          <w:b/>
        </w:rPr>
        <w:t>Available abstract (not full text):</w:t>
      </w:r>
      <w:r>
        <w:t xml:space="preserve"> This paper examines how Transition Management (TM) visioning can be reconfigured to more explicitly engage with everyday experience, materiality, and embodied forms of sense-making in sustainability transitions. While participatory approaches to visioning increasingly incorporate immersive and material practices, TM visioning continues to privilege abstract, system-level imaginaries and offers limited guidance for integrating lived, place-based experience. Drawing on an empirical illustration from the Net Zero Precincts project in Melbourne, Australia, we mobilise practices from design anthropology (DA) and participatory design (PD) to reconfigure TM visioning. Guided walking tours and hands-on material world-building activities supported the co-creation of ten terrarium-based “Living Worlds” that articulate alternative net zero futures grounded in everyday life and place. We develop five guiding principles: situatedness, embodied experience, material speculation, plural imaginaries, and reflexive governance. These principles structure this approach to TM visioning and serve as analytical lenses for interpreting the process. A comparative analysis contrasts the Living Worlds with four TM-derived frames developed from earlier frontrunner interviews, showing how this reconfigured approach pluralises and grounds future imaginaries while retaining TM’s transformative orientation. T</w:t>
      </w:r>
    </w:p>
    <w:p>
      <w:pPr/>
      <w:r>
        <w:rPr>
          <w:b/>
        </w:rPr>
        <w:t>POSSIBLE 2026:</w:t>
      </w:r>
      <w:r>
        <w:t xml:space="preserve"> Net Zero Ambitions in Heritage Settings — https://doi.org/10.47982/cgc.10.752</w:t>
      </w:r>
    </w:p>
    <w:p>
      <w:pPr/>
      <w:r>
        <w:rPr>
          <w:b/>
        </w:rPr>
        <w:t>Shared claim-specific concepts:</w:t>
      </w:r>
      <w:r>
        <w:t xml:space="preserve"> net, zero, retain, carbon; EU scope not established. This is a provisional connection, not an outcome finding.</w:t>
      </w:r>
    </w:p>
    <w:p>
      <w:pPr>
        <w:pStyle w:val="SourceNote"/>
      </w:pPr>
      <w:r>
        <w:rPr>
          <w:b/>
        </w:rPr>
        <w:t>Available abstract (not full text):</w:t>
      </w:r>
      <w:r>
        <w:t xml:space="preserve"> Net zero ambitions for London’s heritage buildings have long been constrained by conservation requirements that retain poorly performing historic windows or reliance on secondary glazing, limiting gains in thermal performance, airtightness, acoustics, and usability. Between the 1920s and 1960s, single-glazed, non-thermally broken rolled steel window profiles were widely used and are now valued for their slender sightlines and refined detailing. However, they perform poorly by modern standards. While modern systems offer significantly improved performance, they are typically considered unsuitable for listed buildings because their proportions and detailing diverge from original windows. This paper describes a collaborative initiative by Eckersley O’Callaghan, The Crown Estate, Royal MHB, and others to develop a high-performance window system that faithfully replicates the heritage aesthetic. The project operated across three strands: Conservation; close consultation ensured the architectural significance of the original windows was preserved, Whole-building performance; portfolio-wide energy assessments demonstrated a clear whole-life carbon benefit, and Product performance; rigorous design and product testing validated performance. The system has successfully progressed through engagement with Westminster heritage stakeholders, securing planning permission for the installation </w:t>
      </w:r>
    </w:p>
    <w:p>
      <w:pPr/>
      <w:r>
        <w:rPr>
          <w:b/>
        </w:rPr>
        <w:t>POSSIBLE 2026:</w:t>
      </w:r>
      <w:r>
        <w:t xml:space="preserve"> The Legality Of Net Zero Targets Under International Trade Law — https://doi.org/10.2139/ssrn.6374318</w:t>
      </w:r>
    </w:p>
    <w:p>
      <w:pPr/>
      <w:r>
        <w:rPr>
          <w:b/>
        </w:rPr>
        <w:t>Shared claim-specific concepts:</w:t>
      </w:r>
      <w:r>
        <w:t xml:space="preserve"> net, zero, targets;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Rethinking chemical clusters: Greenfield and brownfield transition to net-zero by 2050 — https://doi.org/10.1016/j.isci.2026.117077</w:t>
      </w:r>
    </w:p>
    <w:p>
      <w:pPr/>
      <w:r>
        <w:rPr>
          <w:b/>
        </w:rPr>
        <w:t>Shared claim-specific concepts:</w:t>
      </w:r>
      <w:r>
        <w:t xml:space="preserve"> infrastructure, methane, availability; EU scope visible. This is a provisional connection, not an outcome finding.</w:t>
      </w:r>
    </w:p>
    <w:p>
      <w:pPr>
        <w:pStyle w:val="SourceNote"/>
      </w:pPr>
      <w:r>
        <w:rPr>
          <w:b/>
        </w:rPr>
        <w:t>Available abstract (not full text):</w:t>
      </w:r>
      <w:r>
        <w:t xml:space="preserve"> We develop a cluster-level optimization framework to design brownfield transition pathways toward net-zero chemical clusters by 2050, applied to existing ammonia-olefin clusters in the Netherlands. The model represents sequential investment decisions for 2030, 2040, and 2050, includes scope 1-3 emissions, and enables a systematic comparison of greenfield and brownfield configurations. Thirteen olefin and eight ammonia production routes are considered. The results show that, despite reduced flexibility due to legacy assets, net-zero brownfield configurations remain feasible. Plastic gasification combined with methanol-to-olefins emerges as a low-regret option for olefins, while electric steam methane reforming and electrolyzers are robust choices for ammonia. The results support early investment rather than strategic delay. Excluding scope 3 emissions leads to lock-in of fossil-based options that appear cost-effective short-term but raise long-term system costs. Sensitivity analyses highlight uncertainties related to infrastructure and technology availability, bio-feedstock prices, and plastic waste emission accounting.</w:t>
      </w:r>
    </w:p>
    <w:p>
      <w:pPr/>
      <w:r>
        <w:rPr>
          <w:b/>
        </w:rPr>
        <w:t>POSSIBLE 2026:</w:t>
      </w:r>
      <w:r>
        <w:t xml:space="preserve"> Routing India towards Net Zero: Optimal Planning of the CCS Infrastructure — https://doi.org/10.1007/s10666-026-10129-2</w:t>
      </w:r>
    </w:p>
    <w:p>
      <w:pPr/>
      <w:r>
        <w:rPr>
          <w:b/>
        </w:rPr>
        <w:t>Shared claim-specific concepts:</w:t>
      </w:r>
      <w:r>
        <w:t xml:space="preserve"> net, zero, targets, network, infrastructure, carbon; EU scope not established. This is a provisional connection, not an outcome finding.</w:t>
      </w:r>
    </w:p>
    <w:p>
      <w:pPr>
        <w:pStyle w:val="SourceNote"/>
      </w:pPr>
      <w:r>
        <w:rPr>
          <w:b/>
        </w:rPr>
        <w:t>Available abstract (not full text):</w:t>
      </w:r>
      <w:r>
        <w:t xml:space="preserve"> Abstract Given its size, growing population, and emerging economy, India’s energy choices are critically important for mitigating global climate change. The country’s increasing energy consumption, heavily reliant on coal, raises concerns about its ability to achieve its net zero target by 2070. Carbon Capture and Storage (CCS) technologies offer a potential solution to reduce emissions from coal-fired power plants. However, the size, cost, and feasibility of CCS deployment in India remain largely unexplored. This paper addresses this gap by introducing a cost-minimizing Mixed Integer Linear Program (MILP) model for CCS deployment in India. The model incorporates detailed carbon capture investment, pipeline routing, and onshore and offshore storage investments. To examine the implications of CCS adoption, we analyze four scenarios that reflect alternative policy mandates, storage restrictions, and capture targets. Our results reveal several important findings. First, India’s optimal CO 2 pipeline network is characterized by local infrastructures concentrated around storage basins rather than forming a nationally integrated network. Second, a significant portion of emissions is transported along an eastern transportation ’backbone’ in all modeled scenarios.</w:t>
      </w:r>
    </w:p>
    <w:p>
      <w:pPr/>
      <w:r>
        <w:rPr>
          <w:b/>
        </w:rPr>
        <w:t>POSSIBLE 2026:</w:t>
      </w:r>
      <w:r>
        <w:t xml:space="preserve"> Reconciling Circular Economy and Net Zero: Firm Capabilities to Resolve Sustainability Tensions — https://doi.org/10.1111/1467-8551.70061</w:t>
      </w:r>
    </w:p>
    <w:p>
      <w:pPr/>
      <w:r>
        <w:rPr>
          <w:b/>
        </w:rPr>
        <w:t>Shared claim-specific concepts:</w:t>
      </w:r>
      <w:r>
        <w:t xml:space="preserve"> net, zero, gas; EU scope not established. This is a provisional connection, not an outcome finding.</w:t>
      </w:r>
    </w:p>
    <w:p>
      <w:pPr>
        <w:pStyle w:val="SourceNote"/>
      </w:pPr>
      <w:r>
        <w:rPr>
          <w:b/>
        </w:rPr>
        <w:t>Available abstract (not full text):</w:t>
      </w:r>
      <w:r>
        <w:t xml:space="preserve"> Abstract Achieving net zero has become a key concern for firms to address climate change, yet growing evidence suggests that reducing reliance on fossil fuels for energy generation alone is insufficient. As material use is increasingly recognized as a significant source of greenhouse gas emissions, the circular economy has emerged as a potential pathway to support decarbonization. Despite the intuitive appeal of aligning circularity with net zero, their relationship remains conceptually underexplored and empirically ambiguous. To address this complexity, this article develops a framework conceptualizing the interaction between circular economy and net zero as a dynamic interplay of virtuous and vicious cycles. Drawing on paradox and capability perspectives, it explains when circular practices reinforce decarbonization and when they generate capability traps that undermine environmental performance. The framework contributes to corporate sustainability scholarship by identifying the capabilities that enable firms and their ecosystems to transform tensions into synergies, thereby supporting more coherent strategies and policy interventions at the intersection of circularity and net zero.</w:t>
      </w:r>
    </w:p>
    <w:p>
      <w:pPr/>
      <w:r>
        <w:rPr>
          <w:b/>
        </w:rPr>
        <w:t>POSSIBLE 2026:</w:t>
      </w:r>
      <w:r>
        <w:t xml:space="preserve"> Eco-equalities for a Just Transition to Net Zero: Applying an equality mainstreaming framework — https://doi.org/10.1016/j.erss.2025.104495</w:t>
      </w:r>
    </w:p>
    <w:p>
      <w:pPr/>
      <w:r>
        <w:rPr>
          <w:b/>
        </w:rPr>
        <w:t>Shared claim-specific concepts:</w:t>
      </w:r>
      <w:r>
        <w:t xml:space="preserve"> net, zero, need; EU scope not established. This is a provisional connection, not an outcome finding.</w:t>
      </w:r>
    </w:p>
    <w:p>
      <w:pPr>
        <w:pStyle w:val="SourceNote"/>
      </w:pPr>
      <w:r>
        <w:rPr>
          <w:b/>
        </w:rPr>
        <w:t>Available abstract (not full text):</w:t>
      </w:r>
      <w:r>
        <w:t xml:space="preserve"> There were hopes that Net Zero policies would provide solutions that address social inequalities, including improved access to fair work and new ‘green’ jobs. This has proved problematic due to a lack of clarity on key beneficiaries and the type and quality of employment required, resulting in calls for Net Zero policies to focus more explicitly on social inequalities. In response, this paper considers whether theoretical debates in the equality and Net Zero literatures can be ‘bridged’ to develop better integrated equality measures to underpin a Just Transition and assesses which systemic challenges we need to overcome so policymakers can deliver those measures. Analysis of exploratory research findings from an action research study of equality mainstreaming in Net Zero policy development – which engaged with equality experts, as well as other stakeholders invested in a green transition in Wales - identifies the potential to promote a more wide-ranging ecological ethos, scope to redefine Net Zero employment, plus a need for wholesale environmental upskilling. The paper advances the concept of eco-equalities as a key construct which has the potential to bridge equalities and Net Zero literatures and concludes by identifying theoretical and policy implications.</w:t>
      </w:r>
    </w:p>
    <w:p>
      <w:pPr>
        <w:pStyle w:val="Heading2"/>
      </w:pPr>
      <w:r>
        <w:t>708. Toward a Diagnostic Tool for Organizational Ethical Culture With Futures Thinking and Scenario Planning</w:t>
      </w:r>
    </w:p>
    <w:p>
      <w:pPr>
        <w:pStyle w:val="SourceNote"/>
      </w:pPr>
      <w:r>
        <w:rPr>
          <w:b/>
        </w:rPr>
        <w:t>Original source (2020):</w:t>
      </w:r>
      <w:r>
        <w:t xml:space="preserve"> https://doi.org/10.1109/tem.2020.3018309</w:t>
      </w:r>
    </w:p>
    <w:p>
      <w:pPr/>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POSSIBLE 2026:</w:t>
      </w:r>
      <w:r>
        <w:t xml:space="preserve"> Mapping the Evidence on Antimicrobial Resistance Transmission in Mass Gatherings: A Scoping Review — https://doi.org/10.17605/osf.io/9hq5t</w:t>
      </w:r>
    </w:p>
    <w:p>
      <w:pPr/>
      <w:r>
        <w:rPr>
          <w:b/>
        </w:rPr>
        <w:t>Shared claim-specific concepts:</w:t>
      </w:r>
      <w:r>
        <w:t xml:space="preserve"> gathering, analyzing, diverse, contextual; EU scope not established. This is a provisional connection, not an outcome finding.</w:t>
      </w:r>
    </w:p>
    <w:p>
      <w:pPr>
        <w:pStyle w:val="SourceNote"/>
      </w:pPr>
      <w:r>
        <w:rPr>
          <w:b/>
        </w:rPr>
        <w:t>Available abstract (not full text):</w:t>
      </w:r>
      <w:r>
        <w:t xml:space="preserve">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pPr/>
      <w:r>
        <w:rPr>
          <w:b/>
        </w:rPr>
        <w:t>POSSIBLE 2026:</w:t>
      </w:r>
      <w:r>
        <w:t xml:space="preserve"> Dialogic Feminist Gatherings: Intergenerational Impact on Preventive Socialization of Gender Violence — https://doi.org/10.3390/socsci15020075</w:t>
      </w:r>
    </w:p>
    <w:p>
      <w:pPr/>
      <w:r>
        <w:rPr>
          <w:b/>
        </w:rPr>
        <w:t>Shared claim-specific concepts:</w:t>
      </w:r>
      <w:r>
        <w:t xml:space="preserve"> analyzing, diverse; EU scope not established. This is a provisional connection, not an outcome finding.</w:t>
      </w:r>
    </w:p>
    <w:p>
      <w:pPr>
        <w:pStyle w:val="SourceNote"/>
      </w:pPr>
      <w:r>
        <w:rPr>
          <w:b/>
        </w:rPr>
        <w:t>Available abstract (not full text):</w:t>
      </w:r>
      <w:r>
        <w:t xml:space="preserve">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pPr/>
      <w:r>
        <w:rPr>
          <w:b/>
        </w:rPr>
        <w:t>POSSIBLE 2026:</w:t>
      </w:r>
      <w:r>
        <w:t xml:space="preserve"> Adoption of Digital Micro Wakaf Bank by Ultra-Micro and Micro Businesses in Indonesia — https://doi.org/10.62159/sembj.v7i2.2237</w:t>
      </w:r>
    </w:p>
    <w:p>
      <w:pPr/>
      <w:r>
        <w:rPr>
          <w:b/>
        </w:rPr>
        <w:t>Shared claim-specific concepts:</w:t>
      </w:r>
      <w:r>
        <w:t xml:space="preserve"> micro, called, partial, used; EU scope not established. This is a provisional connection, not an outcome finding.</w:t>
      </w:r>
    </w:p>
    <w:p>
      <w:pPr>
        <w:pStyle w:val="SourceNote"/>
      </w:pPr>
      <w:r>
        <w:rPr>
          <w:b/>
        </w:rPr>
        <w:t>Available abstract (not full text):</w:t>
      </w:r>
      <w:r>
        <w:t xml:space="preserve"> Background: Micro, small, and medium enterprises (MSMEs) are the backbone of the economy of Indonesia. Despite that fact, ultra-micro and micro entrepreneurs still face several constraints. Micro Waqf Bank (MWB) is one solution that utilizes Islamic social funds. This solution develops digital financial services to expand access to financing, efficiency of services, and business development. The limited study of ultra-micro and micro-entrepreneurs’ adoption of MWB’s digitalization makes this research important. Method: This research uses a mixed-methods approach, combining quantitative and qualitative methods. In this research, a sequential/stepwise mixed-methods strategy was used, with a sequential exploratory design. The analysis technique used in this research is a qualitative descriptive analysis technique, or what is usually called explanation making, namely, by using data analysis methods and describing the results of interview observations to find out in depth about the adoption of digital MWBs in the 5 MWBs. The quantitative method data analysis technique used by researchers uses the Partial Least Squares (PLS) method with SmartPLS software. Results: The research results show that there are several obstacles that prevent the use of the MWB mobile from being used comprehensively. However, the intention of ultramicro and micro business actors who are BMW customers to use </w:t>
      </w:r>
    </w:p>
    <w:p>
      <w:pPr/>
      <w:r>
        <w:rPr>
          <w:b/>
        </w:rPr>
        <w:t>POSSIBLE 2026:</w:t>
      </w:r>
      <w:r>
        <w:t xml:space="preserve"> Brief Analysis of Corrosion and Scaling Problems in Crude Oil Gathering and Transportation Systems and Its Anti-Corrosion Countermeasures — https://doi.org/10.12677/jogt.2026.483056</w:t>
      </w:r>
    </w:p>
    <w:p>
      <w:pPr/>
      <w:r>
        <w:rPr>
          <w:b/>
        </w:rPr>
        <w:t>Shared claim-specific concepts:</w:t>
      </w:r>
      <w:r>
        <w:t xml:space="preserve"> gathering, diverse, disruptions; EU scope not established. This is a provisional connection, not an outcome finding.</w:t>
      </w:r>
    </w:p>
    <w:p>
      <w:pPr>
        <w:pStyle w:val="SourceNote"/>
      </w:pPr>
      <w:r>
        <w:rPr>
          <w:b/>
        </w:rPr>
        <w:t>Available abstract (not full text):</w:t>
      </w:r>
      <w:r>
        <w:t xml:space="preserve"> Crude oil is a core global energy resource.Due to the complex and diverse composition of crude oil-such as high sulfur content, inorganic salts, asphaltenes, and waxes-and the characteristics of associated water (high salinity, high chloride concentration, and presence of H2S/CO2), corrosion and scaling issues frequently occur during crude oil gathering and transportation.These problems are exacerbated by fluctuations in temperature and pressure, as well as defects in anti-corrosion coatings, leading to chemical and electrochemical corrosion of equipment, resulting in damage, failure, and production disruptions.This paper highlights the severity of corrosion and scaling in crude oil gathering systems and their negative impacts on operational safety and economic efficiency.It systematically analyzes the mechanisms behind corrosion and scaling formation, discusses their detrimental effects on gathering infrastructure, and generally outlines the factors and conditions contributing to corrosion in crude oil handling equipment.Based on this analysis, targeted anticorrosion protection measures and implementation strategies are proposed to ensure efficient and stable operation of crude oil processing systems.These measures significantly enhance system stability, safety, reliability, and equipment service life, delivering substantial economic benefits.</w:t>
      </w:r>
    </w:p>
    <w:p>
      <w:pPr/>
      <w:r>
        <w:rPr>
          <w:b/>
        </w:rPr>
        <w:t>POSSIBLE 2026:</w:t>
      </w:r>
      <w:r>
        <w:t xml:space="preserve"> Empowering Rural Faith Communities Through Contextual Catechesis — https://doi.org/10.36418/syntax-literate.v11i1.63768</w:t>
      </w:r>
    </w:p>
    <w:p>
      <w:pPr/>
      <w:r>
        <w:rPr>
          <w:b/>
        </w:rPr>
        <w:t>Shared claim-specific concepts:</w:t>
      </w:r>
      <w:r>
        <w:t xml:space="preserve"> contextual, investigates, culture; EU scope not established. This is a provisional connection, not an outcome finding.</w:t>
      </w:r>
    </w:p>
    <w:p>
      <w:pPr>
        <w:pStyle w:val="SourceNote"/>
      </w:pPr>
      <w:r>
        <w:rPr>
          <w:b/>
        </w:rPr>
        <w:t>Available abstract (not full text):</w:t>
      </w:r>
      <w:r>
        <w:t xml:space="preserve"> This study investigates the empowering role of contextual catechesis in strengthening rural faith communities, drawing on qualitative research conducted in Stasi Rondo Woing, Sita Parish, Diocese of Ruteng, Indonesia. Data obtained through interviews, observations, and documentation reveal significant challenges, including limited trained catechists, low parishioner participation, insufficient structural support, irregular catechetical practices, and geographic as well as infrastructural constraints. Despite these barriers, the findings highlight substantial opportunities such as strong communal values, openness to faith formation, the presence of committed local leaders, and available pastoral support from parish and diocesan structures. The analysis demonstrates that contextual catechesis—rooted in local culture, adapted to socio-economic realities, and implemented through participatory approaches like Christian Based Communities and family-based catechesis—can enhance engagement, deepen faith understanding, and foster sustainable community formation. The study concludes that contextualized pastoral strategies are essential for empowering rural Catholic communities and ensuring the long-term vitality of their faith life.</w:t>
      </w:r>
    </w:p>
    <w:p>
      <w:pPr/>
      <w:r>
        <w:rPr>
          <w:b/>
        </w:rPr>
        <w:t>POSSIBLE 2026:</w:t>
      </w:r>
      <w:r>
        <w:t xml:space="preserve"> Requirement gathering technique: Bibliometric analysis — https://doi.org/10.31893/multirev.2026387</w:t>
      </w:r>
    </w:p>
    <w:p>
      <w:pPr/>
      <w:r>
        <w:rPr>
          <w:b/>
        </w:rPr>
        <w:t>Shared claim-specific concepts:</w:t>
      </w:r>
      <w:r>
        <w:t xml:space="preserve"> gathering, points, used; EU scope not established. This is a provisional connection, not an outcome finding.</w:t>
      </w:r>
    </w:p>
    <w:p>
      <w:pPr>
        <w:pStyle w:val="SourceNote"/>
      </w:pPr>
      <w:r>
        <w:rPr>
          <w:b/>
        </w:rPr>
        <w:t>Available abstract (not full text):</w:t>
      </w:r>
      <w:r>
        <w:t xml:space="preserve"> An analyst chooses a specific elicitation method since it is the only method with which practitioners are acquainted. The authors intend to assess the influence of project and human attributes in selecting the Requirement Elicitation Technique (RET). The study emphasizes the effects of the number of stakeholders, number of functional points, project duration, requirement elicitation duration, experience of the elicitor in requirement elicitation, and overall experience of the elicitor in the software domain on the selection of RETs. The authors conducted a content analysis of 54 articles to assess the influence of these variables on RET selection. The study used VOSviewer to perform the content analysis. The study findings suggested that the longer the project duration is, the greater the chance of selecting a workshop technique. The possibility of choosing a focus group is greater when the business analyst encounters multiple functionalities.The study corroborated that project characteristics and human attributes were dominant when choosing RET.It optimizes the RET decision-making process. This allows practitioners to choose RET under challenging project situations. The challenges may be in the form of multiple stakeholders, many functional points, and a project with a longer duration. Regardless of project complexity, the requirement engineers can resolve RET selection issues</w:t>
      </w:r>
    </w:p>
    <w:p>
      <w:pPr/>
      <w:r>
        <w:rPr>
          <w:b/>
        </w:rPr>
        <w:t>POSSIBLE 2026:</w:t>
      </w:r>
      <w:r>
        <w:t xml:space="preserve"> Gathering Evidence for Modifying Paramedic Practicum with Simulation — https://doi.org/10.56068/kdmu0573</w:t>
      </w:r>
    </w:p>
    <w:p>
      <w:pPr/>
      <w:r>
        <w:rPr>
          <w:b/>
        </w:rPr>
        <w:t>Shared claim-specific concepts:</w:t>
      </w:r>
      <w:r>
        <w:t xml:space="preserve"> gathering, diverse, partial, used; EU scope not established. This is a provisional connection, not an outcome finding.</w:t>
      </w:r>
    </w:p>
    <w:p>
      <w:pPr>
        <w:pStyle w:val="SourceNote"/>
      </w:pPr>
      <w:r>
        <w:rPr>
          <w:b/>
        </w:rPr>
        <w:t>Available abstract (not full text):</w:t>
      </w:r>
      <w:r>
        <w:t xml:space="preserve"> Clinical practicum placements are a cornerstone of paramedic education, yet Canadian programs consistently face challenges in securing sufficient, high-quality placements due to workforce shortages, increasing student enrolment, and logistical constraints. Simulation-based education (SBE), particularly high-quality simulation (HQS), has demonstrated effectiveness as a partial replacement for clinical time in other health professions, but its role in paramedicine remains underexplored. This study conducted a national needs analysis to assess current perceptions, gaps, and opportunities for integrating HQS into paramedic training as a supplement or replacement for practicum.A cross-sectional survey was distributed across Canadian paramedic programs and professional networks between March and June 2025. Fifty-seven respondents representing multiple provinces and diverse professional roles completed the survey. Quantitative data were analyzed using descriptive and inferential statistics, and qualitative data were thematically analyzed.Findings revealed that while practicum remains highly valued, significant gaps exist, including inconsistent preceptor engagement, variable case exposure, and limited opportunities to assess rare, high-acuity, low-occurrence (HALO) events. Respondents reported that simulation is already widely used (88%), though fewer institutions are implementing HQS</w:t>
      </w:r>
    </w:p>
    <w:p>
      <w:pPr/>
      <w:r>
        <w:rPr>
          <w:b/>
        </w:rPr>
        <w:t>POSSIBLE 2026:</w:t>
      </w:r>
      <w:r>
        <w:t xml:space="preserve"> Risk communication in mass gatherings: a scoping review — https://doi.org/10.1186/s12245-026-01252-8</w:t>
      </w:r>
    </w:p>
    <w:p>
      <w:pPr/>
      <w:r>
        <w:rPr>
          <w:b/>
        </w:rPr>
        <w:t>Shared claim-specific concepts:</w:t>
      </w:r>
      <w:r>
        <w:t xml:space="preserve"> gathering, article, used; EU scope not established. This is a provisional connection, not an outcome finding.</w:t>
      </w:r>
    </w:p>
    <w:p>
      <w:pPr>
        <w:pStyle w:val="SourceNote"/>
      </w:pPr>
      <w:r>
        <w:rPr>
          <w:b/>
        </w:rPr>
        <w:t>Available abstract (not full text):</w:t>
      </w:r>
      <w:r>
        <w:t xml:space="preserve"> BACKGROUND: Mass gatherings entail unique crowd behavioral, health and safety risks for participants; however, risk perception can vary widely, and factors that influence perception of risk are not completely understood. Mass gathering organizers must take into consideration recognition, mitigation, monitoring, and communication of risk. This scoping review aims to (1) examine key factors affecting public perceptions of risk in mass gatherings and; (2) identify contemporary risk communication strategies specific to these events. METHODS: We conducted a scoping review of articles indexed in MEDLINE, Embase, Scopus, CINAHL, and PsycINFO published between 1990 and 2024. Eligible articles included peer-reviewed original research (qualitative and quantitative), case studies, commentaries, reviews, and book chapters that discussed either factors influencing public risk perception of mass gatherings or strategies for mass gathering risk communication. Title and abstract screening, full article review, and data extraction were performed independently by team members. Final article inclusion was determined by team consensus, and findings were analyzed using thematic content analysis. RESULTS: A total of 29 articles were included. Of these, four articles addressed factors shaping public risk perception of mass gatherings, 14 articles addressed risk communication strategies, and 11 articl</w:t>
      </w:r>
    </w:p>
    <w:p>
      <w:pPr/>
      <w:r>
        <w:rPr>
          <w:b/>
        </w:rPr>
        <w:t>POSSIBLE 2026:</w:t>
      </w:r>
      <w:r>
        <w:t xml:space="preserve"> The Need for Mass Gathering Regulation in Portugal - Priorities and Challenges — https://doi.org/10.1017/s1049023x26102155</w:t>
      </w:r>
    </w:p>
    <w:p>
      <w:pPr/>
      <w:r>
        <w:rPr>
          <w:b/>
        </w:rPr>
        <w:t>Shared claim-specific concepts:</w:t>
      </w:r>
      <w:r>
        <w:t xml:space="preserve"> gathering, diverse, planning; EU scope visible. This is a provisional connection, not an outcome finding.</w:t>
      </w:r>
    </w:p>
    <w:p>
      <w:pPr>
        <w:pStyle w:val="SourceNote"/>
      </w:pPr>
      <w:r>
        <w:rPr>
          <w:b/>
        </w:rPr>
        <w:t>Available abstract (not full text):</w:t>
      </w:r>
      <w:r>
        <w:t xml:space="preserve"> Summary: Mass gatherings, which can be defined as events exceeding 1,000 participants in a specific location for a defined purpose and duration, pose heightened public health risks. These risks stem from high participant density, increased interpersonal contact, and the presence of attendees from diverse regions. Temporary accommodations and food services contribute to the risk of disease transmission, while alcohol and other drug consumption can lead to risk behaviors. Given Portugal’s suitability for such events due to climate, tourism, and cultural factors, establishing a technical norm is crucial to ensure safety and preparedness. The draft technical norm emphasizes the need for a formal registration, mandating the designation of a health focal point by event organizers. Events can be classified into risk levels (low, medium, high, extreme) based on type, participant numbers, duration, and proximity to medical facilities. The classification determines the required health resources and response measures. For low-risk events, basic life support teams and defibrillators are necessary, while high- and extreme-risk events require advanced life support and medical centers, with pre approval timelines ranging from 15 to 120 days. Key health provisions should include pre-event planning, epidemiological surveillance, health promotion, and harm reduction strategies. Contingency plans</w:t>
      </w:r>
    </w:p>
    <w:p>
      <w:pPr/>
      <w:r>
        <w:rPr>
          <w:b/>
        </w:rPr>
        <w:t>POSSIBLE 2026:</w:t>
      </w:r>
      <w:r>
        <w:t xml:space="preserve"> Crowd Management in Religious Gathering-Systems Design Approach — https://doi.org/10.46254/gc03.20250354</w:t>
      </w:r>
    </w:p>
    <w:p>
      <w:pPr/>
      <w:r>
        <w:rPr>
          <w:b/>
        </w:rPr>
        <w:t>Shared claim-specific concepts:</w:t>
      </w:r>
      <w:r>
        <w:t xml:space="preserve"> points, disruptions, organization; EU scope not established. This is a provisional connection, not an outcome finding.</w:t>
      </w:r>
    </w:p>
    <w:p>
      <w:pPr>
        <w:pStyle w:val="SourceNote"/>
      </w:pPr>
      <w:r>
        <w:rPr>
          <w:b/>
        </w:rPr>
        <w:t>Available abstract (not full text):</w:t>
      </w:r>
      <w:r>
        <w:t xml:space="preserve"> This case study aims to enhance the visitor experience at Al-Rawdah Al-Shareefa, a religious site in Madinah, KSA, by identifying and addressing bottlenecks in the current visitor flow. We analyze the current state of visitor flow and propose data-driven solutions to improve the overall visitor experience. A mixed-methods approach was employed, including process flow analysis, Quality Function Deployment (QFD), surveys, and on-site observations. A comprehensive case study approach was utilized, involving process flow analysis. The study identified significant bottlenecks at security checkpoints and entry points, resulting in prolonged wait times and disruptions to the overall visitor flow. Additionally, visitor surveys revealed a strong desire for safety, security, organization, cleanliness, and a peaceful atmosphere. Bottlenecks and wait times in the visitor process flow revealed potential bottlenecks at security checkpoints and entry points, resulting in variable wait times (10-50 minutes and 5-30 minutes, respectively). The variability disrupts the overall flow and can significantly exceed the desired throughput time, potentially exceeding 100 minutes. The average wait time reported by pilgrims was 61 minutes, substantially higher than the ideal of 30 minutes. This research contributes to crowd management and religious tourism by applying practical and data-driven techniques</w:t>
      </w:r>
    </w:p>
    <w:p>
      <w:pPr/>
      <w:r>
        <w:rPr>
          <w:b/>
        </w:rPr>
        <w:t>POSSIBLE 2026:</w:t>
      </w:r>
      <w:r>
        <w:t xml:space="preserve"> Civil servants as intermediaries contextualizing policy for sustainable energy transitions — https://doi.org/10.63959/chalmers.dt/5833</w:t>
      </w:r>
    </w:p>
    <w:p>
      <w:pPr/>
      <w:r>
        <w:rPr>
          <w:b/>
        </w:rPr>
        <w:t>Shared claim-specific concepts:</w:t>
      </w:r>
      <w:r>
        <w:t xml:space="preserve"> contextual, investigates, used; EU scope visible. This is a provisional connection, not an outcome finding.</w:t>
      </w:r>
    </w:p>
    <w:p>
      <w:pPr>
        <w:pStyle w:val="SourceNote"/>
      </w:pPr>
      <w:r>
        <w:rPr>
          <w:b/>
        </w:rPr>
        <w:t>Available abstract (not full text):</w:t>
      </w:r>
      <w:r>
        <w:t xml:space="preserve"> Climate change requires fundamental transformations in how energy is produced and used. While technological developments on the supply side are critical, meaningful progress also depends on everyday decisions citizens make in their homes – whether in consumption patterns or investments in low-carbon technologies. To support such decisions, policy plays a crucial role in accounting for differences in citizens’ motivations, knowledge, resources, and contextual barriers that make individual action difficult. Public energy advising is one key informational policy instrument, in which civil servants contextualize the broad policy mission of reducing environmental impact of energy use by guiding citizens through technological and behavioral measures. However, the effectiveness of this instrument depends not only on its formal design but on how civil servants interpret and contextualize these missions in practice – an aspect that remains insufficiently understood.This thesis explains how civil servants facilitate sustainable energy transitions when contextualizing policy missions. Conceptualizing them as public intermediaries, it investigates how they enact their mission and contribute to broader ecologies of intermediation. Empirically, it examines Sweden’s public energy advising program through a mixed-methods design combining document analysis, interviews, and surveys.The findings </w:t>
      </w:r>
    </w:p>
    <w:p>
      <w:pPr/>
      <w:r>
        <w:rPr>
          <w:b/>
        </w:rPr>
        <w:t>POSSIBLE 2026:</w:t>
      </w:r>
      <w:r>
        <w:t xml:space="preserve"> Review study on Information Gathering Using OSINT for Forensic Investigations — https://doi.org/10.2991/978-94-6239-610-4_24</w:t>
      </w:r>
    </w:p>
    <w:p>
      <w:pPr/>
      <w:r>
        <w:rPr>
          <w:b/>
        </w:rPr>
        <w:t>Shared claim-specific concepts:</w:t>
      </w:r>
      <w:r>
        <w:t xml:space="preserve"> gathering, analyzing, organization, ethical; EU scope not established. This is a provisional connection, not an outcome finding.</w:t>
      </w:r>
    </w:p>
    <w:p>
      <w:pPr>
        <w:pStyle w:val="SourceNote"/>
      </w:pPr>
      <w:r>
        <w:rPr>
          <w:b/>
        </w:rPr>
        <w:t>Available abstract (not full text):</w:t>
      </w:r>
      <w:r>
        <w:t xml:space="preserve"> In the current era of Digital Forensics, evidence collection and gathering information related to the crime, victim and the attacker is crucial, these evidences can be available at the scene of crime or in the larger databases like the Internet.The data which is present in the internet about a person or an organization is found in the public records and databases.This collection of the data which is publicly available can be performed with the help of OSINT, Open-Source Intelligence, using OSINT we can systematically collect, analyze and interpret the public databases.OSINT tools are mostly found all over the internet with each domain focusing on a specific type of data.OSINT can also be performed using Kali Linux based commands for a simpler and broader user data search.This paper provides a review on the information gathering tools and software which are available for open source while analyzing the accuracy of the selected software along with its legal, technical and ethical considerations.This paper includes rigorous searching for the information over the internet along with evaluating its accuracy and relevance in accordance to the source.In the process of gathering information related to a specific person we find the person's digital footprint and their interaction with various platforms.This paper also highlights the future directions of OSINT, its credibility and reliab</w:t>
      </w:r>
    </w:p>
    <w:p>
      <w:pPr>
        <w:pStyle w:val="Heading2"/>
      </w:pPr>
      <w:r>
        <w:t>709. Use of Counterfactual Population Projections for Assessing the Demographic Determinants of Population Ageing</w:t>
      </w:r>
    </w:p>
    <w:p>
      <w:pPr>
        <w:pStyle w:val="SourceNote"/>
      </w:pPr>
      <w:r>
        <w:rPr>
          <w:b/>
        </w:rPr>
        <w:t>Original source (2020):</w:t>
      </w:r>
      <w:r>
        <w:t xml:space="preserve"> https://doi.org/10.1007/s10680-020-09567-9</w:t>
      </w:r>
    </w:p>
    <w:p>
      <w:pPr/>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POSSIBLE 2026:</w:t>
      </w:r>
      <w:r>
        <w:t xml:space="preserve"> Inconsistent findings of ageing across different feather-quality indices in a wild passerine — https://doi.org/10.32942/x28953</w:t>
      </w:r>
    </w:p>
    <w:p>
      <w:pPr/>
      <w:r>
        <w:rPr>
          <w:b/>
        </w:rPr>
        <w:t>Shared claim-specific concepts:</w:t>
      </w:r>
      <w:r>
        <w:t xml:space="preserve"> different, ageing, indices, tend, but, population; EU scope not established. This is a provisional connection, not an outcome finding.</w:t>
      </w:r>
    </w:p>
    <w:p>
      <w:pPr>
        <w:pStyle w:val="SourceNote"/>
      </w:pPr>
      <w:r>
        <w:rPr>
          <w:b/>
        </w:rPr>
        <w:t>Available abstract (not full text):</w:t>
      </w:r>
      <w:r>
        <w:t xml:space="preserve">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pPr/>
      <w:r>
        <w:rPr>
          <w:b/>
        </w:rPr>
        <w:t>POSSIBLE 2026:</w:t>
      </w:r>
      <w:r>
        <w:t xml:space="preserve"> Mitigating ageing-induced stiffening in asphalt mixtures using zinc diethyldithiocarbamate: mechanical performance, digital image correlation, and inter-laboratory validation — https://doi.org/10.1617/s11527-026-03313-z</w:t>
      </w:r>
    </w:p>
    <w:p>
      <w:pPr/>
      <w:r>
        <w:rPr>
          <w:b/>
        </w:rPr>
        <w:t>Shared claim-specific concepts:</w:t>
      </w:r>
      <w:r>
        <w:t xml:space="preserve"> different, ageing, indices, abstract; EU scope not established. This is a provisional connection, not an outcome finding.</w:t>
      </w:r>
    </w:p>
    <w:p>
      <w:pPr>
        <w:pStyle w:val="SourceNote"/>
      </w:pPr>
      <w:r>
        <w:rPr>
          <w:b/>
        </w:rPr>
        <w:t>Available abstract (not full text):</w:t>
      </w:r>
      <w:r>
        <w:t xml:space="preserve">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pPr/>
      <w:r>
        <w:rPr>
          <w:b/>
        </w:rPr>
        <w:t>POSSIBLE 2026:</w:t>
      </w:r>
      <w:r>
        <w:t xml:space="preserve"> Regional Disparities in Ageing and Longevity in Nepal: A Comprehensive Analysis by Province and Ecological Zone — https://doi.org/10.3126/oj.v3i4.91080</w:t>
      </w:r>
    </w:p>
    <w:p>
      <w:pPr/>
      <w:r>
        <w:rPr>
          <w:b/>
        </w:rPr>
        <w:t>Shared claim-specific concepts:</w:t>
      </w:r>
      <w:r>
        <w:t xml:space="preserve"> ageing, indices, differ, population, fertility; EU scope not established. This is a provisional connection, not an outcome finding.</w:t>
      </w:r>
    </w:p>
    <w:p>
      <w:pPr>
        <w:pStyle w:val="SourceNote"/>
      </w:pPr>
      <w:r>
        <w:rPr>
          <w:b/>
        </w:rPr>
        <w:t>Available abstract (not full text):</w:t>
      </w:r>
      <w:r>
        <w:t xml:space="preserve">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pPr/>
      <w:r>
        <w:rPr>
          <w:b/>
        </w:rPr>
        <w:t>POSSIBLE 2026:</w:t>
      </w:r>
      <w:r>
        <w:t xml:space="preserve"> RBP4 in Ageing — https://doi.org/10.3390/biomedicines14020463</w:t>
      </w:r>
    </w:p>
    <w:p>
      <w:pPr/>
      <w:r>
        <w:rPr>
          <w:b/>
        </w:rPr>
        <w:t>Shared claim-specific concepts:</w:t>
      </w:r>
      <w:r>
        <w:t xml:space="preserve"> different, ageing, conclusions; EU scope not established. This is a provisional connection, not an outcome finding.</w:t>
      </w:r>
    </w:p>
    <w:p>
      <w:pPr>
        <w:pStyle w:val="SourceNote"/>
      </w:pPr>
      <w:r>
        <w:rPr>
          <w:b/>
        </w:rPr>
        <w:t>Available abstract (not full text):</w:t>
      </w:r>
      <w:r>
        <w:t xml:space="preserve"> Background: The protein that binds to retinol 4 (RBP4), is a lipocalin-family protein, secreted primarily by the adipose tissue and the liver, and has also been reported to be produced by other tissues, including the kidney. This protein mediates the transport of vitamin A (retinol) in the circulation, bound to a transporter protein, transthyretin. In recent years, RBP4 has been shown to contribute to the development of insulin resistance and a range of metabolic disorders such as type 2 diabetes mellitus, gestational diabetes, obesity, metabolic syndrome, hyperuricaemia, metabolic dysfunction-associated steatotic liver disease (MASLD), and cardiorenal diseases. Objectives: The objective was to analyse the role of RBP4 in ageing, as well as its mechanisms and effects across organs and systems. Results: Circulating RBP4 levels increase with age and have been related to the onset of various processes like sarcopenia, elevated neurodegenerative markers in the brain, and an increase in TSH levels. Furthermore, it appears that in ageing, the rise in RBP4 is related to the development of atherogenesis, chronic kidney disease, and osteoarthritis. These effects appear to be mediated by chronic inflammation along with the development of insulin resistance, increased oxidative stress and mitochondrial dysfunction, inhibition of autophagy, and intestinal dysbiosis. Conclusions: RBP4 is a </w:t>
      </w:r>
    </w:p>
    <w:p>
      <w:pPr/>
      <w:r>
        <w:rPr>
          <w:b/>
        </w:rPr>
        <w:t>POSSIBLE 2026:</w:t>
      </w:r>
      <w:r>
        <w:t xml:space="preserve"> Spatial Temporal Pattern Of Demographic Ageing In Far-West Province Of Nepal — https://doi.org/10.3126/dmcrj.v7i01.101015</w:t>
      </w:r>
    </w:p>
    <w:p>
      <w:pPr/>
      <w:r>
        <w:rPr>
          <w:b/>
        </w:rPr>
        <w:t>Shared claim-specific concepts:</w:t>
      </w:r>
      <w:r>
        <w:t xml:space="preserve"> ageing, population, used; EU scope not established. This is a provisional connection, not an outcome finding.</w:t>
      </w:r>
    </w:p>
    <w:p>
      <w:pPr>
        <w:pStyle w:val="SourceNote"/>
      </w:pPr>
      <w:r>
        <w:rPr>
          <w:b/>
        </w:rPr>
        <w:t>Available abstract (not full text):</w:t>
      </w:r>
      <w:r>
        <w:t xml:space="preserve"> This study deals with the spatial–temporal pattern of demographic ageing in Sudurpashchim (Far-West) Province of Nepal with regards to regional disparities, migration and gender. The main aims are to study trends in ageing over time, the distribution of elderly people across districts and ecological regions, and the relationship between migration and ageing. The study is based on a descriptive-analytical research design using secondary data obtained from the population censuses (1981–2021). Key indicators including the ageing index, old-age dependency ratio, proportion of the population aged 60 and above and spatial analysis are used to understand geographical variations. The study finds that the proportion of elderly people increases from 5.5% in 1981 to 9.4% in 2021. The study shows a strong feminization of aging, with females making up 54.9% of the elderly population due to longer lifespan and male out-migration. Spatial analysis reveals that hills and mountains have higher ageing intensity due to youth migration, while Tarai has a larger elderly population in absolute terms. Most elderly are concentrated in the 60–69 age groups, indicating early to moderate ageing. The study finds that demographic ageing in Far-West Nepal is highly geographically determined and thus calls for a geographical approach in formulating region-specific policies on elderly welfare.</w:t>
      </w:r>
    </w:p>
    <w:p>
      <w:pPr/>
      <w:r>
        <w:rPr>
          <w:b/>
        </w:rPr>
        <w:t>POSSIBLE 2026:</w:t>
      </w:r>
      <w:r>
        <w:t xml:space="preserve"> Rheological Properties of Bitumen and Asphalt Mixtures Realised in Varying Laboratory and in Situ Ageing Protocols — https://doi.org/10.3390/coatings16020257</w:t>
      </w:r>
    </w:p>
    <w:p>
      <w:pPr/>
      <w:r>
        <w:rPr>
          <w:b/>
        </w:rPr>
        <w:t>Shared claim-specific concepts:</w:t>
      </w:r>
      <w:r>
        <w:t xml:space="preserve"> different, ageing, quantitative; EU scope not established. This is a provisional connection, not an outcome finding.</w:t>
      </w:r>
    </w:p>
    <w:p>
      <w:pPr>
        <w:pStyle w:val="SourceNote"/>
      </w:pPr>
      <w:r>
        <w:rPr>
          <w:b/>
        </w:rPr>
        <w:t>Available abstract (not full text):</w:t>
      </w:r>
      <w:r>
        <w:t xml:space="preserve"> Ageing significantly affects the long-term durability of asphalt pavements, yet quantitative correlations between laboratory ageing protocols and actual field ageing remain insufficiently defined. This study investigates the ageing behaviour of an 80/100 penetration-grade bitumen at binder, mixture, and field levels to establish equivalence relationships among different ageing pathways. Binder samples were subjected to RTFO, PAV (20–60 h), and coupled thermal–photo-oxidative ageing (RTFO + PAV + UV, 6–18 d). Asphalt mixtures were oven-aged at 85 °C for 5–10 d, followed by binder extraction and recovery, and field-aged binders were obtained from a 12-year-old pavement in Xinjiang, China. Rheological properties were characterised using frequency sweep and multiple stress creep and recovery tests, from which ageing index (AI), low-temperature ageing index (LAI), Glover–Rowe (G–R) parameter, and nonrecoverable compliance (Jnr) were derived. AI increased from 1.00 for virgin binder to 1.12 under coupled ageing, while G–R increased from near zero to 318 kPa after 60 h PAV ageing and exceeded 400 kPa under coupled ageing. UV exposure increased G–R by approximately 20%–65% relative to thermal ageing alone. Nonlinear growth models described property evolution with high reliability (R2 = 0.995–0.999). Equivalent ageing analysis showed that RTFO + PAV required over 50 h to reproduce field</w:t>
      </w:r>
    </w:p>
    <w:p>
      <w:pPr/>
      <w:r>
        <w:rPr>
          <w:b/>
        </w:rPr>
        <w:t>POSSIBLE 2026:</w:t>
      </w:r>
      <w:r>
        <w:t xml:space="preserve"> Advancements in mitigating oxidative ageing in bitumen using zinc diethyldithiocarbamate (ZDC) as antioxidant: evidence from phase 2B of a global interlaboratory investigation — https://doi.org/10.1617/s11527-026-03114-4</w:t>
      </w:r>
    </w:p>
    <w:p>
      <w:pPr/>
      <w:r>
        <w:rPr>
          <w:b/>
        </w:rPr>
        <w:t>Shared claim-specific concepts:</w:t>
      </w:r>
      <w:r>
        <w:t xml:space="preserve"> different, ageing, but, abstract; EU scope not established. This is a provisional connection, not an outcome finding.</w:t>
      </w:r>
    </w:p>
    <w:p>
      <w:pPr>
        <w:pStyle w:val="SourceNote"/>
      </w:pPr>
      <w:r>
        <w:rPr>
          <w:b/>
        </w:rPr>
        <w:t>Available abstract (not full text):</w:t>
      </w:r>
      <w:r>
        <w:t xml:space="preserve"> Abstract The use of antioxidants presents a promising strategy to slow oxidation of bitumen, thereby enhancing the durability of asphalt pavements. While previous interlaboratory collaborative efforts have established first evidence that antioxidants such as Zinc Diethyldithiocarbamate (ZDC) can mitigate bitumen oxidation, an in-depth evaluation is needed to solidify the findings. This study offers a systematic assessment of internationally coordinated efforts in advancing bitumen antioxidation research. ZDC was incorporated at dosages of 3% and 5% using different bitumen samples from diverse geographical regions. High-temperature performance grading, multiple stress creep recovery, frequency sweep, and bending beam rheometer tests were conducted. Statistical analyses were performed to assess the significance of ZDC’s effects. On average, the addition of ZDC increased the nonrecoverable compliance by 0.37 kPa −1 at the dosage of 3% and 0.15 kPa −1 at 5%, but this effect was statistically insignificant. The addition of ZDC mitigated the hardening and relaxation deterioration simultaneously, thereby improving bitumen’s low-temperature performance. Furthermore, ZDC significantly reduced the Glover-Rowe (G-R) parameter, which is associated with extended service life of asphalt pavements. The average ageing index (based on the G-R parameter) of bitumen modified with 3% ZDC was reduc</w:t>
      </w:r>
    </w:p>
    <w:p>
      <w:pPr/>
      <w:r>
        <w:rPr>
          <w:b/>
        </w:rPr>
        <w:t>POSSIBLE 2026:</w:t>
      </w:r>
      <w:r>
        <w:t xml:space="preserve"> Ageing Through the Looking‐Glass: The Different Flavours of Clonal Haematopoiesis — https://doi.org/10.1111/acel.70425</w:t>
      </w:r>
    </w:p>
    <w:p>
      <w:pPr/>
      <w:r>
        <w:rPr>
          <w:b/>
        </w:rPr>
        <w:t>Shared claim-specific concepts:</w:t>
      </w:r>
      <w:r>
        <w:t xml:space="preserve"> different, ageing, recently; EU scope not established. This is a provisional connection, not an outcome finding.</w:t>
      </w:r>
    </w:p>
    <w:p>
      <w:pPr>
        <w:pStyle w:val="SourceNote"/>
      </w:pPr>
      <w:r>
        <w:rPr>
          <w:b/>
        </w:rPr>
        <w:t>Available abstract (not full text):</w:t>
      </w:r>
      <w:r>
        <w:t xml:space="preserve"> Clonal haematopoiesis (CH) is the presence of acquired mutations in blood cells and is a consequence of ageing that is linked to malignancy, cardiovascular disease and other diseases of ageing. CH is a reflection of genomic instability with ageing; however, there is evidence that CH may exacerbate features of normal ageing, including inflammageing and immunosenescence, and more directly contribute to disease causation. CH can manifest as mosaic loss of X or Y, autosomal mosaic chromosomal rearrangements, or point mutations or small insertions or deletions. Until recently, little has been known about the relationship between different forms of CH and other biomarkers of ageing, including whether they are more likely to co-exist, whether they work synergistically to promote clonal expansion, and whether they have independent impacts on risk of clinical outcomes. Defining the overlap between different forms of CH and other markers of ageing is important to understand the biological processes involved in ageing, and the mechanisms underlying the associations with diseases of ageing. Here we provide an overview of the current literature on intersections of different forms of CH, the clinical implications of these, and a perspective on how CH enhances our understanding of the biology of ageing.</w:t>
      </w:r>
    </w:p>
    <w:p>
      <w:pPr/>
      <w:r>
        <w:rPr>
          <w:b/>
        </w:rPr>
        <w:t>POSSIBLE 2026:</w:t>
      </w:r>
      <w:r>
        <w:t xml:space="preserve"> Association between six anthropometric indices and incident arthritis: prospective findings from the English Longitudinal Study of Ageing — https://doi.org/10.3389/fnut.2026.1824752</w:t>
      </w:r>
    </w:p>
    <w:p>
      <w:pPr/>
      <w:r>
        <w:rPr>
          <w:b/>
        </w:rPr>
        <w:t>Shared claim-specific concepts:</w:t>
      </w:r>
      <w:r>
        <w:t xml:space="preserve"> ageing, indices, used, estimate; EU scope not established. This is a provisional connection, not an outcome finding.</w:t>
      </w:r>
    </w:p>
    <w:p>
      <w:pPr>
        <w:pStyle w:val="SourceNote"/>
      </w:pPr>
      <w:r>
        <w:rPr>
          <w:b/>
        </w:rPr>
        <w:t>Available abstract (not full text):</w:t>
      </w:r>
      <w:r>
        <w:t xml:space="preserve"> Background Arthritis, predominantly osteoarthritis in older adults, imposes a substantial burden on quality of life and healthcare systems. Obesity is a well-established modifiable risk factor; however, traditional body mass index (BMI) has limitations in capturing visceral adiposity and central obesity. Novel anthropometric indices, including the Body Roundness Index (BRI), A Body Shape Index (ABSI), weight-adjusted waist index (WWI), waist-to-height ratio (WHtR), waist circumference (WC), and BMI, may offer additional insights. This study examined their associations with incident arthritis in a prospective cohort of elderly individuals. Methods We analyzed data from 4,112 participants without arthritis from the English Longitudinal Study of Ageing (ELSA) Wave 2 (2004–2005) and followed them until Wave 9 (2018–2019). Height, weight, and WC were objectively measured by trained nurses. Anthropometric indices were calculated using standard formulas and standardized to per-standard deviation (SD) increments and tertiles (Q1: lowest; Q2: medium; Q3: highest). Incident arthritis was defined as the first self-reported physician-diagnosed arthritis during the follow-up period. Cox proportional hazards models were used to estimate hazard ratios (HRs) and 95% confidence intervals (CIs), after adjusting for age, sex, ethnicity, education, marital status, smoking status, drinking status, </w:t>
      </w:r>
    </w:p>
    <w:p>
      <w:pPr/>
      <w:r>
        <w:rPr>
          <w:b/>
        </w:rPr>
        <w:t>POSSIBLE 2026:</w:t>
      </w:r>
      <w:r>
        <w:t xml:space="preserve"> Influence of intrinsic biochar properties on the rheological, ageing, and storage stability behaviour of bitumen — https://doi.org/10.1016/j.conbuildmat.2026.148416</w:t>
      </w:r>
    </w:p>
    <w:p>
      <w:pPr/>
      <w:r>
        <w:rPr>
          <w:b/>
        </w:rPr>
        <w:t>Shared claim-specific concepts:</w:t>
      </w:r>
      <w:r>
        <w:t xml:space="preserve"> different, ageing, indices, but, used; EU scope not established. This is a provisional connection, not an outcome finding.</w:t>
      </w:r>
    </w:p>
    <w:p>
      <w:pPr>
        <w:pStyle w:val="SourceNote"/>
      </w:pPr>
      <w:r>
        <w:rPr>
          <w:b/>
        </w:rPr>
        <w:t>Available abstract (not full text):</w:t>
      </w:r>
      <w:r>
        <w:t xml:space="preserve"> Biochar has attracted growing interest as a sustainable bitumen modifier, but its reported effects on binder performance remain inconsistent because biochar properties vary widely with feedstock and production process. This study used a property-based framework to link measurable biochar characteristics with binder performance. Eight biochars with different chemical, mineral, surface, and textural properties were blended with Class C170 binder at 3, 9, and 15 wt%. The biochars were characterised for elemental and mineral composition, surface functionality, surface charge, pore structure, and particle morphology. The modified binders were then evaluated for conventional properties, viscosity, rheological response, rutting resistance, fatigue performance, ageing behaviour, and storage stability. A regression-based sensitivity analysis was also performed to identify the biochar properties most strongly associated with binder response. The results showed that different biochar properties were associated with different aspects of binder response. Higher surface area and pore development were more strongly associated with binder stiffening and improved rutting resistance, but these physical properties did not necessarily improve ageing or fatigue performance. In contrast, chemical and surface characteristics were more closely linked to ageing, fatigue, and segregation behaviour, with</w:t>
      </w:r>
    </w:p>
    <w:p>
      <w:pPr/>
      <w:r>
        <w:rPr>
          <w:b/>
        </w:rPr>
        <w:t>POSSIBLE 2026:</w:t>
      </w:r>
      <w:r>
        <w:t xml:space="preserve"> Ageing and sex attraction of Teratorhabditis nematode — https://doi.org/10.4025/actascianimsci.v48i1.75504</w:t>
      </w:r>
    </w:p>
    <w:p>
      <w:pPr/>
      <w:r>
        <w:rPr>
          <w:b/>
        </w:rPr>
        <w:t>Shared claim-specific concepts:</w:t>
      </w:r>
      <w:r>
        <w:t xml:space="preserve"> different, ageing, produce, but; EU scope not established. This is a provisional connection, not an outcome finding.</w:t>
      </w:r>
    </w:p>
    <w:p>
      <w:pPr>
        <w:pStyle w:val="SourceNote"/>
      </w:pPr>
      <w:r>
        <w:rPr>
          <w:b/>
        </w:rPr>
        <w:t>Available abstract (not full text):</w:t>
      </w:r>
      <w:r>
        <w:t xml:space="preserve"> Sex attraction was observed in the free - living nematode Teratorhabdits palmarum (Gerber &amp; Giblin-Davis, 1990). Attraction by means of pheromones provides the ability to find and distinguish appropriate individual with which to mate. In the present study, we performed sex attraction assay to examine whether males of different age groups or reproductive states respond to volatile sex attractants of females. In T. palmarum, young virgin males were strongly attracted to young virgin females but declined with their age. Young non - virgin males responded to young virgin females while they did not respond to ten - day old virgin female. Similarly, old but not young virgin males failed to respond to non - virgin females. Attraction of virgin and non - virgin males declined with their age and also declined or did not occur with increasing age of females. We also investigated the pheromone system of the gonochoristic nematode Teratorhabdits palmarum that produces sex - specific attractants of the opposite sex. Mass Spectrometric Analysis of the T. palmarum exometabolome revealed that females but not males, produce the male attracting ascr#1 and ascr#9, ascaroside previously identified from C. elegans and other nematodes. The specific function of these ascarosides would not be analysed, because these pheromones play different roles in different nematode species.</w:t>
      </w:r>
    </w:p>
    <w:p>
      <w:pPr/>
      <w:r>
        <w:rPr>
          <w:b/>
        </w:rPr>
        <w:t>POSSIBLE 2026:</w:t>
      </w:r>
      <w:r>
        <w:t xml:space="preserve"> Thermo‐Oxidative Ageing of Degradable Resins Based on Different Transesterification Catalysts — https://doi.org/10.1049/nde2.70035</w:t>
      </w:r>
    </w:p>
    <w:p>
      <w:pPr/>
      <w:r>
        <w:rPr>
          <w:b/>
        </w:rPr>
        <w:t>Shared claim-specific concepts:</w:t>
      </w:r>
      <w:r>
        <w:t xml:space="preserve"> different, ageing, markedly, abstract; EU scope not established. This is a provisional connection, not an outcome finding.</w:t>
      </w:r>
    </w:p>
    <w:p>
      <w:pPr>
        <w:pStyle w:val="SourceNote"/>
      </w:pPr>
      <w:r>
        <w:rPr>
          <w:b/>
        </w:rPr>
        <w:t>Available abstract (not full text):</w:t>
      </w:r>
      <w:r>
        <w:t xml:space="preserve"> ABSTRACT This study investigates the influence of different transesterification catalysts on the performance evolution of degradable epoxy resins under thermal‐oxidative ageing. Three resin systems were prepared using triethanolamine (TEOA), 1,5,7‐triazabicyclo[4.4.0]dec‐5‐ene (TBD), and zinc acetylacetonate as catalysts, followed by ageing tests at 220°C. The effects of ageing time and catalyst type on the electrical, thermal, mechanical properties and degradation behaviour of the resins were systematically analysed. Results reveal that prolonged ageing causes certain performance degradation, yet the resins still maintain favourable overall properties at the late ageing stage. The V‐TEOA system shows the best performance retention after 42 days of ageing, with key indicators as follows: breakdown strength 36.7 kV/mm, dielectric loss factor 0.46%, leakage current 65.34 μA, flexural strength 67.32 MPa and temperature index 170.99°C. Meanwhile, thermal‐oxidative ageing markedly weakens the degradation efficiency of the resins, and a distinct core–shell structure is found in the degraded V‐TBD system. This work deepens the understanding of ageing behaviours of such resins and supports their practical application in the engineering.</w:t>
      </w:r>
    </w:p>
    <w:p>
      <w:pPr>
        <w:pStyle w:val="Heading2"/>
      </w:pPr>
      <w:r>
        <w:t>710. Wood utilization scenarios and their sustainability impacts in Finland</w:t>
      </w:r>
    </w:p>
    <w:p>
      <w:pPr>
        <w:pStyle w:val="SourceNote"/>
      </w:pPr>
      <w:r>
        <w:rPr>
          <w:b/>
        </w:rPr>
        <w:t>Original source (2020):</w:t>
      </w:r>
      <w:r>
        <w:t xml:space="preserve"> https://doi.org/10.14214/df.292</w:t>
      </w:r>
    </w:p>
    <w:p>
      <w:pPr/>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POSSIBLE 2026:</w:t>
      </w:r>
      <w:r>
        <w:t xml:space="preserve"> SOCIAL INEQUALITY AND ECONOMIC VULNERABILITY: A SOCIAL ECONOMIC PERSPECTIVE ON WELFARE POLICY — https://openalex.org/W7220295757</w:t>
      </w:r>
    </w:p>
    <w:p>
      <w:pPr/>
      <w:r>
        <w:rPr>
          <w:b/>
        </w:rPr>
        <w:t>Shared claim-specific concepts:</w:t>
      </w:r>
      <w:r>
        <w:t xml:space="preserve"> benefits; EU scope not established. This is a provisional connection, not an outcome finding.</w:t>
      </w:r>
    </w:p>
    <w:p>
      <w:pPr>
        <w:pStyle w:val="SourceNote"/>
      </w:pPr>
      <w:r>
        <w:rPr>
          <w:b/>
        </w:rPr>
        <w:t>Available abstract (not full text):</w:t>
      </w:r>
      <w:r>
        <w:t xml:space="preserve"> Social inequality and economic vulnerability remain persistent challenges in contemporary societies despite the expansion of welfare policies and social protection systems. Economic growth has not been evenly distributed, leaving significant segments of the population exposed to income insecurity, precarious employment, and limited access to welfare benefits. This study aims to analyze social inequality and economic vulnerability through a social economic perspective that examines how welfare policy design interacts with labor market structures and social institutions. The research employs a qualitative research design combining policy document analysis, secondary socio-economic data review, and interpretive analysis of welfare policy implementation. The findings reveal that existing welfare policies tend to provide short-term relief while inadequately addressing the structural drivers of vulnerability, particularly informal employment, labor market flexibilization, and institutional exclusion. Economic vulnerability is shown to extend beyond officially defined poverty, affecting near-poor and precariously employed groups who remain insufficiently protected by current welfare frameworks. The study concludes that welfare policy effectiveness depends not only on resource allocation but also on institutional alignment with contemporary economic realities. A social economic approac</w:t>
      </w:r>
    </w:p>
    <w:p>
      <w:pPr/>
      <w:r>
        <w:rPr>
          <w:b/>
        </w:rPr>
        <w:t>POSSIBLE 2026:</w:t>
      </w:r>
      <w:r>
        <w:t xml:space="preserve"> Economic, social, environmental, and institutional factors shaping onshore wind LCOE in Europe: Evidence from spatial panel models — https://doi.org/10.1016/j.enpol.2026.115652</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Prioritization of green transport strategies for the European road freight transport industry: A fuzzy multi-criteria decision-making framework based on political, economic, social, technological, environmental, and legal analysis — https://doi.org/10.1016/j.engappai.2026.116109</w:t>
      </w:r>
    </w:p>
    <w:p>
      <w:pPr/>
      <w:r>
        <w:rPr>
          <w:b/>
        </w:rPr>
        <w:t>Shared claim-specific concepts:</w:t>
      </w:r>
      <w:r>
        <w:t xml:space="preserve"> environmental, strategies;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Sociology and Disasters in Europe and in East Asia — https://doi.org/10.1163/9789004751804-004</w:t>
      </w:r>
    </w:p>
    <w:p>
      <w:pPr/>
      <w:r>
        <w:rPr>
          <w:b/>
        </w:rPr>
        <w:t>Shared claim-specific concepts:</w:t>
      </w:r>
      <w:r>
        <w:t xml:space="preserve"> vary, different; EU scope visible. This is a provisional connection, not an outcome finding.</w:t>
      </w:r>
    </w:p>
    <w:p>
      <w:pPr>
        <w:pStyle w:val="SourceNote"/>
      </w:pPr>
      <w:r>
        <w:rPr>
          <w:b/>
        </w:rPr>
        <w:t>Available abstract (not full text):</w:t>
      </w:r>
      <w:r>
        <w:t xml:space="preserve"> "The global ecological crisis is increasingly manifesting itself in different regions of the world, here in East Asia and Europe, at unpredictable intervals in the form of unprecedented natural, health, social, political, and economic disasters that vary according to societal, cultural, and civilizational contexts. These destructive phenomena produce localized and multi-localized inequalities on a global scale, drawing new geographical, climatic, social, and moral boundaries within the framework of an 'ecological cosmopolitanism'." (...)</w:t>
      </w:r>
    </w:p>
    <w:p>
      <w:pPr/>
      <w:r>
        <w:rPr>
          <w:b/>
        </w:rPr>
        <w:t>POSSIBLE 2026:</w:t>
      </w:r>
      <w:r>
        <w:t xml:space="preserve"> Economic and Social Determinants of Biogas Production Processes in Europe — https://doi.org/10.3390/en19081897</w:t>
      </w:r>
    </w:p>
    <w:p>
      <w:pPr/>
      <w:r>
        <w:rPr>
          <w:b/>
        </w:rPr>
        <w:t>Shared claim-specific concepts:</w:t>
      </w:r>
      <w:r>
        <w:t xml:space="preserve"> environmental, national; EU scope visible. This is a provisional connection, not an outcome finding.</w:t>
      </w:r>
    </w:p>
    <w:p>
      <w:pPr>
        <w:pStyle w:val="SourceNote"/>
      </w:pPr>
      <w:r>
        <w:rPr>
          <w:b/>
        </w:rPr>
        <w:t>Available abstract (not full text):</w:t>
      </w:r>
      <w:r>
        <w:t xml:space="preserve"> The European Union aims to achieve climate neutrality by 2050, with biogas and biomethane expected to play an increasingly important role in the decarbonisation of the energy system. This study investigates the economic and social determinants shaping the development of biogas production in European countries and identifies an optimal investment strategy for new biogas plants under varying environmental conditions. An expert–mathematical method was applied to assess and hierarchise twenty economic and social factors influencing biogas production, based on evaluations provided by 71 experts from eleven European countries. Subsequently, individual choice criteria derived from game theory were used to determine the optimal strategy for biogas plant construction under conditions of uncertainty. The results indicate that six determinants—EU-level production support mechanisms, investment costs, national support instruments, process efficiency improvements, community involvement, and agricultural raw material prices—account for 52.9% of the total impact on biogas development potential. Among the analysed investment options, large-scale biogas plants with an installed capacity of 3 MW were identified as the optimal strategy, offering the lowest unit production costs and the lowest risk of cost overruns across diverse economic and social environments. These findings provide policy-rele</w:t>
      </w:r>
    </w:p>
    <w:p>
      <w:pPr/>
      <w:r>
        <w:rPr>
          <w:b/>
        </w:rPr>
        <w:t>POSSIBLE 2026:</w:t>
      </w:r>
      <w:r>
        <w:t xml:space="preserve"> Societal Anxieties and Perceived Economic Vulnerability: How Social Pessimism Shapes Financial Insecurity Across Europe — https://doi.org/10.3390/soc16040125</w:t>
      </w:r>
    </w:p>
    <w:p>
      <w:pPr/>
      <w:r>
        <w:rPr>
          <w:b/>
        </w:rPr>
        <w:t>Shared claim-specific concepts:</w:t>
      </w:r>
      <w:r>
        <w:t xml:space="preserve"> environmental, level; EU scope visible. This is a provisional connection, not an outcome finding.</w:t>
      </w:r>
    </w:p>
    <w:p>
      <w:pPr>
        <w:pStyle w:val="SourceNote"/>
      </w:pPr>
      <w:r>
        <w:rPr>
          <w:b/>
        </w:rPr>
        <w:t>Available abstract (not full text):</w:t>
      </w:r>
      <w:r>
        <w:t xml:space="preserve"> Contemporary European societies face overlapping societal challenges—ecological degradation, immigration pressures, and widening economic inequality—which generate a pervasive climate of uncertainty affecting citizens’ perceptions of their own life conditions. This study investigates how social pessimism, conceptualised as a multidimensional orientation reflecting perceived threats across environmental, migratory, and distributive domains, relates to subjective financial insecurity at the individual level. Drawing on harmonised cross-national data from the CRONOS-II panel (N = 8993), covering eleven European countries, we construct a composite pessimism index and analyse its association with perceived financial strain using multivariate and multilevel regression models. Results demonstrate that individuals who express greater societal pessimism report significantly higher levels of financial insecurity, even after controlling for income, education, employment status, and country-level heterogeneity. This relationship is moderated by socioeconomic position; specifically, the pessimism–insecurity link is strongest among lower-income and less-educated groups, suggesting that material precarity and anticipatory anxiety compound one another. Cross-national analysis reveals substantial variation in effect magnitude, with the strongest associations observed in Hungary, Portugal, and t</w:t>
      </w:r>
    </w:p>
    <w:p>
      <w:pPr/>
      <w:r>
        <w:rPr>
          <w:b/>
        </w:rPr>
        <w:t>POSSIBLE 2026:</w:t>
      </w:r>
      <w:r>
        <w:t xml:space="preserve"> Social Sustainability Practices: A Balancing Act of Economic, Environmental, and Social Considerations — https://doi.org/10.1108/s1745-88622026000020a014</w:t>
      </w:r>
    </w:p>
    <w:p>
      <w:pPr/>
      <w:r>
        <w:rPr>
          <w:b/>
        </w:rPr>
        <w:t>Shared claim-specific concepts:</w:t>
      </w:r>
      <w:r>
        <w:t xml:space="preserve"> environmental, strategies, explored, sustainability; EU scope visible. This is a provisional connection, not an outcome finding.</w:t>
      </w:r>
    </w:p>
    <w:p>
      <w:pPr>
        <w:pStyle w:val="SourceNote"/>
      </w:pPr>
      <w:r>
        <w:rPr>
          <w:b/>
        </w:rPr>
        <w:t>Available abstract (not full text):</w:t>
      </w:r>
      <w:r>
        <w:t xml:space="preserve"> Social sustainability, one of the three pillars of sustainable development (SD) alongside environmental and economic dimensions, remains underexplored in international business (IB) research. While corporate sustainability efforts often emphasize environmental and economic outcomes, the social pillar, encompassing equity, justice, inclusivity, and community well-being, has received comparatively little attention. This chapter addresses this gap by investigating the following research questions: (i) How do MNEs’ corporate sustainability practices balance social with economic and environmental goals in the countries where they operate? and (ii) What do these practices reveal about advancing or undermining social sustainability?. Drawing on sustainability and IB literature, two cases positioned at opposite ends of the social sustainability spectrum are explored, that is one case in the healthcare industry and the other case in the mining industry. By using secondary data and a thematic analysis approach, this chapter illustrates that the three pillars of sustainability are more dynamically interdependent and tightly coupled than typically portrayed, where instability in one area can create a chain of events throughout the entire sustainability agenda. Failures in the social domain can set of a chain reaction across economic and environmental achievements, undermining corporate leg</w:t>
      </w:r>
    </w:p>
    <w:p>
      <w:pPr/>
      <w:r>
        <w:rPr>
          <w:b/>
        </w:rPr>
        <w:t>POSSIBLE 2026:</w:t>
      </w:r>
      <w:r>
        <w:t xml:space="preserve"> Regional socio-economic capacity for environmental transition: a typology of European regions — https://doi.org/10.1080/23251042.2026.2701365</w:t>
      </w:r>
    </w:p>
    <w:p>
      <w:pPr/>
      <w:r>
        <w:rPr>
          <w:b/>
        </w:rPr>
        <w:t>Shared claim-specific concepts:</w:t>
      </w:r>
      <w:r>
        <w:t xml:space="preserve"> environmental, level, regional, assessed; EU scope visible. This is a provisional connection, not an outcome finding.</w:t>
      </w:r>
    </w:p>
    <w:p>
      <w:pPr>
        <w:pStyle w:val="SourceNote"/>
      </w:pPr>
      <w:r>
        <w:rPr>
          <w:b/>
        </w:rPr>
        <w:t>Available abstract (not full text):</w:t>
      </w:r>
      <w:r>
        <w:t xml:space="preserve"> Environmental transition is often assessed through environmental performance indicators or policy implementation outcomes. This study does not directly measure environmental transition pressures or environmental outcomes. Instead, it examines the uneven socio-economic capacity structures through which such pressures are likely to be absorbed, mediated or amplified across European regions. Environmental transition is conceptualized as a structural process that reorganizes labour markets, skill systems, digital infrastructures, and social protection mechanisms. The central question is how socio-economic capacities differ across regions in shaping their ability to mediate these pressures. Using harmonized Eurostat data at the NUTS 2 level for 2015–2022, the analysis operationalizes regional capacity across four domains: labour absorption, human capital adaptability, digital mediation, and social resilience. Indicators are standardized and summarized through domain-specific principal component analysis. A configurational clustering approach is then applied to identify structured regional regimes. The results reveal three distinct socio-economic capacity regimes, spatially patterned across Europe and reflecting differentiated configurations of inclusion, adaptability, and vulnerability. The findings demonstrate that environmental transition unfolds within a stratified territorial la</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environmental, explored, sustainability;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r>
        <w:rPr>
          <w:b/>
        </w:rPr>
        <w:t>POSSIBLE 2026:</w:t>
      </w:r>
      <w:r>
        <w:t xml:space="preserve"> Economic, environmental, social, and ethical impacts of AI in smart farming — https://doi.org/10.1016/b978-0-443-43918-6.00006-4</w:t>
      </w:r>
    </w:p>
    <w:p>
      <w:pPr/>
      <w:r>
        <w:rPr>
          <w:b/>
        </w:rPr>
        <w:t>Shared claim-specific concepts:</w:t>
      </w:r>
      <w:r>
        <w:t xml:space="preserve"> environmental, impacts;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PATTERNS OF ECONOMIC AND SOCIAL INEQUALITY IN DIFFERENT COUNTRIES: A LITERATURE REVIEW — https://openalex.org/W7221250915</w:t>
      </w:r>
    </w:p>
    <w:p>
      <w:pPr/>
      <w:r>
        <w:rPr>
          <w:b/>
        </w:rPr>
        <w:t>Shared claim-specific concepts:</w:t>
      </w:r>
      <w:r>
        <w:t xml:space="preserve"> different, patterns; EU scope not established. This is a provisional connection, not an outcome finding.</w:t>
      </w:r>
    </w:p>
    <w:p>
      <w:pPr>
        <w:pStyle w:val="SourceNote"/>
      </w:pPr>
      <w:r>
        <w:rPr>
          <w:b/>
        </w:rPr>
        <w:t>Available abstract (not full text):</w:t>
      </w:r>
      <w:r>
        <w:t xml:space="preserve"> Inequality is a complex and multidimensional global phenomenon, with varying levels and characteristics among countries with different levels of development. Common trends identified include the increase in inequality in recent decades, the link between inequality and differential access to opportunities, and the negative impact of inequality on economic growth, socio-political stability and people's well-being. The review concludes that a comprehensive and inclusive approach is needed to address economic and social inequality. This should involve collaboration between the government, private sector, and civil society in implementing policies that promote equity, such as progressive tax reforms, investment in education and skills training, expanded access to healthcare and social protection, and the promotion of inclusive and sustainable economic growth. In addition, efforts are needed to strengthen governance, fight corruption, and promote transparency and accountability in public decision-making.</w:t>
      </w:r>
    </w:p>
    <w:p>
      <w:pPr/>
      <w:r>
        <w:rPr>
          <w:b/>
        </w:rPr>
        <w:t>POSSIBLE 2026:</w:t>
      </w:r>
      <w:r>
        <w:t xml:space="preserve"> Compounding hazards increase flood economic losses across Europe — https://doi.org/10.1038/s41467-026-73248-0</w:t>
      </w:r>
    </w:p>
    <w:p>
      <w:pPr/>
      <w:r>
        <w:rPr>
          <w:b/>
        </w:rPr>
        <w:t>Shared claim-specific concepts:</w:t>
      </w:r>
      <w:r>
        <w:t xml:space="preserve"> environmental, impacts, regional;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pStyle w:val="Heading2"/>
      </w:pPr>
      <w:r>
        <w:t>711. A New Climate for Europe: 2030 Climate Targets Must Be More Ambitious</w:t>
      </w:r>
    </w:p>
    <w:p>
      <w:pPr>
        <w:pStyle w:val="SourceNote"/>
      </w:pPr>
      <w:r>
        <w:rPr>
          <w:b/>
        </w:rPr>
        <w:t>Original source (2019):</w:t>
      </w:r>
      <w:r>
        <w:t xml:space="preserve"> https://doi.org/10.18723/diw_dwr:2019-40-1</w:t>
      </w:r>
    </w:p>
    <w:p>
      <w:pPr/>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POSSIBLE 2026:</w:t>
      </w:r>
      <w:r>
        <w:t xml:space="preserve"> Simulating Nature Futures Pathways for Europe using a Nexus Modelling Framework — https://doi.org/10.5281/zenodo.22918966</w:t>
      </w:r>
    </w:p>
    <w:p>
      <w:pPr/>
      <w:r>
        <w:rPr>
          <w:b/>
        </w:rPr>
        <w:t>Shared claim-specific concepts:</w:t>
      </w:r>
      <w:r>
        <w:t xml:space="preserve"> specifically, action, must, climate, show; EU scope visible. This is a provisional connection, not an outcome finding.</w:t>
      </w:r>
    </w:p>
    <w:p>
      <w:pPr>
        <w:pStyle w:val="SourceNote"/>
      </w:pPr>
      <w:r>
        <w:rPr>
          <w:b/>
        </w:rPr>
        <w:t>Available abstract (not full text):</w:t>
      </w:r>
      <w:r>
        <w:t xml:space="preserve">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action, climate, possible;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European union external action in Ukraine: securitising critical minerals — https://doi.org/10.26619/1647-7251.dt03226.5</w:t>
      </w:r>
    </w:p>
    <w:p>
      <w:pPr/>
      <w:r>
        <w:rPr>
          <w:b/>
        </w:rPr>
        <w:t>Shared claim-specific concepts:</w:t>
      </w:r>
      <w:r>
        <w:t xml:space="preserve"> action, climate, paris; EU scope visible. This is a provisional connection, not an outcome finding.</w:t>
      </w:r>
    </w:p>
    <w:p>
      <w:pPr>
        <w:pStyle w:val="SourceNote"/>
      </w:pPr>
      <w:r>
        <w:rPr>
          <w:b/>
        </w:rPr>
        <w:t>Available abstract (not full text):</w:t>
      </w:r>
      <w:r>
        <w:t xml:space="preserve"> This article examines how the European Union (EU) securitises Ukrainian Critical Raw Materials in its external action following Russia’s invasion in 2022. It asks how minerals such as lithium and titanium, once framed as economic assets, have been redefined as matters of European security, strategic autonomy, and geopolitical survival. The analysis of EU external action combines lenses from the Copenhagen and Paris Schools. It traces how EU leaders and policy documents construct critical raw materials as existential conditions for decarbonisation, resilience, and sovereignty. By linking supply chain dependence, climate transition and Ukraine, EU discourse repositions access to Ukrainian minerals beyond normal economic politics. Second, it examines how this securitisation is embedded in governance practices, including core EU external policy instruments. These instruments institutionalise security logics through regulatory alignment and financial conditionality, normalising the management of Ukrainian resources within EU value chains. The article argues that this securitisation operates through discursive power and bureaucratic practice. Framed through resilience and strategic autonomy, this technocratic logic carries political consequences. While it may accelerate European decarbonisation and reduce dependency, it also risks reinforcing centre periphery dynamics and prioritisin</w:t>
      </w:r>
    </w:p>
    <w:p>
      <w:pPr/>
      <w:r>
        <w:rPr>
          <w:b/>
        </w:rPr>
        <w:t>POSSIBLE 2026:</w:t>
      </w:r>
      <w:r>
        <w:t xml:space="preserve"> Climate Change Action and Climate Geoengineering Under Neorealism — https://doi.org/10.3390/su18136850</w:t>
      </w:r>
    </w:p>
    <w:p>
      <w:pPr/>
      <w:r>
        <w:rPr>
          <w:b/>
        </w:rPr>
        <w:t>Shared claim-specific concepts:</w:t>
      </w:r>
      <w:r>
        <w:t xml:space="preserve"> specifically, action, climate, increase;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2026:</w:t>
      </w:r>
      <w:r>
        <w:t xml:space="preserve"> How are European small enterprises dealing with the circular economy? — https://doi.org/10.12688/openreseurope.23303.1</w:t>
      </w:r>
    </w:p>
    <w:p>
      <w:pPr/>
      <w:r>
        <w:rPr>
          <w:b/>
        </w:rPr>
        <w:t>Shared claim-specific concepts:</w:t>
      </w:r>
      <w:r>
        <w:t xml:space="preserve"> specifically, action, must; EU scope visible. This is a provisional connection, not an outcome finding.</w:t>
      </w:r>
    </w:p>
    <w:p>
      <w:pPr>
        <w:pStyle w:val="SourceNote"/>
      </w:pPr>
      <w:r>
        <w:rPr>
          <w:b/>
        </w:rPr>
        <w:t>Available abstract (not full text):</w:t>
      </w:r>
      <w:r>
        <w:t xml:space="preserve"> Background: Environmental sustainability and energy savings are crucial for economic development, yet European SMEs account for 63.3% of total CO2 firms emissions. Understanding how these businesses behave when transitioning to a Circular Economy is essential for policymakers to design appropriate measures and incentives for preventing negative environmental externalities. Methods: The study analyzed data from the fifth wave of the "SMEs, resource efficiency, and green markets" survey conducted in late 2021, which included 14,008 enterprises across 27 European Union member states. To categorize the companies, researchers applied a K-modes clustering algorithm-a machine learning method designed specifically for categorical data- to evaluate six qualitative business characteristics and nine environmental actions. Results: The analysis identified three distinct business behavior clusters. Cluster 1 (6,195 firms) primarily provides services to other businesses and focuses heavily on energy savings and waste minimization. Cluster 2 (4,002 firms) is the least environmentally proactive group, predominantly selling products directly to consumers, with 21.14% taking no environmental action at all. Cluster 3 (3,811 firms) is the most active and diverse group, exhibiting the highest participation in minimizing waste and saving energy but also reporting the most difficulties. Regardless of</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action, must,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Climate Action in On-Site Study Abroad in Europe — https://doi.org/10.36366/frontiers.v37i1.992</w:t>
      </w:r>
    </w:p>
    <w:p>
      <w:pPr/>
      <w:r>
        <w:rPr>
          <w:b/>
        </w:rPr>
        <w:t>Shared claim-specific concepts:</w:t>
      </w:r>
      <w:r>
        <w:t xml:space="preserve"> action, climate, show; EU scope visible. This is a provisional connection, not an outcome finding.</w:t>
      </w:r>
    </w:p>
    <w:p>
      <w:pPr>
        <w:pStyle w:val="SourceNote"/>
      </w:pPr>
      <w:r>
        <w:rPr>
          <w:b/>
        </w:rPr>
        <w:t>Available abstract (not full text):</w:t>
      </w:r>
      <w:r>
        <w:t xml:space="preserve">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pPr/>
      <w:r>
        <w:rPr>
          <w:b/>
        </w:rPr>
        <w:t>POSSIBLE 2025:</w:t>
      </w:r>
      <w:r>
        <w:t xml:space="preserve"> Overlooked Instruments: The European Protection of Human Rights in the Climate Crisis — https://doi.org/10.1163/9789004708389_005</w:t>
      </w:r>
    </w:p>
    <w:p>
      <w:pPr/>
      <w:r>
        <w:rPr>
          <w:b/>
        </w:rPr>
        <w:t>Shared claim-specific concepts:</w:t>
      </w:r>
      <w:r>
        <w:t xml:space="preserve"> specifically, action, climate; EU scope visible. This is a provisional connection, not an outcome finding.</w:t>
      </w:r>
    </w:p>
    <w:p>
      <w:pPr>
        <w:pStyle w:val="SourceNote"/>
      </w:pPr>
      <w:r>
        <w:rPr>
          <w:b/>
        </w:rPr>
        <w:t>Available abstract (not full text):</w:t>
      </w:r>
      <w:r>
        <w:t xml:space="preserve"> The climate crisis presents an urgent and multifaceted global challenge which necessitates robust safeguards for the protection of human rights in this context. This contribution explores the human rights instruments of the Council of Europe and the European Union which possess the potential to shape a robust response to the climate crisis and more climate action. Within the European landscape, the European Convention on Human Rights (ECHR) serves as the central framework for addressing climate issues through a human rights-based approach. This focus was particularly reinforced by the three decisions from the European Court of Human Rights (ECtHR) in 2024. Other instruments, however, are rather overlooked and are taking on a secondary role. At the heart of this discussion is an examination of two pivotal instruments: the European Social Charter (ESC) and the Charter of Fundamental Rights of the European Union (CFREU). Both Charters, with their expansive provisions, case law and institutional procedures, offer a formidable foundation for addressing the positive obligations of States to protect human rights. Despite their significant potential, these tools have been relatively under-utilised in the climate context, raising questions about their efficacy and applicability. By comparing the ESC and CFREU with the ECHR, this paper aims to determine whether the ESC and CFREU are less</w:t>
      </w:r>
    </w:p>
    <w:p>
      <w:pPr/>
      <w:r>
        <w:rPr>
          <w:b/>
        </w:rPr>
        <w:t>POSSIBLE 2025:</w:t>
      </w:r>
      <w:r>
        <w:t xml:space="preserve"> Climate on the Agenda: How Board Composition Drives Climate Change Disclosure in European Banks — https://doi.org/10.1002/bse.4366</w:t>
      </w:r>
    </w:p>
    <w:p>
      <w:pPr/>
      <w:r>
        <w:rPr>
          <w:b/>
        </w:rPr>
        <w:t>Shared claim-specific concepts:</w:t>
      </w:r>
      <w:r>
        <w:t xml:space="preserve"> action, climate, emission; EU scope visible. This is a provisional connection, not an outcome finding.</w:t>
      </w:r>
    </w:p>
    <w:p>
      <w:pPr>
        <w:pStyle w:val="SourceNote"/>
      </w:pPr>
      <w:r>
        <w:rPr>
          <w:b/>
        </w:rPr>
        <w:t>Available abstract (not full text):</w:t>
      </w:r>
      <w:r>
        <w:t xml:space="preserve"> ABSTRACT Climate change demands immediate and coordinated action from individuals, governments, and companies. Companies, in particular, play a pivotal role in mitigating climate risks and reducing environmental impacts by adopting sustainable practices that extend beyond regulatory compliance. This responsibility is not confined to high‐emission industries; service sectors, including financial institutions, also play a crucial role. Banks are uniquely positioned to address climate change by managing the carbon footprint of their operations and evaluating the environmental impacts of their loan portfolios and financial activities. The urgency of climate change has underscored the importance of transparent communication by banks regarding climate‐related information. While climate change disclosure (CCD) has garnered significant academic interest, research on its determinants in the banking sector remains limited. This study aims to fill this gap by examining the level of CCD among European banks and identifying the factors influencing the dissemination of such information through their official websites. In particular, drawing on agency theory, it investigates the role of board characteristics in shaping CCD practices. The findings, based on an econometric analysis conducted on a sample of 107 publicly listed European banks, reveal that board expertise, gender diversity, and si</w:t>
      </w:r>
    </w:p>
    <w:p>
      <w:pPr/>
      <w:r>
        <w:rPr>
          <w:b/>
        </w:rPr>
        <w:t>POSSIBLE 2025:</w:t>
      </w:r>
      <w:r>
        <w:t xml:space="preserve"> The Quest for Coherence in Climate Actions: The Case for Québec's Climate Strategy — https://doi.org/10.1002/eet.2164</w:t>
      </w:r>
    </w:p>
    <w:p>
      <w:pPr/>
      <w:r>
        <w:rPr>
          <w:b/>
        </w:rPr>
        <w:t>Shared claim-specific concepts:</w:t>
      </w:r>
      <w:r>
        <w:t xml:space="preserve"> specifically, action, climate, strategy; EU scope not established. This is a provisional connection, not an outcome finding.</w:t>
      </w:r>
    </w:p>
    <w:p>
      <w:pPr>
        <w:pStyle w:val="SourceNote"/>
      </w:pPr>
      <w:r>
        <w:rPr>
          <w:b/>
        </w:rPr>
        <w:t>Available abstract (not full text):</w:t>
      </w:r>
      <w:r>
        <w:t xml:space="preserve"> ABSTRACT Studies on climate policy coherence often focus on policy components as the essential element of success by examining their objectives, instruments, and implementation practices. However, while some studies have demonstrated that it is essential to evaluate the programs or actions that translate policies into success, few have focused specifically on program coherence. This research uses monitoring sheets for programs ( N = 177) funded under the Québec Climate Change Action Plan (CCAP) 2013–2020 to perform a comprehensive analysis of program coherence, combining relational content analysis and social network analysis. Findings suggest a failure to achieve the action plan and provide pertinent shortcomings and gaps related to the program's objectives and indicators, including challenges with collaboration and coordination. Given the complexity and cross‐cutting nature of climate issues, this study contributes to the literature on policy coherence and argues in favor of program coherence for a better design and assessment of the effectiveness of climate policies and programs. Moreover, through an integrative framework for policy coherence, the study suggests adding public programs to the existing policy components for policy coherence assessment. While relying on effective collaboration and coordination, implications for practitioners include a rigorous use of various pr</w:t>
      </w:r>
    </w:p>
    <w:p>
      <w:pPr>
        <w:pStyle w:val="Heading2"/>
      </w:pPr>
      <w:r>
        <w:t>712. A Technological Scenario for a Healthier, More Equitable and Sustainable Europe in 2040: Citizen Perceptions and Policy Implications</w:t>
      </w:r>
    </w:p>
    <w:p>
      <w:pPr>
        <w:pStyle w:val="SourceNote"/>
      </w:pPr>
      <w:r>
        <w:rPr>
          <w:b/>
        </w:rPr>
        <w:t>Original source (2019):</w:t>
      </w:r>
      <w:r>
        <w:t xml:space="preserve"> https://doi.org/10.3390/ijerph17010231</w:t>
      </w:r>
    </w:p>
    <w:p>
      <w:pPr/>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POSSIBLE 2026:</w:t>
      </w:r>
      <w:r>
        <w:t xml:space="preserve"> STRATEGIC AIMS OF UNIVERSITY-BASED MANAGERIAL EDUCATION IN EUROPEAN AND ASIAN COUNTRIES — https://doi.org/10.52058/3041-1572-2026-3(23)-909-923</w:t>
      </w:r>
    </w:p>
    <w:p>
      <w:pPr/>
      <w:r>
        <w:rPr>
          <w:b/>
        </w:rPr>
        <w:t>Shared claim-specific concepts:</w:t>
      </w:r>
      <w:r>
        <w:t xml:space="preserve"> article, aims, between, technological; EU scope visible. This is a provisional connection, not an outcome finding.</w:t>
      </w:r>
    </w:p>
    <w:p>
      <w:pPr>
        <w:pStyle w:val="SourceNote"/>
      </w:pPr>
      <w:r>
        <w:rPr>
          <w:b/>
        </w:rPr>
        <w:t>Available abstract (not full text):</w:t>
      </w:r>
      <w:r>
        <w:t xml:space="preserve">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pPr/>
      <w:r>
        <w:rPr>
          <w:b/>
        </w:rPr>
        <w:t>POSSIBLE 2026:</w:t>
      </w:r>
      <w:r>
        <w:t xml:space="preserve"> Exploring Analysis of Spatiotemporal Trends in News Reporting in the China-Europe Railway Express — https://doi.org/10.7910/dvn/mmbnca</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Exploring Analysis of Spatiotemporal Trends in News Reporting in the China-Europe Railway Express — https://doi.org/10.3886/e247984</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aims, exploring, understanding, perceptions;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Citizen Science in Central and Eastern Europe — https://doi.org/10.36820/mtakik.kozl.2026.1</w:t>
      </w:r>
    </w:p>
    <w:p>
      <w:pPr/>
      <w:r>
        <w:rPr>
          <w:b/>
        </w:rPr>
        <w:t>Shared claim-specific concepts:</w:t>
      </w:r>
      <w:r>
        <w:t xml:space="preserve"> sustainable, support, technology; EU scope visible. This is a provisional connection, not an outcome finding.</w:t>
      </w:r>
    </w:p>
    <w:p>
      <w:pPr>
        <w:pStyle w:val="SourceNote"/>
      </w:pPr>
      <w:r>
        <w:rPr>
          <w:b/>
        </w:rPr>
        <w:t>Available abstract (not full text):</w:t>
      </w:r>
      <w:r>
        <w:t xml:space="preserve"> Citizen science occupies an increasingly prominent position in contemporary research practice, yet its growth has been uneven, context-dependent, and shaped by diverse disciplinary needs rather than by a single coherent movement.The term encompasses a broad range of activities through which members of the public contribute to or collaborate in scientific research, overlapping with related concepts such as community science, participatory monitoring, and volunteer-based research (Shirk et al., 2012;Eitzel et al., 2017).Although these activities share certain principles, such as the involvement of non-professionals in knowledge production, they differ significantly in purpose, structure, and scope.Today, citizen science functions less as a unified paradigm and more as a family of related approaches responding to various scientific, social, and institutional developments (Haklay et al., 2021;Kullenberg and Kasperowski, 2016).Several factors explain why citizen science has gained traction in recent years.Advances in digital technology have enabled large-scale data collection and online collaboration, lowering barriers to participation and facilitating distributed observation, annotation, and analysis (Newman et al., 2012;Dickinson et al., 2012).Simultaneously, open science policies have increased attention to transparency, accessibility, and public engagement in research, creating </w:t>
      </w:r>
    </w:p>
    <w:p>
      <w:pPr/>
      <w:r>
        <w:rPr>
          <w:b/>
        </w:rPr>
        <w:t>POSSIBLE 2026:</w:t>
      </w:r>
      <w:r>
        <w:t xml:space="preserve"> The European Health Data Space: an opportunity to strengthen citizen rights and engage citizens in health data governance — https://doi.org/10.3389/fmed.2025.1699941</w:t>
      </w:r>
    </w:p>
    <w:p>
      <w:pPr/>
      <w:r>
        <w:rPr>
          <w:b/>
        </w:rPr>
        <w:t>Shared claim-specific concepts:</w:t>
      </w:r>
      <w:r>
        <w:t xml:space="preserve"> aims, citizens, insights; EU scope visible. This is a provisional connection, not an outcome finding.</w:t>
      </w:r>
    </w:p>
    <w:p>
      <w:pPr>
        <w:pStyle w:val="SourceNote"/>
      </w:pPr>
      <w:r>
        <w:rPr>
          <w:b/>
        </w:rPr>
        <w:t>Available abstract (not full text):</w:t>
      </w:r>
      <w:r>
        <w:t xml:space="preserve"> Introduction: The European Health Data Space (EHDS), the European Union's new regulatory framework for health data use and reuse, will have important implications for citizens across the Union. While the regulation aims to empower citizens in the primary use of their health data-such as by giving them access to their electronic health records-their role in the secondary use of health data remains less clearly defined. Methods: To explore this, we interviewed health data experts across 23 European countries to understand their perspectives on citizen involvement in data reuse. Results: Our findings reveal that while the provision for an opt-out mechanism provides individuals with control, its practical implementation requires careful design to ensure accessibility and operability. Experts also emphasized the importance of broader citizen engagement, both to raise awareness about the EHDS and to incorporate citizens' perspectives into governance structures. Furthermore, clearly demonstrating the value of the EHDS was perceived to be crucial for fostering public trust and acceptance. Discussion: The study provides valuable insights for Member States in developing strategies to engage citizens in the secondary use of health data under the EHDS framework. It highlights the importance of an easily accessible opt-out mechanism, reinforced by clear and effective communication to preven</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aims, between;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Exploring a Source to Sea approach for plastic pollution policy integration in the European Union: the case of tyre wear particles — https://doi.org/10.1080/1523908x.2026.2621724</w:t>
      </w:r>
    </w:p>
    <w:p>
      <w:pPr/>
      <w:r>
        <w:rPr>
          <w:b/>
        </w:rPr>
        <w:t>Shared claim-specific concepts:</w:t>
      </w:r>
      <w:r>
        <w:t xml:space="preserve"> article, exploring, life; EU scope visible. This is a provisional connection, not an outcome finding.</w:t>
      </w:r>
    </w:p>
    <w:p>
      <w:pPr>
        <w:pStyle w:val="SourceNote"/>
      </w:pPr>
      <w:r>
        <w:rPr>
          <w:b/>
        </w:rPr>
        <w:t>Available abstract (not full text):</w:t>
      </w:r>
      <w:r>
        <w:t xml:space="preserve"> The European Green Deal marks a shift in policy-making, aiming to transform the European economy and society to achieve sustainability and climate neutrality. Its zero-pollution ambition, outlined in the Zero Pollution Action Plan, provides an opportunity to address marine pollution in the European Union in a more integrated manner, setting the ground for new governance requirements to address existing challenges, and drive the integration of previously separate policy domains. In this context, the Source to Sea concept is explored to assess plastic pollution policy integration with regard to tyre wear particles, a form of unintentionally released microplastics. In this vein, the article considers the life cycle stages and pathways of tyre wear particle pollution across land, freshwater, and the marine environment to identify key actors, including responsible authorities, and policies that govern them. In applying a Source to Sea approach to the tyre wear particles case, the assessment highlights cooperation and conflicts among actors, conflicting policy objectives and how tyre wear particles are covered under the European Green Deal. This assessment offers a perspective to explore opportunities for policy integration regarding marine pollution and for future research avenues into policy integration, including through the application of empirical studies.</w:t>
      </w:r>
    </w:p>
    <w:p>
      <w:pPr/>
      <w:r>
        <w:rPr>
          <w:b/>
        </w:rPr>
        <w:t>POSSIBLE 2026:</w:t>
      </w:r>
      <w:r>
        <w:t xml:space="preserve"> Critical Informed Passive Citizens of a Normative Power Europe 2.0 — https://doi.org/10.4324/9781003585138-9</w:t>
      </w:r>
    </w:p>
    <w:p>
      <w:pPr/>
      <w:r>
        <w:rPr>
          <w:b/>
        </w:rPr>
        <w:t>Shared claim-specific concepts:</w:t>
      </w:r>
      <w:r>
        <w:t xml:space="preserve"> article, citizens, between; EU scope visible. This is a provisional connection, not an outcome finding.</w:t>
      </w:r>
    </w:p>
    <w:p>
      <w:pPr>
        <w:pStyle w:val="SourceNote"/>
      </w:pPr>
      <w:r>
        <w:rPr>
          <w:b/>
        </w:rPr>
        <w:t>Available abstract (not full text):</w:t>
      </w:r>
      <w:r>
        <w:t xml:space="preserve"> This chapter discusses the findings with regard to advancing the conceptual debate on the relation between the EU and its citizens. It is first highlighted how especially the unexpected findings derived from the interpretative analysis were the decisive and innovative ones in the research. Second, it is illustrated that the students depicted a highly politicised detailed image of the European Union (EU) as a “Normative Power Europe 2.0”, i.e. a EU that is a fully developed polity, a democracy, marked by the values defined in article 2 Treaty on European Union (TEU), and on this basis acts as a full-fledged actor in the world. This indicates that EU politicisation also regards the character of the EU as a polity, not only certain policies and conflicts. Third, the three gaps found in the course of the research are resumed—a democracy gap, conflicts between states, and gaps between citizens. A fourth gap is added: A politicisation gap that refers to the students’ passive attitude. Fourth, on the basis of the research findings, conceptual reflections with regard to citizenship in the EU, politicisation, and Euroscepticism are outlined. The chapter concludes on two typologies: One of the student relations to the EU and one of democracy in the EU.</w:t>
      </w:r>
    </w:p>
    <w:p>
      <w:pPr/>
      <w:r>
        <w:rPr>
          <w:b/>
        </w:rPr>
        <w:t>POSSIBLE 2026:</w:t>
      </w:r>
      <w:r>
        <w:t xml:space="preserve"> Exploring European urban digital twins for climate adaptation — https://doi.org/10.1186/s42854-026-00102-3</w:t>
      </w:r>
    </w:p>
    <w:p>
      <w:pPr/>
      <w:r>
        <w:rPr>
          <w:b/>
        </w:rPr>
        <w:t>Shared claim-specific concepts:</w:t>
      </w:r>
      <w:r>
        <w:t xml:space="preserve"> article, exploring, citizens, between, support, technology; EU scope visible. This is a provisional connection, not an outcome finding.</w:t>
      </w:r>
    </w:p>
    <w:p>
      <w:pPr>
        <w:pStyle w:val="SourceNote"/>
      </w:pPr>
      <w:r>
        <w:rPr>
          <w:b/>
        </w:rPr>
        <w:t>Available abstract (not full text):</w:t>
      </w:r>
      <w:r>
        <w:t xml:space="preserve"> Abstract Cities are significant sources of emissions, bear the impacts of climate change and are at the forefront of applying new digital tools. This leads to an increased interest in how big data can be leveraged to tackle climate change impacts. One of the emerging big data applications on a city level is the urban digital twin. Current literature on urban digital twins focuses on their data and technology aspects, but studies on their implementation, use, and the role of various stakeholders involved in these remain scarce. Therefore, this study examines how urban digital twins are conceptualized and envisioned to support the decision-making process for climate adaptation measures. This study consists of a literature review and examines six European urban digital twins through eight semi-structured interviews with practitioners. The results show that the main features of the urban digital twins are connected to (1) simulations of extreme weather events and climate adaptation measures to address the impacts of these extreme weather events by city employees, and in the future, (2) co-creation of climate adaptation measures through collaborations between city employees and citizens. Both features aim to support the decision-making process within the local government. In conclusion, this article discusses practical examples of urban digital twins, revealing that more research is</w:t>
      </w:r>
    </w:p>
    <w:p>
      <w:pPr/>
      <w:r>
        <w:rPr>
          <w:b/>
        </w:rPr>
        <w:t>POSSIBLE 2026:</w:t>
      </w:r>
      <w:r>
        <w:t xml:space="preserve"> Exploring fair access to quantum computing — https://doi.org/10.48550/arxiv.2606.13027</w:t>
      </w:r>
    </w:p>
    <w:p>
      <w:pPr/>
      <w:r>
        <w:rPr>
          <w:b/>
        </w:rPr>
        <w:t>Shared claim-specific concepts:</w:t>
      </w:r>
      <w:r>
        <w:t xml:space="preserve"> article, aims, exploring, technology, technological; EU scope visible. This is a provisional connection, not an outcome finding.</w:t>
      </w:r>
    </w:p>
    <w:p>
      <w:pPr>
        <w:pStyle w:val="SourceNote"/>
      </w:pPr>
      <w:r>
        <w:rPr>
          <w:b/>
        </w:rPr>
        <w:t>Available abstract (not full text):</w:t>
      </w:r>
      <w:r>
        <w:t xml:space="preserve"> This short article - commissioned as part of the Quantum Flagship project OpenSuperQPlus - introduces the topic of fair access to quantum computing time and argues for its relevance in current European technology policy debates. Choices about access we make today affect which applications of quantum computing are developed in the future, and by whom. Among the issues at stake are: Europe's technological autonomy and sovereignty; Europe's future economic competitiveness; knowledge security and the future of open science; and delivering upon the EU's founding values and aims. The results of a survey of OpenSuperQPlus researchers reveal prevalent contractualist and transactional framings of access to European quantum computing capacity among those developing the technology. The article concludes with a call to go beyond framing access to quantum computing as a zero-sum-game, and to explore the possibility of an access regime premised on openness and solidarity.</w:t>
      </w:r>
    </w:p>
    <w:p>
      <w:pPr/>
      <w:r>
        <w:rPr>
          <w:b/>
        </w:rPr>
        <w:t>POSSIBLE 2025:</w:t>
      </w:r>
      <w:r>
        <w:t xml:space="preserve"> Exploring the Impact of Digital Transformation on Non-Financial Performance in Central and Eastern European Countries — https://doi.org/10.3390/electronics14061226</w:t>
      </w:r>
    </w:p>
    <w:p>
      <w:pPr/>
      <w:r>
        <w:rPr>
          <w:b/>
        </w:rPr>
        <w:t>Shared claim-specific concepts:</w:t>
      </w:r>
      <w:r>
        <w:t xml:space="preserve"> article, aims, exploring, between; EU scope visible. This is a provisional connection, not an outcome finding.</w:t>
      </w:r>
    </w:p>
    <w:p>
      <w:pPr>
        <w:pStyle w:val="SourceNote"/>
      </w:pPr>
      <w:r>
        <w:rPr>
          <w:b/>
        </w:rPr>
        <w:t>Available abstract (not full text):</w:t>
      </w:r>
      <w:r>
        <w:t xml:space="preserve">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pPr>
        <w:pStyle w:val="Heading2"/>
      </w:pPr>
      <w:r>
        <w:t>713. A comparison of low carbon investment needs between China and Europe in stringent climate policy scenarios</w:t>
      </w:r>
    </w:p>
    <w:p>
      <w:pPr>
        <w:pStyle w:val="SourceNote"/>
      </w:pPr>
      <w:r>
        <w:rPr>
          <w:b/>
        </w:rPr>
        <w:t>Original source (2019):</w:t>
      </w:r>
      <w:r>
        <w:t xml:space="preserve"> https://doi.org/10.1088/1748-9326/ab0dd8</w:t>
      </w:r>
    </w:p>
    <w:p>
      <w:pPr/>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POSSIBLE 2026:</w:t>
      </w:r>
      <w:r>
        <w:t xml:space="preserve"> Trade and Investment Connectivity in Europe and the Chinese Influence — https://doi.org/10.25353/ubtr-90f2-6aed-a60d</w:t>
      </w:r>
    </w:p>
    <w:p>
      <w:pPr/>
      <w:r>
        <w:rPr>
          <w:b/>
        </w:rPr>
        <w:t>Shared claim-specific concepts:</w:t>
      </w:r>
      <w:r>
        <w:t xml:space="preserve"> china, need, increase, investments, relative, indicate; EU scope visible. This is a provisional connection, not an outcome finding.</w:t>
      </w:r>
    </w:p>
    <w:p>
      <w:pPr>
        <w:pStyle w:val="SourceNote"/>
      </w:pPr>
      <w:r>
        <w:rPr>
          <w:b/>
        </w:rPr>
        <w:t>Available abstract (not full text):</w:t>
      </w:r>
      <w:r>
        <w:t xml:space="preserve">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pPr/>
      <w:r>
        <w:rPr>
          <w:b/>
        </w:rPr>
        <w:t>POSSIBLE 2026:</w:t>
      </w:r>
      <w:r>
        <w:t xml:space="preserve"> Do Low-Carbon City Pilots Promote Corporate Environmental Investment? Evidence from China — https://doi.org/10.3390/su18010540</w:t>
      </w:r>
    </w:p>
    <w:p>
      <w:pPr/>
      <w:r>
        <w:rPr>
          <w:b/>
        </w:rPr>
        <w:t>Shared claim-specific concepts:</w:t>
      </w:r>
      <w:r>
        <w:t xml:space="preserve"> china, increase, carbon, investments, climate; EU scope not established. This is a provisional connection, not an outcome finding.</w:t>
      </w:r>
    </w:p>
    <w:p>
      <w:pPr>
        <w:pStyle w:val="SourceNote"/>
      </w:pPr>
      <w:r>
        <w:rPr>
          <w:b/>
        </w:rPr>
        <w:t>Available abstract (not full text):</w:t>
      </w:r>
      <w:r>
        <w:t xml:space="preserve"> As a pivotal instrument for fostering sustainable development and climate goals, low-carbon city pilot policies (LCCPs) motivate firms to increase environmental investments, thereby harmonizing economic growth with emission reduction. This study employs a difference-in-differences (DID) design to empirically investigate the effects and underlying mechanisms of LCCPs on firms’ environmental investment in China. The results demonstrate that LCCPs lead to a significant increase in corporate environmental investment of approximately 36.5% (with a core coefficient of 0.365, significant at the 1% level) when compared to non-pilot cities. This impact primarily occurs through five channels: technology transformation, environmental regulation compliance, financial support, talent attraction, and policy alignment. Heterogeneity tests further reveal that the effect is stronger for enterprises in the eastern and western regions, non-entrepreneurial boards and non-financial entities, larger firms, and those facing financing constraints and operating in low-industry competitive environments. This study offers evidence for the importance of LCCPs in driving corporate environmental investments, providing valuable policy implications for enhancing regulatory frameworks and fostering green innovation to support carbon neutrality and sustainable economic transitions.</w:t>
      </w:r>
    </w:p>
    <w:p>
      <w:pPr/>
      <w:r>
        <w:rPr>
          <w:b/>
        </w:rPr>
        <w:t>POSSIBLE 2026:</w:t>
      </w:r>
      <w:r>
        <w:t xml:space="preserve"> ICT investment and carbon emission efficiency in regional port groups: evidence from Chinese coastal provinces — https://doi.org/10.1057/s41599-026-06509-4</w:t>
      </w:r>
    </w:p>
    <w:p>
      <w:pPr/>
      <w:r>
        <w:rPr>
          <w:b/>
        </w:rPr>
        <w:t>Shared claim-specific concepts:</w:t>
      </w:r>
      <w:r>
        <w:t xml:space="preserve"> carbon, investments, indicate, climate; EU scope not established. This is a provisional connection, not an outcome finding.</w:t>
      </w:r>
    </w:p>
    <w:p>
      <w:pPr>
        <w:pStyle w:val="SourceNote"/>
      </w:pPr>
      <w:r>
        <w:rPr>
          <w:b/>
        </w:rPr>
        <w:t>Available abstract (not full text):</w:t>
      </w:r>
      <w:r>
        <w:t xml:space="preserve"> Growing concerns about climate change have intensified scrutiny of port operations as significant contributors to global emissions, prompting ports worldwide to reconcile environmental sustainability with operational efficiency. Yet how digital investments specifically influence environmental performance in regional maritime systems remains insufficiently understood. Existing research has examined ICT’s economic impacts and operational efficiency separately. However, limited empirical attention has been directed towards the relationship between digital transformation and carbon emission efficiency. This gap is particularly notable regarding the differential effects of ICT components and the role of governance structures. This study examines nine Chinese coastal provinces from 2008 to 2019, decomposing ICT capital into hardware, communication equipment, and software components. Using two-way fixed effects models and instrumental variables approaches, we analyse their impacts on carbon emission efficiency within regional port groups. Results indicate that ICT investment significantly enhances carbon emission efficiency, with hardware demonstrating the strongest effect, followed by communication equipment and software. The relationship operates through both direct channels and indirect pathways via functional specialisation. Digital infrastructure enables ports to develop clearer </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china, rapid, decarbonization;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2025:</w:t>
      </w:r>
      <w:r>
        <w:t xml:space="preserve"> Green Investment, Digital Technological Progress, and the Dynamics of Carbon Emissions in China: A Review — https://doi.org/10.5281/zenodo.18311163</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This article examines the impact of green capital allocation and improvement in information and communication technology on the trajectory of carbon emission from the period of 1985 to 2024 in China. Our results highlight the importance of environmentally sustainable investment and technological development of digital technologies to curb increasing carbon production, while at the same time emphasizing the possible paradox that accelerated economic growth will continue to increase environmental strain through a large increase in carbon emissions. Existing scholarship supports the linkages between the forms of green investment, technological innovation, and economic growth (including the dimension of nonlinear, quadratic growth) and thus can shed light on the dynamic interactions of these variables in the context of the environment. Inspired by these empirical understandings, policy prescriptions that attempt to crystallize a more solid path for China to move toward a cleaner and more sustainable growth paradigm have been proposed in the present work. Existing literature has found a strong connection among green investment, technological innovation and economic growth with the help of static and dynamic econometric methodologies. These outcome results provide important knowledge on the complex interrelations of environmental outcomes. Based on empirical literature, the current s</w:t>
      </w:r>
    </w:p>
    <w:p>
      <w:pPr/>
      <w:r>
        <w:rPr>
          <w:b/>
        </w:rPr>
        <w:t>POSSIBLE 2025:</w:t>
      </w:r>
      <w:r>
        <w:t xml:space="preserve"> Carbon‐Cutting Chess: Strategizing Resilient Low‐Carbon Investments for Supply Chains — https://doi.org/10.1002/bse.70178</w:t>
      </w:r>
    </w:p>
    <w:p>
      <w:pPr/>
      <w:r>
        <w:rPr>
          <w:b/>
        </w:rPr>
        <w:t>Shared claim-specific concepts:</w:t>
      </w:r>
      <w:r>
        <w:t xml:space="preserve"> need, low, carbon, investments, relative, indicate; EU scope not established. This is a provisional connection, not an outcome finding.</w:t>
      </w:r>
    </w:p>
    <w:p>
      <w:pPr>
        <w:pStyle w:val="SourceNote"/>
      </w:pPr>
      <w:r>
        <w:rPr>
          <w:b/>
        </w:rPr>
        <w:t>Available abstract (not full text):</w:t>
      </w:r>
      <w:r>
        <w:t xml:space="preserve"> ABSTRACT This research presents a novel empirical and analytical method for strategizing low‐carbon investment strategies (LCIS) in supply chains, viewed through the lens of sustainable and resilient efficiency. The study develops a clear, actionable framework for identifying, evaluating, and implementing LCIS by using a mixed‐methods design. This design integrates focus groups and surveys with 27 industry experts and validates the findings through semistructured interviews. It identifies critical LCIS and tailored success factors that are central to assessing sustainability and resilience outcomes. Key factors derived from expert insights, such as collaborative agility, regulatory adaptability, and support for technological innovation, are highlighted as essential enablers of success. The results indicate that strategies like circular economy practices and the transition to renewable energy are immediate priorities for achieving sustainability and resilience efficiency. In contrast, other strategies, such as lifecycle emission analysis and carbon offsetting programs, demonstrate more sector‐specific or specialized impacts, necessitating tailored approaches in practice. Furthermore, the orientation of evaluation, whether prioritizing sustainability, resilience, or overall performance, should be explicitly aligned with the organization's strategic objectives. This is important b</w:t>
      </w:r>
    </w:p>
    <w:p>
      <w:pPr/>
      <w:r>
        <w:rPr>
          <w:b/>
        </w:rPr>
        <w:t>POSSIBLE 2025:</w:t>
      </w:r>
      <w:r>
        <w:t xml:space="preserve"> Japan's Government Pension Investment Fund and ESG Investment: Policy Pathways to Carbon Neutrality — https://doi.org/10.52152/3126</w:t>
      </w:r>
    </w:p>
    <w:p>
      <w:pPr/>
      <w:r>
        <w:rPr>
          <w:b/>
        </w:rPr>
        <w:t>Shared claim-specific concepts:</w:t>
      </w:r>
      <w:r>
        <w:t xml:space="preserve"> china, carbon, reference, climate; EU scope not established. This is a provisional connection, not an outcome finding.</w:t>
      </w:r>
    </w:p>
    <w:p>
      <w:pPr>
        <w:pStyle w:val="SourceNote"/>
      </w:pPr>
      <w:r>
        <w:rPr>
          <w:b/>
        </w:rPr>
        <w:t>Available abstract (not full text):</w:t>
      </w:r>
      <w:r>
        <w:t xml:space="preserve"> With climate change and carbon neutrality becoming focal issues, GPIF, as the world's largest pension fund, plays an important role in promoting sustainable finance in Japan. Although there are still obstacles to achieving Japan's carbon neutrality goal, the Government Pension Investment Fund (GPIF) has proposed solutions in sustainable finance. Its exploration and practice of ESG investment is achieved mainly through participation in engagement-enhanced passive investment, inclusion of ESG indices as passive benchmarks, improvement of ESG rating standards, and increased investment in ESG bonds. As a result, GPIF has not only achieved investment returns higher than the benchmark through ESG investment, but also saw an annual improvement in the portfolio greenhouse gas emission. Drawing on GPIF's experience, this study provides a practical reference for the national social security fund of the People’s Republic of China.</w:t>
      </w:r>
    </w:p>
    <w:p>
      <w:pPr/>
      <w:r>
        <w:rPr>
          <w:b/>
        </w:rPr>
        <w:t>POSSIBLE 2025:</w:t>
      </w:r>
      <w:r>
        <w:t xml:space="preserve"> AN OVERVIEW ON THE NEED OF A JOINT DECARBONIZATION AND COMPETITIVENESS PLAN FOR THE FUTURE OF THE EUROPEAN UNION — https://doi.org/10.61846/cuji-ssh.2025.1.02</w:t>
      </w:r>
    </w:p>
    <w:p>
      <w:pPr/>
      <w:r>
        <w:rPr>
          <w:b/>
        </w:rPr>
        <w:t>Shared claim-specific concepts:</w:t>
      </w:r>
      <w:r>
        <w:t xml:space="preserve"> china, need, low, decarbonization; EU scope visible. This is a provisional connection, not an outcome finding.</w:t>
      </w:r>
    </w:p>
    <w:p>
      <w:pPr>
        <w:pStyle w:val="SourceNote"/>
      </w:pPr>
      <w:r>
        <w:rPr>
          <w:b/>
        </w:rPr>
        <w:t>Available abstract (not full text):</w:t>
      </w:r>
      <w:r>
        <w:t xml:space="preserve"> This document presets and outlines the proposal for a joint decarbonization and competitiveness plan for the European Union (The future of European competitiveness).It acknowledges Europe's strengths (strong legal framework, low inequality, high human development) while addressing its challenges (slowing growth, increased competition from China and the US, geopolitical instability, high energy prices).The plan proposes a multi-faceted approach focusing on enhancing competitiveness through innovation, addressing high energy costs via decarbonization and market reforms, and adapting to a less stable geopolitical landscape.Key strategies involve boosting productivity, accelerating renewable energy deployment, securing critical supply chains, and implementing a technology-neutral approach to decarbonization across various sectors (energy, automotive, transport).The plan emphasizes the need for a unified EU strategy, including strengthened institutional frameworks, harmonized policies, and strategic partnerships with third countries to achieve these goals.</w:t>
      </w:r>
    </w:p>
    <w:p>
      <w:pPr/>
      <w:r>
        <w:rPr>
          <w:b/>
        </w:rPr>
        <w:t>POSSIBLE 2024:</w:t>
      </w:r>
      <w:r>
        <w:t xml:space="preserve"> Impact of Green Infrastructure Investment on Urban Carbon Emissions in China — https://doi.org/10.3390/su16072668</w:t>
      </w:r>
    </w:p>
    <w:p>
      <w:pPr/>
      <w:r>
        <w:rPr>
          <w:b/>
        </w:rPr>
        <w:t>Shared claim-specific concepts:</w:t>
      </w:r>
      <w:r>
        <w:t xml:space="preserve"> china, carbon, climate; EU scope not established. This is a provisional connection, not an outcome finding.</w:t>
      </w:r>
    </w:p>
    <w:p>
      <w:pPr>
        <w:pStyle w:val="SourceNote"/>
      </w:pPr>
      <w:r>
        <w:rPr>
          <w:b/>
        </w:rPr>
        <w:t>Available abstract (not full text):</w:t>
      </w:r>
      <w:r>
        <w:t xml:space="preserve"> Given the increasingly severe global climate change, the reduction in urban greenhouse gas emissions has become the common goal of all nations. As a widely concerned sustainable development strategy, green infrastructure investment (GII) aims to reduce urban carbon emissions, improve the efficiency of resource utilization, and improve environmental quality. However, the construction cycle of green infrastructure is long, and the construction process itself may produce carbon emissions; so, the final effect of GII on urban carbon emissions is unclear, which deserves our in-depth study. Further, is this effect having a time-lag effect? Is there only a simple linear relationship between GII and urban carbon emissions? Based on panel data from 235 Chinese cities from 2006 to 2019, this study conducted an econometric regression analysis using time-lag-effect and threshold-effect models. The results showed the following: (1) GII had a negative inhibitory effect on urban CO2 emissions. Adding one unit to the GII could reduce urban CO2 emissions by 0.032 units. (2) GII exhibited a time-lag effect on urban CO2 emissions, and the greatest reduction in CO2 emissions occurred in the third lag period. (3) GII had a threshold effect on urban CO2 emissions based on technological progress (TP). This paper used the static and dynamic panel threshold models to research separately, and obtained t</w:t>
      </w:r>
    </w:p>
    <w:p>
      <w:pPr/>
      <w:r>
        <w:rPr>
          <w:b/>
        </w:rPr>
        <w:t>POSSIBLE 2024:</w:t>
      </w:r>
      <w:r>
        <w:t xml:space="preserve"> China carbon emission accounts 2020-2021 — https://doi.org/10.1016/j.apenergy.2024.122837</w:t>
      </w:r>
    </w:p>
    <w:p>
      <w:pPr/>
      <w:r>
        <w:rPr>
          <w:b/>
        </w:rPr>
        <w:t>Shared claim-specific concepts:</w:t>
      </w:r>
      <w:r>
        <w:t xml:space="preserve"> china, carbon, rapid, climate; EU scope not established. This is a provisional connection, not an outcome finding.</w:t>
      </w:r>
    </w:p>
    <w:p>
      <w:pPr>
        <w:pStyle w:val="SourceNote"/>
      </w:pPr>
      <w:r>
        <w:rPr>
          <w:b/>
        </w:rPr>
        <w:t>Available abstract (not full text):</w:t>
      </w:r>
      <w:r>
        <w:t xml:space="preserve"> In the past a few years, the outbreak of the COVID-19 epidemic has significantly changed global emission patterns and increased the challenges in emission reduction. However, a comprehensive analysis of the most recent trends of China's carbon emissions has not been conducted due to a lack of up-to-date emission accounts by regions and sectors. This study compiles the latest CO2 emission inventories for China and its 30 provinces during the epidemic (2020−2021), following the administrative-territorial approach from the International Panel on Climate Change (IPCC). Our inventories cover energy-related emissions from 17 types of fossil fuel combustion and cement production across 47 economic sectors. To provide a holistic view of emission patterns, we esitamted consumption-based emissions in China. We find that the COVID-19 epidemic led to a 50% reduction in the growth rate of territorial emissions in 2020 compared to 2019. This trend then reversed in 2021 as lockdown measures gradually relaxed. Our study reveals the impact of the rapid expansion of exports, driven by epidemic prevention materials and “stay-at-home economy” products on widening the differences between territorial- and consumption-based emissions. Our study offers a timely blueprint for designing strategies towards carbon peak and neutrality, especially in the context of sustainable recoveries and carbon mitigati</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need, carbon, investments;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Foreign Direct Investment, Technology Innovation and Carbon Emissions: Evidence from China — https://doi.org/10.3390/su162210014</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FDI is a critical factor influencing carbon emissions and a significant driver of China’s economic development. However, achieving sustainable economic development remains a major challenge for China. Hence, this paper aims to explore how to foster positive interactions between FDI and carbon emissions. Specifically, we first analyze the mechanism of FDI on carbon emissions from a theoretical perspective. Then, using panel data from 27 provinces in China, an empirical analysis is conducted. In the empirical analysis, we use the panel regression models to analyze the impact of FDI on carbon emissions. Additionally, a configuration analysis method is employed to examine the interactive relationship between FDI quality and carbon emissions. The conclusions of this paper are as follows. Overall, FDI significantly inhibits carbon emissions across provinces, with this effect strengthening as the scale and quality of FDI increase. Heterogeneity analysis shows that the inhibitory effect of FDI on carbon emissions is more pronounced in provinces with high technological financial support and stringent environmental regulations. Mediation analysis indicates that technological innovation serves as a mediator between FDI and carbon emissions, which means that FDI could promote “the quality improvement and the quantity increase” of green technological innovation to reduce carbon emissions. F</w:t>
      </w:r>
    </w:p>
    <w:p>
      <w:pPr>
        <w:pStyle w:val="Heading2"/>
      </w:pPr>
      <w:r>
        <w:t>714. A multi-model, multi-scenario, and multi-domain analysis of regional climate projections for the Mediterranean</w:t>
      </w:r>
    </w:p>
    <w:p>
      <w:pPr>
        <w:pStyle w:val="SourceNote"/>
      </w:pPr>
      <w:r>
        <w:rPr>
          <w:b/>
        </w:rPr>
        <w:t>Original source (2019):</w:t>
      </w:r>
      <w:r>
        <w:t xml:space="preserve"> https://doi.org/10.1007/s10113-019-01565-w</w:t>
      </w:r>
    </w:p>
    <w:p>
      <w:pPr/>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POSSIBLE 2026:</w:t>
      </w:r>
      <w:r>
        <w:t xml:space="preserve"> Multi-scenario responses of ecological security networks in the Yangtze River Delta under a multi-model framework — https://doi.org/10.3389/fevo.2026.1977267</w:t>
      </w:r>
    </w:p>
    <w:p>
      <w:pPr/>
      <w:r>
        <w:rPr>
          <w:b/>
        </w:rPr>
        <w:t>Shared claim-specific concepts:</w:t>
      </w:r>
      <w:r>
        <w:t xml:space="preserve"> multi-model, multi-scenario, strongly, pathways; EU scope not established. This is a provisional connection, not an outcome finding.</w:t>
      </w:r>
    </w:p>
    <w:p>
      <w:pPr>
        <w:pStyle w:val="SourceNote"/>
      </w:pPr>
      <w:r>
        <w:rPr>
          <w:b/>
        </w:rPr>
        <w:t>Available abstract (not full text):</w:t>
      </w:r>
      <w:r>
        <w:t xml:space="preserve"> Rapid urbanization and land-use change are reshaping ecological spaces in urban agglomerations, underscoring the need to identify conservation and restoration priorities under alternative development pathways. Taking the Yangtze River Delta as a case study, this study integrates landscape ecological risk assessment, morphological spatial pattern analysis, and circuit theory to evaluate ecological security network responses under business-as-usual, urban development, and ecological protection scenarios for 2035. To better capture the spatial heterogeneity of ecological resistance, landscape ecological risk was incorporated into the composite resistance surface together with land use, elevation, and slope, allowing resistance values to reflect differences among areas of the same land-use type under different landscape configurations and disturbance conditions. Multi-period validation yielded overall accuracies of 0.87 and 0.90 and Kappa coefficients of 0.81 and 0.85 for the 2018 and 2020 land-use simulations, respectively. Built-up land expanded most strongly under the urban development scenario, increasing by 6, 866.91 km 2 , whereas the increase was limited to only 54.37 km 2 under the ecological protection scenario. Ecological risk exhibited a persistent spatial gradient of higher risk in the northeast and lower risk in the southwest, with high-risk areas concentrated primaril</w:t>
      </w:r>
    </w:p>
    <w:p>
      <w:pPr/>
      <w:r>
        <w:rPr>
          <w:b/>
        </w:rPr>
        <w:t>POSSIBLE 2025:</w:t>
      </w:r>
      <w:r>
        <w:t xml:space="preserve"> Designing integrated and resilient multi-energy systems via multi-objective optimization and scenario analysis — https://doi.org/10.1016/j.apenergy.2025.125281</w:t>
      </w:r>
    </w:p>
    <w:p>
      <w:pPr/>
      <w:r>
        <w:rPr>
          <w:b/>
        </w:rPr>
        <w:t>Shared claim-specific concepts:</w:t>
      </w:r>
      <w:r>
        <w:t xml:space="preserve"> unique, used, warming; EU scope visible. This is a provisional connection, not an outcome finding.</w:t>
      </w:r>
    </w:p>
    <w:p>
      <w:pPr>
        <w:pStyle w:val="SourceNote"/>
      </w:pPr>
      <w:r>
        <w:rPr>
          <w:b/>
        </w:rPr>
        <w:t>Available abstract (not full text):</w:t>
      </w:r>
      <w:r>
        <w:t xml:space="preserve">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unique, multi-model, multi-scenario, cordex, ensemble;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ENSEMBLE MULTI-MODEL DEEP NEURAL NETWORKS FOR HANDWRITTEN DIGIT CLASSIFICATION — https://doi.org/10.24874/pes07.04a.041</w:t>
      </w:r>
    </w:p>
    <w:p>
      <w:pPr/>
      <w:r>
        <w:rPr>
          <w:b/>
        </w:rPr>
        <w:t>Shared claim-specific concepts:</w:t>
      </w:r>
      <w:r>
        <w:t xml:space="preserve"> multi-model, used, ensemble, combined; EU scope not established. This is a provisional connection, not an outcome finding.</w:t>
      </w:r>
    </w:p>
    <w:p>
      <w:pPr>
        <w:pStyle w:val="SourceNote"/>
      </w:pPr>
      <w:r>
        <w:rPr>
          <w:b/>
        </w:rPr>
        <w:t>Available abstract (not full text):</w:t>
      </w:r>
      <w:r>
        <w:t xml:space="preserve"> Due to the complicated structure of the script, variety of writing styles used, and the inherent challenges associated with unbalanced data, handwritten digit recognition poses an additional category of challenges.Selecting the optimal method for precise and effective recognition is essential given the growing need for automated recognition systems across a range of industries, including document analysis, postal services, and historical document preservation.This research aims to present an ensemble learning approach on neural networks, such Artificial Neural Network (ANN), , MobileNet-V2 and proposed optimized hyper-tuned sequential Convolutional Neural Network (SDM-CNN), to judge the performance of handwritten digit recognition.A vote procedure of bagging is then used to choose the final result.Authors used MNIST dataset to evaluate the performances of chosen neural networks.After implementing the models, the predictions from each of these five models were combined to create an ensemble of the outcomes.The results after final voting demonstrate that our proposed model achieved better accuracy of 99.28% with reduced computational time and less parameters.The experiment makes use of the Keras and Tensorflow learning modules of Python, which are used to implement each experiment on Google Collaboratory.</w:t>
      </w:r>
    </w:p>
    <w:p>
      <w:pPr/>
      <w:r>
        <w:rPr>
          <w:b/>
        </w:rPr>
        <w:t>POSSIBLE 2025:</w:t>
      </w:r>
      <w:r>
        <w:t xml:space="preserve"> Meta-Learning Approach for Adaptive Anomaly Detection from Multi-Scenario Video Surveillance — https://doi.org/10.3390/app15126687</w:t>
      </w:r>
    </w:p>
    <w:p>
      <w:pPr/>
      <w:r>
        <w:rPr>
          <w:b/>
        </w:rPr>
        <w:t>Shared claim-specific concepts:</w:t>
      </w:r>
      <w:r>
        <w:t xml:space="preserve"> unique, multi-scenario, used, particularly; EU scope not established. This is a provisional connection, not an outcome finding.</w:t>
      </w:r>
    </w:p>
    <w:p>
      <w:pPr>
        <w:pStyle w:val="SourceNote"/>
      </w:pPr>
      <w:r>
        <w:rPr>
          <w:b/>
        </w:rPr>
        <w:t>Available abstract (not full text):</w:t>
      </w:r>
      <w:r>
        <w:t xml:space="preserve"> Video surveillance is widely used in different area like road, mall, education, industries, retail, park, Bus stand, Restaurant and smart cities, each presenting unique anomalies requiring specialized detection. However, adapting anomaly detection models to novel viewpoints within the same scenario poses challenges. Extending these models to entirely new scenarios necessitate retraining or fine-tuning, a process that can be time-consuming. To address these challenges, Model named Video Anomaly Detector Model has been proposed, leveraging the meta learning framework for faster adaptation using Swin Transformer for feature extraction to new concepts. In response, The Multi-Scenario Anomaly Detection (MSAD) dataset, featuring 14 scenarios from various camera views, is the first high-resolution anomaly detection dataset for real-world applications. It includes diverse motion patterns and challenging variations like different lighting and weather conditions, providing a strong foundation for training advanced models. Experiments confirm the effectiveness of MAML, particularly when trained on the MSAD dataset. MAML excels under new viewpoints within the same scenario and performs competitively in entirely new scenarios, showcasing its potential for detecting anomalies in diverse and evolving surveillance environments.</w:t>
      </w:r>
    </w:p>
    <w:p>
      <w:pPr/>
      <w:r>
        <w:rPr>
          <w:b/>
        </w:rPr>
        <w:t>POSSIBLE 2025:</w:t>
      </w:r>
      <w:r>
        <w:t xml:space="preserve"> An interpretable multi-transformer ensemble for text-based movie genre classification — https://doi.org/10.7717/peerj-cs.2945</w:t>
      </w:r>
    </w:p>
    <w:p>
      <w:pPr/>
      <w:r>
        <w:rPr>
          <w:b/>
        </w:rPr>
        <w:t>Shared claim-specific concepts:</w:t>
      </w:r>
      <w:r>
        <w:t xml:space="preserve"> used, ensemble, combined; EU scope not established. This is a provisional connection, not an outcome finding.</w:t>
      </w:r>
    </w:p>
    <w:p>
      <w:pPr>
        <w:pStyle w:val="SourceNote"/>
      </w:pPr>
      <w:r>
        <w:rPr>
          <w:b/>
        </w:rPr>
        <w:t>Available abstract (not full text):</w:t>
      </w:r>
      <w:r>
        <w:t xml:space="preserve"> Multi-label movie genre classification is challenging due to the inherent ambiguity and overlap between different genres. Most of the existing works in genre classification use audio-visual modalities. The potential of text-based modalities in movie genre classification is still underexplored. This paper proposes an ensemble deep-learning model that uses movie plots to predict movie genres. After pre-processing the text plots, three transformer-based models, Bidirectional Encoder Representations from Transformers (BERT), DistilBERT, and Robustly Optimized BERT Pre-training Approach (ROBERTa), are used to generate genre predictions, combined through a weighted soft-voting method. The proposed ensemble architecture achieves state-of-the-art performance on two benchmark datasets, Trailers12K and LMTD9, with a micro-average precision of 80.10% and 80.37%, respectively, significantly outperforming both traditional machine learning approaches and advanced deep learning models. The ensemble's superior performance is attributed to its ability to combine the diverse strengths of individual models and capture nuanced genre-specific information from textual features. The lack of interpretability in deep learning models for genre classification is addressed using Local Interpretable Model-Agnostic Explanations (LIME), which provides both local and global explanations for the model's predic</w:t>
      </w:r>
    </w:p>
    <w:p>
      <w:pPr/>
      <w:r>
        <w:rPr>
          <w:b/>
        </w:rPr>
        <w:t>POSSIBLE 2025:</w:t>
      </w:r>
      <w:r>
        <w:t xml:space="preserve"> A Multi-Time and Multi-Perspective Selection Framework for Machine Translation based on Large Language Models — https://doi.org/10.1109/ihcit66787.2025.11199021</w:t>
      </w:r>
    </w:p>
    <w:p>
      <w:pPr/>
      <w:r>
        <w:rPr>
          <w:b/>
        </w:rPr>
        <w:t>Shared claim-specific concepts:</w:t>
      </w:r>
      <w:r>
        <w:t xml:space="preserve"> unique, substantial, particularly; EU scope not established. This is a provisional connection, not an outcome finding.</w:t>
      </w:r>
    </w:p>
    <w:p>
      <w:pPr>
        <w:pStyle w:val="SourceNote"/>
      </w:pPr>
      <w:r>
        <w:rPr>
          <w:b/>
        </w:rPr>
        <w:t>Available abstract (not full text):</w:t>
      </w:r>
      <w:r>
        <w:t xml:space="preserve"> The rapid development of large language models (LLMs) has brought unprecedented capabilities to machine translation systems, yet their probabilistic generation nature introduces significant variability in output quality. This inherent randomness poses substantial challenges for real-world applications where consistent and reliable translations are crucial. To mitigate this issue, we present a novel Multi-time and Multi-perspective Selection Framework (MMSF) that systematically enhances translation stability through an innovative combination of parallel generation and comprehensive evaluation. Our approach begins by generating multiple candidate translations through a unified prompt design, avoiding limitations of single-generation methods. For example, prompts may explicitly request multiple variants or leverage temperature sampling to encourage diversity. Each candidate then undergoes rigorous multi-dimensional assessment, evaluating critical aspects such as semantic fidelity, linguistic fluency, stylistic coherence, and domain-specific terminology accuracy. The framework employs advanced normalization techniques to ensure fair comparison across these diverse evaluation dimensions, while a unique bidirectional verification mechanism further validates translation quality through semantic consistency checks. Importantly, this methodology achieves substantial quality improvements</w:t>
      </w:r>
    </w:p>
    <w:p>
      <w:pPr/>
      <w:r>
        <w:rPr>
          <w:b/>
        </w:rPr>
        <w:t>POSSIBLE 2024:</w:t>
      </w:r>
      <w:r>
        <w:t xml:space="preserve"> Multi-Step Temporal Modeling for UAV Tracking — https://doi.org/10.1109/tcsvt.2024.3375366</w:t>
      </w:r>
    </w:p>
    <w:p>
      <w:pPr/>
      <w:r>
        <w:rPr>
          <w:b/>
        </w:rPr>
        <w:t>Shared claim-specific concepts:</w:t>
      </w:r>
      <w:r>
        <w:t xml:space="preserve"> unique, region, particularly; EU scope not established. This is a provisional connection, not an outcome finding.</w:t>
      </w:r>
    </w:p>
    <w:p>
      <w:pPr>
        <w:pStyle w:val="SourceNote"/>
      </w:pPr>
      <w:r>
        <w:rPr>
          <w:b/>
        </w:rPr>
        <w:t>Available abstract (not full text):</w:t>
      </w:r>
      <w:r>
        <w:t xml:space="preserve">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pPr/>
      <w:r>
        <w:rPr>
          <w:b/>
        </w:rPr>
        <w:t>POSSIBLE 2024:</w:t>
      </w:r>
      <w:r>
        <w:t xml:space="preserve"> Designing integrated and resilient multi-energy systems via multi-objective optimization and scenario analysis — https://doi.org/10.5194/egusphere-egu24-3162</w:t>
      </w:r>
    </w:p>
    <w:p>
      <w:pPr/>
      <w:r>
        <w:rPr>
          <w:b/>
        </w:rPr>
        <w:t>Shared claim-specific concepts:</w:t>
      </w:r>
      <w:r>
        <w:t xml:space="preserve"> unique, used, region; EU scope visible. This is a provisional connection, not an outcome finding.</w:t>
      </w:r>
    </w:p>
    <w:p>
      <w:pPr>
        <w:pStyle w:val="SourceNote"/>
      </w:pPr>
      <w:r>
        <w:rPr>
          <w:b/>
        </w:rPr>
        <w:t>Available abstract (not full text):</w:t>
      </w:r>
      <w:r>
        <w:t xml:space="preserve">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pPr/>
      <w:r>
        <w:rPr>
          <w:b/>
        </w:rPr>
        <w:t>POSSIBLE 2024:</w:t>
      </w:r>
      <w:r>
        <w:t xml:space="preserve"> Low‐resolution activity recognition using super‐resolution and model ensemble networks — https://doi.org/10.4218/etrij.2023-0523</w:t>
      </w:r>
    </w:p>
    <w:p>
      <w:pPr/>
      <w:r>
        <w:rPr>
          <w:b/>
        </w:rPr>
        <w:t>Shared claim-specific concepts:</w:t>
      </w:r>
      <w:r>
        <w:t xml:space="preserve"> unique, ensemble, substantial; EU scope not established. This is a provisional connection, not an outcome finding.</w:t>
      </w:r>
    </w:p>
    <w:p>
      <w:pPr>
        <w:pStyle w:val="SourceNote"/>
      </w:pPr>
      <w:r>
        <w:rPr>
          <w:b/>
        </w:rPr>
        <w:t>Available abstract (not full text):</w:t>
      </w:r>
      <w:r>
        <w:t xml:space="preserve"> Abstract In real‐world video super‐resolution, the complexity and diversity of degradations pose substantial challenges during both training and inference. Videos captured in real‐world settings often depict activities at varying resolutions. Typically, these activities are filmed from a distance that reduces the resolution of imagery, which thus lacks discriminative features. To address this problem, we introduce an activity recognition solution. First, a unique integration of data transformation and attention‐based average discriminator are employed for super‐resolution feature augmentation. This approach mitigates the lack of discriminative cues in low‐resolution videos. Subsequently, high‐resolution features extracted from the recovered data are directly fed into a model ensemble for activity recognition. We evaluate the resulting method on the TinyVIRAT‐v2 and HMDB51 datasets, achieving improved visual quality by leveraging the super‐resolution and model ensemble strategy. The proposed method enhances the quality of textures and boosts activity recognition in low‐resolution videos.</w:t>
      </w:r>
    </w:p>
    <w:p>
      <w:pPr/>
      <w:r>
        <w:rPr>
          <w:b/>
        </w:rPr>
        <w:t>POSSIBLE 2024:</w:t>
      </w:r>
      <w:r>
        <w:t xml:space="preserve"> Improved Heart Diseases Risk Prediction Using Optimized Super Learner Ensemble Model — https://doi.org/10.22266/ijies2024.1031.25</w:t>
      </w:r>
    </w:p>
    <w:p>
      <w:pPr/>
      <w:r>
        <w:rPr>
          <w:b/>
        </w:rPr>
        <w:t>Shared claim-specific concepts:</w:t>
      </w:r>
      <w:r>
        <w:t xml:space="preserve"> used, ensemble; EU scope not established. This is a provisional connection, not an outcome finding.</w:t>
      </w:r>
    </w:p>
    <w:p>
      <w:pPr>
        <w:pStyle w:val="SourceNote"/>
      </w:pPr>
      <w:r>
        <w:rPr>
          <w:b/>
        </w:rPr>
        <w:t>Available abstract (not full text):</w:t>
      </w:r>
      <w:r>
        <w:t xml:space="preserve"> Cardio Vascular Diseases (CVD) has become a serious concern for humans as fatalities rate due to CVD are increasing at an alarming pace.With the aid of machine learning techniques, heart illnesses can be predicted much earlier, and therapy or dietary changes can prevent deaths.By combining predictions from various individual models, the machine learning technique known as ensemble learning improves forecasting accuracy and resiliency.In this work, a Super Learner Ensemble Model is used where the base learners are a diverse combination of linear, probabilistic, bagging, boosting and stacking models.To improve the performance of the Super Learner Ensemble Model, an Optimized Super Learner Ensemble Model (OSLEM) is proposed, where optimal selection of base learners in the ensemble is done based on the pairwise disagreement accuracy diversity measure of classifiers in each best fitness whale obtained by different iterations of Whale Optimization Algorithm (WOA).ModifiedBoostARoota (MBAR), a wrapper feature selection technique is used to choose the most significant features of six different heart datasets and the proposed OSLEM modelled on the selected features exhibits high performance compared to other existing ensemble models.</w:t>
      </w:r>
    </w:p>
    <w:p>
      <w:pPr/>
      <w:r>
        <w:rPr>
          <w:b/>
        </w:rPr>
        <w:t>POSSIBLE 2023:</w:t>
      </w:r>
      <w:r>
        <w:t xml:space="preserve"> DELM: Deep Ensemble Learning Model for Multiclass Classification of Super-Resolution Leaf Disease Images — https://doi.org/10.55730/1300-011x.3123</w:t>
      </w:r>
    </w:p>
    <w:p>
      <w:pPr/>
      <w:r>
        <w:rPr>
          <w:b/>
        </w:rPr>
        <w:t>Shared claim-specific concepts:</w:t>
      </w:r>
      <w:r>
        <w:t xml:space="preserve"> since, ensemble; EU scope not established. This is a provisional connection, not an outcome finding.</w:t>
      </w:r>
    </w:p>
    <w:p>
      <w:pPr>
        <w:pStyle w:val="SourceNote"/>
      </w:pPr>
      <w:r>
        <w:rPr>
          <w:b/>
        </w:rPr>
        <w:t>Available abstract (not full text):</w:t>
      </w:r>
      <w:r>
        <w:t xml:space="preserve"> Tomato plant leaf diseases are the main risk factor for plant growth.Detection of diseases at the initial stage is the main and most complex task for farmers due to common morphological properties like colour, shape, texture, and edges.The quality and quantity of agricultural products might be significantly reduced because of plant diseases.One hundred and seventy-seven pathogens, including 167 fungi and others like bacteria, algae, and nematodes, attack the well-known tomato plant.Postharvest illnesses may also result in significant productivity losses.An expert opinion is needed for illness analysis due to the modest variations in the symptoms of different tomato diseases.Farmers who misuse pesticides may suffer financial losses as a result of erroneous diagnoses.Plant leaf diseases are difficult to categorize since there are many similarities among different groups and intricate design changes.In this paper, the authors present a deep ensemble learning model (DELM) for autonomous plant disease identification.The pretrained models are refined using transfer learning.Different augmentation techniques, including picture enhancement, rotation, and scaling, combat overfitting.This research gives a thorough taxonomy of the performance of a single model and various ensemble learning models to classify superresolution tomato plant leaf disease images.With the publicly available data</w:t>
      </w:r>
    </w:p>
    <w:p>
      <w:pPr>
        <w:pStyle w:val="Heading2"/>
      </w:pPr>
      <w:r>
        <w:t>715. About global forecast of European Parliament TO 2035</w:t>
      </w:r>
    </w:p>
    <w:p>
      <w:pPr>
        <w:pStyle w:val="SourceNote"/>
      </w:pPr>
      <w:r>
        <w:rPr>
          <w:b/>
        </w:rPr>
        <w:t>Original source (2019):</w:t>
      </w:r>
      <w:r>
        <w:t xml:space="preserve"> https://doi.org/10.25634/mirbis.2019.1.3</w:t>
      </w:r>
    </w:p>
    <w:p>
      <w:pPr/>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pPr/>
      <w:r>
        <w:rPr>
          <w:b/>
        </w:rPr>
        <w:t>POSSIBLE 2026:</w:t>
      </w:r>
      <w:r>
        <w:t xml:space="preserve"> FORECASTING DEVELOPMENT TRENDS IN THE IT INDUSTRY IN UKRAINE — https://doi.org/10.32782/2312-7872.1.2026.8</w:t>
      </w:r>
    </w:p>
    <w:p>
      <w:pPr/>
      <w:r>
        <w:rPr>
          <w:b/>
        </w:rPr>
        <w:t>Shared claim-specific concepts:</w:t>
      </w:r>
      <w:r>
        <w:t xml:space="preserve"> trends, technology; EU scope visible. This is a provisional connection, not an outcome finding.</w:t>
      </w:r>
    </w:p>
    <w:p>
      <w:pPr>
        <w:pStyle w:val="SourceNote"/>
      </w:pPr>
      <w:r>
        <w:rPr>
          <w:b/>
        </w:rPr>
        <w:t>Available abstract (not full text):</w:t>
      </w:r>
      <w:r>
        <w:t xml:space="preserve">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pPr/>
      <w:r>
        <w:rPr>
          <w:b/>
        </w:rPr>
        <w:t>POSSIBLE 2026:</w:t>
      </w:r>
      <w:r>
        <w:t xml:space="preserve"> Exceptionally poor and good medium‐range forecasts of the large‐scale circulation over Europe in ERA5 reforecasts — https://doi.org/10.1002/qj.70117</w:t>
      </w:r>
    </w:p>
    <w:p>
      <w:pPr/>
      <w:r>
        <w:rPr>
          <w:b/>
        </w:rPr>
        <w:t>Shared claim-specific concepts:</w:t>
      </w:r>
      <w:r>
        <w:t xml:space="preserve"> forecasts, show, life; EU scope visible. This is a provisional connection, not an outcome finding.</w:t>
      </w:r>
    </w:p>
    <w:p>
      <w:pPr>
        <w:pStyle w:val="SourceNote"/>
      </w:pPr>
      <w:r>
        <w:rPr>
          <w:b/>
        </w:rPr>
        <w:t>Available abstract (not full text):</w:t>
      </w:r>
      <w:r>
        <w:t xml:space="preserve"> Abstract Despite continuous improvements in weather forecasting, large‐scale forecast busts—sudden drops in accuracy—still occur. In this study, we extend the concept of busts to define “exceptionally poor forecasts” and introduce the notion of “exceptionally good forecasts”, both derived using a methodology that accounts for seasonality in forecast skill. We apply this framework to six‐day forecasts over Europe in European Centre for Medium‐Range Weather Forecasts (ECMWF) Reanalysis Version 5 (ERA5) reforecasts (1979–2023) to identify and compare their characteristics. The analysis explores potential links between these forecasts and large‐scale weather regimes in the North Atlantic–European region, with particular attention to the occurrence and timing of regime transitions. We identify a declining trend in the annual rate of poor forecasts and an increasing trend in the rate of good forecasts, consistent with advances in the number and quality of observations. Poor forecasts occur more often in the warm season while good forecasts are found throughout the year, and their mean patterns contrast sharply: Rossby‐wave trains characterize poor forecasts, whereas blocking over northern Europe dominates good forecasts. Periods of poor forecast performance coincide with an above‐average frequency of cyclonic regimes and persistent no‐regime periods. Conversely, good forecasts show a</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regions;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LIFE EXPECTANCY IN UZBEKISTAN: TRENDS AND FORECASTS — https://doi.org/10.5281/zenodo.23313585</w:t>
      </w:r>
    </w:p>
    <w:p>
      <w:pPr/>
      <w:r>
        <w:rPr>
          <w:b/>
        </w:rPr>
        <w:t>Shared claim-specific concepts:</w:t>
      </w:r>
      <w:r>
        <w:t xml:space="preserve"> forecasts, trends, life; EU scope not established. This is a provisional connection, not an outcome finding.</w:t>
      </w:r>
    </w:p>
    <w:p>
      <w:pPr>
        <w:pStyle w:val="SourceNote"/>
      </w:pPr>
      <w:r>
        <w:rPr>
          <w:b/>
        </w:rPr>
        <w:t>Available abstract (not full text):</w:t>
      </w:r>
      <w:r>
        <w:t xml:space="preserve"> This paper explores the relationship between per capita health expenditure and life expectancy in Uzbekistan from 2000 to 2030. Using WHO data, the study constructs regression and ARIMA models to project key health and economic indicators. The analysis reveals a statistically significant relationship between increased per capita health expenditure and rising life expectancy. Based on the regression model, life expectancy is expected to reach 79.5 years by 2030, up from 73 years in 2025.</w:t>
      </w:r>
    </w:p>
    <w:p>
      <w:pPr/>
      <w:r>
        <w:rPr>
          <w:b/>
        </w:rPr>
        <w:t>POSSIBLE 2026:</w:t>
      </w:r>
      <w:r>
        <w:t xml:space="preserve"> Categorical short-term forecasts of respiratory pathogens in Europe — https://doi.org/10.1016/j.epidem.2026.100938</w:t>
      </w:r>
    </w:p>
    <w:p>
      <w:pPr/>
      <w:r>
        <w:rPr>
          <w:b/>
        </w:rPr>
        <w:t>Shared claim-specific concepts:</w:t>
      </w:r>
      <w:r>
        <w:t xml:space="preserve"> forecasts, possible, help; EU scope visible. This is a provisional connection, not an outcome finding.</w:t>
      </w:r>
    </w:p>
    <w:p>
      <w:pPr>
        <w:pStyle w:val="SourceNote"/>
      </w:pPr>
      <w:r>
        <w:rPr>
          <w:b/>
        </w:rPr>
        <w:t>Available abstract (not full text):</w:t>
      </w:r>
      <w:r>
        <w:t xml:space="preserve"> Real-time near-term forecasts of seasonal respiratory infections are currently available from the European Centre for Disease Prevention and Control through the Respicast forecast hub. In this study, we explored the generation of probabilistic forecasts of short-term change in influenza-like illness (ILI) and acute respiratory illness (ARI) disease activity for over twenty countries in Europe. Building on publicly available datasets of respiratory disease activity in Europe, we describe a forecasting pipeline that includes: a) a flexible method to define categories of interest, in relation to disease activity seen in past seasons; and b) an approach based on smoothing splines to translate real-time probabilistic forecasts of continuous targets (available in Respicast) to forecasts of categorical targets. We applied the methods to forecast ILI/ARI consultation rates in Europe, and influenza-associated hospitalization in the United States during the 2024/25 season. For forecasts in the US, results suggest that the simple approximation method can match the skill of at least a third of the models with which a direct comparison was possible. Skill of the approximated forecasts of nearly half of the models in Respicast were better than the benchmark's when predicting ILI rate changes. Approximation of the hub-ensemble's continuous forecasts yielded an improvement of 24% over benchmar</w:t>
      </w:r>
    </w:p>
    <w:p>
      <w:pPr/>
      <w:r>
        <w:rPr>
          <w:b/>
        </w:rPr>
        <w:t>POSSIBLE 2025:</w:t>
      </w:r>
      <w:r>
        <w:t xml:space="preserve"> Forecasting innovation status and trends with ARIMA analysis and Linear Trend Model in the European Union — https://doi.org/10.1556/1848.2025.00988</w:t>
      </w:r>
    </w:p>
    <w:p>
      <w:pPr/>
      <w:r>
        <w:rPr>
          <w:b/>
        </w:rPr>
        <w:t>Shared claim-specific concepts:</w:t>
      </w:r>
      <w:r>
        <w:t xml:space="preserve"> show, trends; EU scope visible. This is a provisional connection, not an outcome finding.</w:t>
      </w:r>
    </w:p>
    <w:p>
      <w:pPr>
        <w:pStyle w:val="SourceNote"/>
      </w:pPr>
      <w:r>
        <w:rPr>
          <w:b/>
        </w:rPr>
        <w:t>Available abstract (not full text):</w:t>
      </w:r>
      <w:r>
        <w:t xml:space="preserve">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pPr/>
      <w:r>
        <w:rPr>
          <w:b/>
        </w:rPr>
        <w:t>POSSIBLE 2025:</w:t>
      </w:r>
      <w:r>
        <w:t xml:space="preserve"> Forecasting human development with an improved Theta method based on forecast combination — https://doi.org/10.1007/s10479-025-06605-9</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Abstract Forecasting human development is important for tracking sustainable growth and societal progress. However, this task presents statistical challenges. The primary difficulty is the limited nature of the available data, which is a typical problem encountered in forecasting many social time series. In this paper, we propose a novel approach for forecasting short time series based on the Theta method. The classical Theta method decomposes the time series into trend and short-run components. We propose an improved version of the Theta method, called $$\theta $$ θ -comb, based on the combination of alternative forecasts for the short-run component. We apply the proposed method to forecast worldwide human development, measured with the Human Development Index, from 1990 to 2022. The results show that the $$\theta $$ θ -comb method significantly improves the out-of-sample accuracy in comparison to existing approaches.</w:t>
      </w:r>
    </w:p>
    <w:p>
      <w:pPr/>
      <w:r>
        <w:rPr>
          <w:b/>
        </w:rPr>
        <w:t>POSSIBLE 2025:</w:t>
      </w:r>
      <w:r>
        <w:t xml:space="preserve"> Most European countries will miss EU targets on antibacterial use by 2030: historical analysis of European and OECD countries, comparison of community and hospital sectors and forecast to 2040 — https://doi.org/10.1007/s00210-025-03887-5</w:t>
      </w:r>
    </w:p>
    <w:p>
      <w:pPr/>
      <w:r>
        <w:rPr>
          <w:b/>
        </w:rPr>
        <w:t>Shared claim-specific concepts:</w:t>
      </w:r>
      <w:r>
        <w:t xml:space="preserve"> forecasts, show, trends; EU scope visible. This is a provisional connection, not an outcome finding.</w:t>
      </w:r>
    </w:p>
    <w:p>
      <w:pPr>
        <w:pStyle w:val="SourceNote"/>
      </w:pPr>
      <w:r>
        <w:rPr>
          <w:b/>
        </w:rPr>
        <w:t>Available abstract (not full text):</w:t>
      </w:r>
      <w:r>
        <w:t xml:space="preserve"> The rise of bacterial resistance threatens the treatment of infections and is closely linked to the consumption of antibacterial drugs. The EU's 'One Health' approach aims to address this issue by requiring Member States to reduce consumption by 20% by 2030. This study analyses antibacterial consumption trends in the total care of European and non-European OECD countries, compares the community and hospital sector, uses ARIMA modelling and correlation analysis to provide long-term forecasts, assesses patterns of consumption and evaluates whether current trends are in line with the EU target. Projections to 2040 show increases for Spain (+36.6%; 30.7 DID), Greece (+31.4%; 37.5 DID), Czechia (+29.7%; 19.4 DID), Bulgaria (+28.3%; 33. 7 DID), Malta (+26.5%; 28.8 DID), Denmark (+25.7%; 19.8 DID), Croatia (+17.4%; 24.9 DID), Italy (+13.7%; 26.3 DID), Germany (+7.6%; 12.6 DID), Australia (+12.4%, 18.2 DID), Canada (+8.0%, 14.8 DID), Chile (+90.1%, 66.7 DID), Costa Rica (+0.4%, 19.7 DID), Japan (+22.7%, 12.8 DID) and Korea (+24.3%, 31.9 DID). Declines are forecast for Belgium (-0.5%; 20.5 DID), Romania (-0.6%; 27.2 DID), Cyprus (-1.0%; 33.2 DID), Luxembourg (-2.2%; 19.8 DID), Norway (-3.4%; 15.1 DID), Latvia (-5.5%; 14.1 DID), Lithuania (-6.4%; 17.5 DID), the Netherlands (-8.4%; 8. 8 DID), Portugal (-10.6%; 16.1 DID), Estonia (-12.1%; 11.2 DID), Slovakia (-16.1%; 16.8 DID), France (-17</w:t>
      </w:r>
    </w:p>
    <w:p>
      <w:pPr/>
      <w:r>
        <w:rPr>
          <w:b/>
        </w:rPr>
        <w:t>POSSIBLE 2025:</w:t>
      </w:r>
      <w:r>
        <w:t xml:space="preserve"> AWaRe classification analysis for European countries with ARIMA forecasts to assess prescribing patterns and ‘One Health’ targets — https://doi.org/10.1007/s00210-025-04121-y</w:t>
      </w:r>
    </w:p>
    <w:p>
      <w:pPr/>
      <w:r>
        <w:rPr>
          <w:b/>
        </w:rPr>
        <w:t>Shared claim-specific concepts:</w:t>
      </w:r>
      <w:r>
        <w:t xml:space="preserve"> forecasts, trends, regions; EU scope visible. This is a provisional connection, not an outcome finding.</w:t>
      </w:r>
    </w:p>
    <w:p>
      <w:pPr>
        <w:pStyle w:val="SourceNote"/>
      </w:pPr>
      <w:r>
        <w:rPr>
          <w:b/>
        </w:rPr>
        <w:t>Available abstract (not full text):</w:t>
      </w:r>
      <w:r>
        <w:t xml:space="preserve"> BACKGROUND: Antimicrobial resistance is a major threat to public health, with a well-established link between antibacterial consumption and bacterial resistance. Stewardship needs to focus on reducing overall consumption and optimising the quality of prescribing. The European Union's 'One Health' approach aims for at least 65% of antibacterial consumption to be in the 'Access' category of the AWaRe framework until 2030. PURPOSE: This study advances the field by shifting the focus from simply quantifying antibacterial consumption to a nuanced assessment of prescribing quality. Prudent and problematic prescribing behaviour is identified in past and projected trends, both for individual countries and European regions. Progress towards the EU's 'One Health' targets for the human sector is assessed and compared with total antibacterial consumption. METHODS: This study analyses data from 1997-2023 and predicts future proportions of AWaRe drug classes for European countries until 2030, using the ARIMA(1,0,1) model. The distribution and changes of the AWaRe groups were analysed to assess prescribing behaviour. Total antibacterial consumption is compared with findings of the 'One Health' targets, and bivariate correlation analyses are performed. RESULTS: Robust forecast models were developed for the AWaRe classification for 30 European countries. In 2030, the 'Access' group is projected</w:t>
      </w:r>
    </w:p>
    <w:p>
      <w:pPr/>
      <w:r>
        <w:rPr>
          <w:b/>
        </w:rPr>
        <w:t>POSSIBLE 2025:</w:t>
      </w:r>
      <w:r>
        <w:t xml:space="preserve"> Global burden trends and forecasts for MAFLD in adolescents and young adults from 1990 to 2021 — https://doi.org/10.1038/s41598-025-98489-9</w:t>
      </w:r>
    </w:p>
    <w:p>
      <w:pPr/>
      <w:r>
        <w:rPr>
          <w:b/>
        </w:rPr>
        <w:t>Shared claim-specific concepts:</w:t>
      </w:r>
      <w:r>
        <w:t xml:space="preserve"> forecasts, trends, life, regions; EU scope not established. This is a provisional connection, not an outcome finding.</w:t>
      </w:r>
    </w:p>
    <w:p>
      <w:pPr>
        <w:pStyle w:val="SourceNote"/>
      </w:pPr>
      <w:r>
        <w:rPr>
          <w:b/>
        </w:rPr>
        <w:t>Available abstract (not full text):</w:t>
      </w:r>
      <w:r>
        <w:t xml:space="preserve"> Metabolic-dysfunction associated fatty liver disease (MAFLD) is a widespread chronic liver condition that has been steadily increasing among adolescents and young adults in recent years, posing a major global public health concern. This study aims to conduct an in-depth analysis of the Global Burden of Disease (GBD) 2021 data on MAFLD, focusing on prevalence, incidence, and disability-adjusted life years (DALY) for individuals aged 15-39, spanning the period from 1990 to 2021. This research examines data from the GBD study covering 1990 to 2021 to assess the prevalence, incidence, and DALYs associated with of MAFLD in adolescents and young adults aged 15-39. The analysis is broken down by socioeconomic status, geographic regions, and specific countries. Advanced statistical methods, including the estimated annual percentage change (EAPC) and Bayesian age-period-cohort (BAPC) modeling, were used to deliver the most current and thorough epidemiological assessment of MAFLD in this demographic. In 2021, the estimated global cases of non-alcoholic fatty liver disease among adolescents and young adults reached approximately 423 million, representing a 75.31% increase from 1990. The age-standardized prevalence rate (ASPR) was 14,221.32 cases per 100,000 population, and the age-standardized incidence rate (ASIR) was 977.61 cases per 100,000 population in 2021. Between 1990 and 2021, th</w:t>
      </w:r>
    </w:p>
    <w:p>
      <w:pPr/>
      <w:r>
        <w:rPr>
          <w:b/>
        </w:rPr>
        <w:t>POSSIBLE 2025:</w:t>
      </w:r>
      <w:r>
        <w:t xml:space="preserve"> The Simons Observatory: science goals and forecasts for the enhanced Large Aperture Telescope — https://doi.org/10.1088/1475-7516/2025/08/034</w:t>
      </w:r>
    </w:p>
    <w:p>
      <w:pPr/>
      <w:r>
        <w:rPr>
          <w:b/>
        </w:rPr>
        <w:t>Shared claim-specific concepts:</w:t>
      </w:r>
      <w:r>
        <w:t xml:space="preserve"> forecasts, science, determine; EU scope not established. This is a provisional connection, not an outcome finding.</w:t>
      </w:r>
    </w:p>
    <w:p>
      <w:pPr>
        <w:pStyle w:val="SourceNote"/>
      </w:pPr>
      <w:r>
        <w:rPr>
          <w:b/>
        </w:rPr>
        <w:t>Available abstract (not full text):</w:t>
      </w:r>
      <w:r>
        <w:t xml:space="preserve"> Abstract We describe updated scientific goals for the wide-field, millimeter-wave survey that will be produced by the Simons Observatory (SO). Significant upgrades to the 6-meter SO Large Aperture Telescope (LAT) are expected to be complete by 2028, and will include a doubled mapping speed with 30,000 new detectors and an automated data reduction pipeline. In addition, a new photovoltaic array will supply most of the observatory's power. The LAT survey will cover about 60% of the sky at a regular observing cadence, with five times the angular resolution and ten times the map depth of the Planck satellite. The science goals are to: (1) determine the physical conditions in the early universe and constrain the existence of new light particles; (2) measure the integrated distribution of mass, electron pressure, and electron momentum in the late-time universe, and, in combination with optical surveys, determine the neutrino mass and the effects of dark energy via tomographic measurements of the growth of structure at redshifts z ≲ 3; (3) measure the distribution of electron density and pressure around galaxy groups and clusters, and calibrate the effects of energy input from galaxy formation on the surrounding environment; (4) produce a sample of more than 30,000 galaxy clusters, and more than 100,000 extragalactic millimeter sources, including regularly sampled AGN light-curves, to</w:t>
      </w:r>
    </w:p>
    <w:p>
      <w:pPr/>
      <w:r>
        <w:rPr>
          <w:b/>
        </w:rPr>
        <w:t>POSSIBLE 2025:</w:t>
      </w:r>
      <w:r>
        <w:t xml:space="preserve"> Energy Demand Forecasting and Policy Development in Turkey — https://doi.org/10.3390/en18133301</w:t>
      </w:r>
    </w:p>
    <w:p>
      <w:pPr/>
      <w:r>
        <w:rPr>
          <w:b/>
        </w:rPr>
        <w:t>Shared claim-specific concepts:</w:t>
      </w:r>
      <w:r>
        <w:t xml:space="preserve"> forecasts, trends; EU scope not established. This is a provisional connection, not an outcome finding.</w:t>
      </w:r>
    </w:p>
    <w:p>
      <w:pPr>
        <w:pStyle w:val="SourceNote"/>
      </w:pPr>
      <w:r>
        <w:rPr>
          <w:b/>
        </w:rPr>
        <w:t>Available abstract (not full text):</w:t>
      </w:r>
      <w:r>
        <w:t xml:space="preserve"> As Turkey’s energy demand surges due to industrialization, population growth, and economic development, precise forecasting of electricity demand has become crucial for ensuring energy security and facilitating sustainable planning. This study undertakes an analysis of Turkey’s current energy landscape and develops long-term electricity demand forecasts utilizing a diverse array of statistical and machine learning models, including linear regression, polynomial regression, and artificial neural networks (ANNs). By incorporating economic indicators, demographic trends, and historical consumption data, this research projects Turkey’s electricity demand up to 2045. Among the various influencing factors, industrial production stands out as the most significant driver. The findings offer strategic insights into infrastructure investments, the integration of renewable energy, and policies aimed at enhancing efficiency. This research presents a data-driven, policy-oriented framework to assist decision-makers in reducing import dependence while steering Turkey towards a sustainable energy transition.</w:t>
      </w:r>
    </w:p>
    <w:p>
      <w:pPr>
        <w:pStyle w:val="Heading2"/>
      </w:pPr>
      <w:r>
        <w:t>716. Alternative scenarios investigation of 1990..2016 CO 2 emission from Public Electricity and Heat Production sectors in Europe</w:t>
      </w:r>
    </w:p>
    <w:p>
      <w:pPr>
        <w:pStyle w:val="SourceNote"/>
      </w:pPr>
      <w:r>
        <w:rPr>
          <w:b/>
        </w:rPr>
        <w:t>Original source (2019):</w:t>
      </w:r>
      <w:r>
        <w:t xml:space="preserve"> https://doi.org/10.1051/e3sconf/201911600053</w:t>
      </w:r>
    </w:p>
    <w:p>
      <w:pPr/>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pPr/>
      <w:r>
        <w:rPr>
          <w:b/>
        </w:rPr>
        <w:t>POSSIBLE 2026:</w:t>
      </w:r>
      <w:r>
        <w:t xml:space="preserve"> Emission Scenarios for Europe under the CATALYSE Project: Beyond the Green Deal — https://openalex.org/W7125621332</w:t>
      </w:r>
    </w:p>
    <w:p>
      <w:pPr/>
      <w:r>
        <w:rPr>
          <w:b/>
        </w:rPr>
        <w:t>Shared claim-specific concepts:</w:t>
      </w:r>
      <w:r>
        <w:t xml:space="preserve"> emission, pathways, factors, indicating, sectors;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Exploring the Interrelationships Among Supply Chain Emissions, Financial Performance, Market Value, and Board Sustainability: An Exploration of the European Landscape — https://doi.org/10.1002/csr.70398</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ABSTRACT National and supranational institutions are establishing emission trading systems and control schemes in an attempt to manage stakeholders' willingness to engage with regulatory systems and reduce greenhouse gas emissions (GHG). Nonetheless, despite the national and supranational focus on carbon neutrality, little research has been centered around the interrelationships impacting organizations' scope 2 and 3 GHG emissions. Specifically, scholars underscore the need to test the link between scope 2 and 3 emissions and organizations' financial performance, market value, and governance bodies. Henceforth, this article seeks to examine the interrelationships between organizations' financial performance, market value, board sustainability, and their scope 2 and 3 GHG emissions. This manuscript is informed by a multidimensional socio‐economic‐based theoretical framework. This research uses a panel dataset composed of 437 publicly listed companies whose headquarters are located in Europe. The sample focuses on European companies given its agenda to become carbon neutral by 2050. The obtained findings suggest a positive association between organizations' supply chain emissions and their market value. Moreover, it is possible to observe a positive association between organizations' supply chain GHG and their financial performance. Finally, the authors observe a positive associa</w:t>
      </w:r>
    </w:p>
    <w:p>
      <w:pPr/>
      <w:r>
        <w:rPr>
          <w:b/>
        </w:rPr>
        <w:t>POSSIBLE 2026:</w:t>
      </w:r>
      <w:r>
        <w:t xml:space="preserve"> An Overview of Advancements in Basalt Fibers and Their Composites — https://doi.org/10.1021/bk-2026-1524.ch001</w:t>
      </w:r>
    </w:p>
    <w:p>
      <w:pPr/>
      <w:r>
        <w:rPr>
          <w:b/>
        </w:rPr>
        <w:t>Shared claim-specific concepts:</w:t>
      </w:r>
      <w:r>
        <w:t xml:space="preserve"> overview, alternatives, pathways; EU scope not established. This is a provisional connection, not an outcome finding.</w:t>
      </w:r>
    </w:p>
    <w:p>
      <w:pPr>
        <w:pStyle w:val="SourceNote"/>
      </w:pPr>
      <w:r>
        <w:rPr>
          <w:b/>
        </w:rPr>
        <w:t>Available abstract (not full text):</w:t>
      </w:r>
      <w:r>
        <w:t xml:space="preserve"> Basalt fiber composites emerge as sustainable alternatives to conventional reinforcements such as glass and carbon fibers.Produced from abundant volcanic rock through a single-step melt-spinning process without the use of chemical additives, they offer reduced energy demand, greenhouse gas emissions, and production waste.Life cycle assessments consistently report substantially lower carbon footprints for basalt fibers compared with E-glass and carbon fibers.Their mineralogical composition, dominated by olivine, pyroxene/clinopyroxene, and plagioclase, confers high mechanical strength and thermal stability.Basalt fibers are also non-toxic, inert, and noncombustible, making them suitable for applications in infrastructure, potable water systems, and fire-resistant products.Research trends emphasize mechanical characterization, processing optimization, multifunctional performance, and sustainability, with emerging directions in biobased resin systems, smart composites, and circular-economy integration.Collaboration among industry, academia, and international forums is accelerating innovation.This chapter provides a comprehensive overview of basalt fiber composites, covering their geological origins, composition, and manufacturing methods, as well as their mechanical, thermal, and environmental performance, industrial applications, and innovation pathways aligned with global sustai</w:t>
      </w:r>
    </w:p>
    <w:p>
      <w:pPr/>
      <w:r>
        <w:rPr>
          <w:b/>
        </w:rPr>
        <w:t>POSSIBLE 2025:</w:t>
      </w:r>
      <w:r>
        <w:t xml:space="preserve"> A graphical analysis of the intellectual structure of The Australian Journal of Indigenous Education — https://doi.org/10.55146/ajie.v54i2.2031</w:t>
      </w:r>
    </w:p>
    <w:p>
      <w:pPr/>
      <w:r>
        <w:rPr>
          <w:b/>
        </w:rPr>
        <w:t>Shared claim-specific concepts:</w:t>
      </w:r>
      <w:r>
        <w:t xml:space="preserve"> graphical, prepared, national; EU scope not established. This is a provisional connection, not an outcome finding.</w:t>
      </w:r>
    </w:p>
    <w:p>
      <w:pPr>
        <w:pStyle w:val="SourceNote"/>
      </w:pPr>
      <w:r>
        <w:rPr>
          <w:b/>
        </w:rPr>
        <w:t>Available abstract (not full text):</w:t>
      </w:r>
      <w:r>
        <w:t xml:space="preserve">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pPr/>
      <w:r>
        <w:rPr>
          <w:b/>
        </w:rPr>
        <w:t>POSSIBLE 2025:</w:t>
      </w:r>
      <w:r>
        <w:t xml:space="preserve"> Methane Emissions from Mining in the European Union — https://doi.org/10.3390/en18040791</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2025:</w:t>
      </w:r>
      <w:r>
        <w:t xml:space="preserve"> Bayesian graphical modeling and its application to urban mental health — https://openalex.org/W7132088960</w:t>
      </w:r>
    </w:p>
    <w:p>
      <w:pPr/>
      <w:r>
        <w:rPr>
          <w:b/>
        </w:rPr>
        <w:t>Shared claim-specific concepts:</w:t>
      </w:r>
      <w:r>
        <w:t xml:space="preserve"> graphical, alternatives, factors; EU scope not established. This is a provisional connection, not an outcome finding.</w:t>
      </w:r>
    </w:p>
    <w:p>
      <w:pPr>
        <w:pStyle w:val="SourceNote"/>
      </w:pPr>
      <w:r>
        <w:rPr>
          <w:b/>
        </w:rPr>
        <w:t>Available abstract (not full text):</w:t>
      </w:r>
      <w:r>
        <w:t xml:space="preserve"> Mental health problems, such as depression, alcohol use disorder, and anxiety, are increasingly prevalent and contribute substantially to the global disease burden. With over 50% of the world's population living in cities, expected to rise to 70% by 2050, researchers are exploring the unique urban factors contributing to mental health issues. The urban environment impacts mental health through several mechanisms, such as differing sociodemographics, limited access to resources, and lack of green spaces. The network approach to psychology has been proposed to understand these complexities; it views mental disorders as arising from a set of interconnected affective, cognitive, and behavioral variables, offering a new theoretical framework for their study. However, this approach requires estimating many parameters, casting doubt on whether common sample sizes are sufficient to derive robust inferences from the networks. Bayesian graphical modeling has been proposed as the alternative to the common, frequentist network estimation and can quantify the statistical evidence supporting one's networks. This dissertation addresses the questions: How can we optimally assess and model the interplay of variables influencing urban mental health? Additionally, what methodological advancements are essential for an accurate and comprehensive evaluation of these factors? The dissertation invites</w:t>
      </w:r>
    </w:p>
    <w:p>
      <w:pPr/>
      <w:r>
        <w:rPr>
          <w:b/>
        </w:rPr>
        <w:t>POSSIBLE 2025:</w:t>
      </w:r>
      <w:r>
        <w:t xml:space="preserve"> GRAPHICAL MODELLING FOR FUZZY ANALYTICAL HIERARCHY PROCESS BASED COMPLEXITY OF INVESTMENT CASTING — https://doi.org/10.12732/ijam.v38i8s.616</w:t>
      </w:r>
    </w:p>
    <w:p>
      <w:pPr/>
      <w:r>
        <w:rPr>
          <w:b/>
        </w:rPr>
        <w:t>Shared claim-specific concepts:</w:t>
      </w:r>
      <w:r>
        <w:t xml:space="preserve"> graphical, factors; EU scope not established. This is a provisional connection, not an outcome finding.</w:t>
      </w:r>
    </w:p>
    <w:p>
      <w:pPr>
        <w:pStyle w:val="SourceNote"/>
      </w:pPr>
      <w:r>
        <w:rPr>
          <w:b/>
        </w:rPr>
        <w:t>Available abstract (not full text):</w:t>
      </w:r>
      <w:r>
        <w:t xml:space="preserve"> The decision to produce any industrial component through the investment casting process primarily depends on the manufacturing complexity of that specific component. Three factors primarily influence the complexity of the industrial investment casting: geometry, desired features, and manufacturability. These three factors are additionally influenced by 19 elements, 52 attributes, and 212 meta-attributes. The complexity value based on the relative weightage of these variables is computed using one of the widely accepted multi-criteria decision-making methods, such as the fuzzy analytical hierarchy process. The cumulative complexity value assists in identifying the impact of any specific variable as well as the dependency of the variable on the others. However, it can be challenging to represent the complexity value in a way that allows for straightforward interpretation. challenging. This work proposes a method for describing the complexity index in graph-based systems by utilizing an adaptive consensus mechanism derived from graph theory and graph coloring. The suggested method ensures efficient node representations and is sufficiently resilient to ascertain the maximum and least complexity values of specific parameters on the graph. Proper coloring minimizes collection conflict and enhances node distinctiveness, facilitating the easy identification of essential network compone</w:t>
      </w:r>
    </w:p>
    <w:p>
      <w:pPr/>
      <w:r>
        <w:rPr>
          <w:b/>
        </w:rPr>
        <w:t>POSSIBLE 2025:</w:t>
      </w:r>
      <w:r>
        <w:t xml:space="preserve"> Optimizing Industrial Heat Electrification: Balancing Cost and Emissions — https://doi.org/10.69997/sct.113100</w:t>
      </w:r>
    </w:p>
    <w:p>
      <w:pPr/>
      <w:r>
        <w:rPr>
          <w:b/>
        </w:rPr>
        <w:t>Shared claim-specific concepts:</w:t>
      </w:r>
      <w:r>
        <w:t xml:space="preserve"> graphical, pathway; EU scope not established. This is a provisional connection, not an outcome finding.</w:t>
      </w:r>
    </w:p>
    <w:p>
      <w:pPr>
        <w:pStyle w:val="SourceNote"/>
      </w:pPr>
      <w:r>
        <w:rPr>
          <w:b/>
        </w:rPr>
        <w:t>Available abstract (not full text):</w:t>
      </w:r>
      <w:r>
        <w:t xml:space="preserve"> The electrification of industrial heat is a promising pathway for decarbonization, yet challenges persist in balancing capital costs, operating costs, and emissions reduction. While previous studies have assessed electrification through heat integration and graphical methods, these approaches do not inherently determine the optimal hybrid technology configuration. This study introduces an optimization-based framework that systematically evaluates the cost-optimal allocation of electrified and conventional heating technologies. Formulated as a Mixed-Integer Linear Programming (MILP) model and implemented in Gurobi, the framework minimizes Total Annualized Cost (TAC) while satisfying heat demand, technology constraints, and emissions targets. Applied to an industrial case study, the model compares three scenarios: a fully conventional system relying on steam boilers and fired heaters, a fully electrified system utilizing high-temperature heat pumps, electrode boilers, and electric heaters, and an optimized hybrid system that strategically integrates both conventional and electrified technologies. The results demonstrate that the optimized hybrid system achieves a 75% electrification rate, reducing TAC by 7% compared to previous graphical electrification assessments. The model selects a combination of a high-temperature heat pump and a steam boiler, highlighting the importance of </w:t>
      </w:r>
    </w:p>
    <w:p>
      <w:pPr/>
      <w:r>
        <w:rPr>
          <w:b/>
        </w:rPr>
        <w:t>POSSIBLE 2024:</w:t>
      </w:r>
      <w:r>
        <w:t xml:space="preserve"> Evaluation of Urban Vehicle Emissions Using Traffic and Emission Models - An Overview — https://doi.org/10.21608/eijest.2023.199836.1219</w:t>
      </w:r>
    </w:p>
    <w:p>
      <w:pPr/>
      <w:r>
        <w:rPr>
          <w:b/>
        </w:rPr>
        <w:t>Shared claim-specific concepts:</w:t>
      </w:r>
      <w:r>
        <w:t xml:space="preserve"> overview, alternatives, emission; EU scope not established. This is a provisional connection, not an outcome finding.</w:t>
      </w:r>
    </w:p>
    <w:p>
      <w:pPr>
        <w:pStyle w:val="SourceNote"/>
      </w:pPr>
      <w:r>
        <w:rPr>
          <w:b/>
        </w:rPr>
        <w:t>Available abstract (not full text):</w:t>
      </w:r>
      <w:r>
        <w:t xml:space="preserve"> Due to the country's rapidly growing population and economy, transportation has become an essential part of Egyptian life. Air quality has decreased as a direct result of the rapid increase in urban areas' vehicle use due to human activities. In Egypt, almost 48.1% of all trips are taken by private automobiles, whereas public transportation is utilized only sometimes. Heavy congestion is the direct result of people's reliance on personal automobiles. More than 98% of the world's population in 2019 was located in regions where air quality did not meet World Health Organization (WHO) criteria. About 32% of Egypt's 2019 emissions came from the transportation sector. Different aspects that define the causes and possible alternatives to the air pollution problem at intersections are addressed in this research. Three intersections in Zagazig are the focus of this project, which looks into ways to reduce emissions from moving cars. PTV VISSIM generates a realistic peak-hour traffic simulation of the current traffic situation. Emissions are calculated using the data collected from the vehicles in the traffic simulation as input to the emission modelling software COPERT.</w:t>
      </w:r>
    </w:p>
    <w:p>
      <w:pPr/>
      <w:r>
        <w:rPr>
          <w:b/>
        </w:rPr>
        <w:t>POSSIBLE 2024:</w:t>
      </w:r>
      <w:r>
        <w:t xml:space="preserve"> Common agronomic adaptation strategies to climate change may increase soil greenhouse gas emission in Northern Europe — https://doi.org/10.1016/j.agrformet.2024.109966</w:t>
      </w:r>
    </w:p>
    <w:p>
      <w:pPr/>
      <w:r>
        <w:rPr>
          <w:b/>
        </w:rPr>
        <w:t>Shared claim-specific concepts:</w:t>
      </w:r>
      <w:r>
        <w:t xml:space="preserve"> emission, pathways; EU scope visible. This is a provisional connection, not an outcome finding.</w:t>
      </w:r>
    </w:p>
    <w:p>
      <w:pPr>
        <w:pStyle w:val="SourceNote"/>
      </w:pPr>
      <w:r>
        <w:rPr>
          <w:b/>
        </w:rPr>
        <w:t>Available abstract (not full text):</w:t>
      </w:r>
      <w:r>
        <w:t xml:space="preserve"> Climate change poses a significant threat to agriculture, highlighting the need for adaptation strategies to reduce its impacts. Agronomic adaptation strategies, such as changes in planting dates, fertilization, and irrigation, might sustain crop yield. However, their impact on soil greenhouse gas (GHG) emission is unknown under future climate scenarios. Using the LandscapeDNDC model, we assessed the effect of agronomic adaptation strategies (early sowing, increased fertilization dose, and increased irrigation amount) on soil GHG emission, yield, and yield-scaled GHG emission. A diversified crop rotation (potato – winter wheat – spring barley – faba bean) of a long-term experiment in Denmark was used for model validation. The adaptation practices to climate change were implemented for two representative concentration pathways (RCPs; 4.5 and 8.5) and five coupled global circulation and regional climate models. The adaptation scenarios were contrasted against a baseline scenario under current management practices. Soil-related variables showed better model fit (refined index of agreement ≥ 0.38) and lower errors (mean absolute error ≤ 8.18) than crop-based outputs for model validation. A total yield of ∼29 (± 3) t DW ha−1, and soil GHG emission of ∼3.02 (± 1.39) t CO2e ha−1 (RCP8.5) were obtained for the crop rotation system under the baseline for 2071–2100. Early sowing and its </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emission;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2024:</w:t>
      </w:r>
      <w:r>
        <w:t xml:space="preserve"> Alternative protein sources in the European diets – integrating health risk‐benefit and sustainability ‘ALTERNATIVA’ — https://doi.org/10.2903/sp.efsa.2024.en-9062</w:t>
      </w:r>
    </w:p>
    <w:p>
      <w:pPr/>
      <w:r>
        <w:rPr>
          <w:b/>
        </w:rPr>
        <w:t>Shared claim-specific concepts:</w:t>
      </w:r>
      <w:r>
        <w:t xml:space="preserve"> real, alternatives; EU scope visible. This is a provisional connection, not an outcome finding.</w:t>
      </w:r>
    </w:p>
    <w:p>
      <w:pPr>
        <w:pStyle w:val="SourceNote"/>
      </w:pPr>
      <w:r>
        <w:rPr>
          <w:b/>
        </w:rPr>
        <w:t>Available abstract (not full text):</w:t>
      </w:r>
      <w:r>
        <w:t xml:space="preserve"> Abstract The pressure global food systems exert on the environment has amplified over time, following the growth of the human population, changes in the food consumption patterns and intensification of the production systems. Without changes in food systems, an overpressure on agriculture and food production will be unavoidable, with inevitable consequences for the environment and human health. Animal‐derived protein production like meat and milk is among the most important drivers of this impact. Under this context, the evaluation of the health and sustainability impacts of alternatives for animal‐based food proteins are central aspects of this discussion. Health risk‐benefit assessment (RBA) of foods estimates the overall human health impact following exposure to a particular food or food component, integrating risks and benefits in comparable measures. Methods that simultaneously consider the environmental impact of the food production systems were needed to perform a sustainable holistic assessment. “ALTERNATIVA | Alternative protein sources in the European diets – integrating health risk‐benefit and sustainability” aimed to develop a holistic approach to assess the impact of alternative protein sources, integrating health and sustainability assessment. This project, considering five complementary work packages, developed activities to enhance the capacity‐building among me</w:t>
      </w:r>
    </w:p>
    <w:p>
      <w:pPr>
        <w:pStyle w:val="Heading2"/>
      </w:pPr>
      <w:r>
        <w:t>717. Demographic change and the European income distribution</w:t>
      </w:r>
    </w:p>
    <w:p>
      <w:pPr>
        <w:pStyle w:val="SourceNote"/>
      </w:pPr>
      <w:r>
        <w:rPr>
          <w:b/>
        </w:rPr>
        <w:t>Original source (2019):</w:t>
      </w:r>
      <w:r>
        <w:t xml:space="preserve"> https://doi.org/10.1007/s10888-019-09411-z</w:t>
      </w:r>
    </w:p>
    <w:p>
      <w:pPr/>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POSSIBLE 2026:</w:t>
      </w:r>
      <w:r>
        <w:t xml:space="preserve"> The effect of an environmental change intervention on the dietary habits of older adults. European PLANEAT project — https://doi.org/10.26258/heal.hua.7744</w:t>
      </w:r>
    </w:p>
    <w:p>
      <w:pPr/>
      <w:r>
        <w:rPr>
          <w:b/>
        </w:rPr>
        <w:t>Shared claim-specific concepts:</w:t>
      </w:r>
      <w:r>
        <w:t xml:space="preserve"> effect, population, ageing, increasing, educational, income; EU scope visible. This is a provisional connection, not an outcome finding.</w:t>
      </w:r>
    </w:p>
    <w:p>
      <w:pPr>
        <w:pStyle w:val="SourceNote"/>
      </w:pPr>
      <w:r>
        <w:rPr>
          <w:b/>
        </w:rPr>
        <w:t>Available abstract (not full text):</w:t>
      </w:r>
      <w:r>
        <w:t xml:space="preserve"> Population ageing constitutes one of the most significant challenges of recent decades, rendering the promotion of healthy ageing through nutrition a subject of considerable scientific interest. The restructuring of the immediate food environment represents a research area of growing interest. Ηowever its effectiveness in older populations remains insufficiently documented. The present study investigates the effect of an environmental restructuring intervention on the dietary habits of older adults, within the framework of the European PLAN'EAT project, focusing specifically on the consumption of foods high in fat, sugar, and salt (HFSS foods). The study was designed as a randomised controlled trial within the Greek experiential workshop (Living Lab), with participants allocated to an intervention group and a control group. The intervention group was asked to implement strategies for restructuring the food environment of their household. The consumption frequency of sixteen selected foods and food groups was assessed through a Food Frequency Questionnaire (FFQ) at three time points (baseline, T1, T2), while adherence to the protocol and perceived usefulness were assessed through an additional questionnaire administered exclusively to the intervention group. The sample consisted of 86 individuals aged over 60 years (42 in the intervention group, 44 in the control group), with a </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population, increasing, potential, negative, likely;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key, systems;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FINANCIAL LITERACY AND INVESTMENT BEHAVIOUR: KEY DETERMINANTS OF LIVING STANDARDS IN EASTERN EUROPE — https://doi.org/10.55654/jfs.2026.11.20.09</w:t>
      </w:r>
    </w:p>
    <w:p>
      <w:pPr/>
      <w:r>
        <w:rPr>
          <w:b/>
        </w:rPr>
        <w:t>Shared claim-specific concepts:</w:t>
      </w:r>
      <w:r>
        <w:t xml:space="preserve"> effect, key, income, potential; EU scope visible. This is a provisional connection, not an outcome finding.</w:t>
      </w:r>
    </w:p>
    <w:p>
      <w:pPr>
        <w:pStyle w:val="SourceNote"/>
      </w:pPr>
      <w:r>
        <w:rPr>
          <w:b/>
        </w:rPr>
        <w:t>Available abstract (not full text):</w:t>
      </w:r>
      <w:r>
        <w:t xml:space="preserve"> The article investigates the relationship between financial literacy, investment behaviour and living standards in selected Eastern European member states of the European Union. The analysis combines a cross-country descriptive comparative approach with econometric techniques, including Ordinary Least Squares (OLS) regressions and an Instrumental Variables/ Two-Stage Least Squares (IV/2SLS) framework, in order to address the potential endogeneity between investment participation and income. Financial literacy is measured using a composite indicator derived from Eurobarometer 525 (2023), based on the proportion of respondents achieving a high financial literacy score. Investment behaviour is captured through investment participation, proxied by the share of equity and investment fund holdings in the household financial assets. Living standards are assessed using three indicators: median disposable income adjusted for purchasing power parity (PPP), income inequality measured by the Gini coefficient and the risk-of-poverty rate over the period 2010-2024. The econometric results reveal a positive and statistically significant association between financial literacy and key welfare indicators, while the direct effect of investment participation appears weaker in baseline specifications. In the instrumental variables framework, where investment participation is instrumented to mitigat</w:t>
      </w:r>
    </w:p>
    <w:p>
      <w:pPr/>
      <w:r>
        <w:rPr>
          <w:b/>
        </w:rPr>
        <w:t>POSSIBLE 2026:</w:t>
      </w:r>
      <w:r>
        <w:t xml:space="preserve"> Surveillance of Bordetella pertussis in Europe: bacterial changes and population immunity — https://openalex.org/W7220785808</w:t>
      </w:r>
    </w:p>
    <w:p>
      <w:pPr/>
      <w:r>
        <w:rPr>
          <w:b/>
        </w:rPr>
        <w:t>Shared claim-specific concepts:</w:t>
      </w:r>
      <w:r>
        <w:t xml:space="preserve"> key, population, increasing, potential; EU scope visible. This is a provisional connection, not an outcome finding.</w:t>
      </w:r>
    </w:p>
    <w:p>
      <w:pPr>
        <w:pStyle w:val="SourceNote"/>
      </w:pPr>
      <w:r>
        <w:rPr>
          <w:b/>
        </w:rPr>
        <w:t>Available abstract (not full text):</w:t>
      </w:r>
      <w:r>
        <w:t xml:space="preserve"> Pertussis, caused by the bacterium Bordetella pertussis, remains a significant public health concern despite long-standing vaccination programs. Nationwide epidemics continue to occur worldwide. Several factors, including improved diagnostic methods, evolutionary changes in circulating B. pertussis strains, and waning immunity after vaccination may affect this resurgence. Also, the true burden in populations vaccinated with whole-cell (WCV) versus acellular (ACV) vaccines has not been clearly documented. Moreover, the epidemiological role of middle-aged adults needs closer examination, as they often serve as a reservoir for the bacteria, and are a possible source of transmission to vulnerable newborns. Furthermore, methods used to study serological surveillance, and expression of bacterial antigens vary among European countries. With continuously evolving strains, a deeper understanding of the potential risks from many perspectives is essential. This thesis investigated evolution of key pertussis vaccine antigens, pertactin (PRN), pertussis toxin, filamentous haemagglutinin, and fimbriae, with newly developed immunoassay, before and after the introduction of ACVs. Further, it aims to improve and harmonize serological diagnostic methods across European national reference laboratories (NRL), and to investigate seroepidemiological trends in both WCV and acellular ACV vaccinated po</w:t>
      </w:r>
    </w:p>
    <w:p>
      <w:pPr/>
      <w:r>
        <w:rPr>
          <w:b/>
        </w:rPr>
        <w:t>POSSIBLE 2026:</w:t>
      </w:r>
      <w:r>
        <w:t xml:space="preserve"> Fiscal drag in Europe: Key facts — https://openalex.org/W7142563241</w:t>
      </w:r>
    </w:p>
    <w:p>
      <w:pPr/>
      <w:r>
        <w:rPr>
          <w:b/>
        </w:rPr>
        <w:t>Shared claim-specific concepts:</w:t>
      </w:r>
      <w:r>
        <w:t xml:space="preserve"> key, increasing, income, distribution, tax-benefit, systems; EU scope visible. This is a provisional connection, not an outcome finding.</w:t>
      </w:r>
    </w:p>
    <w:p>
      <w:pPr>
        <w:pStyle w:val="SourceNote"/>
      </w:pPr>
      <w:r>
        <w:rPr>
          <w:b/>
        </w:rPr>
        <w:t>Available abstract (not full text):</w:t>
      </w:r>
      <w:r>
        <w:t xml:space="preserve"> High and persistent inflation, observed in Europe in the wake of the COVID-19 pandemic and the energy crisis triggered by Russiaʼs war of aggression against Ukraine, can substantially shift tax burdens through fiscal drag - the tendency for rising nominal incomes to push taxpayers into higher brackets or reduce the real value of credits and deductions when these parameters are not fully indexed to inflation. Because most European personal income tax systems are progressive and defined in nominal terms, even unchanged real earnings can lead to higher effective tax rates, increasing revenues while eroding householdsʼ purchasing power and altering income distribution. In a recent paper (García-Miralles et al. 2026), we present a comprehensive assessment of fiscal drag across Europe, covering 21 countries, including all euro area members and Hungary. Using harmonized household survey data in combination with EUROMOD (Sutherland and Figari 2013), the tax-benefit microsimulation model for the EU, we provide new evidence on both the built-in scope for fiscal drag within personal income tax systems and the extent to which this phenomenon actually emerged between 2019 and 2023. This policy brief summarizes the key findings.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potential, developments;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Assessing adaptive genetic variation for conservation and management of the European grayling (Thymallus thymallus) — https://doi.org/10.83056/mmu.32478942</w:t>
      </w:r>
    </w:p>
    <w:p>
      <w:pPr/>
      <w:r>
        <w:rPr>
          <w:b/>
        </w:rPr>
        <w:t>Shared claim-specific concepts:</w:t>
      </w:r>
      <w:r>
        <w:t xml:space="preserve"> effect, distribution; EU scope visible. This is a provisional connection, not an outcome finding.</w:t>
      </w:r>
    </w:p>
    <w:p>
      <w:pPr>
        <w:pStyle w:val="SourceNote"/>
      </w:pPr>
      <w:r>
        <w:rPr>
          <w:b/>
        </w:rPr>
        <w:t>Available abstract (not full text):</w:t>
      </w:r>
      <w:r>
        <w:t xml:space="preserve"> In this PhD, functional genetic variation of European grayling (Thymallus thymallus) is assessed to inform conservation and management of the species. This study is the first to characterize immune variation at the Major Histocompatibility complex (MHC) in grayling. The MHC is a marker of high ecological relevance, because of the strong association between immunity and fitness. Taking advantage of advances in sequencing technology, an analytical pipeline optimized for high-throughput, efficient and accurate genotyping of multi-gene families in non-model species is presented. Immune genetic variation is compared to neutral marker data. Results confirm the hypothesis that neutral marker variation does not predict immune genetic variation. Further, the possible effect of supplementing wild populations with hatchery-reared fish on immune genetic variation is evaluated. Significantly lower estimates of heterozygosity were found in stocked than purely native populations. Lower differentiation at immune genes than at neutral markers are indicative of the effects of balancing selection acting upon the MHC, within purely native, but not stocked populations. Furthermore species distribution modelling is used to identify environmental parameters shaping the distribution of grayling. To evaluate risks imposed by climate change, the sensitivity of grayling to climatic variables and range ch</w:t>
      </w:r>
    </w:p>
    <w:p>
      <w:pPr/>
      <w:r>
        <w:rPr>
          <w:b/>
        </w:rPr>
        <w:t>POSSIBLE 2026:</w:t>
      </w:r>
      <w:r>
        <w:t xml:space="preserve"> Assessing direct effects of insect change on insectivore populations in the United Kingdom — https://doi.org/10.1007/s10531-026-03329-5</w:t>
      </w:r>
    </w:p>
    <w:p>
      <w:pPr/>
      <w:r>
        <w:rPr>
          <w:b/>
        </w:rPr>
        <w:t>Shared claim-specific concepts:</w:t>
      </w:r>
      <w:r>
        <w:t xml:space="preserve"> effect, key, population, potential; EU scope not established. This is a provisional connection, not an outcome finding.</w:t>
      </w:r>
    </w:p>
    <w:p>
      <w:pPr>
        <w:pStyle w:val="SourceNote"/>
      </w:pPr>
      <w:r>
        <w:rPr>
          <w:b/>
        </w:rPr>
        <w:t>Available abstract (not full text):</w:t>
      </w:r>
      <w:r>
        <w:t xml:space="preserve"> Declines in insect abundance are a cause for concern, with potential downstream impacts on ecosystem function. Insects are key food resources for insectivorous vertebrates, with evidence that reductions in prey availability may influence population dynamics. Yet quantifying direct effects at large spatial scales is difficult, both due to data limitations and because correlations may reflect shared responses to environmental change rather than trophic links. We assess the role of insect abundance in the dynamics of 10 insectivores (five birds, five bats) in the United Kingdom by pairing insect and vertebrate abundance data at three spatial resolutions (100, 50, 10 km) from multiple citizen science programmes. To address the challenges of inference and combining heterogeneous data, we adopt a multiple-specification approach spanning: (1) association, (2) prediction, and (3) causal inference. We found evidence of overall declines for all bird species evaluated and for most indices of insect abundance, though none of the bat species tested showed consistent declines. Despite indices of both insect and bird abundance declining, declines did not always co-occur spatially. We also detected only moderate evidence of links between insect change and insectivore population change, notably blue tit and great tit with moth abundance, and grey partridge with Diptera abundance. Across taxa, s</w:t>
      </w:r>
    </w:p>
    <w:p>
      <w:pPr/>
      <w:r>
        <w:rPr>
          <w:b/>
        </w:rPr>
        <w:t>POSSIBLE 2026:</w:t>
      </w:r>
      <w:r>
        <w:t xml:space="preserve"> Environmental drivers of litter- and soil-dwelling springtail communities across European forests, assessed by morphotaxonomy and soil DNA metabarcoding — https://doi.org/10.1016/j.apsoil.2026.107377</w:t>
      </w:r>
    </w:p>
    <w:p>
      <w:pPr/>
      <w:r>
        <w:rPr>
          <w:b/>
        </w:rPr>
        <w:t>Shared claim-specific concepts:</w:t>
      </w:r>
      <w:r>
        <w:t xml:space="preserve"> effect, key, negative; EU scope visible. This is a provisional connection, not an outcome finding.</w:t>
      </w:r>
    </w:p>
    <w:p>
      <w:pPr>
        <w:pStyle w:val="SourceNote"/>
      </w:pPr>
      <w:r>
        <w:rPr>
          <w:b/>
        </w:rPr>
        <w:t>Available abstract (not full text):</w:t>
      </w:r>
      <w:r>
        <w:t xml:space="preserve"> Springtails are abundant in forest litter and soils, where they play a crucial role in the transformation and decomposition of organic matter. However, most data on springtail communities originates from studies at the local and regional levels, while larger-scale studies are lacking. To address this gap, we applied standardized methods to investigate springtail communities in forests from a Europe-wide study, covering a pedo-climatic gradient across 25 sites in 17 countries. We evaluated which environmental factors influence springtail density and alpha- and beta-diversity. We sampled forest litter and underlying soil separately and applied both morphological identification and soil DNA metabarcoding. On average, we recorded approximately 2500 individuals m −2 for litter-dwelling and 10,500 individuals m −2 for soil-dwelling springtails, with the highest values recorded in the Arctic and Boreal regions and the lowest in the Mediterranean region. Species richness averaged 5.2 in the litter and 7.0 in the soil applying morphotaxonomy, whereas using metabarcoding indicated a higher richness of 10.2 in the soil. Using morphotaxonomy, the key factor influencing density and alpha-diversity of litter-dwelling springtails positively was litter dry mass, whereas mean annual temperature had a negative effect, and the key factors positively influencing the density of soil-dwelling spring</w:t>
      </w:r>
    </w:p>
    <w:p>
      <w:pPr/>
      <w:r>
        <w:rPr>
          <w:b/>
        </w:rPr>
        <w:t>POSSIBLE 2025:</w:t>
      </w:r>
      <w:r>
        <w:t xml:space="preserve"> Amplified local cooling effect of forestation in warming Europe — https://doi.org/10.1038/s41467-025-63556-2</w:t>
      </w:r>
    </w:p>
    <w:p>
      <w:pPr/>
      <w:r>
        <w:rPr>
          <w:b/>
        </w:rPr>
        <w:t>Shared claim-specific concepts:</w:t>
      </w:r>
      <w:r>
        <w:t xml:space="preserve"> effect, negative; EU scope visible. This is a provisional connection, not an outcome finding.</w:t>
      </w:r>
    </w:p>
    <w:p>
      <w:pPr>
        <w:pStyle w:val="SourceNote"/>
      </w:pPr>
      <w:r>
        <w:rPr>
          <w:b/>
        </w:rPr>
        <w:t>Available abstract (not full text):</w:t>
      </w:r>
      <w:r>
        <w:t xml:space="preserve">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pPr/>
      <w:r>
        <w:rPr>
          <w:b/>
        </w:rPr>
        <w:t>POSSIBLE 2025:</w:t>
      </w:r>
      <w:r>
        <w:t xml:space="preserve"> The key pillars of psychosocial disability: a European perspective on challenges and solutions — https://doi.org/10.3389/fpsyt.2025.1574301</w:t>
      </w:r>
    </w:p>
    <w:p>
      <w:pPr/>
      <w:r>
        <w:rPr>
          <w:b/>
        </w:rPr>
        <w:t>Shared claim-specific concepts:</w:t>
      </w:r>
      <w:r>
        <w:t xml:space="preserve"> effect, key, examines, negative; EU scope visible. This is a provisional connection, not an outcome finding.</w:t>
      </w:r>
    </w:p>
    <w:p>
      <w:pPr>
        <w:pStyle w:val="SourceNote"/>
      </w:pPr>
      <w:r>
        <w:rPr>
          <w:b/>
        </w:rPr>
        <w:t>Available abstract (not full text):</w:t>
      </w:r>
      <w:r>
        <w:t xml:space="preserve">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pPr>
        <w:pStyle w:val="Heading2"/>
      </w:pPr>
      <w:r>
        <w:t>718. ECONOMIC GROWTH PROJECTION FOR EUROPEAN UNION BY 2030</w:t>
      </w:r>
    </w:p>
    <w:p>
      <w:pPr>
        <w:pStyle w:val="SourceNote"/>
      </w:pPr>
      <w:r>
        <w:rPr>
          <w:b/>
        </w:rPr>
        <w:t>Original source (2019):</w:t>
      </w:r>
      <w:r>
        <w:t xml:space="preserve"> https://doi.org/10.5755/j01.eis.0.13.23709</w:t>
      </w:r>
    </w:p>
    <w:p>
      <w:pPr/>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pPr/>
      <w:r>
        <w:rPr>
          <w:b/>
        </w:rPr>
        <w:t>POSSIBLE 2026:</w:t>
      </w:r>
      <w:r>
        <w:t xml:space="preserve"> Just another white-striped mosquito? A scoping review and group discussion synthesis on Aedes koreicus in Europe — https://doi.org/10.1016/j.actatropica.2026.108302</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Among the several Asian Aedes species that have established in Europe over recent decades, Aedes koreicus has received comparatively little research attention since its first detection in Belgium in 2008, despite its remarkable ability to colonise montane and peri‑alpine localities at elevations beyond the reach of its congener Aedes albopictus. Nearly two decades after its European detection, a systematic synthesis of the available evidence and a structured assessment of research and operational priorities are overdue. This paper presents the results of a scoping review of the scientific literature on Ae. koreicus combined with the outcomes of a multidisciplinary expert workshop held in Trento, Italy, in February 2026, which brought together 41 researchers and practitioners from six European countries with expertise in mosquito surveillance, medical entomology, genomics, ecological modelling and public health practice. Through the literature search we obtained a total of 334 articles, of which 91 were eventually included, all published after 2011. Most of the studies were carried out within Europe, focusing mostly on mosquito surveillance. Building upon the scoping review, the workshop identified key priorities for advancing knowledge and operational responses to Ae. koreicus, including strengthened surveillance in montane and lowland areas, improved characterisation of its ve</w:t>
      </w:r>
    </w:p>
    <w:p>
      <w:pPr/>
      <w:r>
        <w:rPr>
          <w:b/>
        </w:rPr>
        <w:t>POSSIBLE 2025:</w:t>
      </w:r>
      <w:r>
        <w:t xml:space="preserve"> The Development of Energy Policy in the European Union — https://doi.org/10.4324/9781003298403</w:t>
      </w:r>
    </w:p>
    <w:p>
      <w:pPr/>
      <w:r>
        <w:rPr>
          <w:b/>
        </w:rPr>
        <w:t>Shared claim-specific concepts:</w:t>
      </w:r>
      <w:r>
        <w:t xml:space="preserve"> contributes, developments, over, perspective; EU scope visible. This is a provisional connection, not an outcome finding.</w:t>
      </w:r>
    </w:p>
    <w:p>
      <w:pPr>
        <w:pStyle w:val="SourceNote"/>
      </w:pPr>
      <w:r>
        <w:rPr>
          <w:b/>
        </w:rPr>
        <w:t>Available abstract (not full text):</w:t>
      </w:r>
      <w:r>
        <w:t xml:space="preserve">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pPr/>
      <w:r>
        <w:rPr>
          <w:b/>
        </w:rPr>
        <w:t>POSSIBLE 2025:</w:t>
      </w:r>
      <w:r>
        <w:t xml:space="preserve"> Comparative Analysis of the Innovation Level of European Union Member States — https://doi.org/10.17951/h.2025.59.2.161-181</w:t>
      </w:r>
    </w:p>
    <w:p>
      <w:pPr/>
      <w:r>
        <w:rPr>
          <w:b/>
        </w:rPr>
        <w:t>Shared claim-specific concepts:</w:t>
      </w:r>
      <w:r>
        <w:t xml:space="preserve"> contributes, discussion, eu-27; EU scope visible. This is a provisional connection, not an outcome finding.</w:t>
      </w:r>
    </w:p>
    <w:p>
      <w:pPr>
        <w:pStyle w:val="SourceNote"/>
      </w:pPr>
      <w:r>
        <w:rPr>
          <w:b/>
        </w:rPr>
        <w:t>Available abstract (not full text):</w:t>
      </w:r>
      <w:r>
        <w:t xml:space="preserve"> Theoretical background: The European Union (EU) considers innovation performance to be one of the major factors in determining the competitiveness of its economy in the coming years. Hence, it is reasonable to seek methods for assessing the innovation level of EU member states and their growth drivers. Purpose of the article: The aim of this study was to make a comparative assessment of the innovation level in European Union countries and the identification of its drivers. Research methods: The survey was conducted based on the European Innovation Scoreboard pertaining to the years 2016–2023. We performed a hierarchical cluster analysis, which allowed us to reveal member state groups with a similar innovation level. To identify the key and uncorrelated drivers responsible for the clustering of EU-27, we performed a principal component analysis. Main findings: We identify three groups of countries that share similar innovation levels. The innovation leaders were eight member states: Belgium, Denmark, Germany, Luxembourg, Netherlands, Austria, Finland, and Sweden. Research has shown that elements associated with the academic community, high-skilled workforce, collaboration of businesses with scientists, and information and communications technology skills are most significant for the diversification of the innovation level of EU-27 in 2023. In addition, digitalisation, innovators</w:t>
      </w:r>
    </w:p>
    <w:p>
      <w:pPr/>
      <w:r>
        <w:rPr>
          <w:b/>
        </w:rPr>
        <w:t>POSSIBLE 2025:</w:t>
      </w:r>
      <w:r>
        <w:t xml:space="preserve"> Features of the Development of the Central Regions of the European Part of Russia in 2009‒2021 — https://doi.org/10.15507/2413-1407.033.202501.104-119</w:t>
      </w:r>
    </w:p>
    <w:p>
      <w:pPr/>
      <w:r>
        <w:rPr>
          <w:b/>
        </w:rPr>
        <w:t>Shared claim-specific concepts:</w:t>
      </w:r>
      <w:r>
        <w:t xml:space="preserve"> contributes, discussion, part; EU scope visible. This is a provisional connection, not an outcome finding.</w:t>
      </w:r>
    </w:p>
    <w:p>
      <w:pPr>
        <w:pStyle w:val="SourceNote"/>
      </w:pPr>
      <w:r>
        <w:rPr>
          <w:b/>
        </w:rPr>
        <w:t>Available abstract (not full text):</w:t>
      </w:r>
      <w:r>
        <w:t xml:space="preserve"> Introduction. The concentration of resources in Moscow limits the development of some regions in the center of European Russia, but at the same time contributes to the growth of the economy of the nearest regions. The aim of the study is to identify the specific features of regions depending on the dynamics of their development and distance to Moscow and, by building models, to evaluate and compare the efficiency of their development. Materials and Methods. The work analyzed Rosstat data on the main indicators of regional development. Depending on the dynamics of GRP and labor productivity of regions in 2009–2021, groups of regions are identified and their features are analyzed. Based on the analysis of graphs and the construction of models, the effectiveness of investments in the economy of the region was assessed. Results. It is shown that ring groups of regions with similar economic growth rates are formed around Moscow, shifted to the south. Three central regions (Moscow, Kaluga and Tula regions) are characterized by the highest rates of economic growth. Around them there is a ring of nine regions with low rates of economic growth. Further, a semi-ring of eight more successfully developing regions is formed. They are also losing population, but investments in their economy are growing, which allows for a rapid increase in labor productivity. The analysis of the data also sh</w:t>
      </w:r>
    </w:p>
    <w:p>
      <w:pPr/>
      <w:r>
        <w:rPr>
          <w:b/>
        </w:rPr>
        <w:t>POSSIBLE 2025:</w:t>
      </w:r>
      <w:r>
        <w:t xml:space="preserve"> European Security, Borders, Crime and EU Law — https://doi.org/10.47907/europeansecurityborderscrimeandeulaw/livro</w:t>
      </w:r>
    </w:p>
    <w:p>
      <w:pPr/>
      <w:r>
        <w:rPr>
          <w:b/>
        </w:rPr>
        <w:t>Shared claim-specific concepts:</w:t>
      </w:r>
      <w:r>
        <w:t xml:space="preserve"> group, over, brief; EU scope visible. This is a provisional connection, not an outcome finding.</w:t>
      </w:r>
    </w:p>
    <w:p>
      <w:pPr>
        <w:pStyle w:val="SourceNote"/>
      </w:pPr>
      <w:r>
        <w:rPr>
          <w:b/>
        </w:rPr>
        <w:t>Available abstract (not full text):</w:t>
      </w:r>
      <w:r>
        <w:t xml:space="preserve"> Borders: imaginary lines with very real consequences -legal, social, existential.Crossing them entails risks, both for the resident population and for the foreigner.In Portuguese, risco denotes both risk and a line drawn on a surface, as, for instance, a dividing mark traced on the ground.Hence the expression pisar o risco (to step on the line), meaning imminent transgression (the crossing) that exposes the agent to risk.This linguistic peculiarity (I know of no other language in which this semantic overlap exists) is a vivid reminder that the border is more than a geopolitical device -it is also a calculation of exposure.Where a line is drawn, something is at stake -for the entitled and the non-ayant droit alike.The border becomes, for all parties, a symbolic locus of security (i.e., the successful management of risk), which, paradoxically, may drive them to adopt diametrically opposite behaviour: if need be, foreigners might be prepared to intrude illegally, whereas territorials might push them back illegally.Borders are thus sites of power, vulnerability, crime and uncertainty.Over the last decade, the challenges they pose have grown more complex -empirically and normatively -prompting the Instituto Jurídico/UCILeR to host a seminar on the subject on 18 June 2024.We were privileged to welcome a distinguished group of scholars and practitioners, joined by invi ted guests and </w:t>
      </w:r>
    </w:p>
    <w:p>
      <w:pPr/>
      <w:r>
        <w:rPr>
          <w:b/>
        </w:rPr>
        <w:t>POSSIBLE 2024:</w:t>
      </w:r>
      <w:r>
        <w:t xml:space="preserve"> Institutional Development of Family-owned Businesses in Japan: A European Perspective — https://doi.org/10.25105/ijsmebs.v1i4.20500</w:t>
      </w:r>
    </w:p>
    <w:p>
      <w:pPr/>
      <w:r>
        <w:rPr>
          <w:b/>
        </w:rPr>
        <w:t>Shared claim-specific concepts:</w:t>
      </w:r>
      <w:r>
        <w:t xml:space="preserve"> contributes, discussion, historical, perspective; EU scope visible. This is a provisional connection, not an outcome finding.</w:t>
      </w:r>
    </w:p>
    <w:p>
      <w:pPr>
        <w:pStyle w:val="SourceNote"/>
      </w:pPr>
      <w:r>
        <w:rPr>
          <w:b/>
        </w:rPr>
        <w:t>Available abstract (not full text):</w:t>
      </w:r>
      <w:r>
        <w:t xml:space="preserve">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pPr/>
      <w:r>
        <w:rPr>
          <w:b/>
        </w:rPr>
        <w:t>POSSIBLE 2024:</w:t>
      </w:r>
      <w:r>
        <w:t xml:space="preserve"> Exploring how Europeans understand solidarity in the EU — https://doi.org/10.4324/9781032690902-3</w:t>
      </w:r>
    </w:p>
    <w:p>
      <w:pPr/>
      <w:r>
        <w:rPr>
          <w:b/>
        </w:rPr>
        <w:t>Shared claim-specific concepts:</w:t>
      </w:r>
      <w:r>
        <w:t xml:space="preserve"> discussion, group, part;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8.M. Skills building seminar: Mental health and substance use in Europe — https://doi.org/10.1093/eurpub/ckae144.523</w:t>
      </w:r>
    </w:p>
    <w:p>
      <w:pPr/>
      <w:r>
        <w:rPr>
          <w:b/>
        </w:rPr>
        <w:t>Shared claim-specific concepts:</w:t>
      </w:r>
      <w:r>
        <w:t xml:space="preserve"> developments, over, perspective; EU scope visible. This is a provisional connection, not an outcome finding.</w:t>
      </w:r>
    </w:p>
    <w:p>
      <w:pPr>
        <w:pStyle w:val="SourceNote"/>
      </w:pPr>
      <w:r>
        <w:rPr>
          <w:b/>
        </w:rPr>
        <w:t>Available abstract (not full text):</w:t>
      </w:r>
      <w:r>
        <w:t xml:space="preserve"> Abstract The impact of social factors on individual and population mental health are well established (Kirkbride, et al., 2024). The same social factors may trigger the substance use behavior developing into substance use disorders. Mental health disorders can contribute to the substance use and substance use disorders with worsening effects over time (EMCDDA, 2016). This association between substance use, substance use disorders and mental health disorders is a key objective for the scientific consideration and policy development. Respective phenomena are universal and a broader perspective would be useful for a better understanding of how the issue of comorbidities of substance use and mental disorders are addressed on a European level. Identification of the substance use problem, especially among populations in vulnerable situations, like migrants, becomes utterly important. Heterogenous systematic reviews show that there is a need for socially and culturally refugee sensitive instruments to measure the substance use in migrants. Oftentimes substance use is followed by the substance use disorders and drug use related infections. Injecting drug use is also a risk factor for having drug use related infections, such as hepatitis B and C, HIV, tuberculosis. Assessment of risk behaviour patterns among people who inject drugs may contribute to a higher participation in treatment a</w:t>
      </w:r>
    </w:p>
    <w:p>
      <w:pPr/>
      <w:r>
        <w:rPr>
          <w:b/>
        </w:rPr>
        <w:t>POSSIBLE 2024:</w:t>
      </w:r>
      <w:r>
        <w:t xml:space="preserve"> Sustainability and competition policy in Europe: recent developments — https://doi.org/10.1093/jeclap/lpae063</w:t>
      </w:r>
    </w:p>
    <w:p>
      <w:pPr/>
      <w:r>
        <w:rPr>
          <w:b/>
        </w:rPr>
        <w:t>Shared claim-specific concepts:</w:t>
      </w:r>
      <w:r>
        <w:t xml:space="preserve"> developments, next, part;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2023:</w:t>
      </w:r>
      <w:r>
        <w:t xml:space="preserve"> EU-27 ecological footprint was primarily driven by food consumption and exceeded regional biocapacity from 2004 to 2014 — https://doi.org/10.1038/s43016-023-00843-5</w:t>
      </w:r>
    </w:p>
    <w:p>
      <w:pPr/>
      <w:r>
        <w:rPr>
          <w:b/>
        </w:rPr>
        <w:t>Shared claim-specific concepts:</w:t>
      </w:r>
      <w:r>
        <w:t xml:space="preserve"> contributes, eu-27, over; EU scope visible. This is a provisional connection, not an outcome finding.</w:t>
      </w:r>
    </w:p>
    <w:p>
      <w:pPr>
        <w:pStyle w:val="SourceNote"/>
      </w:pPr>
      <w:r>
        <w:rPr>
          <w:b/>
        </w:rPr>
        <w:t>Available abstract (not full text):</w:t>
      </w:r>
      <w:r>
        <w:t xml:space="preserve"> The European Union (EU) plans to decarbonize the region by 2050. As highlighted by the Green Deal and Farm to Fork Strategy, food systems are essential for this transition. Here we investigate the resource dependence and carbon emissions of the EU-27's food systems from 2004 to 2014 via an ecological footprint (EF)-extended multi-regional input-output approach, accounting for demand and supply (including trade), and considering multiple externalities. Food contributes towards almost a third of the region's EF, and appropriates over half of its biocapacity. Average reliance on biocapacity within national borders decreased, while reliance on intra-EU biocapacity increased; yet a quarter of the biocapacity for food consumption originates from non-EU countries. Despite a reduction in both total EF and food EF over the study period, EU-27 residents demand more from nature than the region's ecosystems can regenerate-highlighting the need for new or strengthened food and trade policies to enable a transformation to sustainable EU food systems.</w:t>
      </w:r>
    </w:p>
    <w:p>
      <w:pPr/>
      <w:r>
        <w:rPr>
          <w:b/>
        </w:rPr>
        <w:t>POSSIBLE 2023:</w:t>
      </w:r>
      <w:r>
        <w:t xml:space="preserve"> The burden of skin disease in Europe — https://doi.org/10.1111/jdv.19390</w:t>
      </w:r>
    </w:p>
    <w:p>
      <w:pPr/>
      <w:r>
        <w:rPr>
          <w:b/>
        </w:rPr>
        <w:t>Shared claim-specific concepts:</w:t>
      </w:r>
      <w:r>
        <w:t xml:space="preserve"> contributes, over, part; EU scope visible. This is a provisional connection, not an outcome finding.</w:t>
      </w:r>
    </w:p>
    <w:p>
      <w:pPr>
        <w:pStyle w:val="SourceNote"/>
      </w:pPr>
      <w:r>
        <w:rPr>
          <w:b/>
        </w:rPr>
        <w:t>Available abstract (not full text):</w:t>
      </w:r>
      <w:r>
        <w:t xml:space="preserve"> The term ‘Burden of disease’ was conceived to describe the total, cumulative repercussions of a specific disease or a range of harmful diseases with respect to disabilities in a community. These repercussions include health, social aspects and costs to society. The Global Burden of Disease study, which sets out trends in global health, ranked skin diseases as the fourth leading cause of disability worldwide.1 With a view to gaining detailed insights into the burden of skin diseases in Europe, the European Academy of Dermatology and Venereology (EADV) conducted recently a population-based study on a representative adult population in 27 European countries. This represents the largest-ever epidemiological study undertaken in Europe to assess the prevalence and burden of skin diseases. The Burden of Skin Disease Survey reveals the important impact that skin diseases have on human well-being and the limitations in access to care for patients. These data are important to create awareness and establish the setting for the management of skin diseases. As part of EADV's nascent advocacy programme, it is timely to publish the results in a JEADV supplement that groups vital information on important aspects of the impact of skin diseases. Addressing skin diseases is vital to achieve the United National Sustainable Development Goals (SDGs).2 Understanding the impact of these diseases on in</w:t>
      </w:r>
    </w:p>
    <w:p>
      <w:pPr/>
      <w:r>
        <w:rPr>
          <w:b/>
        </w:rPr>
        <w:t>POSSIBLE 2023:</w:t>
      </w:r>
      <w:r>
        <w:t xml:space="preserve"> Toward an integrated framework for developing European 6G innovation — https://doi.org/10.1016/j.telpol.2023.102641</w:t>
      </w:r>
    </w:p>
    <w:p>
      <w:pPr/>
      <w:r>
        <w:rPr>
          <w:b/>
        </w:rPr>
        <w:t>Shared claim-specific concepts:</w:t>
      </w:r>
      <w:r>
        <w:t xml:space="preserve"> contributes, discussion, perspective; EU scope visible. This is a provisional connection, not an outcome finding.</w:t>
      </w:r>
    </w:p>
    <w:p>
      <w:pPr>
        <w:pStyle w:val="SourceNote"/>
      </w:pPr>
      <w:r>
        <w:rPr>
          <w:b/>
        </w:rPr>
        <w:t>Available abstract (not full text):</w:t>
      </w:r>
      <w:r>
        <w:t xml:space="preserve"> This article contributes to the discussion on 6G and European policy development, outlining an integrated framework for Europe to benefit from 6G innovation in the future, both as a developer and user of 6G technologies. As 6G is envisioned as a general-purpose technology that can transform the whole of society, there is a need to adopt a broader perspective to innovation compared to earlier technology generations. This proposed framework comprises five elements: national and European sovereignty, triple bottom line sustainability, a competitive transformational innovation policy, European values-based anticipatory regulation, and trustworthy networks that addresses the privacy, security, and safety of users and resilience of 6G at the systems level. It is argued that Europe needs both ex ante and ex post actions to competitively develop and deploy future 6G technologies.</w:t>
      </w:r>
    </w:p>
    <w:p>
      <w:pPr>
        <w:pStyle w:val="Heading2"/>
      </w:pPr>
      <w:r>
        <w:t>719. Energy Scenario Analysis for the Nordic Transport Sector: A Critical Review</w:t>
      </w:r>
    </w:p>
    <w:p>
      <w:pPr>
        <w:pStyle w:val="SourceNote"/>
      </w:pPr>
      <w:r>
        <w:rPr>
          <w:b/>
        </w:rPr>
        <w:t>Original source (2019):</w:t>
      </w:r>
      <w:r>
        <w:t xml:space="preserve"> https://doi.org/10.3390/en12122232</w:t>
      </w:r>
    </w:p>
    <w:p>
      <w:pPr/>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pPr/>
      <w:r>
        <w:rPr>
          <w:b/>
        </w:rPr>
        <w:t>POSSIBLE 2026:</w:t>
      </w:r>
      <w:r>
        <w:t xml:space="preserve"> Downstream Diversification of Critical Mineral-Rich Countries — https://doi.org/10.1007/978-3-032-06139-3_1</w:t>
      </w:r>
    </w:p>
    <w:p>
      <w:pPr/>
      <w:r>
        <w:rPr>
          <w:b/>
        </w:rPr>
        <w:t>Shared claim-specific concepts:</w:t>
      </w:r>
      <w:r>
        <w:t xml:space="preserve"> countries, strategy, potential; EU scope not established. This is a provisional connection, not an outcome finding.</w:t>
      </w:r>
    </w:p>
    <w:p>
      <w:pPr>
        <w:pStyle w:val="SourceNote"/>
      </w:pPr>
      <w:r>
        <w:rPr>
          <w:b/>
        </w:rPr>
        <w:t>Available abstract (not full text):</w:t>
      </w:r>
      <w:r>
        <w:t xml:space="preserve">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pPr/>
      <w:r>
        <w:rPr>
          <w:b/>
        </w:rPr>
        <w:t>POSSIBLE 2026:</w:t>
      </w:r>
      <w:r>
        <w:t xml:space="preserve"> Transition from Fossil Fuels to Renewables: A Comparative Analysis Between Energy-Rich and Energy-Poor Economies — https://doi.org/10.3390/commodities5020009</w:t>
      </w:r>
    </w:p>
    <w:p>
      <w:pPr/>
      <w:r>
        <w:rPr>
          <w:b/>
        </w:rPr>
        <w:t>Shared claim-specific concepts:</w:t>
      </w:r>
      <w:r>
        <w:t xml:space="preserve"> diversified, portfolio, renewable, sources, countries; EU scope not established. This is a provisional connection, not an outcome finding.</w:t>
      </w:r>
    </w:p>
    <w:p>
      <w:pPr>
        <w:pStyle w:val="SourceNote"/>
      </w:pPr>
      <w:r>
        <w:rPr>
          <w:b/>
        </w:rPr>
        <w:t>Available abstract (not full text):</w:t>
      </w:r>
      <w:r>
        <w:t xml:space="preserve"> The transition from non-renewable to renewable energy sources has emerged as a pressing global issue, driven by concerns over climate change, resource depletion, and the need for sustainable development. This study compares Canada, an energy-rich nation, and Bangladesh, an energy-scarce country, to understand the structural, institutional, and market factors driving their respective renewable energy transitions. Using univariate time-series models (ARIMA, ETS, and Prophet) for energy demand forecasting and extensive literature-based policy evaluation, the paper examines trends in energy production, consumption, and trade from 1990 to 2024. Our analysis indicates that Canada’s vast reserves of both renewable and non-renewable energy sources, its diversified energy portfolio, and carbon-pricing framework support a stable decarbonization pathway, with renewables projected to account for more than 20% of total supply by 2030. However, regional disparities and political resistance from the established energy sector continue to delay transition outcomes. On the other hand, Bangladesh has limited renewable and non-renewable energy sources, with its primary energy resource being natural gas reserves. Consequently, its heavy reliance on imports (over 75% of primary energy) and institutional bottlenecks expose its energy system to commodity-price volatility, undermining energy security a</w:t>
      </w:r>
    </w:p>
    <w:p>
      <w:pPr/>
      <w:r>
        <w:rPr>
          <w:b/>
        </w:rPr>
        <w:t>POSSIBLE 2026:</w:t>
      </w:r>
      <w:r>
        <w:t xml:space="preserve"> The Case for Domestic Value Addition and Economic Diversification in Critical Mineral-Rich Developing Countries — https://doi.org/10.1007/978-3-032-06139-3_5</w:t>
      </w:r>
    </w:p>
    <w:p>
      <w:pPr/>
      <w:r>
        <w:rPr>
          <w:b/>
        </w:rPr>
        <w:t>Shared claim-specific concepts:</w:t>
      </w:r>
      <w:r>
        <w:t xml:space="preserve"> countries, benefit, strategy; EU scope not established. This is a provisional connection, not an outcome finding.</w:t>
      </w:r>
    </w:p>
    <w:p>
      <w:pPr>
        <w:pStyle w:val="SourceNote"/>
      </w:pPr>
      <w:r>
        <w:rPr>
          <w:b/>
        </w:rPr>
        <w:t>Available abstract (not full text):</w:t>
      </w:r>
      <w:r>
        <w:t xml:space="preserve"> Abstract This chapter examines the challenges faced by many developing countries with significant reserves of minerals critical for the energy transition, such as cobalt, copper, graphite, lithium, and nickel. The increasing demand for these minerals risks perpetuating the dependence of developing countries on exporting raw materials. The chapter discusses the structural challenges of commodity dependence, which keeps countries exposed to market volatility. It provides an in-depth analysis of trade flows for selected critical energy transition minerals, highlighting the significant market concentration in both export and import markets, with a few countries dominating the different stages of the value chain, from extraction and processing to manufacturing. This concentration increases risks, including supply chain disruptions and price volatility. The chapter emphasizes the urgency of moving away from raw material exports through local value addition and promoting diversification in upstream, midstream, and downstream sectors. In this regard, the chapter advocates for a comprehensive approach, including supportive policies, capacity building, environmental sustainability, regional cooperation, public-private partnerships, and multi-stakeholder engagement. This strategy can help developing countries create more resilient economies and contribute to and benefit from the energy tr</w:t>
      </w:r>
    </w:p>
    <w:p>
      <w:pPr/>
      <w:r>
        <w:rPr>
          <w:b/>
        </w:rPr>
        <w:t>POSSIBLE 2026:</w:t>
      </w:r>
      <w:r>
        <w:t xml:space="preserve"> Renewable energy on tribal lands of India — https://doi.org/10.34117/bjdv12n6-059</w:t>
      </w:r>
    </w:p>
    <w:p>
      <w:pPr/>
      <w:r>
        <w:rPr>
          <w:b/>
        </w:rPr>
        <w:t>Shared claim-specific concepts:</w:t>
      </w:r>
      <w:r>
        <w:t xml:space="preserve"> rich, renewable, benefit, potential; EU scope not established. This is a provisional connection, not an outcome finding.</w:t>
      </w:r>
    </w:p>
    <w:p>
      <w:pPr>
        <w:pStyle w:val="SourceNote"/>
      </w:pPr>
      <w:r>
        <w:rPr>
          <w:b/>
        </w:rPr>
        <w:t>Available abstract (not full text):</w:t>
      </w:r>
      <w:r>
        <w:t xml:space="preserve"> Recognized tribal areas in India are primarily governed under the Fifth and Sixth Schedules of the Constitution. These regions are home to over 700 officially recognized ethnic groups known as Scheduled Tribes (STs), who are guaranteed constitutional protections to preserve their distinct cultures and lands. Recognized tribal groups in India benefit from specific legislative frameworks such as the Panchayats (Extension to Scheduled Areas) Act, 1996 (PESA) and the Forest Rights Act (FRA), which protect customary rights over ancestral lands, forest produce, and community resources. Indian tribes comprise 705 communities that constitute roughly 8 percent of the nation's total population of more than 1 billion. In eastern India the tribes are concentrated in the hilly areas of the Eastern Ghats’ forests (Chhattisgarh, Orissa, Jharkhand and Andhra Pradesh). The major occupation of these tribes is primarily agriculture and collection of non-timber forest produce (NTFP). Their rich culture is well depicted in their folk songs, dances, art and craft, and music according to regional differences. Renewable energy is a natural source of energy that is abundant and or regenerative. There are many different types of renewable energy such as solar, wind, biomass, geothermal, and hydro electric. Energy and Infrastructure are the most significant issues in developing and sustaining economic gr</w:t>
      </w:r>
    </w:p>
    <w:p>
      <w:pPr/>
      <w:r>
        <w:rPr>
          <w:b/>
        </w:rPr>
        <w:t>POSSIBLE 2026:</w:t>
      </w:r>
      <w:r>
        <w:t xml:space="preserve"> Energy diversification in Italy between 1946 and 1984: The crucial role of the technical staff — https://openalex.org/W7171271032</w:t>
      </w:r>
    </w:p>
    <w:p>
      <w:pPr/>
      <w:r>
        <w:rPr>
          <w:b/>
        </w:rPr>
        <w:t>Shared claim-specific concepts:</w:t>
      </w:r>
      <w:r>
        <w:t xml:space="preserve"> rich, sources, larger; EU scope visible. This is a provisional connection, not an outcome finding.</w:t>
      </w:r>
    </w:p>
    <w:p>
      <w:pPr>
        <w:pStyle w:val="SourceNote"/>
      </w:pPr>
      <w:r>
        <w:rPr>
          <w:b/>
        </w:rPr>
        <w:t>Available abstract (not full text):</w:t>
      </w:r>
      <w:r>
        <w:t xml:space="preserve"> Italy's move to broaden its energy sources by emphasising natural gas dates to the 1940s, when efforts were first made to tap into the Po Valley's resources. After his appointment as special commissioner of the Italian petroleum agency Agip to dismantle it, the technical staff of the company persuaded Enrico Mattei that the Po Valley was rich in methane. Despite such an unrealistic assessment of the situation, the idea of exploiting the - scarce - national resources proved to be fundamental in Mattei's plan to create Eni, aka the national hydrocarbons board, and led him to believe that the country should continue to rely on gas, considered as important as oil. Therefore, the technical staff, that is, the employees who dealt with energy issues, have played a key role since the beginning, as they have encouraged the Italian government to focus on methane. Accordingly, this paper seeks to provide an analysis of the contributions made by technical personnel during key stages of Italy's energy diversification process. As a result, Italy has come to depend more on gas resources to meet its national requirements, particularly from the early 1980s onward when it entered into agreements with Algeria and the Soviet Union. The Italian case falls squarely within the framework of the so-called energy geopolitics. Events can now be better reconstructed thanks to a larger number of sources th</w:t>
      </w:r>
    </w:p>
    <w:p>
      <w:pPr/>
      <w:r>
        <w:rPr>
          <w:b/>
        </w:rPr>
        <w:t>POSSIBLE 2026:</w:t>
      </w:r>
      <w:r>
        <w:t xml:space="preserve"> Assessment of Resource Misallocation and Economic Efficiency Losses in Chinese Cities: A Heterogeneity Perspective on Renewable and Non-Renewable Energy Sources — https://doi.org/10.3390/en19030586</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The misallocation of renewable (RE) and non-renewable energy (NRE) resources may lead to the inefficiency of economic development, thereby hindering the achievement of sustainable development goals. Basing data on 282 Chinese cities during 2005–2021, a relative factor price distortion coefficient was employed to estimate the degree and direction of resource misallocation (RM) for RE, NRE, capital, and labor at both the aggregate city level and across four disaggregated city categories. Output gaps and efficiency losses are further quantified by incorporating RM analysis into the economic growth accounting framework, revealing significant heterogeneity in RM across cities. Findings show that (1) RE and labor misallocation exceed those of NRE and capital at the city level. RE misallocation is dominant in energy misallocation. There exists an underallocation of RE, NRE, and labor, while capital is overallocated. (2) Renewable energy input and output (RE-IO) cities exhibit the highest overall RM (32.1%), whereas renewable energy input (RE-Input) cities possess the lowest ones (21.2%). Four city types demonstrate an underallocation of RE and an overallocation of capital. (3) Both output gaps and efficiency losses are on the rise. Output changes sources are transferred from the variations in factor inputs to those in total factor productivity (TFP). The contribution from the RM chang</w:t>
      </w:r>
    </w:p>
    <w:p>
      <w:pPr/>
      <w:r>
        <w:rPr>
          <w:b/>
        </w:rPr>
        <w:t>POSSIBLE 2026:</w:t>
      </w:r>
      <w:r>
        <w:t xml:space="preserve"> Coordinated planning of heterogeneous energy storage for renewable-rich urban power grids: a degradation-aware techno-economic approach — https://doi.org/10.1016/j.ecmx.2026.102226</w:t>
      </w:r>
    </w:p>
    <w:p>
      <w:pPr/>
      <w:r>
        <w:rPr>
          <w:b/>
        </w:rPr>
        <w:t>Shared claim-specific concepts:</w:t>
      </w:r>
      <w:r>
        <w:t xml:space="preserve"> renewable, benefit, strategy; EU scope not established. This is a provisional connection, not an outcome finding.</w:t>
      </w:r>
    </w:p>
    <w:p>
      <w:pPr>
        <w:pStyle w:val="SourceNote"/>
      </w:pPr>
      <w:r>
        <w:rPr>
          <w:b/>
        </w:rPr>
        <w:t>Available abstract (not full text):</w:t>
      </w:r>
      <w:r>
        <w:t xml:space="preserve"> High renewable penetration in urban receiving-end power grids increases the need for energy storage resources that can simultaneously support renewable accommodation, congestion relief, voltage regulation, and long-term economic operation. However, conventional storage planning methods often rely on a single storage technology or a single-layer planning perspective, which may lead to techno-economic mismatch under multi-timescale operating conditions. This paper proposes a degradation-aware techno-economic planning approach for heterogeneous energy storage in renewable-rich urban receiving-end power grids. A layered and partitioned planning framework is developed to coordinate source-side, grid-side, and distribution-/load-side storage deployment. Multiple storage technologies, including Li-ion batteries, flywheel storage, supercapacitors, and long-duration storage, are jointly optimized in terms of siting, technology selection, power capacity, and energy capacity. The model incorporates multi-timescale operating scenarios, response-performance requirements, lifecycle cost and benefit, and degradation-aware capacity evolution. Case studies on a renewable-rich urban receiving-end grid show that the proposed strategy allocates 230 MW / 521.5 MWh of heterogeneous storage in a spatially differentiated manner. Compared with benchmark schemes, it increases renewable accommodation to </w:t>
      </w:r>
    </w:p>
    <w:p>
      <w:pPr/>
      <w:r>
        <w:rPr>
          <w:b/>
        </w:rPr>
        <w:t>POSSIBLE 2026:</w:t>
      </w:r>
      <w:r>
        <w:t xml:space="preserve"> Essay on Blue Economy Diversification — https://doi.org/10.56201/ijgem.vol.12.no3.2026.pg16.28</w:t>
      </w:r>
    </w:p>
    <w:p>
      <w:pPr/>
      <w:r>
        <w:rPr>
          <w:b/>
        </w:rPr>
        <w:t>Shared claim-specific concepts:</w:t>
      </w:r>
      <w:r>
        <w:t xml:space="preserve"> diversified, portfolio, renewable; EU scope not established. This is a provisional connection, not an outcome finding.</w:t>
      </w:r>
    </w:p>
    <w:p>
      <w:pPr>
        <w:pStyle w:val="SourceNote"/>
      </w:pPr>
      <w:r>
        <w:rPr>
          <w:b/>
        </w:rPr>
        <w:t>Available abstract (not full text):</w:t>
      </w:r>
      <w:r>
        <w:t xml:space="preserve"> The Blue Economy provides a strategic framework for coastal nations to decouple economic growth from environmental degradation through blue economic diversification. This study examines the shift from traditional, mono-sectoral dependence on offshore oil and gas or artisanal fishing toward a multi-dimensional maritime portfolio. By analyzing emerging sectors such as marine biotechnology, offshore renewable energy, and sustainable aquaculture, the research evaluates how diversification mitigates the economic volatility inherent in extractive industries. Findings suggest that diversification is not merely an expansion of industrial activity but a transition toward a circular maritime economy that integrates "blue carbon" sequestration with high-value eco-tourism. The study identifies technology transfer and maritime spatial planning as the primary drivers of this transition. However, significant bottlenecks persist, including high capital requirements for deep-sea innovation and the overarching threat of climate-induced sea level rise. The research concludes that for diversification to be sustainable, coastal states must implement robust policy frameworks that balance industrial intensification with the preservation of marine biodiversity. Ultimately, a diversified blue economy offers a resilient pathway for poverty alleviation and long-term climate adaptation, transforming the o</w:t>
      </w:r>
    </w:p>
    <w:p>
      <w:pPr/>
      <w:r>
        <w:rPr>
          <w:b/>
        </w:rPr>
        <w:t>POSSIBLE 2025:</w:t>
      </w:r>
      <w:r>
        <w:t xml:space="preserve"> Rethinking Economic Policies: Diversification and Governance Strategies to Address the Resource Curse in Mineral‐Rich Economies — https://doi.org/10.1111/nrm.70011</w:t>
      </w:r>
    </w:p>
    <w:p>
      <w:pPr/>
      <w:r>
        <w:rPr>
          <w:b/>
        </w:rPr>
        <w:t>Shared claim-specific concepts:</w:t>
      </w:r>
      <w:r>
        <w:t xml:space="preserve"> rich, countries, variety; EU scope not established. This is a provisional connection, not an outcome finding.</w:t>
      </w:r>
    </w:p>
    <w:p>
      <w:pPr>
        <w:pStyle w:val="SourceNote"/>
      </w:pPr>
      <w:r>
        <w:rPr>
          <w:b/>
        </w:rPr>
        <w:t>Available abstract (not full text):</w:t>
      </w:r>
      <w:r>
        <w:t xml:space="preserve">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pPr/>
      <w:r>
        <w:rPr>
          <w:b/>
        </w:rPr>
        <w:t>POSSIBLE 2025:</w:t>
      </w:r>
      <w:r>
        <w:t xml:space="preserve"> Autoencoder-Enhanced Ensemble Neural Network for Forced Oscillation Source Location in Renewable-Rich Power Systems — https://doi.org/10.1109/tia.2025.3625890</w:t>
      </w:r>
    </w:p>
    <w:p>
      <w:pPr/>
      <w:r>
        <w:rPr>
          <w:b/>
        </w:rPr>
        <w:t>Shared claim-specific concepts:</w:t>
      </w:r>
      <w:r>
        <w:t xml:space="preserve"> relying, sources, larger; EU scope not established. This is a provisional connection, not an outcome finding.</w:t>
      </w:r>
    </w:p>
    <w:p>
      <w:pPr>
        <w:pStyle w:val="SourceNote"/>
      </w:pPr>
      <w:r>
        <w:rPr>
          <w:b/>
        </w:rPr>
        <w:t>Available abstract (not full text):</w:t>
      </w:r>
      <w:r>
        <w:t xml:space="preserve"> Conventional energy-based methods struggle to determine the origin of Forced Oscillations (FOs) in renewable-rich systems because of their dependency on Dissipating Energy Flow (DEF) calculations. This paper proposes a novel Autoencoder Enhanced Ensemble Neural Network (AEENN) deep learning model for accurately identifying FO sources in power systems having high wind energy penetration without relying on traditional DEF calculations. The methodology incorporates a two-stage framework that enhances the scalability of the proposed method for larger and more practical power systems. It leverages Wavelet Synchrosqueezing Transform (WSST) and Multivariate Empirical Mode Decomposition (MEMD) to extract relevant harmonic components while filtering out noise. A reduced-order WSST matrix is constructed by retaining only FO-related frequency components based on an energy-based threshold. Moreover, an autoencoder effectively learns nonlinear features from PMU data in wind turbine generator (WTG)-dominated grids, enabling robust feature extraction for multivariate time-series classification. To enhance reliability, a$k$-fold ensemble classifier is employed, where multiple models trained on different data folds are combined to improve accuracy and generalisation. The efficacy of the proposed technique is examined on the IEEE 11-bus system and India's Eastern Regional Grid (ERG) model, demon</w:t>
      </w:r>
    </w:p>
    <w:p>
      <w:pPr/>
      <w:r>
        <w:rPr>
          <w:b/>
        </w:rPr>
        <w:t>POSSIBLE 2025:</w:t>
      </w:r>
      <w:r>
        <w:t xml:space="preserve"> Sustainable synthesis of nanomaterials using different renewable sources — https://doi.org/10.1186/s42269-025-01316-4</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Abstract Background The synthesis of nanomaterials has traditionally relied on methods that pose significant environmental risks due to high-energy demands, hazardous chemicals, and waste generation. For instance, conventional techniques such as chemical vapor deposition and the sol–gel process are known for their high-energy consumption and the production of toxic by-products. This context emphasizes the importance of sustainability in nanomaterial synthesis, leading to a shift toward more eco-friendly methods that integrate principles of green chemistry to lessen the influence on the environment. This transition addresses the harmful effects associated with traditional approaches and promotes the use of renewable resources, such as biomass and agricultural waste, in nanomaterial production. Main body This review focuses on sustainable nanomaterial synthesis methods that utilize renewable resources, such as biomass, agricultural waste, and natural extracts. These approaches reduce energy consumption, limit waste generation, and enhance recyclability, supporting the principles of the nanocircular economy. Various green synthesis strategies, including hydrothermal methods and green solvents, are examined for their effectiveness in producing nanomaterials with desirable properties. The review also highlights the broad applications of these sustainable nanomaterials in catalysis, </w:t>
      </w:r>
    </w:p>
    <w:p>
      <w:pPr/>
      <w:r>
        <w:rPr>
          <w:b/>
        </w:rPr>
        <w:t>POSSIBLE 2025:</w:t>
      </w:r>
      <w:r>
        <w:t xml:space="preserve"> An integrated DEA-fuzzy AHP method for prioritization of renewable energy sources in India — https://doi.org/10.1038/s41598-024-84891-2</w:t>
      </w:r>
    </w:p>
    <w:p>
      <w:pPr/>
      <w:r>
        <w:rPr>
          <w:b/>
        </w:rPr>
        <w:t>Shared claim-specific concepts:</w:t>
      </w:r>
      <w:r>
        <w:t xml:space="preserve"> rich, renewable, sources, benefit, solutions; EU scope not established. This is a provisional connection, not an outcome finding.</w:t>
      </w:r>
    </w:p>
    <w:p>
      <w:pPr>
        <w:pStyle w:val="SourceNote"/>
      </w:pPr>
      <w:r>
        <w:rPr>
          <w:b/>
        </w:rPr>
        <w:t>Available abstract (not full text):</w:t>
      </w:r>
      <w:r>
        <w:t xml:space="preserve"> As India's population grows and urbanization accelerates, energy demand is increasing sharply while conventional sources fall behind. To tackle energy shortages and climate change, India must prioritize renewable energy sources (RES), which offer sustainable solutions. The country is rich in RES, which can enhance fuel mix for electricity generation. This study analyzes various RES in India-solar, geothermal, hydro, biomass, wave, onshore, and offshore wind energy -using an integrated data envelopment analysis (DEA) and fuzzy analytic hierarchy process (Fuzzy AHP) methodology. Four main parameters-technical, economic, environmental, and socio-political -are identified and supported by 19 criteria, with environmental parameters including both desirable and undesirable criteria. In first phase, undesirable criteria are transformed into desirable criteria using Modified Ratio model. DEA is then applied to calculate initial efficiency score of RES under each parameter category. Fuzzy AHP determines weights for each parameter. The weights and initial efficiency scores are then combined to calculate overall efficiency score and ranking of RES. Sensitivity analysis shows that results obtained from proposed methodology are significant, and robust. Offshore wind ranks highest in efficiency, followed by hydro and onshore wind, while geothermal scores lowest. This methodology could benefi</w:t>
      </w:r>
    </w:p>
    <w:p>
      <w:pPr>
        <w:pStyle w:val="Heading2"/>
      </w:pPr>
      <w:r>
        <w:t>720. Energy system transition and macroeconomic impacts of a European decarbonization action towards a below 2 °C climate stabilization</w:t>
      </w:r>
    </w:p>
    <w:p>
      <w:pPr>
        <w:pStyle w:val="SourceNote"/>
      </w:pPr>
      <w:r>
        <w:rPr>
          <w:b/>
        </w:rPr>
        <w:t>Original source (2019):</w:t>
      </w:r>
      <w:r>
        <w:t xml:space="preserve"> https://doi.org/10.1007/s10584-019-02440-7</w:t>
      </w:r>
    </w:p>
    <w:p>
      <w:pPr/>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POSSIBLE 2026:</w:t>
      </w:r>
      <w:r>
        <w:t xml:space="preserve"> Can a wealth tax reduce CO2 emissions in Europe? — https://doi.org/10.1016/j.ecolecon.2026.109231</w:t>
      </w:r>
    </w:p>
    <w:p>
      <w:pPr/>
      <w:r>
        <w:rPr>
          <w:b/>
        </w:rPr>
        <w:t>Shared claim-specific concepts:</w:t>
      </w:r>
      <w:r>
        <w:t xml:space="preserve"> find, reductions, mitigation,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sector, transport, but, also;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GREEN SUPPLY CHAIN PRACTICES ARE KEY TO REDUCING CARBON EMISSIONS IN THE LOGISTICS SECTOR IN SAUDI ARABIA — https://doi.org/10.21474/ijar01/22666</w:t>
      </w:r>
    </w:p>
    <w:p>
      <w:pPr/>
      <w:r>
        <w:rPr>
          <w:b/>
        </w:rPr>
        <w:t>Shared claim-specific concepts:</w:t>
      </w:r>
      <w:r>
        <w:t xml:space="preserve"> energy, sector, also; EU scope not established. This is a provisional connection, not an outcome finding.</w:t>
      </w:r>
    </w:p>
    <w:p>
      <w:pPr>
        <w:pStyle w:val="SourceNote"/>
      </w:pPr>
      <w:r>
        <w:rPr>
          <w:b/>
        </w:rPr>
        <w:t>Available abstract (not full text):</w:t>
      </w:r>
      <w:r>
        <w:t xml:space="preserve"> The logistics industry is responsible for a significant amount of carbon emissions because it relies heavily on fossil fuels for transportation, uses a lot of energy in warehouses, and has complicated networks for distributing goods. In Saudi Arabia, the economy is growing quickly and there are a lot of new buildings. This has increased the amount of goods being moved around, which has made the environment more polluted. In reply, Saudi Vision 2030 is very focused on being kind to the environment and on reducing the carbon footprint of the economy. This study looks at ways to reduce carbon emissions in the logistics sector of Saudi Arabia. It focuses on using techniques to manage supply chains in a way that is good for the environment. The paper uses a detailed review of academic literature, policy documents, and industry reports to identify important green strategies that can be used in Saudi logistics, such as buying products and services in ways that do not harm the environment, using transportation systems that use less energy, using renewable energy, using digital technologies to make processes more efficient, and managing supply chains in a way that is collaborative. The analysis shows how these practices can reduce greenhouse gas emissions while also improving how well the company works, how it controls its costs, and its ability to compete with other companies. The resu</w:t>
      </w:r>
    </w:p>
    <w:p>
      <w:pPr/>
      <w:r>
        <w:rPr>
          <w:b/>
        </w:rPr>
        <w:t>POSSIBLE 2026:</w:t>
      </w:r>
      <w:r>
        <w:t xml:space="preserve"> Pollution, Density and Low Emission Zones: European Evidence — https://doi.org/10.53479/44145</w:t>
      </w:r>
    </w:p>
    <w:p>
      <w:pPr/>
      <w:r>
        <w:rPr>
          <w:b/>
        </w:rPr>
        <w:t>Shared claim-specific concepts:</w:t>
      </w:r>
      <w:r>
        <w:t xml:space="preserve"> find, emission, reductions, also;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Regional aerosol emission reductions alter tropical circulation — https://doi.org/10.1088/2752-5295/ae9c63</w:t>
      </w:r>
    </w:p>
    <w:p>
      <w:pPr/>
      <w:r>
        <w:rPr>
          <w:b/>
        </w:rPr>
        <w:t>Shared claim-specific concepts:</w:t>
      </w:r>
      <w:r>
        <w:t xml:space="preserve"> find, emission, reductions, lead, also, contribute; EU scope visible. This is a provisional connection, not an outcome finding.</w:t>
      </w:r>
    </w:p>
    <w:p>
      <w:pPr>
        <w:pStyle w:val="SourceNote"/>
      </w:pPr>
      <w:r>
        <w:rPr>
          <w:b/>
        </w:rPr>
        <w:t>Available abstract (not full text):</w:t>
      </w:r>
      <w:r>
        <w:t xml:space="preserve"> Abstract Anthropogenic aerosol emissions are projected to decline rapidly in the near future as air quality regulations strengthen. Crucially, however, the response of large-scale atmospheric circulation to these reductions remains a major source of uncertainty. Here, we use multi-model ensembles from Regional Aerosol Model Intercomparison Project to provide a diagnostic assessment of tropical circulation changes in response to global and regional aerosol reductions during 2015–2050. We find that global aerosol reductions lead to a poleward expansion of the Northern Hemisphere (NH) tropical width by 0.10° ± 0.08°, a weakening of the NH Hadley Circulation (HC) by 1.77 ± 1.09 10 9 kg s −1 and a strengthening of the Southern Hemisphere HC by 2.53 ± 1.30 10 9 kg s −1 . The Intertropical Convergence Zone (ITCZ) also shows a northward shift by 0.19° ± 0.10°. These meridional circulation changes consistently emerge across the regional experiments, with aerosol reductions over East Asia and North America + Europe contributing the most. Although the response of the zonal Pacific Walker circulation to global aerosol reductions is not statistically significant, models show a strengthening tendency that is significant under Africa + Middle East aerosol reductions. Notably, the ITCZ response to greenhouse gas forcing is weak and uncertain, whereas aerosol reductions produce a stronger and m</w:t>
      </w:r>
    </w:p>
    <w:p>
      <w:pPr/>
      <w:r>
        <w:rPr>
          <w:b/>
        </w:rPr>
        <w:t>POSSIBLE 2026:</w:t>
      </w:r>
      <w:r>
        <w:t xml:space="preserve"> Lobito corridor development and the DRC mining sector: state of play and Implications for mineral supply chains — https://doi.org/10.25928/q1je-z893</w:t>
      </w:r>
    </w:p>
    <w:p>
      <w:pPr/>
      <w:r>
        <w:rPr>
          <w:b/>
        </w:rPr>
        <w:t>Shared claim-specific concepts:</w:t>
      </w:r>
      <w:r>
        <w:t xml:space="preserve"> sector, transport, but, climate; EU scope visible. This is a provisional connection, not an outcome finding.</w:t>
      </w:r>
    </w:p>
    <w:p>
      <w:pPr>
        <w:pStyle w:val="SourceNote"/>
      </w:pPr>
      <w:r>
        <w:rPr>
          <w:b/>
        </w:rPr>
        <w:t>Available abstract (not full text):</w:t>
      </w:r>
      <w:r>
        <w:t xml:space="preserve"> The Lobito Corridor has emerged as one of the most geopolitically prominent infrastructure initiatives in Sub-Saharan Africa, linking the Central African Copperbelt of the Democratic Republic of the Congo (DRC) and Zambia to the Atlantic seaport of Lobito in Angola. In the context of rapidly rising global demand for Critical Raw Materials such as copper and cobalt, the corridor is increasingly framed not only as a transport infrastructure project, but as a geopolitical and economic instrument. The United States and the European Union have elevated the corridor under initiatives such as the Partnership for Global Infrastructure and Investment and Global Gateway, positioning it as a Western alternative to China dominated supply chains and infrastructure influence across Africa. The present study was commissioned by the Federal Institute for Geosciences and Natural Resources (BGR) as part of the German-Congolese development cooperation in the mining sector. It assesses the Lobito Corridor’s current state, future development scenarios, and its mining sector-specific implications for the DRC. Based on an interdisciplinary research process combining desk research, fieldwork, and 40 stakeholder interviews across industry, logistics, government &amp; regulatory bodies, civil society, academia, and financing institutions, the report aims to provide an objective evaluation of opportunities a</w:t>
      </w:r>
    </w:p>
    <w:p>
      <w:pPr/>
      <w:r>
        <w:rPr>
          <w:b/>
        </w:rPr>
        <w:t>POSSIBLE 2026:</w:t>
      </w:r>
      <w:r>
        <w:t xml:space="preserve"> Balancing economic growth and emission reductions: an empirical study of the European Union — https://doi.org/10.15196/rs160307</w:t>
      </w:r>
    </w:p>
    <w:p>
      <w:pPr/>
      <w:r>
        <w:rPr>
          <w:b/>
        </w:rPr>
        <w:t>Shared claim-specific concepts:</w:t>
      </w:r>
      <w:r>
        <w:t xml:space="preserve"> emission, reductions, energy, sector; EU scope visible. This is a provisional connection, not an outcome finding.</w:t>
      </w:r>
    </w:p>
    <w:p>
      <w:pPr>
        <w:pStyle w:val="SourceNote"/>
      </w:pPr>
      <w:r>
        <w:rPr>
          <w:b/>
        </w:rPr>
        <w:t>Available abstract (not full text):</w:t>
      </w:r>
      <w:r>
        <w:t xml:space="preserve"> ordinary least squares, outward foreign direct investment, CO 2 emissions A key problem today is reducing greenhouse gas (GHG) emissions and environmental damage without hampering economic growth.This study aims to analyse the main determinants of GHG in the European Union (EU) countries for the period 2004-2022 in view of the Paris Agreement and the Green Deal objectives.This analysis aims to examine the validity of the environmental Kuznets curve (EKC) in EU member states.We aim to explore if any increase in foreign direct investment (FDI) and the share of the service sector shows significantly effective carbon dioxide (CO 2 ) emissions.The results show if economic growth (real gross domestic product [GDP] per capita), final energy consumption per capita, and the share of fossil fuels have a significant positive effect on GHG emissions.Reducing fossil fuels and increasing energy efficiency can lower emissions.The significant impact of capital leakage on CO 2 emissions cannot be clearly determined from the panel analysis.Growth in the services sector's share of GDP contributes to emission reductions.Fully modified ordinary least squares (FMOLS), dynamic ordinary least squares (DOLS), fixed effect, random effect panel models, cointegration models, k-means cluster analysis and comparative analysis were used for the analysis.The models suggest a possible turning point in the EKC;</w:t>
      </w:r>
    </w:p>
    <w:p>
      <w:pPr/>
      <w:r>
        <w:rPr>
          <w:b/>
        </w:rPr>
        <w:t>POSSIBLE 2026:</w:t>
      </w:r>
      <w:r>
        <w:t xml:space="preserve"> Majority of methane emissions from European biogas plant supply chains could be eliminated at no net cost — https://doi.org/10.1038/s44458-026-00065-3</w:t>
      </w:r>
    </w:p>
    <w:p>
      <w:pPr/>
      <w:r>
        <w:rPr>
          <w:b/>
        </w:rPr>
        <w:t>Shared claim-specific concepts:</w:t>
      </w:r>
      <w:r>
        <w:t xml:space="preserve"> energy, dominant, but, mitigation; EU scope visible. This is a provisional connection, not an outcome finding.</w:t>
      </w:r>
    </w:p>
    <w:p>
      <w:pPr>
        <w:pStyle w:val="SourceNote"/>
      </w:pPr>
      <w:r>
        <w:rPr>
          <w:b/>
        </w:rPr>
        <w:t>Available abstract (not full text):</w:t>
      </w:r>
      <w:r>
        <w:t xml:space="preserve"> Abstract Biogas, and its purified form – biomethane, offers substantial low-carbon energy potential, but uncertainties regarding methane emissions may undermine this benefit. This study addresses this uncertainty through a mixed-method emissions survey across three European countries, combined with environmental assessment, mitigation analysis and regional policy comparison. Our findings reveal that methane emissions from biogas production average 14.4 kg/h per site (5.4% of methane produced) with a range of 1.3-57 kg/h (2%-21.7%). These values exceed previous estimates, yet 59% of emissions could be eliminated at no net cost. When considering full supply chain emissions, methane emerged as the dominant greenhouse gas, accounting for 47% (18-93%) and 60% (34-94%) of greenhouse gases over 100- and 20-year time horizons, respectively. We advocate for EU and national policy revisions to better account for methane’s contribution and enhance emissions monitoring, highlighting the need for policy interventions incorporating recent advances in methane measurement and cost-effective mitigation strategies.</w:t>
      </w:r>
    </w:p>
    <w:p>
      <w:pPr/>
      <w:r>
        <w:rPr>
          <w:b/>
        </w:rPr>
        <w:t>POSSIBLE 2025:</w:t>
      </w:r>
      <w:r>
        <w:t xml:space="preserve"> Impacts of Ownership Changes on Emissions and Industrial Production: Evidence from Europe — https://doi.org/10.1086/735858</w:t>
      </w:r>
    </w:p>
    <w:p>
      <w:pPr/>
      <w:r>
        <w:rPr>
          <w:b/>
        </w:rPr>
        <w:t>Shared claim-specific concepts:</w:t>
      </w:r>
      <w:r>
        <w:t xml:space="preserve"> find, reductions; EU scope visible. This is a provisional connection, not an outcome finding.</w:t>
      </w:r>
    </w:p>
    <w:p>
      <w:pPr>
        <w:pStyle w:val="SourceNote"/>
      </w:pPr>
      <w:r>
        <w:rPr>
          <w:b/>
        </w:rPr>
        <w:t>Available abstract (not full text):</w:t>
      </w:r>
      <w:r>
        <w:t xml:space="preserve"> Firm ownership is a major determinant for the economic performance of firms, and emissions of pollutants are often by-products of industrial production. We investigate the impact of ownership on pollutant emissions of firms and their industrial facilities in Europe jointly with their output, productivity, and other key economic outcomes. To disentangle the influence of ownership from other firm characteristics, we analyse the effects of ownership changes in an event-study approach. We find that facilities and firms do not change their emissions and emissions intensity if they remain in operation after a change in ownership. Firms that shut down after acquisition strongly reduce their emissions via reductions in output. The reductions cannot be attributed to the ownership change as they already start before acquisition. There is no evidence for transfers in pollution abatement technologies between target and acquiring parent company. Overall, we do not find environmental benefits from ownership changes.</w:t>
      </w:r>
    </w:p>
    <w:p>
      <w:pPr/>
      <w:r>
        <w:rPr>
          <w:b/>
        </w:rPr>
        <w:t>POSSIBLE 2025:</w:t>
      </w:r>
      <w:r>
        <w:t xml:space="preserve"> The impact of carbon pricing on tourist destinations: Shifts in demand, supply and emissions in the European aviation market — https://doi.org/10.1016/j.ecotra.2025.100414</w:t>
      </w:r>
    </w:p>
    <w:p>
      <w:pPr/>
      <w:r>
        <w:rPr>
          <w:b/>
        </w:rPr>
        <w:t>Shared claim-specific concepts:</w:t>
      </w:r>
      <w:r>
        <w:t xml:space="preserve"> find, sector; EU scope visible. This is a provisional connection, not an outcome finding.</w:t>
      </w:r>
    </w:p>
    <w:p>
      <w:pPr>
        <w:pStyle w:val="SourceNote"/>
      </w:pPr>
      <w:r>
        <w:rPr>
          <w:b/>
        </w:rPr>
        <w:t>Available abstract (not full text):</w:t>
      </w:r>
      <w:r>
        <w:t xml:space="preserve"> This paper provides novel evidence of the impact of the European Union Emissions Trading System (EU ETS) as applied to the aviation sector on tourist destinations. We use annual data at the route level for the period 2010–2022 and consider a sample comprising a large set of European cities of origin, on the one hand, and tourist destinations in Europe, North and West Africa and the Middle East, on the other. We apply a difference-in-differences analysis to a matched sample and find that the EU ETS has led to less emissions, less flights and to a lower extent less seats. In contrast, we do not find a negative impact of the EU ETS on passenger numbers. While the attractiveness of tourist destinations in Europe does not seem to have been affected by the EU ETS, our results suggest that it has promoted greater efficiency in airline operations. • Novel evidence of the impact of the EU ETS on tourist destinations. • We use a difference-in-differences analysis on route-level data from 2010 to 2022. • The EU ETS reduced emissions, flights, and, to a lesser extent, available seats. • No significant negative impact of the EU ETS on passenger numbers was found. • The EU ETS improved airline efficiency without harming Europe's tourism appeal.</w:t>
      </w:r>
    </w:p>
    <w:p>
      <w:pPr/>
      <w:r>
        <w:rPr>
          <w:b/>
        </w:rPr>
        <w:t>POSSIBLE 2025:</w:t>
      </w:r>
      <w:r>
        <w:t xml:space="preserve"> Trade-offs in the integration of biogenic CO2-based supply chains for storage and use in the transport sector — https://doi.org/10.2139/ssrn.5076099</w:t>
      </w:r>
    </w:p>
    <w:p>
      <w:pPr/>
      <w:r>
        <w:rPr>
          <w:b/>
        </w:rPr>
        <w:t>Shared claim-specific concepts:</w:t>
      </w:r>
      <w:r>
        <w:t xml:space="preserve"> sector, transport;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Mitigating CO2 emissions associated with digital economy sectors through whole supply chain management — https://doi.org/10.1371/journal.pone.0323350</w:t>
      </w:r>
    </w:p>
    <w:p>
      <w:pPr/>
      <w:r>
        <w:rPr>
          <w:b/>
        </w:rPr>
        <w:t>Shared claim-specific concepts:</w:t>
      </w:r>
      <w:r>
        <w:t xml:space="preserve"> sector; EU scope not established. This is a provisional connection, not an outcome finding.</w:t>
      </w:r>
    </w:p>
    <w:p>
      <w:pPr>
        <w:pStyle w:val="SourceNote"/>
      </w:pPr>
      <w:r>
        <w:rPr>
          <w:b/>
        </w:rPr>
        <w:t>Available abstract (not full text):</w:t>
      </w:r>
      <w:r>
        <w:t xml:space="preserve"> As China's digital economy sectors rapidly expand, the growing demand for coal-based electricity has become a significant source of CO2 emissions. However, the mechanism driving these emissions within supply chains remain unclear, hindering targeted carbon management. This study addresses this gap by providing a comprehensive analysis of CO2 emissions thorough the whole supply chain perspective, covering income-, production-, betweenness-, and consumption-based perspectives, along with upstream and downstream supply chain paths. It employs Leontief and Ghosh input-output (IO) frameworks and structural path analysis. The results indicate: (1) The core industry sector of the digital economy (CIDE) ranks highest in CO2 emissions from consumption-based perspective, while the industrial digitalization sector (IDS) ranks highest from both consumption- and betweenness-based perspectives. (2) Inter provincial flows are the main source driving the digital economy sectors' supply chain embodied CO2 emissions from consumption-based perspective, while labor compensation is the primary source driving its enabled CO2 emissions from income-based perspective. (3) High-carbon upstream and downstream supply chain paths driven by the digital economy sectors are short, with the power and heat production and supply sector and IDS playing crucial roles within these chains. Based on these findings, p</w:t>
      </w:r>
    </w:p>
    <w:p>
      <w:pPr>
        <w:pStyle w:val="Heading2"/>
      </w:pPr>
      <w:r>
        <w:t>721. Environmental and resource burdens associated with low carbon, more electric transition pathways to 2050: Footprint components from carbon emissions and land use to waste arisings and water consumption</w:t>
      </w:r>
    </w:p>
    <w:p>
      <w:pPr>
        <w:pStyle w:val="SourceNote"/>
      </w:pPr>
      <w:r>
        <w:rPr>
          <w:b/>
        </w:rPr>
        <w:t>Original source (2019):</w:t>
      </w:r>
      <w:r>
        <w:t xml:space="preserve"> https://doi.org/10.1016/j.glt.2019.01.001</w:t>
      </w:r>
    </w:p>
    <w:p>
      <w:pPr/>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POSSIBLE 2026:</w:t>
      </w:r>
      <w:r>
        <w:t xml:space="preserve"> Accounting for Income Inequality in Geospatial Electricity Demand Projections under the Shared Socioeconomic Pathways — https://doi.org/10.2139/ssrn.7483169</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Accounting for Income Inequality in Geospatial Electricity Demand Projections under the Shared Socioeconomic Pathways — https://doi.org/10.5281/zenodo.22078601</w:t>
      </w:r>
    </w:p>
    <w:p>
      <w:pPr/>
      <w:r>
        <w:rPr>
          <w:b/>
        </w:rPr>
        <w:t>Shared claim-specific concepts:</w:t>
      </w:r>
      <w:r>
        <w:t xml:space="preserve"> electricity, pathway, total, pathways, transition; EU scope not established. This is a provisional connection, not an outcome finding.</w:t>
      </w:r>
    </w:p>
    <w:p>
      <w:pPr>
        <w:pStyle w:val="SourceNote"/>
      </w:pPr>
      <w:r>
        <w:rPr>
          <w:b/>
        </w:rPr>
        <w:t>Available abstract (not full text):</w:t>
      </w:r>
      <w:r>
        <w:t xml:space="preserve"> These files represent the output of the Geospatial Residential Electricity Demand under Socioeconomic Inequality (GRED-SI) framework for a case study on Namibia. The output is in the format of GeoPackage files for each Shared Socioeconomic Pathway (SSP), ranging from 1 to 5. Each GeoPackage file contains layers for all modelled transition years, ranging from 2025 to 2050 in 5-year intervals. Each populated cell has the following attributes per scenario and year: Population count [capita] Income level [USD/capita] Electricity access status [True/False] Electrification class [0: unelectrified, 1: previously electrified, 2: newly electrified] Average residential electricity demand [kWh/capita] Total residential electricity demand [kWh] Multi-tier framework access tier [1-5]</w:t>
      </w:r>
    </w:p>
    <w:p>
      <w:pPr/>
      <w:r>
        <w:rPr>
          <w:b/>
        </w:rPr>
        <w:t>POSSIBLE 2026:</w:t>
      </w:r>
      <w:r>
        <w:t xml:space="preserve"> Photovoltaics at home: Current status, future pathways, and impacts on electricity demand — https://doi.org/10.66506/essp.4-187-26</w:t>
      </w:r>
    </w:p>
    <w:p>
      <w:pPr/>
      <w:r>
        <w:rPr>
          <w:b/>
        </w:rPr>
        <w:t>Shared claim-specific concepts:</w:t>
      </w:r>
      <w:r>
        <w:t xml:space="preserve"> electricity, pathways; EU scope visible. This is a provisional connection, not an outcome finding.</w:t>
      </w:r>
    </w:p>
    <w:p>
      <w:pPr>
        <w:pStyle w:val="SourceNote"/>
      </w:pPr>
      <w:r>
        <w:rPr>
          <w:b/>
        </w:rPr>
        <w:t>Available abstract (not full text):</w:t>
      </w:r>
      <w:r>
        <w:t xml:space="preserve"> Peer-reviewed paper 4-187-26 Rooftop photovoltaic (RPV) panels are becoming increasingly common in Europe. Public subsidies, declining technology costs, and attractive feed-in tariffs have helped to leverage this technology. In France, national-level statistics based on peak power are regularly updated by the French distribution system operator and other official bodies. However, they only offer a partial picture, as many variables needed to create accurate models are missing. To address this gap, the Base de Données Photovoltaïque (photovoltaic database) (BDPV), an initiative driven by an association of photovoltaic panel owners, collects comprehensive data on thousands of installations (13,777). While this database offers valuable insights, it relies on a voluntary basis and thus cannot guarantee statistical representativeness. In this paper, we compared and cross-referenced several data sources to create a consolidated representation of the stock of French residential RPV installations, including key variables required for modelling photovoltaic production (peak power, tilt angle, orientation). A photovoltaic model suitable for this level of detail was then developed and validated against the empirical daily production data for a sample of 1,000 RPVs from the BDPV. On average, the model exhibits a bias of 16% (NMBE) and a CVRMSE of 32%. Finally, using an initial prospective </w:t>
      </w:r>
    </w:p>
    <w:p>
      <w:pPr/>
      <w:r>
        <w:rPr>
          <w:b/>
        </w:rPr>
        <w:t>POSSIBLE 2026:</w:t>
      </w:r>
      <w:r>
        <w:t xml:space="preserve"> Pathways to meeting growing electricity demand through expanding customer choice: a review of emerging hybrid power choice policies and practices — https://doi.org/10.3389/fsuep.2026.1766514</w:t>
      </w:r>
    </w:p>
    <w:p>
      <w:pPr/>
      <w:r>
        <w:rPr>
          <w:b/>
        </w:rPr>
        <w:t>Shared claim-specific concepts:</w:t>
      </w:r>
      <w:r>
        <w:t xml:space="preserve"> electricity, pathways, here, estimate, united; EU scope not established. This is a provisional connection, not an outcome finding.</w:t>
      </w:r>
    </w:p>
    <w:p>
      <w:pPr>
        <w:pStyle w:val="SourceNote"/>
      </w:pPr>
      <w:r>
        <w:rPr>
          <w:b/>
        </w:rPr>
        <w:t>Available abstract (not full text):</w:t>
      </w:r>
      <w:r>
        <w:t xml:space="preserve"> State policies determine the degree to which commercial and industrial electricity customers can choose specified power supplies in the United States. Policies that enable customer choice have helped customers to manage electricity costs and achieve sustainability objectives. Customer choice could also mitigate the risk of increasing electricity demand leading to higher retail electricity prices. Here, our objective is to document how state-level policies have resulted in varying degrees of power choice in the United States. Unlike previous work that has focused on nationwide trends or in markets with ample customer choice, we focus on 18 states in the western and southeastern U.S. without wholesale power markets or retail electricity competition. We conducted a narrative review to explore how these states have implemented hybrid policies such as utility green tariffs and direct access provisions that grant customer choice to subsets of commercial and industrial customers. We leverage various public data sources to estimate that commercial and industrial customers procured about 34 million megawatt hours of electricity through hybrid choice pathways in the 18-state sample, representing about 4% of commercial and industrial demand in those states. Hybrid choice enables these customers to achieve sustainability goals, with commercial and industrial customers procuring around 17 m</w:t>
      </w:r>
    </w:p>
    <w:p>
      <w:pPr/>
      <w:r>
        <w:rPr>
          <w:b/>
        </w:rPr>
        <w:t>POSSIBLE 2026:</w:t>
      </w:r>
      <w:r>
        <w:t xml:space="preserve"> Empowering energy consumers in the EU : legal pathways for promoting renewable electricity through demand-side management — https://openalex.org/W7125460656</w:t>
      </w:r>
    </w:p>
    <w:p>
      <w:pPr/>
      <w:r>
        <w:rPr>
          <w:b/>
        </w:rPr>
        <w:t>Shared claim-specific concepts:</w:t>
      </w:r>
      <w:r>
        <w:t xml:space="preserve"> electricity, pathways, associated, three, transition; EU scope visible. This is a provisional connection, not an outcome finding.</w:t>
      </w:r>
    </w:p>
    <w:p>
      <w:pPr>
        <w:pStyle w:val="SourceNote"/>
      </w:pPr>
      <w:r>
        <w:rPr>
          <w:b/>
        </w:rPr>
        <w:t>Available abstract (not full text):</w:t>
      </w:r>
      <w:r>
        <w:t xml:space="preserve"> Facilitating the uptake of renewable electricity (RES-E) is central to advancing the sustainable energy transition and mitigating climate change. Early policy focused on decarbonizing electricity supply, while energy consumers were largely overlooked and cast as passive recipients of energy and prices. In recent years, however, empowering consumers has emerged as a vital step in transitioning towards an electricity system with high penetration of renewables. This book explores how the law on electricity demand-side management (DSM) operationalizes energy consumer empowerment by reshaping electricity consumption patterns. Through DSM measures, consumers are empowered to provide demand flexibility – crucial for integrating variable renewables – and to increase the share of renewables by purchasing RES-E or engaging in renewables generation. Focusing on EU law, this research examines key legal issues associated with developing an implementation framework for consumer empowerment within the context of the low-carbon energy transition. This book is based on Dr. Ting Chen’s PhD dissertation, defended on 19 May 2025. It lies at the intersection of three highly topical issues in EU law: consumer empowerment, electricity market regulation, and the promotion of renewables. Offering a timely contribution to EU energy law scholarship, it also provides valuable insights for other jurisdicti</w:t>
      </w:r>
    </w:p>
    <w:p>
      <w:pPr/>
      <w:r>
        <w:rPr>
          <w:b/>
        </w:rPr>
        <w:t>POSSIBLE 2026:</w:t>
      </w:r>
      <w:r>
        <w:t xml:space="preserve"> National Assessment of Net Zero Energy Building Adoption in India: Scenario-Based Electricity Demand and Carbon Mitigation Pathways toward 2070 — https://doi.org/10.2139/ssrn.7069017</w:t>
      </w:r>
    </w:p>
    <w:p>
      <w:pPr/>
      <w:r>
        <w:rPr>
          <w:b/>
        </w:rPr>
        <w:t>Shared claim-specific concepts:</w:t>
      </w:r>
      <w:r>
        <w:t xml:space="preserve"> electricity, pathways, carbon;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 system-level assessment of geological hydrogen storage, renewable generation and demand prediction for clean electricity pathways: A Great Britain case study — https://doi.org/10.1016/j.apenergy.2026.128171</w:t>
      </w:r>
    </w:p>
    <w:p>
      <w:pPr/>
      <w:r>
        <w:rPr>
          <w:b/>
        </w:rPr>
        <w:t>Shared claim-specific concepts:</w:t>
      </w:r>
      <w:r>
        <w:t xml:space="preserve"> electricity, but, pathways, here, low; EU scope not established. This is a provisional connection, not an outcome finding.</w:t>
      </w:r>
    </w:p>
    <w:p>
      <w:pPr>
        <w:pStyle w:val="SourceNote"/>
      </w:pPr>
      <w:r>
        <w:rPr>
          <w:b/>
        </w:rPr>
        <w:t>Available abstract (not full text):</w:t>
      </w:r>
      <w:r>
        <w:t xml:space="preserve"> High variable renewable energy (VRE) systems require flexibility that can maintain adequacy during multi-day renewable shortfalls while absorbing periods of surplus generation. This study evaluates the role of geological hydrogen storage in future Great Britain electricity pathways using a time-resolved dispatch model that combines historical half-hourly generation and demand data with National Energy System Operator (NESO) aligned capacity, storage and electrified-demand scenarios for 2030–2040. The model explicitly represents electrolysis, underground hydrogen storage, hydrogen storage losses and hydrogen-to-power dispatch, and compares baseline and accelerated deployment pathways. Results show that accelerated hydrogen deployment has a stronger adequacy benefit than accelerated renewable and battery deployment alone. In 2030, all acceleration pathways reduce the unabated gas generation share from 4.61% to approximately 1%. However, by 2040, accelerated hydrogen and electrolysis can reduce the remaining peak unabated gas requirement to zero, whereas accelerated renewables and batteries still leave approximately 15 GW. Hydrogen-system performance is strongly governed by storage availability. Under NESO and Low storage scenarios, storage saturation causes up to 60 TWh of hydrogen production to remain unstored in 2035 across pathways. In contrast, the High storage scenario elimi</w:t>
      </w:r>
    </w:p>
    <w:p>
      <w:pPr/>
      <w:r>
        <w:rPr>
          <w:b/>
        </w:rPr>
        <w:t>POSSIBLE 2026:</w:t>
      </w:r>
      <w:r>
        <w:t xml:space="preserve"> Capturing the Actual Electricity Demand Considering Meteorological Impacts: Electricity Demand Trends in FY2020-2024 — https://doi.org/10.1541/ieejpes.146.205</w:t>
      </w:r>
    </w:p>
    <w:p>
      <w:pPr/>
      <w:r>
        <w:rPr>
          <w:b/>
        </w:rPr>
        <w:t>Shared claim-specific concepts:</w:t>
      </w:r>
      <w:r>
        <w:t xml:space="preserve"> electricity, associated; EU scope not established. This is a provisional connection, not an outcome finding.</w:t>
      </w:r>
    </w:p>
    <w:p>
      <w:pPr>
        <w:pStyle w:val="SourceNote"/>
      </w:pPr>
      <w:r>
        <w:rPr>
          <w:b/>
        </w:rPr>
        <w:t>Available abstract (not full text):</w:t>
      </w:r>
      <w:r>
        <w:t xml:space="preserve"> This study develops a framework to continuously monitor nationwide and regional electricity demand trends after removing weather effects. Using hourly data from April 2019 to March 2025, multiple linear regression models incorporating meteorological and calendar variables estimated “weather-adjusted demand” based on the 30-year climate average (1991-2020). Results show that national demand declined in FY2020 due to COVID-19 impacts, recovered in FY2021, and then declined again from FY2022 onward, with FY2023 and FY2024 both around 3.8% below FY2019 levels. This pattern was consistent with official demand projections and final energy consumption statistics. Regional analysis indicated smaller declines in Kyushu and Okinawa, while most other regions showed decreasing trends compared to FY2019. Regression analysis indicated that weather-adjusted demand was positively associated with the Index of Industrial Production and negatively associated with electricity prices, while a 2023-specific factor also contributed to demand reduction. This study demonstrates the utility of a weather-adjusted demand monitoring framework that enables multi-granular analysis (annual, monthly, hourly) across all supply areas. While the results enhance understanding of recent demand trends, further research and the combination of various insights are needed to fully elucidate the drivers of electricity d</w:t>
      </w:r>
    </w:p>
    <w:p>
      <w:pPr/>
      <w:r>
        <w:rPr>
          <w:b/>
        </w:rPr>
        <w:t>POSSIBLE 2026:</w:t>
      </w:r>
      <w:r>
        <w:t xml:space="preserve"> Cooling the Kingdom: Long-Term Impacts of Climate Change on Electricity Demand and Household Expenditure in Saudi Arabia — https://doi.org/10.30573/ks--2026-dp03</w:t>
      </w:r>
    </w:p>
    <w:p>
      <w:pPr/>
      <w:r>
        <w:rPr>
          <w:b/>
        </w:rPr>
        <w:t>Shared claim-specific concepts:</w:t>
      </w:r>
      <w:r>
        <w:t xml:space="preserve"> electricity, pathway, pathways, kingdom; EU scope not established. This is a provisional connection, not an outcome finding.</w:t>
      </w:r>
    </w:p>
    <w:p>
      <w:pPr>
        <w:pStyle w:val="SourceNote"/>
      </w:pPr>
      <w:r>
        <w:rPr>
          <w:b/>
        </w:rPr>
        <w:t>Available abstract (not full text):</w:t>
      </w:r>
      <w:r>
        <w:t xml:space="preserve"> This study examines the long-term impacts of climate change on thermal comfort, energy demand, and household electricity expenditure in Saudi Arabia using a scenario-based modeling approach. The analysis is conducted by utilizing a multi-sector integrated assessment model (IAM) for Saudi Arabia (GCAM-KSA), which integrates regionally updated Shared Socioeconomic Pathways (SSPs) with two Representative Concentration Pathways (RCPs). Results indicate an increase in cooling degree days (CDD) and a corresponding decline in heating degree days (HDD) across all scenarios, leading to an 80% increase in national cooling service demand by 2100. These changes drive growth in building electricity consumption of up to 20% due to climate impacts alone, and increase household electricity expenditures by 8% to 33%, depending on the scenario. We explain these results in terms of the basic drivers linking regional climate to energy demand, highlighting that under the low-emissions RCP2.6 pathway, which reflects Saudi Arabia’s net-zero target by 2060, increased expenditures are primarily driven by enhanced access to services and rising living standards rather than higher energy costs.</w:t>
      </w:r>
    </w:p>
    <w:p>
      <w:pPr/>
      <w:r>
        <w:rPr>
          <w:b/>
        </w:rPr>
        <w:t>POSSIBLE 2026:</w:t>
      </w:r>
      <w:r>
        <w:t xml:space="preserve"> Optimizing Renewable Energy to Meet Malawi's Electricity Demand — https://doi.org/10.5281/zenodo.18499321</w:t>
      </w:r>
    </w:p>
    <w:p>
      <w:pPr/>
      <w:r>
        <w:rPr>
          <w:b/>
        </w:rPr>
        <w:t>Shared claim-specific concepts:</w:t>
      </w:r>
      <w:r>
        <w:t xml:space="preserve"> electricity, significantly, pathway, but, pathways, three; EU scope not established. This is a provisional connection, not an outcome finding.</w:t>
      </w:r>
    </w:p>
    <w:p>
      <w:pPr>
        <w:pStyle w:val="SourceNote"/>
      </w:pPr>
      <w:r>
        <w:rPr>
          <w:b/>
        </w:rPr>
        <w:t>Available abstract (not full text):</w:t>
      </w:r>
      <w:r>
        <w:t xml:space="preserve"> Malawi’s electricity system is heavily dependent on hydropower, making it vulnerable to climate variability, supply insecurity, and fossil-fuel backup. This study uses OSeMOSYS to assess least-cost and reliable electricity pathways for Malawi from 2022 to 2050 under three scenarios: Business-as-Usual, renewable expansion without storage, and renewable expansion with Battery Energy Storage Systems (BESS). Results show that while the BAU pathway has lower short-term capital requirements, it increases long-term reliability and fuel price risks. Solar PV expansion significantly reduces emissions and system costs, but reliable outcomes are achieved only when supported by adequate storage. The study highlights the importance of a coordinated renewables-plus-storage strategy for improving energy security and enabling a resilient low-carbon transition.</w:t>
      </w:r>
    </w:p>
    <w:p>
      <w:pPr/>
      <w:r>
        <w:rPr>
          <w:b/>
        </w:rPr>
        <w:t>POSSIBLE 2026:</w:t>
      </w:r>
      <w:r>
        <w:t xml:space="preserve"> Net-zero pathways and the future of GB electricity transmission networks — https://openalex.org/W7113082078</w:t>
      </w:r>
    </w:p>
    <w:p>
      <w:pPr/>
      <w:r>
        <w:rPr>
          <w:b/>
        </w:rPr>
        <w:t>Shared claim-specific concepts:</w:t>
      </w:r>
      <w:r>
        <w:t xml:space="preserve"> electricity, pathway, pathways; EU scope not established. This is a provisional connection, not an outcome finding.</w:t>
      </w:r>
    </w:p>
    <w:p>
      <w:pPr>
        <w:pStyle w:val="SourceNote"/>
      </w:pPr>
      <w:r>
        <w:rPr>
          <w:b/>
        </w:rPr>
        <w:t>Available abstract (not full text):</w:t>
      </w:r>
      <w:r>
        <w:t xml:space="preserve"> The UK government set a legally binding net-zero greenhouse gas emission target aiming for a fully decarbonized energy system by 2050. Achieving this will require major reforms in the electricity market. However, a clear, officially recognized pathway to decarbonization has yet to be provided. Several research organizations including the Energy Systems Catapult, the National Energy System Operatthe Centere Center for Alternative Tech and the Climate Change Committee have proposed decarbonization pathways. Although these pathways differ in their assumptions and approaches, they all anticipate a significant increase in both electricity demand and renewable generation. In these scenarios, electricity generation is projected to increase by 51% to 160% by 2050, creating both opportunities and challenges for the power transmission network of GB. In this study, we employ a modeling framework to examine the potential impacts of these decarbonization policies on the Great Britain electricity transmission system up to 2050. We identify likely congestion points and critical transmission lines under the predicted growth in load and generation across all seven pathways, providing information to support planning for a resilient and low-carbon electricity network.</w:t>
      </w:r>
    </w:p>
    <w:p>
      <w:pPr/>
      <w:r>
        <w:rPr>
          <w:b/>
        </w:rPr>
        <w:t>POSSIBLE 2026:</w:t>
      </w:r>
      <w:r>
        <w:t xml:space="preserve"> Electricity demand and grid impacts of AI data centers: Challenges and prospects — https://doi.org/10.1016/j.ynexs.2026.100162</w:t>
      </w:r>
    </w:p>
    <w:p>
      <w:pPr/>
      <w:r>
        <w:rPr>
          <w:b/>
        </w:rPr>
        <w:t>Shared claim-specific concepts:</w:t>
      </w:r>
      <w:r>
        <w:t xml:space="preserve"> electricity, three, electric; EU scope not established. This is a provisional connection, not an outcome finding.</w:t>
      </w:r>
    </w:p>
    <w:p>
      <w:pPr>
        <w:pStyle w:val="SourceNote"/>
      </w:pPr>
      <w:r>
        <w:rPr>
          <w:b/>
        </w:rPr>
        <w:t>Available abstract (not full text):</w:t>
      </w:r>
      <w:r>
        <w:t xml:space="preserve"> The rapid growth of artificial intelligence (AI) is driving an unprecedented increase in the electricity demand of AI data centers, raising emerging challenges for electric power grids. Understanding the characteristics of AI data center loads and their interactions with the grid is therefore critical for ensuring both reliable power system operation and sustainable AI development. This paper provides a comprehensive review and vision of this evolving landscape. Specifically, this paper (i) presents an overview of AI data center infrastructure and its key components, (ii) examines the key characteristics and patterns of electricity demand across the stages of model preparation, training, fine-tuning, and inference, (iii) analyzes the critical challenges that AI data center loads pose to power systems across three interrelated timescales, including long-term planning and interconnection, short-term operation and electricity markets, and real-time dynamics and stability, and (iv) discusses potential solutions from the perspectives of the grid, AI data centers, and AI end-users to address these challenges. By synthesizing current knowledge and outlining future directions, this review aims to guide research and development in support of the joint advancement of AI data centers and power systems toward reliable, efficient, and sustainable operation.</w:t>
      </w:r>
    </w:p>
    <w:p>
      <w:pPr>
        <w:pStyle w:val="Heading2"/>
      </w:pPr>
      <w:r>
        <w:t>722. European electricity sector decarbonization under different levels of foresight</w:t>
      </w:r>
    </w:p>
    <w:p>
      <w:pPr>
        <w:pStyle w:val="SourceNote"/>
      </w:pPr>
      <w:r>
        <w:rPr>
          <w:b/>
        </w:rPr>
        <w:t>Original source (2019):</w:t>
      </w:r>
      <w:r>
        <w:t xml:space="preserve"> https://doi.org/10.1016/j.renene.2019.02.099</w:t>
      </w:r>
    </w:p>
    <w:p>
      <w:pPr/>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POSSIBLE 2026:</w:t>
      </w:r>
      <w:r>
        <w:t xml:space="preserve"> Carbon reduction commitment, carbon emission intensity, and financial default risk: An empirical analysis of European firms — https://doi.org/10.1177/0958305x261481733</w:t>
      </w:r>
    </w:p>
    <w:p>
      <w:pPr/>
      <w:r>
        <w:rPr>
          <w:b/>
        </w:rPr>
        <w:t>Shared claim-specific concepts:</w:t>
      </w:r>
      <w:r>
        <w:t xml:space="preserve"> union, set, reduce, carbon, intensity, emission; EU scope visible. This is a provisional connection, not an outcome finding.</w:t>
      </w:r>
    </w:p>
    <w:p>
      <w:pPr>
        <w:pStyle w:val="SourceNote"/>
      </w:pPr>
      <w:r>
        <w:rPr>
          <w:b/>
        </w:rPr>
        <w:t>Available abstract (not full text):</w:t>
      </w:r>
      <w:r>
        <w:t xml:space="preserve"> This study uses publicly listed companies headquartered in Europe (including the European Union and the United Kingdom) as a sample of 3299 observations to explore the relationship between corporate carbon reduction commitments, carbon emissions intensity, and financial default risk. Carbon reduction commitment is one of the climate transition risks (CTRs) faced by companies. This study uses a dummy variable representing whether a company has set a carbon reduction target percentage, based on data from the Refinitiv Eikon database, as a proxy for carbon reduction commitment. The data covers the period from 2016 to 2022. The study employs Altman's Z-score, Altman's modified Z’’-score (ZZ model), and Zmijewski's ZM-score models, with variable transformations to measure financial default risk. The empirical results show that higher carbon emissions intensity in Scope 1 and Scope 2 correlates with higher financial default risk. Companies with carbon reduction commitments have lower financial default risk. Further analysis using the interaction term between carbon emissions intensity and carbon reduction commitment reveals that for companies with higher carbon emissions intensity in Scope 1 and Scope 2, carbon reduction commitments have a moderating effect, reducing their financial default risk. This suggests that companies with targets to reduce greenhouse gas emissions can better </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union, set, carbon, intensity, co2, approach;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Land carbon sinks in the European Union are not keeping pace with carbon neutrality expectations — https://doi.org/10.1007/s43979-026-00185-8</w:t>
      </w:r>
    </w:p>
    <w:p>
      <w:pPr/>
      <w:r>
        <w:rPr>
          <w:b/>
        </w:rPr>
        <w:t>Shared claim-specific concepts:</w:t>
      </w:r>
      <w:r>
        <w:t xml:space="preserve"> union, reduce, carbon, substantially, reduction; EU scope visible. This is a provisional connection, not an outcome finding.</w:t>
      </w:r>
    </w:p>
    <w:p>
      <w:pPr>
        <w:pStyle w:val="SourceNote"/>
      </w:pPr>
      <w:r>
        <w:rPr>
          <w:b/>
        </w:rPr>
        <w:t>Available abstract (not full text):</w:t>
      </w:r>
      <w:r>
        <w:t xml:space="preserve"> Abstract The European Union has substantially reduced greenhouse-gas emissions since 1990, yet the land use, land-use change and forestry (LULUCF) sink has not strengthened in parallel. The EU-27 LULUCF balance was approximately −231 MtCO₂e in 2024, while the latest Member State projections indicate a remaining gap of 40–55 MtCO₂e to the binding −310 MtCO₂e target for 2030. Here, we synthesise recent assessments to examine the drivers of this weakening in the land carbon sink and their implications for the effectiveness of climate mitigation policy. Declining forest growth, increased harvesting, climate-driven disturbances, and rising biomass demand reduce net carbon uptake, with one 2040 GLOBIOM sensitivity analysis indicating an approximately 100 MtCO₂e reduction in the LULUCF sink under an additional 20 Mtoe of woody-biomass demand. Concurrently, the EU inventory reported 52.7% uncertainty in the 2022 LULUCF level and 29.4% uncertainty in its trend, while important soil-carbon dynamics remain incompletely represented. These findings indicate that current climate policy frameworks implicitly assume stable, scalable, and rapidly deliverable land-based removals, whereas land carbon sinks are dynamic, disturbance-sensitive, and constrained by biophysical limits. Addressing this mismatch requires land-removal plans to be evaluated through dependable removal capacity, combining ex</w:t>
      </w:r>
    </w:p>
    <w:p>
      <w:pPr/>
      <w:r>
        <w:rPr>
          <w:b/>
        </w:rPr>
        <w:t>POSSIBLE 2026:</w:t>
      </w:r>
      <w:r>
        <w:t xml:space="preserve"> Digital Infrastructure as a Catalyst for Low-Carbon Development: A Panel Data Analysis of the European Union — https://doi.org/10.47852/bonviewglce62029727</w:t>
      </w:r>
    </w:p>
    <w:p>
      <w:pPr/>
      <w:r>
        <w:rPr>
          <w:b/>
        </w:rPr>
        <w:t>Shared claim-specific concepts:</w:t>
      </w:r>
      <w:r>
        <w:t xml:space="preserve"> union, reduce, carbon, intensity, reducing; EU scope visible. This is a provisional connection, not an outcome finding.</w:t>
      </w:r>
    </w:p>
    <w:p>
      <w:pPr>
        <w:pStyle w:val="SourceNote"/>
      </w:pPr>
      <w:r>
        <w:rPr>
          <w:b/>
        </w:rPr>
        <w:t>Available abstract (not full text):</w:t>
      </w:r>
      <w:r>
        <w:t xml:space="preserve"> This study examines how digital infrastructure expansion shaped carbon intensity across the EU-27 member states from 2015 to 2021. Using a Fixed Effects panel model with White Diagonal robust standard errors, the research tests for an Environmental Kuznets Curve (EKC) pattern in digital adoption. The results of the empirical analysis confirm an inverted U-shaped relationship between fixed broadband penetration and carbon intensity, reaching an inflection threshold at approximately 24.8 subscriptions per 100 residents. Initial infrastructure build-outs raise emissions due to added power requirements. Once networks cross this 24.8 threshold, structural efficiency gains and automated energy monitoring reduce overall carbon intensity. These findings indicate that while early-stage digital expansion initially correlates with higher energy demand, advanced digitalization is associated with lower carbon intensity, reflecting structural efficiency and better energy control. Furthermore, the analysis highlights the key contribution of renewable energy and economic development in reducing the EU's environmental impact. Additional channels and heterogeneity analyses indicate that broadband connectivity is positively associated with renewable-energy deployment and that its decarbonization effect is significantly stronger in countries with higher digital maturity. These findings support a c</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union, carbon, other, emission, periods;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Bosnian Lobbying: Participation of European Diasporas in the Integration of Bosnia and Herzegovina into the European Union — https://openalex.org/W7222991958</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The master's thesis deals with the issue of Lobbying by Bosnian-Herzegovinian diaspora organizations operating in the member states of the European Union in connection with the support of Bosnia and Herzegovina's integration into the European Union. It connects theoretical knowledge about lobbying, interest groups, diaspora and the institutional framework of the European Union with empirical research focused on the activities of selected diasporic organizations. The aim of the thesis is to identify the strategies, techniques and tools that these organizations use in promoting support for the european integration of Bosnia and Herzegovina, and to compare them with the concepts of lobbying described in the academic literature. The research was carried out in three stages. First, a research of academic literature was conducted and a theoretical framework for the work was created. Subsequently, a research set of Bosnian- Herzegovinian diaspora organizations operating in the member states of the European Union was compiled based on data from the Ministry for Human Rights and Refugees of Bosnia and Herzegovina. The empirical part uses a combination of a questionnaire survey and qualitative content analysis of publicly available outputs of the organizations. The analysis focuses on identifying lobbying...</w:t>
      </w:r>
    </w:p>
    <w:p>
      <w:pPr/>
      <w:r>
        <w:rPr>
          <w:b/>
        </w:rPr>
        <w:t>POSSIBLE 2026:</w:t>
      </w:r>
      <w:r>
        <w:t xml:space="preserve"> Effects of wood products substitution on fossil carbon emissions in Finland, the European Union, and the world — https://doi.org/10.14214/sf.25043</w:t>
      </w:r>
    </w:p>
    <w:p>
      <w:pPr/>
      <w:r>
        <w:rPr>
          <w:b/>
        </w:rPr>
        <w:t>Shared claim-specific concepts:</w:t>
      </w:r>
      <w:r>
        <w:t xml:space="preserve"> union, out, carbon; EU scope visible. This is a provisional connection, not an outcome finding.</w:t>
      </w:r>
    </w:p>
    <w:p>
      <w:pPr>
        <w:pStyle w:val="SourceNote"/>
      </w:pPr>
      <w:r>
        <w:rPr>
          <w:b/>
        </w:rPr>
        <w:t>Available abstract (not full text):</w:t>
      </w:r>
      <w:r>
        <w:t xml:space="preserve"> The main driver of climate change is fossil carbon emissions that can be avoided by using renewables instead of fossil-intensive energy or materials. A displacement factor (DF) quantifies fossil emissions avoided by wood use instead of a fossil material. Substitution impact of wood products can be calculated by multiplying their product-specific DFs and their production volumes. We quantified the substitution impact in Finland, the European Union (EU), and worldwide for 2020 using two different DF sets. We extended the analysis out to 2040 in Finland. Depending on DFs used, the avoided fossil emissions by wood use were 13–38 (Finnish wood), 149–317 (EU wood), and 971–2014 (world wood) MtCO2e in 2020. These correspond to 37–94% (Finland), 6–12% (EU), and 3–6% (world) of total fossil emissions in their respective areas, highlighting the importance of substitution impacts. Despite the uncertainties, the estimates show large climate effects. In Finland, the substitution impact approaches the scale of the total fossil emissions of the country, while at the EU and global scales, the impact is similar in scale to the entire reported LULUCF criterion. The DFs for wood use may decrease in the future because of the decarbonization of the energy systems used in the production of alternatives to wood: steel, concrete, and plastics. However, wood products will remain important in avoiding f</w:t>
      </w:r>
    </w:p>
    <w:p>
      <w:pPr/>
      <w:r>
        <w:rPr>
          <w:b/>
        </w:rPr>
        <w:t>POSSIBLE 2026:</w:t>
      </w:r>
      <w:r>
        <w:t xml:space="preserve"> Climate stress, energy shocks and carbon-market connectedness in the European emissions trading system — https://doi.org/10.1108/ijccsm-03-2026-0168</w:t>
      </w:r>
    </w:p>
    <w:p>
      <w:pPr/>
      <w:r>
        <w:rPr>
          <w:b/>
        </w:rPr>
        <w:t>Shared claim-specific concepts:</w:t>
      </w:r>
      <w:r>
        <w:t xml:space="preserve"> union, set, carbon, intensity, approach; EU scope visible. This is a provisional connection, not an outcome finding.</w:t>
      </w:r>
    </w:p>
    <w:p>
      <w:pPr>
        <w:pStyle w:val="SourceNote"/>
      </w:pPr>
      <w:r>
        <w:rPr>
          <w:b/>
        </w:rPr>
        <w:t>Available abstract (not full text):</w:t>
      </w:r>
      <w:r>
        <w:t xml:space="preserve"> Purpose This study aims to examine state-dependent connectedness in the climate-energy uncertainty-carbon system surrounding the European Union Emissions Trading System. It asks whether average connectedness differs from carbon-market stress states and extreme-heat states. Design/methodology/approach This study constructs a monthly data set for 2011–2024 covering heat anomalies, geopolitical risk, energy transportation uncertainty, crude oil returns, European gas returns and carbon allowance returns. It combines correlation and tail-dependence evidence, partial-correlation networks and generalized forecast error variance decomposition to compare contemporaneous dependence and directional spillovers across average and stressed states. Findings The average monthly system is only modestly connected, with carbon allowances mainly receiving shocks. Connectedness rises in both lower- and upper-tail carbon-return states and during extreme-heat months, indicating that stressed conditions reveal stronger energy-carbon-uncertainty transmission than full-sample averages suggest. Under upper carbon-return states, carbon allowances also become more active in transmitting shocks. Originality/value This study integrates physical climate stress, energy shocks and uncertainty indicators into a state-dependent connectedness framework for the European carbon market. The evidence shows that averag</w:t>
      </w:r>
    </w:p>
    <w:p>
      <w:pPr/>
      <w:r>
        <w:rPr>
          <w:b/>
        </w:rPr>
        <w:t>POSSIBLE 2026:</w:t>
      </w:r>
      <w:r>
        <w:t xml:space="preserve"> Recent European Union Court Cases — https://doi.org/10.67330/nebcv492</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This installment reports the valuation law of all twenty-seven member states of the European Union, Ireland among them, together with Norway, Switzerland and Ukraine, read for the most part in the states' own languages and checked against official texts. The first and longest part is a set of country studies of expropriation: the measure of compensation, the valuation date, the body that fixes the figure, and what the law directs be left out of account, with the decisions of the period placed inside each framework. Sweden adds a statutory twenty-five percent above market value because dispossession is involuntary, and Finland has done the same since August 2025; Norway awards the higher of sale value and use value; Denmark holds the owner to the position of an ordinary seller. France pays a reinvestment indemnity and separates the date of value from the date of reference for use; the Netherlands compensates the owner's whole damage, of which value is the first head; Spain's justiprecio is fixed by a standing jury and revised by the courts; Portugal builds the value of building land from statutory percentages that must be proved; and Italy's Constitutional Court struck a formula that averaged market value with land income. Switzerland joins compensation for planning restrictions to a levy of at least twenty percent on the value planning creates. Latvia's Constitutional Court str</w:t>
      </w:r>
    </w:p>
    <w:p>
      <w:pPr/>
      <w:r>
        <w:rPr>
          <w:b/>
        </w:rPr>
        <w:t>POSSIBLE 2025:</w:t>
      </w:r>
      <w:r>
        <w:t xml:space="preserve"> Carbon Emission Intensity and Investment Efficiency in the European Union: The Moderating Role of Analyst Coverage and Environmental Innovation — https://doi.org/10.30784/epfad.1723582</w:t>
      </w:r>
    </w:p>
    <w:p>
      <w:pPr/>
      <w:r>
        <w:rPr>
          <w:b/>
        </w:rPr>
        <w:t>Shared claim-specific concepts:</w:t>
      </w:r>
      <w:r>
        <w:t xml:space="preserve"> union, set, carbon, intensity, emission; EU scope visible. This is a provisional connection, not an outcome finding.</w:t>
      </w:r>
    </w:p>
    <w:p>
      <w:pPr>
        <w:pStyle w:val="SourceNote"/>
      </w:pPr>
      <w:r>
        <w:rPr>
          <w:b/>
        </w:rPr>
        <w:t>Available abstract (not full text):</w:t>
      </w:r>
      <w:r>
        <w:t xml:space="preserve"> This study examines the impact of carbon emission intensity (CEI) on investment efficiency (IE) as well as the moderating role of analyst coverage and environmental innovation in this relationship for firms operating in the European Union (EU). A panel data set consisting of 5,501 observations of 931 firms for the period 2008-2023 is used. Empirical analyses conducted using the OLS method estimated with Driscoll-Kraay standard errors show that CEI has an overall negative effect on IE, and this effect is particularly pronounced for firms that over-invest. These main findings are robust to alternative investment efficiency measures and alternative estimation methodologies. In addition, analyst coverage and environmental innovation exacerbate the negative effect of CEI on IE. Last, heterogeneity analyses indicate that the negative effect of CEI on IE is stronger for firms with lower levels of green revenue and those not participating in the Emissions Trading System (ETS). The study reveals that policies to increase IE should be designed by taking into account firm- and sector-level conditions.</w:t>
      </w:r>
    </w:p>
    <w:p>
      <w:pPr/>
      <w:r>
        <w:rPr>
          <w:b/>
        </w:rPr>
        <w:t>POSSIBLE 2025:</w:t>
      </w:r>
      <w:r>
        <w:t xml:space="preserve"> Land-based carbon neutrality efficiency in the European Union — https://doi.org/10.1186/s13021-025-00345-w</w:t>
      </w:r>
    </w:p>
    <w:p>
      <w:pPr/>
      <w:r>
        <w:rPr>
          <w:b/>
        </w:rPr>
        <w:t>Shared claim-specific concepts:</w:t>
      </w:r>
      <w:r>
        <w:t xml:space="preserve"> union, carbon, emission, reduction; EU scope visible. This is a provisional connection, not an outcome finding.</w:t>
      </w:r>
    </w:p>
    <w:p>
      <w:pPr>
        <w:pStyle w:val="SourceNote"/>
      </w:pPr>
      <w:r>
        <w:rPr>
          <w:b/>
        </w:rPr>
        <w:t>Available abstract (not full text):</w:t>
      </w:r>
      <w:r>
        <w:t xml:space="preserve"> The European Union (EU) has promised to achieve net-zero emissions via carbon neutrality by 2050. The aim of this research is to evaluate carbon neutrality efficiencies on forest and agricultural lands in the EU. The study finds that carbon neutrality efficiency can be computed by a multiplication of carbon emissions efficiency, carbon sink efficiency, and the target of carbon neutrality. We further divide the EU countries into a green group with continuous carbon emission reduction, a gray group with a continuous carbon emission increase, and a mixed group without a continuous carbon emission reduction or increase. The findings are as follows. (i) Carbon neutrality management is less of a focus than carbon emission management. (ii) There is a trade-off relationship between forest carbon neutrality efficiency and agricultural land efficiency. (iii) Countries in the green group exhibit great heterogeneity in their GDP than those in the gray and mixed groups. (iv) The green group countries exhibit heterogeneous economic structures, and their carbon neutrality performance reflects the overall pattern observed in the EU. The EU aims for carbon neutrality by 2050. This study assesses the efficiency of forest and agricultural lands in achieving this goal, based on emissions efficiency, carbon sink efficiency, and the target. The EU is divided into three groups: green (emission reduct</w:t>
      </w:r>
    </w:p>
    <w:p>
      <w:pPr/>
      <w:r>
        <w:rPr>
          <w:b/>
        </w:rPr>
        <w:t>POSSIBLE 2025:</w:t>
      </w:r>
      <w:r>
        <w:t xml:space="preserve"> Carbon Policies and Liner Speed Optimization: Comparisons of Carbon Trading and Carbon Tax Combined with the European Union Emissions Trading Scheme — https://doi.org/10.3390/jmse13020204</w:t>
      </w:r>
    </w:p>
    <w:p>
      <w:pPr/>
      <w:r>
        <w:rPr>
          <w:b/>
        </w:rPr>
        <w:t>Shared claim-specific concepts:</w:t>
      </w:r>
      <w:r>
        <w:t xml:space="preserve"> union, reduce, carbon, defined, other, reduction; EU scope visible. This is a provisional connection, not an outcome finding.</w:t>
      </w:r>
    </w:p>
    <w:p>
      <w:pPr>
        <w:pStyle w:val="SourceNote"/>
      </w:pPr>
      <w:r>
        <w:rPr>
          <w:b/>
        </w:rPr>
        <w:t>Available abstract (not full text):</w:t>
      </w:r>
      <w:r>
        <w:t xml:space="preserve"> This paper explores how optimizing vessel speeds can help reduce carbon emissions in the maritime industry. Focusing on liner shipping routes between China and Europe, it examines how carbon pricing mechanisms, including carbon taxes and emissions trading under the European Union Emissions Trading Scheme (EU ETS), impact operational costs and emissions reduction. With the use of advanced optimization methods, such as the Non-dominated Sorting Genetic Algorithm-II (NSGA-II) and the Technique for Order of Preference by Similarity to an Ideal Solution (TOPSIS), this research explores the balance between adjusting vessel speeds and minimizing emissions. The findings show that shipping companies on the China–Europe route can reduce the financial strain of carbon pricing by carefully managing speeds and voyage times. This study compares two scenarios of carbon tax policy and carbon trading rights in terms of voyage costs and carbon emissions. The results of this comparison based on the given parameters indicate a reduction of 1124 tons of carbon emissions with the carbon tax policy scenario, while the carbon trading rights scenario allows for more voyages yearly (5.24 vs. 5.30). This demonstrates one policy being more economical, while the other is also more environmentally efficient. These insights support the development of strategies that align environmental goals with economic pr</w:t>
      </w:r>
    </w:p>
    <w:p>
      <w:pPr>
        <w:pStyle w:val="Heading2"/>
      </w:pPr>
      <w:r>
        <w:t>723. Flexible electricity generation, grid exchange and storage for the transition to a 100% renewable energy system in Europe</w:t>
      </w:r>
    </w:p>
    <w:p>
      <w:pPr>
        <w:pStyle w:val="SourceNote"/>
      </w:pPr>
      <w:r>
        <w:rPr>
          <w:b/>
        </w:rPr>
        <w:t>Original source (2019):</w:t>
      </w:r>
      <w:r>
        <w:t xml:space="preserve"> https://doi.org/10.1016/j.renene.2019.02.077</w:t>
      </w:r>
    </w:p>
    <w:p>
      <w:pPr/>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POSSIBLE 2026:</w:t>
      </w:r>
      <w:r>
        <w:t xml:space="preserve"> European Circular Economy Structural Typology Based on Multivariate Analysis of Latent Dimensions and Transition Pathways — https://doi.org/10.1002/sd.71629</w:t>
      </w:r>
    </w:p>
    <w:p>
      <w:pPr/>
      <w:r>
        <w:rPr>
          <w:b/>
        </w:rPr>
        <w:t>Shared claim-specific concepts:</w:t>
      </w:r>
      <w:r>
        <w:t xml:space="preserve"> two, transition, pathways, energy; EU scope visible. This is a provisional connection, not an outcome finding.</w:t>
      </w:r>
    </w:p>
    <w:p>
      <w:pPr>
        <w:pStyle w:val="SourceNote"/>
      </w:pPr>
      <w:r>
        <w:rPr>
          <w:b/>
        </w:rPr>
        <w:t>Available abstract (not full text):</w:t>
      </w:r>
      <w:r>
        <w:t xml:space="preserve">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pPr/>
      <w:r>
        <w:rPr>
          <w:b/>
        </w:rPr>
        <w:t>POSSIBLE 2026:</w:t>
      </w:r>
      <w:r>
        <w:t xml:space="preserve"> Two universal pathways in demographic transition — https://doi.org/10.1017/ehs.2026.10054</w:t>
      </w:r>
    </w:p>
    <w:p>
      <w:pPr/>
      <w:r>
        <w:rPr>
          <w:b/>
        </w:rPr>
        <w:t>Shared claim-specific concepts:</w:t>
      </w:r>
      <w:r>
        <w:t xml:space="preserve"> two, transition, pathways, regions, low; EU scope not established. This is a provisional connection, not an outcome finding.</w:t>
      </w:r>
    </w:p>
    <w:p>
      <w:pPr>
        <w:pStyle w:val="SourceNote"/>
      </w:pPr>
      <w:r>
        <w:rPr>
          <w:b/>
        </w:rPr>
        <w:t>Available abstract (not full text):</w:t>
      </w:r>
      <w:r>
        <w:t xml:space="preserve">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pPr/>
      <w:r>
        <w:rPr>
          <w:b/>
        </w:rPr>
        <w:t>POSSIBLE 2026:</w:t>
      </w:r>
      <w:r>
        <w:t xml:space="preserve"> GreenPaths project: European knowledge hub on just transition pathway. Deliverable number: D4.3 Discussion paper on the political economy of green transitions — https://openalex.org/W7222857412</w:t>
      </w:r>
    </w:p>
    <w:p>
      <w:pPr/>
      <w:r>
        <w:rPr>
          <w:b/>
        </w:rPr>
        <w:t>Shared claim-specific concepts:</w:t>
      </w:r>
      <w:r>
        <w:t xml:space="preserve"> transition, pathways, power; EU scope visible. This is a provisional connection, not an outcome finding.</w:t>
      </w:r>
    </w:p>
    <w:p>
      <w:pPr>
        <w:pStyle w:val="SourceNote"/>
      </w:pPr>
      <w:r>
        <w:rPr>
          <w:b/>
        </w:rPr>
        <w:t>Available abstract (not full text):</w:t>
      </w:r>
      <w:r>
        <w:t xml:space="preserve">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pPr/>
      <w:r>
        <w:rPr>
          <w:b/>
        </w:rPr>
        <w:t>POSSIBLE 2026:</w:t>
      </w:r>
      <w:r>
        <w:t xml:space="preserve"> D8.2: 'Just' transition pathway &amp; intermediate targets — https://doi.org/10.5281/zenodo.20486783</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pPr/>
      <w:r>
        <w:rPr>
          <w:b/>
        </w:rPr>
        <w:t>POSSIBLE 2026:</w:t>
      </w:r>
      <w:r>
        <w:t xml:space="preserve"> Narrating power: the European Commission and the geopolitics of the energy transition — https://doi.org/10.1080/09662839.2025.2599239</w:t>
      </w:r>
    </w:p>
    <w:p>
      <w:pPr/>
      <w:r>
        <w:rPr>
          <w:b/>
        </w:rPr>
        <w:t>Shared claim-specific concepts:</w:t>
      </w:r>
      <w:r>
        <w:t xml:space="preserve"> transition, energy, power; EU scope visible. This is a provisional connection, not an outcome finding.</w:t>
      </w:r>
    </w:p>
    <w:p>
      <w:pPr>
        <w:pStyle w:val="SourceNote"/>
      </w:pPr>
      <w:r>
        <w:rPr>
          <w:b/>
        </w:rPr>
        <w:t>Available abstract (not full text):</w:t>
      </w:r>
      <w:r>
        <w:t xml:space="preserve"> The European Commission (EC) seeks to position the EU as a global leader in the energy transition by enhancing its geopolitical influence and reducing its dependence on fossil fuels. This paper analyses the EC’s narratives on energy transition and decarbonisation in relation to the EU’s emerging geopolitical actorness. Drawing on a critical geopolitical perspective, it shows how speeches by EC representatives strategically deploy narratives to construct the EU’s identity as a leading global actor in energy transition governance, one that integrates the roles of a competitive economic power, a normative power and a geopolitical power. Furthermore, this paper illustrates that the EC simultaneously reimagines the geopolitical configuration of its energy relations by redefining its international partnerships and dependencies. In doing so, the EC reinforces the EU’s self-image as a centre of values projected onto the energy transition, even though this value framework is applied selectively.</w:t>
      </w:r>
    </w:p>
    <w:p>
      <w:pPr/>
      <w:r>
        <w:rPr>
          <w:b/>
        </w:rPr>
        <w:t>POSSIBLE 2026:</w:t>
      </w:r>
      <w:r>
        <w:t xml:space="preserve"> Editorial: Just energy transitions for Europe and beyond — https://doi.org/10.3389/fpos.2026.1815295</w:t>
      </w:r>
    </w:p>
    <w:p>
      <w:pPr/>
      <w:r>
        <w:rPr>
          <w:b/>
        </w:rPr>
        <w:t>Shared claim-specific concepts:</w:t>
      </w:r>
      <w:r>
        <w:t xml:space="preserve"> two, transition, renewable, energy, regions; EU scope visible. This is a provisional connection, not an outcome finding.</w:t>
      </w:r>
    </w:p>
    <w:p>
      <w:pPr>
        <w:pStyle w:val="SourceNote"/>
      </w:pPr>
      <w:r>
        <w:rPr>
          <w:b/>
        </w:rPr>
        <w:t>Available abstract (not full text):</w:t>
      </w:r>
      <w:r>
        <w:t xml:space="preserve"> examined. In doing so, it treats justice as both an analytical category and a governance problem. Rather than treating justice as an assumed virtue of decarbonisation, the contributions examine how it is constructed, where it is limited, and how it may be re-imagined in light of contemporary transition dynamics. The contributions move across levels of analysis, from conceptual clarification and legal design to social contestation and geopolitical restructuring, revealing how justice is constructed and constrained in practice. The contributions also touch upon various dimensions of environmental and climate justice, including their distributive and procedural dimensions. 4 A first step in this endeavour is not merely to endorse "justice" as a goal, but to understand how it is constructed across the domains that shape transition governance. Chiara et al. approach this by comparing two discursive arenas that do not always speak fluently to one another: institutional texts associated with the EU's Just Transition Mechanism, and a corpus of scientific literature on energy and environmental justice published between 2020 and 2023. Using thematic analysis, they identify three overarching dimensions through which "just transition" is articulated -its focus (including the levels of abstraction at which problems are framed), its justice claims (the forms and dimensions of justice that ar</w:t>
      </w:r>
    </w:p>
    <w:p>
      <w:pPr/>
      <w:r>
        <w:rPr>
          <w:b/>
        </w:rPr>
        <w:t>POSSIBLE 2026:</w:t>
      </w:r>
      <w:r>
        <w:t xml:space="preserve"> Energy systems in transition and post-transition — https://doi.org/10.2298/tsci260105069g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paper aims at providing an overview of the most significant theoretical concepts of transition. It introduces the concept of the energy system as a cluster of structures surrounded by external structures, and develops a corresponding set of indicators for both internal and surrounding (environmental) components. It further reviews and integrates key theoretical concepts of energy transition and out-lines relevant transition indicators. Particular attention is given to the issue of a just energy transition, based on a review of the academic literature. Furthermore, the paper develops a framework for assessing power system competitiveness along energy transition trajectories. Two categories of indicators are considered: one based on costs, CO₂ emissions as well as energy output, and an-other indicating system dispatchability. This concept is applied to real power systems in nine European countries under a hypothetical energy transition scenario and the results are evaluated. Across all cases considered, the results show that power systems exhibit higher competitiveness, according to both indicators on a transition path from solid fossil fuels to nuclear power than on a corresponding path to wind energy. The analysis is extended to issues of secondary and final energy storage in the energy transition and introduces the concept of an energy post-transition. A corresponding fram</w:t>
      </w:r>
    </w:p>
    <w:p>
      <w:pPr/>
      <w:r>
        <w:rPr>
          <w:b/>
        </w:rPr>
        <w:t>POSSIBLE 2026:</w:t>
      </w:r>
      <w:r>
        <w:t xml:space="preserve"> TRANSITION AND POST-TRANSITION OF POWER SYSTEMS — https://doi.org/10.46793/eep25.018g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most significant theoretical concepts of transition are shortly discussed. The concept of the power system as cluster of the internal structures in the environment of external structures is presented and discussed. The indicators that describe the individual structures, as well as some of the surrounding structures are proposed and discussed. An overview of the most significant energy transition’s theoretical concepts is shortly presented. The specific indicators of the energy transition are also presented and discussed. The concept of the power system’s competitiveness on the energy transition trajectory is discussed with the appropriate two types of indicators. First type comprises costs, carbon dioxide emission and energy produced, while the other indicate power system’s dispatchability. The results of the competitiveness analysis of the real power systems in nine European countries in hypothetical energy transition from solid fossil fuels to wind turbines, as well as to nuclear power plants are presented and discussed. The results point out that in each considered country power system is more competitive, on transition trajectory from solid fossil fuels to nuclear power plants than on the trajectory from solid fossil fuels to wind turbines. The problem of the power system’s dispatchability in real transition is discussed. The problems of storing the secondary and the fi</w:t>
      </w:r>
    </w:p>
    <w:p>
      <w:pPr/>
      <w:r>
        <w:rPr>
          <w:b/>
        </w:rPr>
        <w:t>POSSIBLE 2026:</w:t>
      </w:r>
      <w:r>
        <w:t xml:space="preserve"> Transition Pathways Towards Sustainable Maritime Logistics in Europe: A PCA–Cluster Analysis Based on Eurostat Indicators — https://doi.org/10.3390/su18157995</w:t>
      </w:r>
    </w:p>
    <w:p>
      <w:pPr/>
      <w:r>
        <w:rPr>
          <w:b/>
        </w:rPr>
        <w:t>Shared claim-specific concepts:</w:t>
      </w:r>
      <w:r>
        <w:t xml:space="preserve"> transition, pathways, energy; EU scope visible. This is a provisional connection, not an outcome finding.</w:t>
      </w:r>
    </w:p>
    <w:p>
      <w:pPr>
        <w:pStyle w:val="SourceNote"/>
      </w:pPr>
      <w:r>
        <w:rPr>
          <w:b/>
        </w:rPr>
        <w:t>Available abstract (not full text):</w:t>
      </w:r>
      <w:r>
        <w:t xml:space="preserve"> Background: Sustainable maritime logistics has become a strategic priority for achieving the European Green Deal objectives and accelerating the transition towards low-carbon and resource-efficient transport systems. Nevertheless, existing studies mainly focus on isolated sustainability dimensions, providing limited evidence on the heterogeneous transition patterns followed by European countries. This study proposes an integrated analytical framework to identify and characterise longitudinal transition patterns towards sustainable maritime logistics across Europe. Methods: A harmonised database was developed using Eurostat indicators covering European countries for the period 2015–2023. Following data preprocessing, missing-value treatment and standardisation, Principal Component Analysis (PCA) was employed to reduce dimensionality, while cluster analysis was applied to identify groups of countries sharing similar sustainability and logistics transition characteristics. Results: The proposed framework reveals that the transition towards sustainable maritime logistics does not follow a single homogeneous pattern but multiple differentiated pathways. The analysis identifies distinct country profiles associated with energy transition, modal integration, circular economy performance and environmental sustainability, highlighting heterogeneous convergence dynamics throughout the stu</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transition, renewable, energy, system;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Dynamically enabled transition pathways in multistable systems — https://doi.org/10.48550/arxiv.2607.24070</w:t>
      </w:r>
    </w:p>
    <w:p>
      <w:pPr/>
      <w:r>
        <w:rPr>
          <w:b/>
        </w:rPr>
        <w:t>Shared claim-specific concepts:</w:t>
      </w:r>
      <w:r>
        <w:t xml:space="preserve"> transition, pathways, system; EU scope not established. This is a provisional connection, not an outcome finding.</w:t>
      </w:r>
    </w:p>
    <w:p>
      <w:pPr>
        <w:pStyle w:val="SourceNote"/>
      </w:pPr>
      <w:r>
        <w:rPr>
          <w:b/>
        </w:rPr>
        <w:t>Available abstract (not full text):</w:t>
      </w:r>
      <w:r>
        <w:t xml:space="preserve"> Systems composed of interacting bistable elements are commonly described by transition graphs that determine which state changes are accessible under an external drive. Under quasistatic loading, accessibility is constrained by the equilibrium structure of the system, often resulting in sparse transition networks and unreachable stable states. Here, we show that dynamic loading of dissipatively-coupled hysteron networks enhances accessibility by enabling transition pathways that are forbidden under quasistatic driving while preserving the underlying equilibrium states. In particular, we consider pulse actuation and derive a control map linking pulse amplitude and duration to state transitions. For suitable dissipative couplings, individual hysterons become independently addressable using a single scalar input, increasing transition-graph connectivity and enabling access to otherwise unreachable states. We validate the framework experimentally using pneumatic hysterons and find good agreement with theory. More generally, the framework applies to dissipatively coupled networks of bistable elements across fluidic, mechanical, and electrical domains.</w:t>
      </w:r>
    </w:p>
    <w:p>
      <w:pPr/>
      <w:r>
        <w:rPr>
          <w:b/>
        </w:rPr>
        <w:t>POSSIBLE 2026:</w:t>
      </w:r>
      <w:r>
        <w:t xml:space="preserve"> Exploring Transitions to Circular Cross-border E-commerce Platforms between China and Europe — https://openalex.org/W7165086123</w:t>
      </w:r>
    </w:p>
    <w:p>
      <w:pPr/>
      <w:r>
        <w:rPr>
          <w:b/>
        </w:rPr>
        <w:t>Shared claim-specific concepts:</w:t>
      </w:r>
      <w:r>
        <w:t xml:space="preserve"> two, transition, pathways, sector, system, current; EU scope visible. This is a provisional connection, not an outcome finding.</w:t>
      </w:r>
    </w:p>
    <w:p>
      <w:pPr>
        <w:pStyle w:val="SourceNote"/>
      </w:pPr>
      <w:r>
        <w:rPr>
          <w:b/>
        </w:rPr>
        <w:t>Available abstract (not full text):</w:t>
      </w:r>
      <w:r>
        <w:t xml:space="preserve"> Chinese cross-border e-commerce platforms have emerged as key intermediaries connecting Chinese suppliers with global consumer markets, with especially rapid growth in Europe’s consumer electronics sector. This expansion has been largely driven by a low-price model, where platforms attract consumers through affordable and diverse product offerings while relying on China’s supply chain efficiency to stay competitive on price. However, this model also comes with sustainability challenges. Consumer electronics sold through cross-border e-commerce follow a linear product journey from low-cost production, impulse-oriented purchase, and eventual disposal. Growing pressure from regulatory compliance, environmental sustainability requirements, and changing consumer expectations is pushing for a shift away from the linear model towards a system centered on lifecycle value and circularity. This thesis investigates how transition pathways can be designed for more sustainable and circular Chinese cross-border e-commerce platforms between China and Europe. The research is structured around two analytical levels: the mechanisms that stabilize the current low-price regime, and the key platform-level actions required to coordinate product quality, consumer behaviour, circular services, and stakeholder responsibility. Key findings highlight that the main barrier to circularity is the misalignme</w:t>
      </w:r>
    </w:p>
    <w:p>
      <w:pPr>
        <w:pStyle w:val="Heading2"/>
      </w:pPr>
      <w:r>
        <w:t>724. Foresight in Higher Education Institutions: Evidence from Poland</w:t>
      </w:r>
    </w:p>
    <w:p>
      <w:pPr>
        <w:pStyle w:val="SourceNote"/>
      </w:pPr>
      <w:r>
        <w:rPr>
          <w:b/>
        </w:rPr>
        <w:t>Original source (2019):</w:t>
      </w:r>
      <w:r>
        <w:t xml:space="preserve"> https://doi.org/10.17323/2500-2597.2019.1.77.89</w:t>
      </w:r>
    </w:p>
    <w:p>
      <w:pPr/>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analyzing, one, other;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Membership in the Council of Europe Development Bank as a factor of Ukraine’s European integration — https://doi.org/10.24144/2788-6018.2026.03.3.64</w:t>
      </w:r>
    </w:p>
    <w:p>
      <w:pPr/>
      <w:r>
        <w:rPr>
          <w:b/>
        </w:rPr>
        <w:t>Shared claim-specific concepts:</w:t>
      </w:r>
      <w:r>
        <w:t xml:space="preserve"> them, one, but, other; EU scope visible. This is a provisional connection, not an outcome finding.</w:t>
      </w:r>
    </w:p>
    <w:p>
      <w:pPr>
        <w:pStyle w:val="SourceNote"/>
      </w:pPr>
      <w:r>
        <w:rPr>
          <w:b/>
        </w:rPr>
        <w:t>Available abstract (not full text):</w:t>
      </w:r>
      <w:r>
        <w:t xml:space="preserve"> The article analyzes the institutional and legal foundations of Ukraine’s cooperation with the Council of Europe Development Bank (hereinafter, the CEDB). It is found that CEDB was established in 1956 as the Council of Europe Refugee Settlement Fund, is part of the Council of Europe and is under its management, but has a separate legal status and is financially independent. The main goal of CEDB’s activities is to promote social consolidation in Europe by providing financial assistance to European states in solving social problems associated with migration flows (refugees, displaced persons, migrants, victims of natural or environmental disasters, and other forced population displacements). The composition of the CEDB member states has been established. According to the Statute of the CEDB of 16 June 1993, membership in this European financial institution is open to all member states of the Council of Europe; European states that are not members of the Council of Europe and international organizations with a European focus may also be its members or associated participants on agreement. As of 15 June 2025, there are 43 CEDB member states: 26 member states of the European Union that are also members of the Council of Europe; 15 other member states of the Council of Europe (including Ukraine); the Holy See is an observer state of the Council of Europe; a state that is not a membe</w:t>
      </w:r>
    </w:p>
    <w:p>
      <w:pPr/>
      <w:r>
        <w:rPr>
          <w:b/>
        </w:rPr>
        <w:t>POSSIBLE 2026:</w:t>
      </w:r>
      <w:r>
        <w:t xml:space="preserve"> European defence as a political project for European integration, the case study of France — https://openalex.org/W7164449219</w:t>
      </w:r>
    </w:p>
    <w:p>
      <w:pPr/>
      <w:r>
        <w:rPr>
          <w:b/>
        </w:rPr>
        <w:t>Shared claim-specific concepts:</w:t>
      </w:r>
      <w:r>
        <w:t xml:space="preserve"> them, one, lead; EU scope visible. This is a provisional connection, not an outcome finding.</w:t>
      </w:r>
    </w:p>
    <w:p>
      <w:pPr>
        <w:pStyle w:val="SourceNote"/>
      </w:pPr>
      <w:r>
        <w:rPr>
          <w:b/>
        </w:rPr>
        <w:t>Available abstract (not full text):</w:t>
      </w:r>
      <w:r>
        <w:t xml:space="preserve"> Security is one of the primary concerns of every society and the source of its existence. Since the beginning, the European Union has outsourced its security and defence to the United States, being economically dependent on them. This has resulted in a Union built in a half, that would be indeed defined as “an economic giant, a political dwarf and a military worm”. However, concerns over defence have recently revived interest in Europe, as the geopolitical scenario evolved dramatically. Specifically, two are the major events that broke out and made security again a priority for European member States. The return of the war on European soil, with the Russian invasion of Ukraine in February 2022, and the re-election of Donald Trump as President of the United States in 2025. The latter has made clear that the US will no longer be responsible for European security, revitalizing the debate over the constitution of a real security and defence Union. This analysis takes into consideration the case of France. Its importance lies in the role the country has always perceived playing in the European scenario, willing to be the leader in it, as well as in the budget and objectives the country has set up in the defence area. Also, the relation with Germany is considered, seen it as crucial for the construction of a European defence framework. For France, defence has always been a priority. </w:t>
      </w:r>
    </w:p>
    <w:p>
      <w:pPr/>
      <w:r>
        <w:rPr>
          <w:b/>
        </w:rPr>
        <w:t>POSSIBLE 2026:</w:t>
      </w:r>
      <w:r>
        <w:t xml:space="preserve"> Cybersecurity, knowledge management and sustainability disclosure in DT-Enabled European ports — https://doi.org/10.1108/jkm-12-2025-1721</w:t>
      </w:r>
    </w:p>
    <w:p>
      <w:pPr/>
      <w:r>
        <w:rPr>
          <w:b/>
        </w:rPr>
        <w:t>Shared claim-specific concepts:</w:t>
      </w:r>
      <w:r>
        <w:t xml:space="preserve"> one, knowledge, both, other; EU scope visible. This is a provisional connection, not an outcome finding.</w:t>
      </w:r>
    </w:p>
    <w:p>
      <w:pPr>
        <w:pStyle w:val="SourceNote"/>
      </w:pPr>
      <w:r>
        <w:rPr>
          <w:b/>
        </w:rPr>
        <w:t>Available abstract (not full text):</w:t>
      </w:r>
      <w:r>
        <w:t xml:space="preserve"> Purpose This study aims to investigate how European ports disclose cybersecurity governance and knowledge management (KM) practices within digital twin (DT) technology environments as part of broader operational resilience and net-zero greenhouse gas emissions reduction. Design/methodology/approach This study uses qualitative content analysis of publicly available non-financial disclosures to investigate two leading European ports, i.e. Rotterdam and Hamburg, that have fully implemented the DT adoption process. Based on 36 documents (sustainability reports, DT roadmaps and innovation strategies) published between 2020 and 2024, the analysis focuses on cybersecurity and KM practices disclosed to stakeholders. By combining automated thematic extraction through Leximancer (Version 5) with manual interpretive coding, the study offers novel insights into how ports publicly frame and disclose DT-related cybersecurity and KM practices, contributing to both theory and practice in maritime digitalization. Findings Results reveal significant heterogeneity in the scope and depth of cybersecurity and KM disclosures among ports operating within DT frameworks. One port predominantly frames cybersecurity as an operational safeguard, while the other discloses cybersecurity within broader KM-oriented governance practices associated with data-driven decision-making and net-zero emission targets.</w:t>
      </w:r>
    </w:p>
    <w:p>
      <w:pPr/>
      <w:r>
        <w:rPr>
          <w:b/>
        </w:rPr>
        <w:t>POSSIBLE 2026:</w:t>
      </w:r>
      <w:r>
        <w:t xml:space="preserve"> Mortality patterns and drivers of 11 valuable broadleaved tree species of interest for European forest restoration and agroforestry — https://doi.org/10.1016/j.foreco.2026.124260</w:t>
      </w:r>
    </w:p>
    <w:p>
      <w:pPr/>
      <w:r>
        <w:rPr>
          <w:b/>
        </w:rPr>
        <w:t>Shared claim-specific concepts:</w:t>
      </w:r>
      <w:r>
        <w:t xml:space="preserve"> valuable, knowledge, both, abandonment; EU scope visible. This is a provisional connection, not an outcome finding.</w:t>
      </w:r>
    </w:p>
    <w:p>
      <w:pPr>
        <w:pStyle w:val="SourceNote"/>
      </w:pPr>
      <w:r>
        <w:rPr>
          <w:b/>
        </w:rPr>
        <w:t>Available abstract (not full text):</w:t>
      </w:r>
      <w:r>
        <w:t xml:space="preserve"> Land abandonment and the homogenisation of European forests and agricultural land have created an urgent need for restoration strategies that both diversify and revitalise rural landscapes. Valuable broadleaved species offer strong potential for this dual objective, yet their use remains limited due to scarce ecological knowledge, operational challenges, and high early mortality under changing environmental conditions. Using long-term (2001–2024) monitoring data from 5666 trees across 29 plantations spanning a wide range of ecological conditions in NE Spain, this study characterises species-specific mortality trajectories for 11 valuable broadleaved species and identifies the environmental drivers of early and cumulative mortality, with the aim of informing more successful restoration, agroforestry and afforestation efforts in Europe. Early mortality (three years after planting) averaged 9%, and mid-term mortality (around 20 years, i.e. mid-rotation) reached 26%, with substantial variation among species and plantations. Acer campestre , Fraxinus angustifolia , F. excelsior and Pyrus communis showed the lowest mortality, whereas Sorbus domestica , S. torminalis , Acer pseudoplatanus and Juglans regia the highest, and Prunus avium , Celtis australis and J. × intermedia showed intermediate patterns. Although relationships with environmental variables were species-specific, mortali</w:t>
      </w:r>
    </w:p>
    <w:p>
      <w:pPr/>
      <w:r>
        <w:rPr>
          <w:b/>
        </w:rPr>
        <w:t>POSSIBLE 2025:</w:t>
      </w:r>
      <w:r>
        <w:t xml:space="preserve"> 3 Europe as the Crisis of Play — https://doi.org/10.1515/9781438499819-004</w:t>
      </w:r>
    </w:p>
    <w:p>
      <w:pPr/>
      <w:r>
        <w:rPr>
          <w:b/>
        </w:rPr>
        <w:t>Shared claim-specific concepts:</w:t>
      </w:r>
      <w:r>
        <w:t xml:space="preserve"> them, one, hand, suggest, other, indicate; EU scope visible. This is a provisional connection, not an outcome finding.</w:t>
      </w:r>
    </w:p>
    <w:p>
      <w:pPr>
        <w:pStyle w:val="SourceNote"/>
      </w:pPr>
      <w:r>
        <w:rPr>
          <w:b/>
        </w:rPr>
        <w:t>Available abstract (not full text):</w:t>
      </w:r>
      <w:r>
        <w:t xml:space="preserve">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pPr/>
      <w:r>
        <w:rPr>
          <w:b/>
        </w:rPr>
        <w:t>POSSIBLE 2025:</w:t>
      </w:r>
      <w:r>
        <w:t xml:space="preserve"> Animal Welfare Protocols and Labelling Schemes for Broilers in Europe — https://doi.org/10.3390/poultry4030029</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pPr/>
      <w:r>
        <w:rPr>
          <w:b/>
        </w:rPr>
        <w:t>POSSIBLE 2025:</w:t>
      </w:r>
      <w:r>
        <w:t xml:space="preserve"> Towards a Digital Europe: Cluster-Based Insights into Technology, Knowledge, and Readiness — https://doi.org/10.56082/jkd.2025.1.64</w:t>
      </w:r>
    </w:p>
    <w:p>
      <w:pPr/>
      <w:r>
        <w:rPr>
          <w:b/>
        </w:rPr>
        <w:t>Shared claim-specific concepts:</w:t>
      </w:r>
      <w:r>
        <w:t xml:space="preserve"> analyzing, them, valuable, knowledge; EU scope visible. This is a provisional connection, not an outcome finding.</w:t>
      </w:r>
    </w:p>
    <w:p>
      <w:pPr>
        <w:pStyle w:val="SourceNote"/>
      </w:pPr>
      <w:r>
        <w:rPr>
          <w:b/>
        </w:rPr>
        <w:t>Available abstract (not full text):</w:t>
      </w:r>
      <w:r>
        <w:t xml:space="preserve"> Digital transformation is an essential process for contemporary economic and social development. This paper aims to explore the evolution and disparities of digital transformation across European Union (EU) member states by analyzing their digital profiles and classifying them into homogeneous groups based on their performance. Thus, the research draws on secondary quantitative data from the World Digital Competitiveness Rankings developed by International Institute for Management Development (IMD), focusing on three critical dimensions: knowledge, technology and futureproofing. These dimensions capture countries' educational and research capacity, digital infrastructure and societal adaptability to digital change. In this research, a cluster analysis was performed using SPSS Two-Step Clustering, supported by visual and statistical tools, to identify clustering patterns among 26 EU countries (excluding Malta due to missing data). The research design includes four steps: time trend analysis, geographical mapping, cluster identification, and testing the significance of inter-cluster differences using Mann-Whitney U-tests. The results show a clear bifurcation between digitally advanced countries (e.g., Denmark, Netherlands, Sweden) and those with lower performance (e.g., Romania, Bulgaria, Greece). Significant statistical differences exist across all three analyzed dimensions. The</w:t>
      </w:r>
    </w:p>
    <w:p>
      <w:pPr/>
      <w:r>
        <w:rPr>
          <w:b/>
        </w:rPr>
        <w:t>POSSIBLE 2025:</w:t>
      </w:r>
      <w:r>
        <w:t xml:space="preserve"> Heritage in a European perspective: From knowledge to communication of cultural heritage — https://doi.org/10.1201/9781003530787-38</w:t>
      </w:r>
    </w:p>
    <w:p>
      <w:pPr/>
      <w:r>
        <w:rPr>
          <w:b/>
        </w:rPr>
        <w:t>Shared claim-specific concepts:</w:t>
      </w:r>
      <w:r>
        <w:t xml:space="preserve"> knowledge, both, but, specific; EU scope visible. This is a provisional connection, not an outcome finding.</w:t>
      </w:r>
    </w:p>
    <w:p>
      <w:pPr>
        <w:pStyle w:val="SourceNote"/>
      </w:pPr>
      <w:r>
        <w:rPr>
          <w:b/>
        </w:rPr>
        <w:t>Available abstract (not full text):</w:t>
      </w:r>
      <w:r>
        <w:t xml:space="preserve"> Over time the way of approaching Heritage has turned from “top-down” criteria for identifying country-based, to an interpretation process based on community, in a social and intercultural key ( Copeland, 2006 ), so it is putting an increasing attention to relationships between cultural legacy and territories, between tangible and intangible goods ( Di Berardo 2019, Bortolotti et al. 2008 ). Whitin this framework, a cornerstone is realized by the European Landscape Convention ( Florence, 2000 ) for the interesting glimpse addressed to everyday landscapes and for a new idea of widespread heritage that should be taken in charge by people. In this respect, becomes crucial a recognition of values remarkable for a legacy to next generations; this can be done not only by experts but also by ordinary people who intend to preserve memories and traditions belonging to community. This discussion is in tune with EU policy, which considers Heritage first a matter of cohesion aiming to sharing values and so intends to build a new and better Europe. Specifically Cultural Heritage policy is strictly intertwined both to the European Agenda for Culture and European Digital Agenda. The paper proposes to focus on the major EU documents in fact of Heritage and digitization policies mainly related to information and communication issues, considering also the attention paid in 2018 by the European Ye</w:t>
      </w:r>
    </w:p>
    <w:p>
      <w:pPr/>
      <w:r>
        <w:rPr>
          <w:b/>
        </w:rPr>
        <w:t>POSSIBLE 2025:</w:t>
      </w:r>
      <w:r>
        <w:t xml:space="preserve"> Assessing rapid response mobile laboratory (RRML) capacities in Europe and Africa to improve One Health disease surveillance activities and pandemic preparedness across two continents — https://doi.org/10.1186/s42522-025-00180-6</w:t>
      </w:r>
    </w:p>
    <w:p>
      <w:pPr/>
      <w:r>
        <w:rPr>
          <w:b/>
        </w:rPr>
        <w:t>Shared claim-specific concepts:</w:t>
      </w:r>
      <w:r>
        <w:t xml:space="preserve"> them, one, but; EU scope visible. This is a provisional connection, not an outcome finding.</w:t>
      </w:r>
    </w:p>
    <w:p>
      <w:pPr>
        <w:pStyle w:val="SourceNote"/>
      </w:pPr>
      <w:r>
        <w:rPr>
          <w:b/>
        </w:rPr>
        <w:t>Available abstract (not full text):</w:t>
      </w:r>
      <w:r>
        <w:t xml:space="preserve"> BACKGROUND: Europe and Africa are increasingly affected by (re-)emerging risk group 3 and 4, zoonotic viral disease epidemics, which not only require diagnostic BSL-3/4 laboratory capacity but also a One Health-based control strategy for efficient outbreak containment. In many European and African countries such laboratory capacity is often not readily available, and rapid response mobile laboratories (RRMLs) can play important, complementary roles in outbreak responses and pandemic preparedness activities on national, regional and international level. MAIN BODY: The aim of the present review was to assess whether existing European and African RRML infrastructure is prepared for future One Health outbreak responses and to identify potential diagnostic gaps. Based on a literature review (2007-2021), we identified 291 mobile laboratories (Europe: 192, Africa: 99) and assessed them in respect to purpose (e.g. military, civilian), design (suitcase, modular, vehicle mounted), biosafety level, laboratory equipment, diagnostic portfolio, sample types analyzed (human, animal) and quality assurance measures. Following peaks in 2014 (Ebola/West Africa) and 2020 (COVID-19), mobile laboratory numbers have steadily increased. Whilst laboratories were originally designed to diagnose viral haemorrhagic fevers, there has been an increased focus on SARS-CoV-2 since 2020. Recently, there was a s</w:t>
      </w:r>
    </w:p>
    <w:p>
      <w:pPr/>
      <w:r>
        <w:rPr>
          <w:b/>
        </w:rPr>
        <w:t>POSSIBLE 2025:</w:t>
      </w:r>
      <w:r>
        <w:t xml:space="preserve"> One model to rule them all? Choosing two-dimensional spaces for European political landscapes with VAA data — https://doi.org/10.1080/19331681.2025.2469166</w:t>
      </w:r>
    </w:p>
    <w:p>
      <w:pPr/>
      <w:r>
        <w:rPr>
          <w:b/>
        </w:rPr>
        <w:t>Shared claim-specific concepts:</w:t>
      </w:r>
      <w:r>
        <w:t xml:space="preserve"> them, one, other; EU scope visible. This is a provisional connection, not an outcome finding.</w:t>
      </w:r>
    </w:p>
    <w:p>
      <w:pPr>
        <w:pStyle w:val="SourceNote"/>
      </w:pPr>
      <w:r>
        <w:rPr>
          <w:b/>
        </w:rPr>
        <w:t>Available abstract (not full text):</w:t>
      </w:r>
      <w:r>
        <w:t xml:space="preserve"> This article investigates the effectiveness of three different two-dimensional models in representing political competition using user data from the EU and I Voting Advice Application for the EU elections from 2009 to 2019. We test different ways of aggregating economic, cultural, and European integration issues to determine which configuration best captures voter preferences across all member states. Our findings show that combining economic and cultural issues into a left-right “super-dimension” alongside a separate dimension for European integration generally offers the most accurate representation across time and space. However, regional variations reveal that this model performs better in Western Europe compared to Central/Eastern Europe, where other models may fit better. To address these regional disparities, we recommend implementing more rigorous pre-testing of common items and considering country-specific or regional adaptations in scaling. These measures could enhance the relevance and precision of VAAs, ensuring they effectively reflect the political landscapes of diverse European regions.</w:t>
      </w:r>
    </w:p>
    <w:p>
      <w:pPr/>
      <w:r>
        <w:rPr>
          <w:b/>
        </w:rPr>
        <w:t>POSSIBLE 2025:</w:t>
      </w:r>
      <w:r>
        <w:t xml:space="preserve"> THE EFFECTIVE APPLICATION OF THE RULE OF LAW BY THE MEMBER STATES OF THE EUROPEAN UNION — https://doi.org/10.47743/eufire-2024-1-30</w:t>
      </w:r>
    </w:p>
    <w:p>
      <w:pPr/>
      <w:r>
        <w:rPr>
          <w:b/>
        </w:rPr>
        <w:t>Shared claim-specific concepts:</w:t>
      </w:r>
      <w:r>
        <w:t xml:space="preserve"> them, one, both, specific; EU scope visible. This is a provisional connection, not an outcome finding.</w:t>
      </w:r>
    </w:p>
    <w:p>
      <w:pPr>
        <w:pStyle w:val="SourceNote"/>
      </w:pPr>
      <w:r>
        <w:rPr>
          <w:b/>
        </w:rPr>
        <w:t>Available abstract (not full text):</w:t>
      </w:r>
      <w:r>
        <w:t xml:space="preserve"> The paper aims to explain, in the first part, the concept of the rule of law, as it is determined at the level of the European Union. From its creation until today, the principle of the rule of law has experienced a spectacular evolution and a very widespread in democratic states. The second part the paper emphasizes some support mechanisms of the rule of law in the European Union while the last one refers to the analysis of how the member states of the European Union have effectively implemented the analyzed principle. In this sense, in our exposition, important decisions are analyzed, pronounced by the General Court and the Court of Justice of the European Union, with reference to the principles of legality and legal certainty, as well as the effective judicial protection. It was found that, although the rule of law is one of the essential values of the Union, which was constantly promoted by the Union bodies, it was repeatedly violated by the Member States; some of them even had vehement reactions related to the constraints endured in this regard. The article is of real interest both for specialists in the field and, above all, for the Member States of the Union, which have the obligation to comply with the existing legal provisions of the European Union and the specific jurisprudence on the matter.</w:t>
      </w:r>
    </w:p>
    <w:p>
      <w:pPr>
        <w:pStyle w:val="Heading2"/>
      </w:pPr>
      <w:r>
        <w:t>725. From bioethanol containing fuels towards a fuel economy that includes methanol derived from renewable sources and the impact on European Union decision-making on transition pathways</w:t>
      </w:r>
    </w:p>
    <w:p>
      <w:pPr>
        <w:pStyle w:val="SourceNote"/>
      </w:pPr>
      <w:r>
        <w:rPr>
          <w:b/>
        </w:rPr>
        <w:t>Original source (2019):</w:t>
      </w:r>
      <w:r>
        <w:t xml:space="preserve"> https://doi.org/10.1016/j.rser.2019.109667</w:t>
      </w:r>
    </w:p>
    <w:p>
      <w:pPr/>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POSSIBLE 2026:</w:t>
      </w:r>
      <w:r>
        <w:t xml:space="preserve"> Beyond cost-optimal transitions: behavioural decision-making and policy feedback in shipping decarbonisation — https://doi.org/10.1016/j.jclepro.2026.149608</w:t>
      </w:r>
    </w:p>
    <w:p>
      <w:pPr/>
      <w:r>
        <w:rPr>
          <w:b/>
        </w:rPr>
        <w:t>Shared claim-specific concepts:</w:t>
      </w:r>
      <w:r>
        <w:t xml:space="preserve"> decision-making, transition, assumptions, three; EU scope not established. This is a provisional connection, not an outcome finding.</w:t>
      </w:r>
    </w:p>
    <w:p>
      <w:pPr>
        <w:pStyle w:val="SourceNote"/>
      </w:pPr>
      <w:r>
        <w:rPr>
          <w:b/>
        </w:rPr>
        <w:t>Available abstract (not full text):</w:t>
      </w:r>
      <w:r>
        <w:t xml:space="preserve">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decision-making, energy, three;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Optimal Energy Transition Planning: Navigating the Trade-Offs between Short-Term and Long-Term Decision-Making — https://doi.org/10.1021/acs.iecr.5c03999</w:t>
      </w:r>
    </w:p>
    <w:p>
      <w:pPr/>
      <w:r>
        <w:rPr>
          <w:b/>
        </w:rPr>
        <w:t>Shared claim-specific concepts:</w:t>
      </w:r>
      <w:r>
        <w:t xml:space="preserve"> decision-making, transition, energy, uncertainties, different; EU scope not established. This is a provisional connection, not an outcome finding.</w:t>
      </w:r>
    </w:p>
    <w:p>
      <w:pPr>
        <w:pStyle w:val="SourceNote"/>
      </w:pPr>
      <w:r>
        <w:rPr>
          <w:b/>
        </w:rPr>
        <w:t>Available abstract (not full text):</w:t>
      </w:r>
      <w:r>
        <w:t xml:space="preserve">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pPr/>
      <w:r>
        <w:rPr>
          <w:b/>
        </w:rPr>
        <w:t>POSSIBLE 2026:</w:t>
      </w:r>
      <w:r>
        <w:t xml:space="preserve"> Equity-Oriented Decision-Making for Renewable Energy Investments — https://doi.org/10.3390/en19020463</w:t>
      </w:r>
    </w:p>
    <w:p>
      <w:pPr/>
      <w:r>
        <w:rPr>
          <w:b/>
        </w:rPr>
        <w:t>Shared claim-specific concepts:</w:t>
      </w:r>
      <w:r>
        <w:t xml:space="preserve"> decision-making, energy; EU scope not established. This is a provisional connection, not an outcome finding.</w:t>
      </w:r>
    </w:p>
    <w:p>
      <w:pPr>
        <w:pStyle w:val="SourceNote"/>
      </w:pPr>
      <w:r>
        <w:rPr>
          <w:b/>
        </w:rPr>
        <w:t>Available abstract (not full text):</w:t>
      </w:r>
      <w:r>
        <w:t xml:space="preserve"> Renewable energy investment evaluation continues to rely predominantly on techno-economic and environmental criteria, while equity-related considerations remain weakly embedded within formal decision-support frameworks. Although recent research increasingly acknowledges social impacts, spatial constraints, policy uncertainty, and financing structures, these dimensions are rarely integrated in a systematic and operational manner into investment appraisal. This paper addresses this gap by advancing an equity-oriented conceptual framework for renewable energy investment evaluation. Using an integrative literature review combined with thematic analysis, the study synthesises insights from techno-economic assessment, multi-criteria decision-making, energy justice scholarship, and equity-focused modelling studies. The analysis demonstrates that existing evaluation approaches inadequately capture distributional impacts, accessibility constraints, differentiated vulnerability, and equity-adjusted risk. In response, the proposed framework systematises these equity dimensions and embeds them directly into the core logic of investment evaluation alongside conventional criteria. By consolidating fragmented research insights into a coherent evaluative structure, the study contributes to the literature by clarifying how equity can be operationalised within renewable energy investment decisio</w:t>
      </w:r>
    </w:p>
    <w:p>
      <w:pPr/>
      <w:r>
        <w:rPr>
          <w:b/>
        </w:rPr>
        <w:t>POSSIBLE 2026:</w:t>
      </w:r>
      <w:r>
        <w:t xml:space="preserve"> The political economy of energy security in Europe after the Russia–Ukraine war — https://doi.org/10.71085/sss.05.01.475</w:t>
      </w:r>
    </w:p>
    <w:p>
      <w:pPr/>
      <w:r>
        <w:rPr>
          <w:b/>
        </w:rPr>
        <w:t>Shared claim-specific concepts:</w:t>
      </w:r>
      <w:r>
        <w:t xml:space="preserve"> energy, economy; EU scope visible. This is a provisional connection, not an outcome finding.</w:t>
      </w:r>
    </w:p>
    <w:p>
      <w:pPr>
        <w:pStyle w:val="SourceNote"/>
      </w:pPr>
      <w:r>
        <w:rPr>
          <w:b/>
        </w:rPr>
        <w:t>Available abstract (not full text):</w:t>
      </w:r>
      <w:r>
        <w:t xml:space="preserve"> This study discusses the energy security in the aftermath of the war in Europe based on the full-scale invasion of Ukraine by Russia in 2022 and the underlying political economy of policy choices. It asserts that distributional conflicts, institutional capacity and rent dispersion influenced the choices that fell short of technical supply limitations. The study focuses on the evaluation of the diversification of imports, the adequacy of storage, and the price exposure and fiscal instruments by using a mixed-methods design in the form of a pre/post-2022 panel and comparative case studies. The results indicate that there were major decreases in the dependence on Russian pipeline gas and an augmentation of emphasis on storage. It is concluded in the paper that the solution to the problem of securing energy in the long term is the need to balance between the new demands and social legitimacy.</w:t>
      </w:r>
    </w:p>
    <w:p>
      <w:pPr/>
      <w:r>
        <w:rPr>
          <w:b/>
        </w:rPr>
        <w:t>POSSIBLE 2025:</w:t>
      </w:r>
      <w:r>
        <w:t xml:space="preserve"> Simple Decision Making In Renewable Energy Planning — https://doi.org/10.62872/2dtp3r72</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Renewable energy planning is a complex process, involving multiple dimensions, including natural resource availability, government policies, and socio-economic factors. This study emphasizes the importance of a decision-making approach that is not only technically based, but also considers the social and political factors that influence policy implementation. Decision-making in renewable energy planning is often hampered by information inequality between stakeholders, social resistance, and policy instability that can slow down a sustainable energy transition. Multi-Criteria Decision Making (MCDM) methods have been used to help stakeholders choose the best option, but overly technical approaches can be a barrier in developing countries. Therefore, simpler and more data-driven approaches, such as heuristic models, become more relevant in contexts of uncertainty. This research uses a descriptive qualitative approach through case studies to explore the dynamics of decision-making in renewable energy planning. Data were collected through in-depth interviews, focus group discussions (FGDs), and document analysis. The results show that transparency, open communication and stakeholder participation are essential to overcome social and political barriers and support effective and sustainable renewable energy policy implementation.</w:t>
      </w:r>
    </w:p>
    <w:p>
      <w:pPr/>
      <w:r>
        <w:rPr>
          <w:b/>
        </w:rPr>
        <w:t>POSSIBLE 2025:</w:t>
      </w:r>
      <w:r>
        <w:t xml:space="preserve"> Towards an Optimal Renewable Energy Mix for the European Union: Enhancing Energy Security and Sustainability — https://doi.org/10.1007/s13132-024-02586-5</w:t>
      </w:r>
    </w:p>
    <w:p>
      <w:pPr/>
      <w:r>
        <w:rPr>
          <w:b/>
        </w:rPr>
        <w:t>Shared claim-specific concepts:</w:t>
      </w:r>
      <w:r>
        <w:t xml:space="preserve"> energy, union; EU scope visible. This is a provisional connection, not an outcome finding.</w:t>
      </w:r>
    </w:p>
    <w:p>
      <w:pPr>
        <w:pStyle w:val="SourceNote"/>
      </w:pPr>
      <w:r>
        <w:rPr>
          <w:b/>
        </w:rPr>
        <w:t>Available abstract (not full text):</w:t>
      </w:r>
      <w:r>
        <w:t xml:space="preserve"> Abstract This research investigates he optimal renewable energy mix for the European Union to enhance its energy security and sustainability. Using panel data from 2012 to 2022, covering 26 EU countries, the following estimation techniques are applied: ordinary least squares, fixed effect regression, and the two-step generalised method of moments. The findings highlight wind energy as a critical component in the EU’s energy strategy due to its consistently positive impact on the energy mix. The results also reveal challenges in integrating solar photovoltaic energy, largely due to regional disparities in solar irradiance and high initial infrastructure costs. Accordingly, foreign direct investment does not significantly impact the energy mix, suggesting a need for better alignment between investment flows and energy policies. In the context of past energy infrastructure decisions continuously influencing the current energy mix, we emphasise the importance of continuity in energy policy. These insights can inform policymakers in refining the EU’s energy strategy as the latter strives to meet its 2030 and 2050 climate and energy targets aligning with Sustainable Development Goal (SDG) 7 (Affordable and Clean Energy) and SDG 13 (Climate Action).</w:t>
      </w:r>
    </w:p>
    <w:p>
      <w:pPr/>
      <w:r>
        <w:rPr>
          <w:b/>
        </w:rPr>
        <w:t>POSSIBLE 2025:</w:t>
      </w:r>
      <w:r>
        <w:t xml:space="preserve"> Long-term decision-making in energy efficiency management: evidence from Uzbekistan — https://doi.org/10.3389/fenef.2025.1606823</w:t>
      </w:r>
    </w:p>
    <w:p>
      <w:pPr/>
      <w:r>
        <w:rPr>
          <w:b/>
        </w:rPr>
        <w:t>Shared claim-specific concepts:</w:t>
      </w:r>
      <w:r>
        <w:t xml:space="preserve"> decision-making, transition, energy, economy, because, legacy; EU scope not established. This is a provisional connection, not an outcome finding.</w:t>
      </w:r>
    </w:p>
    <w:p>
      <w:pPr>
        <w:pStyle w:val="SourceNote"/>
      </w:pPr>
      <w:r>
        <w:rPr>
          <w:b/>
        </w:rPr>
        <w:t>Available abstract (not full text):</w:t>
      </w:r>
      <w:r>
        <w:t xml:space="preserve"> Powering sustainable economic growth, especially for heavily energy-consumption-driven developing economies such as Uzbekistan's, is hinged on the improvement of energy efficiency. It is one of the most energy-intensive countries in the world (Uzbekistan: The Economics of Efficiency). Legacy Soviet-era infrastructure, obsolete technology, and historically low energy tariffs have all conspired to lead to wasteful use of energy. Over 60% of primary energy input is lost in processing and delivery (Uzbekistan: The Economics of Efficiency), and energy inefficiency has been estimated to cost Uzbekistan approximately 4.5% of GDP each year (Uzbekistan: The Economics of Efficiency). These inefficiencies bear huge economic and environmental expenses, thus necessitating long-term decision-making to boost energy efficiency. The policymakers in Uzbekistan recognized this problem, and lower energy consumption and conservation became the leading national priorities (Uzbekistan: The Economics of Efficiency). The government invested heavily and pursued major reforms during the last couple of years to modernize the energy sector, increase efficiency, and ensure energy security. For example, an industry efficiency initiative introduced in 2010 was set to save the country over $2 billion in terms of boiler upgrades, grid network improvements, and other projects (Uzbekistan: The Economics of Effici</w:t>
      </w:r>
    </w:p>
    <w:p>
      <w:pPr/>
      <w:r>
        <w:rPr>
          <w:b/>
        </w:rPr>
        <w:t>POSSIBLE 2025:</w:t>
      </w:r>
      <w:r>
        <w:t xml:space="preserve"> Circular Economy-Based Decision-Making Model for Contractor Selection — https://doi.org/10.3390/buildings15101665</w:t>
      </w:r>
    </w:p>
    <w:p>
      <w:pPr/>
      <w:r>
        <w:rPr>
          <w:b/>
        </w:rPr>
        <w:t>Shared claim-specific concepts:</w:t>
      </w:r>
      <w:r>
        <w:t xml:space="preserve"> decision-making, energy, economy, carbon; EU scope not established. This is a provisional connection, not an outcome finding.</w:t>
      </w:r>
    </w:p>
    <w:p>
      <w:pPr>
        <w:pStyle w:val="SourceNote"/>
      </w:pPr>
      <w:r>
        <w:rPr>
          <w:b/>
        </w:rPr>
        <w:t>Available abstract (not full text):</w:t>
      </w:r>
      <w:r>
        <w:t xml:space="preserve"> Increasing environmental pollution has reinforced the necessity of implementing circular economy (CE) as a sustainable approach to reducing resource consumption, waste generation, and carbon emissions. Despite the construction industry’s significant environmental impact in terms of global carbon emissions, water consumption, and biodiversity loss, only 12% of its materials exhibit circular characteristics, necessitating improvements in terms of circularity in construction projects. This study develops a CE-based decision-making model for contractor selection, focusing on off-site construction (OSC), which offers greater circularity potential than conventional construction methods. The decision-making model, established through literature analysis and expert discussions, utilizes the fuzzy analytic hierarchy process (AHP) to evaluate CE criteria and employ the fuzzy Technique for Order Preference by Similarity to Ideal Solution (TOPSIS) to determine contractor suitability. The findings indicate that Material Circularity, Energy Circularity, and Product Circularity are the most influential criteria, with green procurement emerging as the highest-priority factor. The model was validated through a hypothetical case study involving four contractors experienced in sustainable construction. The results demonstrate the model’s capacity to produce sensitive outcomes in terms of decision</w:t>
      </w:r>
    </w:p>
    <w:p>
      <w:pPr/>
      <w:r>
        <w:rPr>
          <w:b/>
        </w:rPr>
        <w:t>POSSIBLE 2025:</w:t>
      </w:r>
      <w:r>
        <w:t xml:space="preserve"> The Barriers to Deployment of Renewable Energy : Application of Sequential Decision-Making and Derisking Models in Emerging Markets and Developing Economies — https://openalex.org/W7113434373</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This thesis analyses barriers to renewable energy deployment using two reference sequential decision-making and derisking models: the Lancaster University's North-West Hydro Resource Model (NWHRM); the United Nations Development Programme's Derisking Renewable Energy Investment (DREI) framework. The study draws on case studies and field research from Sub-Saharan Africa (Equatorial Guinea, South Africa, Namibia); Latin America (Panama, Paraguay); Central Asia (Mongolia, Tajikistan); and, the Caribbean (Barbados, Jamaica). It shows the interlinked nature of technical, financial, and social barriers and refines both DREI and NWHRM models to integrate governance, social acceptance and just inclusive transition considerations. As the site visits show, the policy and financial derisking instruments introduced in emerging markets and developing economies lower investment risks and the levelized cost of energy, such that combining NWHRM and DREI model approaches provides a globally applicable frameworks to assess the barriers to renewable energy investment.</w:t>
      </w:r>
    </w:p>
    <w:p>
      <w:pPr/>
      <w:r>
        <w:rPr>
          <w:b/>
        </w:rPr>
        <w:t>POSSIBLE 2025:</w:t>
      </w:r>
      <w:r>
        <w:t xml:space="preserve"> Simplifying decision-making in model-based co-design of building energy systems through automatically generated optimal controls — https://doi.org/10.26868/25222708.2025.1690</w:t>
      </w:r>
    </w:p>
    <w:p>
      <w:pPr/>
      <w:r>
        <w:rPr>
          <w:b/>
        </w:rPr>
        <w:t>Shared claim-specific concepts:</w:t>
      </w:r>
      <w:r>
        <w:t xml:space="preserve"> decision-making, transition, energy; EU scope visible. This is a provisional connection, not an outcome finding.</w:t>
      </w:r>
    </w:p>
    <w:p>
      <w:pPr>
        <w:pStyle w:val="SourceNote"/>
      </w:pPr>
      <w:r>
        <w:rPr>
          <w:b/>
        </w:rPr>
        <w:t>Available abstract (not full text):</w:t>
      </w:r>
      <w:r>
        <w:t xml:space="preserve"> Energy-efficient technologies and efficient engineering processes are two major prerequisites for the fast and cost-efficient energy transition of the built environment. This study analyzes the potential of automatically generated optimal controls to not only enable high-performing building operation but also to simplify and streamline the decision-making. As a case study, the re-design of the energy supply system for a historic neighborhood in Bruges, Belgium, fully based on renewable and residual energy sources (R2ES) with air-source and ground-source heat pumps, PVT, and PV systems is used. Two design procedures, either using manually generated Rule-Based Controls or automatically generated Optimal Controls, using the Toolchain for Automated Control and Optimization, are compared in terms of the system performance and the design process efficiency. The results illustrate that, for this case study, an optimally controlled system uses around 30 % less electricity than with rule-based control. Moreover, the potential of automatically generated Optimal Controls to simplify the decision-making process in model-based co-design processes and as system integrator, is highlighted.</w:t>
      </w:r>
    </w:p>
    <w:p>
      <w:pPr/>
      <w:r>
        <w:rPr>
          <w:b/>
        </w:rPr>
        <w:t>POSSIBLE 2025:</w:t>
      </w:r>
      <w:r>
        <w:t xml:space="preserve"> Models for industry differentiation in decision-making systems with an application to the Ukrainian economy — https://doi.org/10.32620/reks.2025.3.03</w:t>
      </w:r>
    </w:p>
    <w:p>
      <w:pPr/>
      <w:r>
        <w:rPr>
          <w:b/>
        </w:rPr>
        <w:t>Shared claim-specific concepts:</w:t>
      </w:r>
      <w:r>
        <w:t xml:space="preserve"> decision-making, economy, different; EU scope not established. This is a provisional connection, not an outcome finding.</w:t>
      </w:r>
    </w:p>
    <w:p>
      <w:pPr>
        <w:pStyle w:val="SourceNote"/>
      </w:pPr>
      <w:r>
        <w:rPr>
          <w:b/>
        </w:rPr>
        <w:t>Available abstract (not full text):</w:t>
      </w:r>
      <w:r>
        <w:t xml:space="preserve"> This article is devoted to the study of the problem of using adaptive models of differentiation of sectors of the real sector of the economy as a key component of modern decision support systems (DSS). The subject of the study is models of differentiation of real sectors of the Ukrainian economy for integration into decision support systems to optimize public administration. This research aims to develop and validate adaptive models of industry differentiation into clusters (groups) to improve the effectiveness of decision-making systems applied to the real sector of Ukraine’s economy. The research object is the process of sectoral differentiation, which allows determining the structural features and patterns of economic sector functioning. DSS architecture is proposed that integrates multifactor analysis and machine learning algorithms for automated selection of strategic scenarios. For clustering, we used production volume indicators and the number of strategically important enterprises in Ukraine for the pre-war period (2015–2021), which serve as a benchmark model for comparative analysis. A comparative assessment of the effectiveness of the classical K-means, DBSCAN, and Ensemble model algorithms was conducted with quantitative verification of the results using the Silhouette Score and Davies-Bouldin Score metrics. Empirical analysis showed that the DBSCAN and Ensemble mode</w:t>
      </w:r>
    </w:p>
    <w:p>
      <w:pPr>
        <w:pStyle w:val="Heading2"/>
      </w:pPr>
      <w:r>
        <w:t>726. Future projections of temperature and mixing regime of  European temperate lakes</w:t>
      </w:r>
    </w:p>
    <w:p>
      <w:pPr>
        <w:pStyle w:val="SourceNote"/>
      </w:pPr>
      <w:r>
        <w:rPr>
          <w:b/>
        </w:rPr>
        <w:t>Original source (2019):</w:t>
      </w:r>
      <w:r>
        <w:t xml:space="preserve"> https://doi.org/10.5194/hess-23-1533-2019</w:t>
      </w:r>
    </w:p>
    <w:p>
      <w:pPr/>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POSSIBLE 2026:</w:t>
      </w:r>
      <w:r>
        <w:t xml:space="preserve"> Emergent constraint indicates forced decline in European winter windstorm frequency — https://doi.org/10.1088/1748-9326/ae845f</w:t>
      </w:r>
    </w:p>
    <w:p>
      <w:pPr/>
      <w:r>
        <w:rPr>
          <w:b/>
        </w:rPr>
        <w:t>Shared claim-specific concepts:</w:t>
      </w:r>
      <w:r>
        <w:t xml:space="preserve"> frequency, deeper, forced, ensemble, climate, projections; EU scope visible. This is a provisional connection, not an outcome finding.</w:t>
      </w:r>
    </w:p>
    <w:p>
      <w:pPr>
        <w:pStyle w:val="SourceNote"/>
      </w:pPr>
      <w:r>
        <w:rPr>
          <w:b/>
        </w:rPr>
        <w:t>Available abstract (not full text):</w:t>
      </w:r>
      <w:r>
        <w:t xml:space="preserve"> Abstract Windstorms are among the most damaging natural hazards during western Europe winter, yet large inter-model spread limits robust assessment of future frequency changes. We show that the historical Northern Hemisphere mid-latitude meridional pressure gradient, defined as the zonal index (ZI), explains much of the inter-model variability in projected winter windstorm frequency across 20 climate model realizations. Constraining projections using the ZI reduces uncertainty by 29% and lowers the likelihood of increasing windstorm frequency more than threefold. The constrained ensemble indicates a robust decline in pan-European windstorm frequency over the twenty-first century ( − 4.5 % ∘ C − 1 ± 3.4). A plausible mechanism involves coupled atmosphere–ocean feedbacks: more zonal models develop deeper North Atlantic mixed layers and a stronger North Atlantic warming hole, enhancing baroclinicity and promoting a jet extension over Europe. These results suggest extreme increases in windstorm frequency are unlikely, despite projected increases in storm severity, with important implications for future loss and impact assessments.</w:t>
      </w:r>
    </w:p>
    <w:p>
      <w:pPr/>
      <w:r>
        <w:rPr>
          <w:b/>
        </w:rPr>
        <w:t>POSSIBLE 2026:</w:t>
      </w:r>
      <w:r>
        <w:t xml:space="preserve"> Increased Frequency, Duration, and Area of Winter Polynyas North of Greenland in a Warming Climate — https://doi.org/10.1029/2025gl121125</w:t>
      </w:r>
    </w:p>
    <w:p>
      <w:pPr/>
      <w:r>
        <w:rPr>
          <w:b/>
        </w:rPr>
        <w:t>Shared claim-specific concepts:</w:t>
      </w:r>
      <w:r>
        <w:t xml:space="preserve"> frequency, ice, increase, climate, projections; EU scope not established. This is a provisional connection, not an outcome finding.</w:t>
      </w:r>
    </w:p>
    <w:p>
      <w:pPr>
        <w:pStyle w:val="SourceNote"/>
      </w:pPr>
      <w:r>
        <w:rPr>
          <w:b/>
        </w:rPr>
        <w:t>Available abstract (not full text):</w:t>
      </w:r>
      <w:r>
        <w:t xml:space="preserve"> Abstract Polynyas play a crucial role in the polar marine ecosystems and climate system. Four winter polynya events north of Greenland have been observed, but the response of winter polynyas to climate warming remains unknown. This study investigates projected changes in winter polynyas in the Wandel Sea north of Greenland using the AWI‐CM3 climate model, which features 2‐km ocean‐ice resolution in the Arctic. We show that the model successfully simulates the main characteristics of observed polynyas. Future projections indicate that, under continued climate warming, winter polynyas will increase substantially in frequency, duration, and spatial extent once sea ice thickness falls below approximately 1.5 m. By 2100, polynyas could occur up to twice per winter, with a winter total duration exceeding 15 days under the SSP5‐8.5 scenario. Our analysis indicates that sea ice thinning is likely the primary cause of these changes, as it reduces ice strength and enhances ice mobility.</w:t>
      </w:r>
    </w:p>
    <w:p>
      <w:pPr/>
      <w:r>
        <w:rPr>
          <w:b/>
        </w:rPr>
        <w:t>POSSIBLE 2026:</w:t>
      </w:r>
      <w:r>
        <w:t xml:space="preserve"> Simulating global ice volume across the Mid-Pleistocene Transition with a ramp-like increase in the deglaciation threshold — https://doi.org/10.5194/cp-22-675-2026</w:t>
      </w:r>
    </w:p>
    <w:p>
      <w:pPr/>
      <w:r>
        <w:rPr>
          <w:b/>
        </w:rPr>
        <w:t>Shared claim-specific concepts:</w:t>
      </w:r>
      <w:r>
        <w:t xml:space="preserve"> frequency, ice, increase, climate; EU scope not established. This is a provisional connection, not an outcome finding.</w:t>
      </w:r>
    </w:p>
    <w:p>
      <w:pPr>
        <w:pStyle w:val="SourceNote"/>
      </w:pPr>
      <w:r>
        <w:rPr>
          <w:b/>
        </w:rPr>
        <w:t>Available abstract (not full text):</w:t>
      </w:r>
      <w:r>
        <w:t xml:space="preserve"> Abstract. During the Quaternary period, spanning the last 2.6 million years, the characteristic frequency and amplitude of glacial-interglacial cycles evolved from low-amplitude 41,000-year cycles to high-amplitude 100,000-year cycles. This transition occurred around 1.2 to 0.8 million years ago and is referred to as the Mid-Pleistocene Transition (MPT). While the 41 kyr cycles are driven by changes in Earth’s obliquity, which largely affect the incoming solar insolation, no apparent change in external orbital forcing during this period could explain the shift towards 100 kyr cycles. Several theories have been put forward to explain this shift, including scenarios of both gradual and abrupt changes in the internal climate system throughout the Pleistocene. In order to test which theory best matches the observations, we have constructed a conceptual model capable of simulating changes in the global ice volume over the past 2.6 Ma and accurately reconstructing the MPT and its associated change in amplitude and frequency. Four different forcing scenarios are implemented, ranging from a purely orbitally driven model to a ramp-like change in internal forcing. The model is in favour of a ramp-like forcing scenario, where the gradual change in internal forcing is limited in time and started around 2 Ma. These findings imply that the climate system had already undergone major changes i</w:t>
      </w:r>
    </w:p>
    <w:p>
      <w:pPr/>
      <w:r>
        <w:rPr>
          <w:b/>
        </w:rPr>
        <w:t>POSSIBLE 2026:</w:t>
      </w:r>
      <w:r>
        <w:t xml:space="preserve"> Forced reorganisation of the North Atlantic SST–NAO relationship and implications for European winter predictability — https://doi.org/10.5194/egusphere-2026-2686</w:t>
      </w:r>
    </w:p>
    <w:p>
      <w:pPr/>
      <w:r>
        <w:rPr>
          <w:b/>
        </w:rPr>
        <w:t>Shared claim-specific concepts:</w:t>
      </w:r>
      <w:r>
        <w:t xml:space="preserve"> regime, forced, ensemble, climate; EU scope visible. This is a provisional connection, not an outcome finding.</w:t>
      </w:r>
    </w:p>
    <w:p>
      <w:pPr>
        <w:pStyle w:val="SourceNote"/>
      </w:pPr>
      <w:r>
        <w:rPr>
          <w:b/>
        </w:rPr>
        <w:t>Available abstract (not full text):</w:t>
      </w:r>
      <w:r>
        <w:t xml:space="preserve"> Abstract. The winter North Atlantic Oscillation (NAO) is a major source of seasonal climate variability across the Euro-Atlantic region, and part of its predictability arises from persistent North Atlantic sea-surface temperature (SST) anomalies. Whether this SST–NAO relationship remains stationary under anthropogenic forcing is uncertain. Here we investigate the evolution of North Atlantic SST–NAO predictability using the 40-member CANARI large ensemble under SSP3-7.0 forcing together with a hierarchy of physically constrained statistical and machine-learning models. We find that the internal component of the SST–NAO teleconnection retains a largely stable spatial structure throughout the 21st century, although the subpolar North Atlantic contribution weakens. In contrast, the externally forced SST–NAO relationship changes substantially as the North Atlantic warming pattern evolves. A three-term stationarity budget shows that forecast-skill degradation in the early 21st century is dominated by changes in the forced mean state rather than by increased internal variability. By the late century, the forced SST–NAO regression reverses sign as differential warming between the tropical and subpolar North Atlantic strengthens. A decomposition of predictability sources indicates a transition from historically interaction-driven predictability, in which forced and internal SST componen</w:t>
      </w:r>
    </w:p>
    <w:p>
      <w:pPr/>
      <w:r>
        <w:rPr>
          <w:b/>
        </w:rPr>
        <w:t>POSSIBLE 2026:</w:t>
      </w:r>
      <w:r>
        <w:t xml:space="preserve"> Northern Greenland transect stacked ice cores as a proxy for winter extreme events in Europe — https://doi.org/10.5194/cp-22-935-2026</w:t>
      </w:r>
    </w:p>
    <w:p>
      <w:pPr/>
      <w:r>
        <w:rPr>
          <w:b/>
        </w:rPr>
        <w:t>Shared claim-specific concepts:</w:t>
      </w:r>
      <w:r>
        <w:t xml:space="preserve"> frequency, ice, two, climate; EU scope visible. This is a provisional connection, not an outcome finding.</w:t>
      </w:r>
    </w:p>
    <w:p>
      <w:pPr>
        <w:pStyle w:val="SourceNote"/>
      </w:pPr>
      <w:r>
        <w:rPr>
          <w:b/>
        </w:rPr>
        <w:t>Available abstract (not full text):</w:t>
      </w:r>
      <w:r>
        <w:t xml:space="preserve"> Abstract. High-resolution ice core records from the Greenland ice sheet provide critical insights into past climate variability across seasonal to multidecadal timescales. A key proxy in these reconstructions is the concentration of stable oxygen isotopes (δ18O), which reflects both regional climatic conditions, such as temperature, as well as atmospheric and oceanic circulation patterns. While recent studies have linked δ18O variability to synoptic-scale phenomena, particularly atmospheric blocking, its relationship to extreme hydroclimatic events in Europe remains underexplored. This study demonstrates that a stacked record of δ18O from the Northern Greenland Transect (NGT), spanning 1602 to 2011, serves as a proxy for hydroclimatic extremes in Europe. The connection between δ18O anomalies and European atmospheric circulation patterns is investigated across two periods: the observational era (1920–2011) and a longer historical context (1602–2003) using paleoclimate reanalysis data. Composite analysis reveals that years characterized by low δ18O values in the NGT record correspond to an increased frequency of atmospheric blocking over Europe. These blocking events are associated with distinct hydroclimatic extremes. Specifically, the analysis shows a consistent pattern of enhanced frequency of extreme precipitation along Norwegian coast and more frequent extreme drier conditio</w:t>
      </w:r>
    </w:p>
    <w:p>
      <w:pPr/>
      <w:r>
        <w:rPr>
          <w:b/>
        </w:rPr>
        <w:t>POSSIBLE 2026:</w:t>
      </w:r>
      <w:r>
        <w:t xml:space="preserve"> Corridor-scale sea-ice navigability and its interannual volatility: a multi-model assessment of the Arctic Europe–Pacific route — https://doi.org/10.3389/fmars.2026.1855356</w:t>
      </w:r>
    </w:p>
    <w:p>
      <w:pPr/>
      <w:r>
        <w:rPr>
          <w:b/>
        </w:rPr>
        <w:t>Shared claim-specific concepts:</w:t>
      </w:r>
      <w:r>
        <w:t xml:space="preserve"> mid-century, ice, about, ensemble, climate; EU scope visible. This is a provisional connection, not an outcome finding.</w:t>
      </w:r>
    </w:p>
    <w:p>
      <w:pPr>
        <w:pStyle w:val="SourceNote"/>
      </w:pPr>
      <w:r>
        <w:rPr>
          <w:b/>
        </w:rPr>
        <w:t>Available abstract (not full text):</w:t>
      </w:r>
      <w:r>
        <w:t xml:space="preserve"> Climate warming has brought encouraging prospects for Arctic shipping, with many studies projecting longer navigable seasons and expanded route availability as sea ice declines. Yet most assessments still focus on the lengthening of open-water duration, that is, mean accessibility, while giving less systematic attention to interannual volatility, a factor that fundamentally shapes commercial viability, insurance pricing, and long-term infrastructure investment. This is not simply an empirical omission but an integration gap: existing navigability assessments often operationalize accessibility through mean or threshold-based metrics, without treating year-to-year predictability as a distinct, governance-relevant dimension. Here we develop a corridor-scale, threshold-oriented framework that jointly evaluates navigability and its volatility, and we position this framework as a diagnostic instrument that helps translate climate variability into information usable for Arctic maritime governance. Focusing on an analysis corridor (30°E–170°W, 66–82°N) associated with Arctic Europe–Pacific connectivity, we analyze monthly sea-ice concentration from a five-model CMIP6 ensemble (MPI-ESM1-2-LR, ACCESS-CM2, CanESM5, MIROC6, and NorESM2-LM) under SSP2-4.5 and SSP5-8.5. Navigability is defined as months in which corridor-mean sea-ice concentration falls below 15%, and volatility is quantifie</w:t>
      </w:r>
    </w:p>
    <w:p>
      <w:pPr/>
      <w:r>
        <w:rPr>
          <w:b/>
        </w:rPr>
        <w:t>POSSIBLE 2025:</w:t>
      </w:r>
      <w:r>
        <w:t xml:space="preserve"> Widespread Increase in Atmospheric River Frequency and Impacts Over the 20th Century — https://doi.org/10.1029/2025av001888</w:t>
      </w:r>
    </w:p>
    <w:p>
      <w:pPr/>
      <w:r>
        <w:rPr>
          <w:b/>
        </w:rPr>
        <w:t>Shared claim-specific concepts:</w:t>
      </w:r>
      <w:r>
        <w:t xml:space="preserve"> frequency, increase, about, climate, projections; EU scope not established. This is a provisional connection, not an outcome finding.</w:t>
      </w:r>
    </w:p>
    <w:p>
      <w:pPr>
        <w:pStyle w:val="SourceNote"/>
      </w:pPr>
      <w:r>
        <w:rPr>
          <w:b/>
        </w:rPr>
        <w:t>Available abstract (not full text):</w:t>
      </w:r>
      <w:r>
        <w:t xml:space="preserve"> Abstract Atmospheric rivers (ARs) play a dominant role in water resource availability in many regions, and can cause substantial hazards, including extreme precipitation, flooding, and moist heatwaves. Despite this, there is substantial uncertainty about recent and ongoing changes in AR frequency and impacts. Here, we place recent observed trends in their longer‐term context using AR records extending back to 1940. Our results show that AR frequency has increased broadly across the midlatitudes, bridging the apparent discrepancy between the observed satellite‐era poleward shift and the general increase simulated in climate change projections. This increase in AR frequency enhances AR‐associated precipitation and snowfall across their region of influence in the mid‐ and high‐latitudes. We also find that, despite warmer surface temperatures associated with ARs, there is a decrease in the magnitude of AR‐associated temperature anomalies in high‐latitude regions due to Arctic amplification. An increase in AR‐associated humid heatwaves underscores the societal importance of changing AR activity.</w:t>
      </w:r>
    </w:p>
    <w:p>
      <w:pPr/>
      <w:r>
        <w:rPr>
          <w:b/>
        </w:rPr>
        <w:t>POSSIBLE 2025:</w:t>
      </w:r>
      <w:r>
        <w:t xml:space="preserve"> Increased frequency of planetary wave resonance events over the past half-century — https://doi.org/10.1073/pnas.2504482122</w:t>
      </w:r>
    </w:p>
    <w:p>
      <w:pPr/>
      <w:r>
        <w:rPr>
          <w:b/>
        </w:rPr>
        <w:t>Shared claim-specific concepts:</w:t>
      </w:r>
      <w:r>
        <w:t xml:space="preserve"> frequency, increase, climate; EU scope not established. This is a provisional connection, not an outcome finding.</w:t>
      </w:r>
    </w:p>
    <w:p>
      <w:pPr>
        <w:pStyle w:val="SourceNote"/>
      </w:pPr>
      <w:r>
        <w:rPr>
          <w:b/>
        </w:rPr>
        <w:t>Available abstract (not full text):</w:t>
      </w:r>
      <w:r>
        <w:t xml:space="preserve"> We demonstrate a tripling in the frequency of planetary wave resonance events over the past halfcentury, coinciding with the rise in persistent boreal summer weather extremes. This increase aligns with changes in the underlying climate conditions favoring these events, including amplified Arctic warming and land-sea thermal contrast. We also observe increased prevalence of resonant amplification events following the mature phase of strong El Niño events, suggesting that such events may precondition the mean state conditions in ways that favor large-scale quasi-stationary wave patterns and quasi-resonant wave amplification. Since the impact of anthropogenic warming on quasi-resonant amplification is not well captured by current-generation climate models, it is likely that models are underpredicting the potential increase, indicating even greater risk of persistent extreme summer weather events with ongoing warming.</w:t>
      </w:r>
    </w:p>
    <w:p>
      <w:pPr/>
      <w:r>
        <w:rPr>
          <w:b/>
        </w:rPr>
        <w:t>POSSIBLE 2025:</w:t>
      </w:r>
      <w:r>
        <w:t xml:space="preserve"> Simulating record-shattering cold winters of the beginning of the 21st century in France — https://doi.org/10.5194/wcd-6-1-2025</w:t>
      </w:r>
    </w:p>
    <w:p>
      <w:pPr/>
      <w:r>
        <w:rPr>
          <w:b/>
        </w:rPr>
        <w:t>Shared claim-specific concepts:</w:t>
      </w:r>
      <w:r>
        <w:t xml:space="preserve"> frequency, winters, rare, climate; EU scope visible. This is a provisional connection, not an outcome finding.</w:t>
      </w:r>
    </w:p>
    <w:p>
      <w:pPr>
        <w:pStyle w:val="SourceNote"/>
      </w:pPr>
      <w:r>
        <w:rPr>
          <w:b/>
        </w:rPr>
        <w:t>Available abstract (not full text):</w:t>
      </w:r>
      <w:r>
        <w:t xml:space="preserve"> Abstract. Extreme winter cold temperatures in Europe have huge societal impacts on society. Being able to simulate worst-case scenarios of such events for present and future climates is hence crucial for short and long-term adaptation. In this paper, we are interested in low-probability cold events, whose probability is deemed to decrease with climate change. Large ensembles of simulations allow to better analyse the mechanisms and characteristics of such events, but can require a lot of computational resources. Rather than simulating very large ensembles of normal climate trajectories, rare event algorithms allow sampling the tail of distributions more efficiently. Such algorithms have been applied to simulate extreme heat waves. They have emphasized the role of atmospheric circulation in such extremes. The goal of this study is to evaluate the dynamics of extreme cold spells simulated by a rare event algorithm. We focus first on winter cold temperatures that have occurred in France from 1950 to 2021. We investigate winter mean temperatures in France (December, January, and February) and identify a record-shattering event in 1963. We find that, although the frequency of extreme cold spells decreases with time, their intensity is stationary. We applied a stochastic weather generator approach with importance sampling, to simulate the coldest winters that could occur in a factual</w:t>
      </w:r>
    </w:p>
    <w:p>
      <w:pPr/>
      <w:r>
        <w:rPr>
          <w:b/>
        </w:rPr>
        <w:t>POSSIBLE 2025:</w:t>
      </w:r>
      <w:r>
        <w:t xml:space="preserve"> Future increases in Eurasian mid-latitude winter temperature variability shaped by a weakened Atlantic Meridional Overturning Circulation — https://doi.org/10.1038/s43247-025-02249-6</w:t>
      </w:r>
    </w:p>
    <w:p>
      <w:pPr/>
      <w:r>
        <w:rPr>
          <w:b/>
        </w:rPr>
        <w:t>Shared claim-specific concepts:</w:t>
      </w:r>
      <w:r>
        <w:t xml:space="preserve"> increase, climate; EU scope not established. This is a provisional connection, not an outcome finding.</w:t>
      </w:r>
    </w:p>
    <w:p>
      <w:pPr>
        <w:pStyle w:val="SourceNote"/>
      </w:pPr>
      <w:r>
        <w:rPr>
          <w:b/>
        </w:rPr>
        <w:t>Available abstract (not full text):</w:t>
      </w:r>
      <w:r>
        <w:t xml:space="preserve"> Climate models project reduced temperature variability in Northern high latitudes due to global warming, but impacts on mid-latitude variability remain uncertain. Here, using multi-model simulations from the Coupled Model Intercomparison Project, we find that daily winter temperature variability increases across the Eurasian mid-latitudes under future warming. This variability strongly correlates with the North Atlantic sea surface temperature gradient, characterized by a warm tropics–cold high-latitude sea surface temperature pattern linked to a weakened Atlantic Meridional Overturning Circulation. Idealized simulations using a climate model confirm that a stronger North Atlantic Sea surface temperature gradient amplifies Eurasian mid-latitude temperature variability by enhancing the meridional temperature gradient. Additional simulations show that warming in the tropical Indian Ocean-western Pacific warm pool has a weaker effect on Eurasian temperature variability than the North Atlantic sea surface temperature gradient. These findings suggest that Atlantic Meridional Overturning Circulation weakening could lead to heightened winter variability in Eurasian mid-latitudes. Winter temperature variability in the Eurasian mid-latitudes is projected to increase under future warming and be modulated by the degree of Atlantic Meridional Overturning Circulation weakening, according to</w:t>
      </w:r>
    </w:p>
    <w:p>
      <w:pPr/>
      <w:r>
        <w:rPr>
          <w:b/>
        </w:rPr>
        <w:t>POSSIBLE 2025:</w:t>
      </w:r>
      <w:r>
        <w:t xml:space="preserve"> A multi-frequency altimetry snow depth product over Arctic sea ice — https://doi.org/10.1038/s41597-024-04343-4</w:t>
      </w:r>
    </w:p>
    <w:p>
      <w:pPr/>
      <w:r>
        <w:rPr>
          <w:b/>
        </w:rPr>
        <w:t>Shared claim-specific concepts:</w:t>
      </w:r>
      <w:r>
        <w:t xml:space="preserve"> ice, cover, two; EU scope not established. This is a provisional connection, not an outcome finding.</w:t>
      </w:r>
    </w:p>
    <w:p>
      <w:pPr>
        <w:pStyle w:val="SourceNote"/>
      </w:pPr>
      <w:r>
        <w:rPr>
          <w:b/>
        </w:rPr>
        <w:t>Available abstract (not full text):</w:t>
      </w:r>
      <w:r>
        <w:t xml:space="preserve"> Sea ice thickness is an essential variable to understand and forecast the dynamic ice cover and can be estimated by satellite altimetry. Nevertheless, it is affected by uncertainties especially from snow depth, a key parameter to derive it from ice freeboard. We developed a snow depth product based on the differences between CryoSat-2 SAR Ku and IceSat-2 laser altimeters which have different snow penetration capabilities. We compared this product to other existing snow depth products. This comparison indicates correlations all above 0.37 and reaching 0.91 relative to airborne snow radar. We estimate the snow depth uncertainties of our product to be 0.06 m on average. Combining two frequencies to simultaneously measure ice and total freeboard reduces the uncertainties in ice thickness by around a factor of two compared with a single-frequency solution combined with a snow depth climatology. The lack of in situ measurements is a limiting factor to assess the advantages of coincident CryoSat-2 and ICESat-2 acquisitions. Validation data are of major importance for upcoming missions.</w:t>
      </w:r>
    </w:p>
    <w:p>
      <w:pPr/>
      <w:r>
        <w:rPr>
          <w:b/>
        </w:rPr>
        <w:t>POSSIBLE 2025:</w:t>
      </w:r>
      <w:r>
        <w:t xml:space="preserve"> CLIMK–WINDS: a new database of extreme European winter windstorms — https://doi.org/10.5194/essd-17-4431-2025</w:t>
      </w:r>
    </w:p>
    <w:p>
      <w:pPr/>
      <w:r>
        <w:rPr>
          <w:b/>
        </w:rPr>
        <w:t>Shared claim-specific concepts:</w:t>
      </w:r>
      <w:r>
        <w:t xml:space="preserve"> increase, climate; EU scope visible. This is a provisional connection, not an outcome finding.</w:t>
      </w:r>
    </w:p>
    <w:p>
      <w:pPr>
        <w:pStyle w:val="SourceNote"/>
      </w:pPr>
      <w:r>
        <w:rPr>
          <w:b/>
        </w:rPr>
        <w:t>Available abstract (not full text):</w:t>
      </w:r>
      <w:r>
        <w:t xml:space="preserve"> Abstract. European windstorms pose a significant threat to people, infrastructure and the natural environment. Several windstorms in the recent past have caused substantial damages, and losses associated with extreme windstorms may increase with climate change. Characterizing the footprints of destructive windstorms is thus key to providing quantitative estimates of storm-related economic losses. To that end, we have developed a new, publicly available database of extreme European windstorm footprints for the extended winter season during 1995–2015. In contrast to previously compiled European windstorm databases, we include storm footprints derived from four different data sets, rather than a single source: the ERA5 reanalysis, the COSMO-REA6 reanalysis for Europe, the COSMO-Climate Limited-area Mode regional climate model driven by ERA5 on the EURO-CORDEX domain, and simulation output from the same model but on an enlarged Germany domain with higher horizontal resolution. The database includes both the footprints themselves, expressed as the relative daily maximum wind gusts associated with a storm event, and the daily maximum wind gusts in absolute magnitude associated with the footprints. We derived and included the storm footprints associated with the 50 most extreme storms, or Top50 storms, identified within each of the four input data sets. We applied a consistent methodo</w:t>
      </w:r>
    </w:p>
    <w:p>
      <w:pPr>
        <w:pStyle w:val="Heading2"/>
      </w:pPr>
      <w:r>
        <w:t>727. How much can societal turning points affect forecasts’ accuracy in Europe? Case of post-communistic transformation in Slovakia and the Czech Republic</w:t>
      </w:r>
    </w:p>
    <w:p>
      <w:pPr>
        <w:pStyle w:val="SourceNote"/>
      </w:pPr>
      <w:r>
        <w:rPr>
          <w:b/>
        </w:rPr>
        <w:t>Original source (2019):</w:t>
      </w:r>
      <w:r>
        <w:t xml:space="preserve"> https://doi.org/10.1186/s40309-019-0158-z</w:t>
      </w:r>
    </w:p>
    <w:p>
      <w:pPr/>
      <w:r>
        <w:t>Original wording (abstract; indexed_source_text_not_full_document_verified): Here, the alternative future is built and simulated in terms of what the populations would have looked like if the socialist system had not collapsed.</w:t>
      </w:r>
    </w:p>
    <w:p>
      <w:pPr/>
      <w:r>
        <w:rPr>
          <w:b/>
        </w:rPr>
        <w:t>POSSIBLE 2026:</w:t>
      </w:r>
      <w:r>
        <w:t xml:space="preserve"> From Moral Crusade to European Reality: The Rights of Nature “Solution” in Search of a Problem — https://doi.org/10.1017/aju.2026.10088</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By what sleight of hand could the simple idea of personifying nature and granting it rights outperform contemporary environmental law, a sophisticated normative edifice built over the last fifty years? This is the question that led me, about a decade ago, to engage critically with rights of nature. 1 In this essay, I focus on the concept from a European standpoint, without claiming to do full justice to the live debate over the concept in other jurisdictions, such as Latin America, New Zealand, and the United States. I challenge the claim that rights of nature offer a meaningful legal alternative to contemporary environmental law in Europe. The arguments advanced here, however, have broader relevance: European law — including under the European Convention on Human Rights — shows that effective protection of nature does not require personification, and the theoretical critiques of rights of nature are also relevant to the international debate. The argument that it might provide such an alternative rests on a form of ancient natural law thinking, and it carries a strong ideological charge that leads to a flawed diagnosis of what environmental law actually is and does. Rather than re-inventing environmental law through personification of nature, the pressing task is to sustain the existing legal framework.</w:t>
      </w:r>
    </w:p>
    <w:p>
      <w:pPr/>
      <w:r>
        <w:rPr>
          <w:b/>
        </w:rPr>
        <w:t>POSSIBLE 2026:</w:t>
      </w:r>
      <w:r>
        <w:t xml:space="preserve"> Unveiling the environmental impact of earthquakes in Europe — https://doi.org/10.1038/s41467-025-68120-6</w:t>
      </w:r>
    </w:p>
    <w:p>
      <w:pPr/>
      <w:r>
        <w:rPr>
          <w:b/>
        </w:rPr>
        <w:t>Shared claim-specific concepts:</w:t>
      </w:r>
      <w:r>
        <w:t xml:space="preserve"> here, built,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Resource requirements and consequences of large-scale hydrogen use in Europe — https://doi.org/10.1038/s41893-026-01771-5</w:t>
      </w:r>
    </w:p>
    <w:p>
      <w:pPr/>
      <w:r>
        <w:rPr>
          <w:b/>
        </w:rPr>
        <w:t>Shared claim-specific concepts:</w:t>
      </w:r>
      <w:r>
        <w:t xml:space="preserve"> here, simulated, system; EU scope visible. This is a provisional connection, not an outcome finding.</w:t>
      </w:r>
    </w:p>
    <w:p>
      <w:pPr>
        <w:pStyle w:val="SourceNote"/>
      </w:pPr>
      <w:r>
        <w:rPr>
          <w:b/>
        </w:rPr>
        <w:t>Available abstract (not full text):</w:t>
      </w:r>
      <w:r>
        <w:t xml:space="preserve"> Abstract As European countries transition to fuels with lower climate change impact, distinct challenges may arise. Electrolytic hydrogen is central to planned developments in transportation and industry, but large-scale hydrogen production could have energy and environmental consequences. Here we simulate site-specific hydrogen demand distribution for Europe in 2050, to assess possible effects on local water use risks, regional electricity generation composition and cost, and total land use. Results show that around 20% of annual water use for hydrogen production is simulated to happen in areas with ‘extremely high’ projected risk of water stress, and local water stress caused by hydrogen production could become severe. Widespread electrolytic hydrogen use requires large investments in electricity generation, but the impacts on the marginal electricity cost to consumers could be small. The electricity generation system required for producing hydrogen or e-fuels would require less land than cultivating biomass for biofuels. The findings highlight the need for coordinated policy action to ensure that hydrogen deployment aligns with local water availability, regional electricity system development, land constraints and broader sustainability goals.</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The Presence of Alternative Tree Species in European Beech Forests Drives Change in Functional Diversity and Composition of Forest Floor Plant Communities — https://doi.org/10.1111/jvs.70058</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ABSTRACT Questions The diversity and composition of functional traits within plant communities have repeatedly been shown to be important predictors of overall ecosystem stability and the provision of basic ecosystem services. Admixing alternative tree species to monodominant European beech forests, a common measure of silvicultural climate change adaptation, is known to affect species diversity and composition of forest floor vegetation. Here we studied whether this adaptation measure also affects the functional diversity and composition of understorey plant communities. Location The study was carried out in temperate beech forests of southwest Germany in Central Europe. Methods We used the four key plant traits seed mass (SDM), plant height (PHV), leaf dry‐matter content (LDMC) and specific leaf area (SLA) to calculate the distance‐based functional richness (FRic), functional evenness (FEve), functional divergence (FDiv) and the community‐weighted mean (CWM) plant traits of herb layer plant communities. Generalised mixed models were built to test the effects of gradually admixed Douglas fir (Pseudotsuga menziesii), silver fir (Abies alba), sessile oak (Quercus petraea), red oak (Quercus rubra) and various mixtures of native broadleaves on functional diversity and composition. Results The presence of Douglas fir and silver fir was associated with increased FRic of the understo</w:t>
      </w:r>
    </w:p>
    <w:p>
      <w:pPr/>
      <w:r>
        <w:rPr>
          <w:b/>
        </w:rPr>
        <w:t>POSSIBLE 2025:</w:t>
      </w:r>
      <w:r>
        <w:t xml:space="preserve"> Alternative rainfall storylines for the Western European July 2021 floods from ensemble boosting — https://doi.org/10.1038/s43247-025-02386-y</w:t>
      </w:r>
    </w:p>
    <w:p>
      <w:pPr/>
      <w:r>
        <w:rPr>
          <w:b/>
        </w:rPr>
        <w:t>Shared claim-specific concepts:</w:t>
      </w:r>
      <w:r>
        <w:t xml:space="preserve"> here, alternative, terms, system; EU scope visible. This is a provisional connection, not an outcome finding.</w:t>
      </w:r>
    </w:p>
    <w:p>
      <w:pPr>
        <w:pStyle w:val="SourceNote"/>
      </w:pPr>
      <w:r>
        <w:rPr>
          <w:b/>
        </w:rPr>
        <w:t>Available abstract (not full text):</w:t>
      </w:r>
      <w:r>
        <w:t xml:space="preserve"> In July 2021, a cut-off low-pressure system brought extreme rainfall to Western Europe, leading to flooding that caused loss of life and infrastructure damage. Here, we use ensemble boosting to investigate alternative storylines of the event, given the observed dynamical situation. Using a fully coupled free-running climate model, we identify atmospheric flow analogues of the 2021 event in an initial-condition large ensemble. These analogues are re-initialised with slightly perturbed atmospheric initial conditions to generate physically plausible alternative storylines. The storylines are used to investigate how a potentially worse event could have unfolded given the same large-scale dynamics. We identify rainfall events with longer persistence and larger extent, yet the observed event appears to be towards the upper end of what is plausible in the current climate. Such storylines can be used to prepare for possible future events, helping society to imagine dangerous, but plausible, scenarios. The July 2021 extreme rainfall event in Western Europe appears near the upper bound of plausibility in the current climate, though alternative storylines revealing the potential for even more severe outcomes in terms of rainfall persistence, spatial extent, and location – given the large-scale dynamics of the event, according to a boosted ensemble.</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built, like, system;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2024:</w:t>
      </w:r>
      <w:r>
        <w:t xml:space="preserve"> Characterisation of an LED-based integrating sphere source for detection of changes of AERONET Europe radiometers — https://doi.org/10.1088/1742-6596/2864/1/012017</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Abstract Within the framework of the EMPIR project 19ENV04 MAPP “Metrology for aerosol optical properties” an LED-based source was built for monitoring responsivity changes of Cimel filter radiometers from the AERONET Europe network. The developed LED device was flanged to integrating spheres to fill the field of view of the radiometers. Here we present the characterisation results of the LED-based integrating sphere source. The spectra of the radiant flux leaving a BaSO4-based integrating sphere showed positive wavelength dependent drift, which had not been reported in literature yet and did not appear by using incandescent lamps with the integrating spheres. This report shows approaches to reduce such drifts and an alternative using a PTFE-based integrating sphere, which was also tested for stability, reproducibility and homogeneity.</w:t>
      </w:r>
    </w:p>
    <w:p>
      <w:pPr/>
      <w:r>
        <w:rPr>
          <w:b/>
        </w:rPr>
        <w:t>POSSIBLE 2023:</w:t>
      </w:r>
      <w:r>
        <w:t xml:space="preserve"> Probiotic-Based Sanitation in the Built Environment—An Alternative to Chemical Disinfectants — https://doi.org/10.3390/applmicrobiol3020038</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pPr/>
      <w:r>
        <w:rPr>
          <w:b/>
        </w:rPr>
        <w:t>POSSIBLE 2023:</w:t>
      </w:r>
      <w:r>
        <w:t xml:space="preserve"> Ecospirituality in French-Speaking Europe: Linking Ecological Thought with Alternative Spirituality — https://doi.org/10.3390/rel14040510</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pPr/>
      <w:r>
        <w:rPr>
          <w:b/>
        </w:rPr>
        <w:t>POSSIBLE 2023:</w:t>
      </w:r>
      <w:r>
        <w:t xml:space="preserve"> Temporal PROMETHEE II — New multi-criteria approach to sustainable management of alternative fuels consumption — https://doi.org/10.1016/j.jclepro.2023.137445</w:t>
      </w:r>
    </w:p>
    <w:p>
      <w:pPr/>
      <w:r>
        <w:rPr>
          <w:b/>
        </w:rPr>
        <w:t>Shared claim-specific concepts:</w:t>
      </w:r>
      <w:r>
        <w:t xml:space="preserve"> here, alternative, built, like, not; EU scope visible. This is a provisional connection, not an outcome finding.</w:t>
      </w:r>
    </w:p>
    <w:p>
      <w:pPr>
        <w:pStyle w:val="SourceNote"/>
      </w:pPr>
      <w:r>
        <w:rPr>
          <w:b/>
        </w:rPr>
        <w:t>Available abstract (not full text):</w:t>
      </w:r>
      <w:r>
        <w:t xml:space="preserve">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pPr/>
      <w:r>
        <w:rPr>
          <w:b/>
        </w:rPr>
        <w:t>POSSIBLE 2023:</w:t>
      </w:r>
      <w:r>
        <w:t xml:space="preserve"> Farmland practices are driving bird population decline across Europe — https://doi.org/10.1073/pnas.2216573120</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pStyle w:val="Heading2"/>
      </w:pPr>
      <w:r>
        <w:t>728. Implementing Dynamics of Immigration Integration in Labor Force Participation Projection in EU28</w:t>
      </w:r>
    </w:p>
    <w:p>
      <w:pPr>
        <w:pStyle w:val="SourceNote"/>
      </w:pPr>
      <w:r>
        <w:rPr>
          <w:b/>
        </w:rPr>
        <w:t>Original source (2019):</w:t>
      </w:r>
      <w:r>
        <w:t xml:space="preserve"> https://doi.org/10.1007/s11113-019-09537-y</w:t>
      </w:r>
    </w:p>
    <w:p>
      <w:pPr/>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POSSIBLE 2026:</w:t>
      </w:r>
      <w:r>
        <w:t xml:space="preserve"> A Scoping Review of the Literature on Child and/or Adolescent Health Microsimulation Models — https://doi.org/10.1007/s40258-026-01066-y</w:t>
      </w:r>
    </w:p>
    <w:p>
      <w:pPr/>
      <w:r>
        <w:rPr>
          <w:b/>
        </w:rPr>
        <w:t>Shared claim-specific concepts:</w:t>
      </w:r>
      <w:r>
        <w:t xml:space="preserve"> microsimulation, used; EU scope not established. This is a provisional connection, not an outcome finding.</w:t>
      </w:r>
    </w:p>
    <w:p>
      <w:pPr>
        <w:pStyle w:val="SourceNote"/>
      </w:pPr>
      <w:r>
        <w:rPr>
          <w:b/>
        </w:rPr>
        <w:t>Available abstract (not full text):</w:t>
      </w:r>
      <w:r>
        <w:t xml:space="preserve"> BACKGROUND: Microsimulation models can be used for diverse purposes such as forecasting and undertaking economic evaluations. A review of the literature of existing child and/or adolescent microsimulation models has yet to be undertaken. The aim of this scoping review was to retrieve, synthesise and critically appraise the literature of child and/or adolescent health microsimulation models. METHODS: A scoping review was conducted using PubMed, Embase, CINAHL, PsyclNFO, EconLit and Scopus. Additional searches (snowballing, Google searches, searches of specific journals and websites) were also undertaken to complement database searches. Relevant data on microsimulation models were extracted, and the quality of models was assessed using the Quality Assessment Reporting for Microsimulation Models checklist. Evidence was synthesised by scope of model, type of model and health outcome examined. RESULTS: Forty-eight relevant microsimulation models were found. Most (n = 33) were developed specifically for children and/or adolescents, but there were a few (n = 15) broader models that examined these populations. Many microsimulation models were developed for the USA (n = 14); several were focused on select health conditions, such as obesity/overweight, cancer and human immunodeficiency virus (HIV). Just over half (n = 27) of the models found were classified as medium quality models, whil</w:t>
      </w:r>
    </w:p>
    <w:p>
      <w:pPr/>
      <w:r>
        <w:rPr>
          <w:b/>
        </w:rPr>
        <w:t>POSSIBLE 2026:</w:t>
      </w:r>
      <w:r>
        <w:t xml:space="preserve"> Projection of family life courses of the descendants of immigrants in England and Wales using microsimulation — https://doi.org/10.4054/demres.2026.55.24</w:t>
      </w:r>
    </w:p>
    <w:p>
      <w:pPr/>
      <w:r>
        <w:rPr>
          <w:b/>
        </w:rPr>
        <w:t>Shared claim-specific concepts:</w:t>
      </w:r>
      <w:r>
        <w:t xml:space="preserve"> microsimulation, population, immigrants, size, rates; EU scope not established. This is a provisional connection, not an outcome finding.</w:t>
      </w:r>
    </w:p>
    <w:p>
      <w:pPr>
        <w:pStyle w:val="SourceNote"/>
      </w:pPr>
      <w:r>
        <w:rPr>
          <w:b/>
        </w:rPr>
        <w:t>Available abstract (not full text):</w:t>
      </w:r>
      <w:r>
        <w:t xml:space="preserve"> BACKGROUNDThis study projects family life courses of the descendants of immigrants in England and Wales using microsimulation.While previous projections have estimated the size of ethnic groups, this is the first study to examine how the family and age structures of the descendants of immigrants evolve across generations and over time. OBJECTIVEOur aim is to explore how the future age, partnership, and parity distributions of immigrant descendant populations develop in the United Kingdom. METHODSWe develop a microsimulation model of fertility and partnership transitions from ages 20-49, using partnership formation, dissolution, and fertility rates from previous research.We construct a base population using data from the 2011 Census. RESULTSThe results show, first, significant heterogeneity in partnership and fertility patterns among migrant populations.Second, this heterogeneity is reduced among the descendants of immigrants, especially for fertility levels.Third, the distribution of the descendants of immigrants by partnership and parity gradually becomes similar to that of the native population.</w:t>
      </w:r>
    </w:p>
    <w:p>
      <w:pPr/>
      <w:r>
        <w:rPr>
          <w:b/>
        </w:rPr>
        <w:t>POSSIBLE 2026:</w:t>
      </w:r>
      <w:r>
        <w:t xml:space="preserve"> Modelling behavioural responses to tolling by microsimulation — https://doi.org/10.17869/enu.171408</w:t>
      </w:r>
    </w:p>
    <w:p>
      <w:pPr/>
      <w:r>
        <w:rPr>
          <w:b/>
        </w:rPr>
        <w:t>Shared claim-specific concepts:</w:t>
      </w:r>
      <w:r>
        <w:t xml:space="preserve"> microsimulation, used, different; EU scope not established. This is a provisional connection, not an outcome finding.</w:t>
      </w:r>
    </w:p>
    <w:p>
      <w:pPr>
        <w:pStyle w:val="SourceNote"/>
      </w:pPr>
      <w:r>
        <w:rPr>
          <w:b/>
        </w:rPr>
        <w:t>Available abstract (not full text):</w:t>
      </w:r>
      <w:r>
        <w:t xml:space="preserve"> Over the past few decades there has been a renewed interest in road pricing. This has come about due to the increasing realisation of the negative effects of unrestrained car use, such as, the impact of congestion on the economy and pollution on the environment, to name a few. In this respect, road pricing offers a mechanism for controlling demand. To date, road pricing has been applied to city centres, sections of motorways, individual lanes, bridges, tunnels to name but a few examples. Charges can also be further refined and varied according to the time of day, day of the week, traffic volumes, vehicle types, vehicle occupancy, etc. Moreover, the evaluation of transport schemes has become reliant on the careful consideration of all possible outcomes. An important technology which has been developed is traffic microsimulation modelling. This enables transport professionals to replicate by computer simulation the behaviour of individual vehicles within an exact representation of the actual road network. The robustness of microsimulation modelling, nevertheless, depends on the accuracy with which actual traffic behaviour is represented. In the case of road pricing the key element lies in predicting motorist’s behavioural responses when confronted with tolls. There are various scenarios in which tolls could be applied and some may offer alternative routes, alternative modes, etc.</w:t>
      </w:r>
    </w:p>
    <w:p>
      <w:pPr/>
      <w:r>
        <w:rPr>
          <w:b/>
        </w:rPr>
        <w:t>POSSIBLE 2026:</w:t>
      </w:r>
      <w:r>
        <w:t xml:space="preserve"> Development, Testing, and Calibration of LINCS: A New Microsimulation Model of Maternal and Fetal Cytomegalovirus Infection in the United States — https://doi.org/10.1177/23814683261444049</w:t>
      </w:r>
    </w:p>
    <w:p>
      <w:pPr/>
      <w:r>
        <w:rPr>
          <w:b/>
        </w:rPr>
        <w:t>Shared claim-specific concepts:</w:t>
      </w:r>
      <w:r>
        <w:t xml:space="preserve"> microsimulation, used, project, dynamics; EU scope visible. This is a provisional connection, not an outcome finding.</w:t>
      </w:r>
    </w:p>
    <w:p>
      <w:pPr>
        <w:pStyle w:val="SourceNote"/>
      </w:pPr>
      <w:r>
        <w:rPr>
          <w:b/>
        </w:rPr>
        <w:t>Available abstract (not full text):</w:t>
      </w:r>
      <w:r>
        <w:t xml:space="preserve"> Background. Congenital cytomegalovirus (cCMV) is a leading cause of birth defects and the most common cause of nongenetic sensorineural hearing loss in children. There is a lack of decision-modeling frameworks that can project cytomegalovirus (CMV)–related patient outcomes and inform health policy. We created, tested, and calibrated a model of CMV acquisition and transmission in pregnancy using linked mother–infant dyads. Methods. We developed the L inking IN fants and Mothers in C ytomegalovirus S imulation (LINCS) dyad-level Monte Carlo microsimulation model of CMV infection among pregnant people and fetuses throughout pregnancy. We parameterized the model with data from North America and Europe from the existing literature, implemented rigorous code-testing procedures, and calibrated a key set of parameters to match the model output to external data on cCMV prevalence and symptom risk. Results. A fully parameterized model for CMV among pregnant people and fetuses was developed, and the model code was confirmed to perform as specified. The calibration procedure identified parameter sets that generated model output closely matching the target values from the available data on cCMV prevalence and symptom risk. Conclusions. The LINCS model’s ability to simulate the natural history of CMV infection during pregnancy was described and demonstrated, and the model was tested and cali</w:t>
      </w:r>
    </w:p>
    <w:p>
      <w:pPr/>
      <w:r>
        <w:rPr>
          <w:b/>
        </w:rPr>
        <w:t>POSSIBLE 2026:</w:t>
      </w:r>
      <w:r>
        <w:t xml:space="preserve"> Progressivity and the tax treatment of children: a microsimulation with administrative personal income tax data — https://openalex.org/W7167384592</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Work Project analyzes the redistributive effects of alternative treatments of children in the Portuguese Personal Income Tax. Using administrative tax microdata from 2017-2020 and a static arithmetic microsimulation model, we compare the observed system of marital quotient and child tax credits with the family quotient regime combined with lower child tax credits applied in 2015. The results show that this policy combination lowers the Kakwani index, indicating a reduction in tax progressivity, and shifts tax relief toward higher-income households, particularly large families, while increasing losses among lower-middle income households. The observed system is more progressive but fiscally more costly.</w:t>
      </w:r>
    </w:p>
    <w:p>
      <w:pPr/>
      <w:r>
        <w:rPr>
          <w:b/>
        </w:rPr>
        <w:t>POSSIBLE 2026:</w:t>
      </w:r>
      <w:r>
        <w:t xml:space="preserve"> Harnessing Technological Innovation for Poverty Reduction: Sectoral and Microsimulation Insights from Cameroon and the DRC — https://doi.org/10.63385/jemm.v2i1.307</w:t>
      </w:r>
    </w:p>
    <w:p>
      <w:pPr/>
      <w:r>
        <w:rPr>
          <w:b/>
        </w:rPr>
        <w:t>Shared claim-specific concepts:</w:t>
      </w:r>
      <w:r>
        <w:t xml:space="preserve"> microsimulation, rates; EU scope not established. This is a provisional connection, not an outcome finding.</w:t>
      </w:r>
    </w:p>
    <w:p>
      <w:pPr>
        <w:pStyle w:val="SourceNote"/>
      </w:pPr>
      <w:r>
        <w:rPr>
          <w:b/>
        </w:rPr>
        <w:t>Available abstract (not full text):</w:t>
      </w:r>
      <w:r>
        <w:t xml:space="preserve"> This study investigates Cameroon and the Democratic Republic of Congo, both contending with significant technological disparities—defined as variations in capital-augmenting technological capacity across sectors that influence productivity and growth potential. Using data from the year 2015, the analysis employs a dynamic computable general equilibrium (CGE) model combined with a microsimulation approach. The study examines how capital-augmenting technological innovation (TI)-that is, improvements in the efficiency of capital use-affects key macroeconomic variables such as GDP growth, wage rates, consumption patterns, and household welfare. Results from the CGE simulations reveal that increased TI positively influences GDP growth through contributions from agriculture, industry, and transport sectors. Welfare and income effects benefit households engaged in innovative sectors, while investment and consumption responses differ across activities. At the micro level, higher TI reduces poverty rates in both countries, especially within agriculture, industry, and transport. The findings highlight the importance of targeted investments in technology-intensive sectors to maximise TI’s benefits for growth, income distribution, and poverty reduction. Policymakers are encouraged to foster innovation-friendly environments, support entrepreneurship, and promote inclusive growth strategies </w:t>
      </w:r>
    </w:p>
    <w:p>
      <w:pPr/>
      <w:r>
        <w:rPr>
          <w:b/>
        </w:rPr>
        <w:t>POSSIBLE 2026:</w:t>
      </w:r>
      <w:r>
        <w:t xml:space="preserve"> How the universal pension scheme shapes poverty outcomes in Zanzibar: Insights from the ZANMOD microsimulation model — https://doi.org/10.35188/unu-wider/2026/734-3</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study is published within the UNU-WIDER project SOUTHMOD -simulating tax and benefit</w:t>
      </w:r>
    </w:p>
    <w:p>
      <w:pPr/>
      <w:r>
        <w:rPr>
          <w:b/>
        </w:rPr>
        <w:t>POSSIBLE 2026:</w:t>
      </w:r>
      <w:r>
        <w:t xml:space="preserve"> The Impact of Demographic Change on Spousal Caregiving and Future Gaps in Long-term Care: Microsimulation Projections for Austria and Italy — https://doi.org/10.1007/s12062-026-09529-9</w:t>
      </w:r>
    </w:p>
    <w:p>
      <w:pPr/>
      <w:r>
        <w:rPr>
          <w:b/>
        </w:rPr>
        <w:t>Shared claim-specific concepts:</w:t>
      </w:r>
      <w:r>
        <w:t xml:space="preserve"> microsimulation, different, size, increase; EU scope visible. This is a provisional connection, not an outcome finding.</w:t>
      </w:r>
    </w:p>
    <w:p>
      <w:pPr>
        <w:pStyle w:val="SourceNote"/>
      </w:pPr>
      <w:r>
        <w:rPr>
          <w:b/>
        </w:rPr>
        <w:t>Available abstract (not full text):</w:t>
      </w:r>
      <w:r>
        <w:t xml:space="preserve"> Abstract As populations age, the sustainability of long-term care systems increasingly depends on the availability of informal care, particularly from partners. This paper addresses the question of how much care we may expect partners to provide in the future by projecting demand for long-term care (LTC), the care supply mix based on current patterns, and the resulting care gaps up to 2070. Using a comparative dynamic microsimulation model, we contrast the results for Austria and Italy, two countries at very different stages in the ageing process and with pronounced institutional differences. Our results suggest that delayed widowhood due to improvements in mortality is a mitigating factor for the increased need for formal care in ageing societies, although it can only offset this increase to a limited extent. Even under optimistic assumptions, potential care gaps substantially increase in both countries, primarily due to demographic change. The size of these gaps is influenced by institutional settings, partnership patterns and gains in longevity, but no scenario reverses the overall upward trend. These findings emphasize the need for comprehensive LTC reforms that extend beyond merely promoting informal care and highlight the necessity for substantial investment in formal care infrastructure.</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illustrating;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2026:</w:t>
      </w:r>
      <w:r>
        <w:t xml:space="preserve"> The emergence of tax-benefit microsimulation models in the Global South: The experience of SAMOD, SOUTHMOD, and EUROMOD-based models for Latin America — https://doi.org/10.35188/unu-wider/2026/748-0</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paper examines the experience of building and using tax-benefit microsimulation models for countries in the Global South in EUROMOD. The study focuses mainly on three key initiatives: the pioneering SAMOD model, the SOUTHMOD project, and EUROMOD-based models for Latin America. The paper provides an overview of these initiatives and highlights the importance of taking account of the developing-country context in the simulations. Research based on the models has made key contributions to the field of public finance and social policy in the Global South, over a wide range of topics such as distributional analysis, work incentives and informal employment, automatic stabilization, among many others. A number of challenges remain for the update and use of microsimulation models in the Global South. However, these tools offer opportunities for new avenues of research and to contribute with evidence to the policy debate in view of strengthening social protection and increasing fiscal capacity.</w:t>
      </w:r>
    </w:p>
    <w:p>
      <w:pPr/>
      <w:r>
        <w:rPr>
          <w:b/>
        </w:rPr>
        <w:t>POSSIBLE 2026:</w:t>
      </w:r>
      <w:r>
        <w:t xml:space="preserve"> Modelling kinship networks using analytical and microsimulation approaches — https://doi.org/10.4054/mpidr-wp-2026-043</w:t>
      </w:r>
    </w:p>
    <w:p>
      <w:pPr/>
      <w:r>
        <w:rPr>
          <w:b/>
        </w:rPr>
        <w:t>Shared claim-specific concepts:</w:t>
      </w:r>
      <w:r>
        <w:t xml:space="preserve"> microsimulation, population, different; EU scope visible. This is a provisional connection, not an outcome finding.</w:t>
      </w:r>
    </w:p>
    <w:p>
      <w:pPr>
        <w:pStyle w:val="SourceNote"/>
      </w:pPr>
      <w:r>
        <w:rPr>
          <w:b/>
        </w:rPr>
        <w:t>Available abstract (not full text):</w:t>
      </w:r>
      <w:r>
        <w:t xml:space="preserve"> Analytical and microsimulation models are the primary approaches for estimating kinship networks when detailed, long-term demographic data including kinship ties are unavailable.Although both methods use population-level demographic data as inputs, their methodological formulations, assumptions and outputs differ.Analytical models offer mathematical transparency, enabling the calculation of expected values, but are limited in capturing individual variability and interactions.Conversely, microsimulation models simulate demographic events at the individual level, enabling the estimation of the number and distributions of kin, but they are computationally intensive and rely on additional assumptions.Despite their widespread use, systematic comparisons between these approaches remain limited.This study examines the consistency between matrix kinship models and Socsim demographic microsimulation when estimating kinship networks under comparable assumptions.Using fertility and mortality data from the World Population Prospects 2024 for Sweden , we compared the means and distributions of the numbers and ages of different kin estimated from both models.Our results show that when their main demographic assumptions are harmonised, both models produce similar estimates of the mean numbers and ages of kin, despite some fluctuation in the simulated estimates across ages.However, adding assu</w:t>
      </w:r>
    </w:p>
    <w:p>
      <w:pPr/>
      <w:r>
        <w:rPr>
          <w:b/>
        </w:rPr>
        <w:t>POSSIBLE 2026:</w:t>
      </w:r>
      <w:r>
        <w:t xml:space="preserve"> Gastric cancer prevention:Bridging data, ethics and microsimulation — https://openalex.org/W7153957970</w:t>
      </w:r>
    </w:p>
    <w:p>
      <w:pPr/>
      <w:r>
        <w:rPr>
          <w:b/>
        </w:rPr>
        <w:t>Shared claim-specific concepts:</w:t>
      </w:r>
      <w:r>
        <w:t xml:space="preserve"> microsimulation, used, population; EU scope visible. This is a provisional connection, not an outcome finding.</w:t>
      </w:r>
    </w:p>
    <w:p>
      <w:pPr>
        <w:pStyle w:val="SourceNote"/>
      </w:pPr>
      <w:r>
        <w:rPr>
          <w:b/>
        </w:rPr>
        <w:t>Available abstract (not full text):</w:t>
      </w:r>
      <w:r>
        <w:t xml:space="preserve"> Gastric cancer is a highly fatal disease causing around 650,000 deaths each year. Because most of these cases are attributable to the bacterium Helicobacter pylori (H. pylori), gastric cancer can be prevented by antibiotic treatment of the infection. Additionally, endoscopic screening can enable earlier diagnosis and improve survival. The effectiveness of these interventions may be further enhanced by targeting populations with an elevated risk, such as specific ethnic or social groups. While both of these strategies offer viable options to reduce the burden of gastric cancer, they only prevent gastric cancer in relatively few individuals while they carry important harms for the entire population undergoing screening, such as false-positive test results, overtreatment and costs. The challenge is to find strategies that balance the benefits and harms of screening. This thesis therefore aims to answer the central question: How to best prevent the burden of gastric cancer? This thesis aims to use data, ethics and microsimulation to find the answer. The thesis starts by investigating gastric carcinogenesis through analyzing endoscopic data on gastric cancer precursor lesions. These data are subsequently used in the development of the MISCAN-gastric model, a microsimulation model to estimate the impact of prevention strategies. The model is used alongside other models and data sourc</w:t>
      </w:r>
    </w:p>
    <w:p>
      <w:pPr>
        <w:pStyle w:val="Heading2"/>
      </w:pPr>
      <w:r>
        <w:t>729. Innovation policy and international relations: directions for EU diplomacy</w:t>
      </w:r>
    </w:p>
    <w:p>
      <w:pPr>
        <w:pStyle w:val="SourceNote"/>
      </w:pPr>
      <w:r>
        <w:rPr>
          <w:b/>
        </w:rPr>
        <w:t>Original source (2019):</w:t>
      </w:r>
      <w:r>
        <w:t xml:space="preserve"> https://doi.org/10.1186/s40309-019-0156-1</w:t>
      </w:r>
    </w:p>
    <w:p>
      <w:pPr/>
      <w:r>
        <w:t>Original wording (abstract; indexed_source_text_not_full_document_verified): The final paragraph discusses what Europe can and should do in its external relations to provide adequate answers to the forces outlined in the three scenarios.</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external, relations, outlined, three;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2024:</w:t>
      </w:r>
      <w:r>
        <w:t xml:space="preserve"> An Exploration of Bachelor Level Learners' Experiences in Writing Paragraphs — https://doi.org/10.36948/ijfmr.2024.v06i02.15034</w:t>
      </w:r>
    </w:p>
    <w:p>
      <w:pPr/>
      <w:r>
        <w:rPr>
          <w:b/>
        </w:rPr>
        <w:t>Shared claim-specific concepts:</w:t>
      </w:r>
      <w:r>
        <w:t xml:space="preserve"> paragraph, provide, three; EU scope not established. This is a provisional connection, not an outcome finding.</w:t>
      </w:r>
    </w:p>
    <w:p>
      <w:pPr>
        <w:pStyle w:val="SourceNote"/>
      </w:pPr>
      <w:r>
        <w:rPr>
          <w:b/>
        </w:rPr>
        <w:t>Available abstract (not full text):</w:t>
      </w:r>
      <w:r>
        <w:t xml:space="preserve"> An exploration of Bachelor's level learners' experiences in writing paragraphs aims to investigate how the learners are learning to write paragraphs from their school to university level in the English language. As a university teacher, the author observed his learners often writing less organized paragraphs, and preferred points rather than paragraphs in their assignments and other writing products as well. To explore the curiosity about how the learners are experiencing writing paragraphs, a narrative inquiry was conducted from five purposively selected Bachelor level participants from Surkhet Multiple Campus. Being a teacher, at one level, he informally gathered information on how they experienced writing paragraphs. By taking their oral consent from the informal talk, he managed to take a formal focused interview with the use of guidelines. During the interview, the audio recording was done which was then transcribed. After that, the codes were developed and followed by the categories. Lastly, three main themes were developed as the form of result: the learners felt the input that they got was more focused on writing points rather than a paragraph which encouraged them to write more in points than a paragraph. They also experienced a lack of sufficient input and feedback from teachers during their school as well as college-level learning classes. Similarly, unfamiliarity an</w:t>
      </w:r>
    </w:p>
    <w:p>
      <w:pPr/>
      <w:r>
        <w:rPr>
          <w:b/>
        </w:rPr>
        <w:t>POSSIBLE 2024:</w:t>
      </w:r>
      <w:r>
        <w:t xml:space="preserve"> Local Fusions: Folk Music Experiments in Central Europe at the Millennium — https://doi.org/10.5406/21567417.68.2.12</w:t>
      </w:r>
    </w:p>
    <w:p>
      <w:pPr/>
      <w:r>
        <w:rPr>
          <w:b/>
        </w:rPr>
        <w:t>Shared claim-specific concepts:</w:t>
      </w:r>
      <w:r>
        <w:t xml:space="preserve"> final, discusses, three; EU scope visible. This is a provisional connection, not an outcome finding.</w:t>
      </w:r>
    </w:p>
    <w:p>
      <w:pPr>
        <w:pStyle w:val="SourceNote"/>
      </w:pPr>
      <w:r>
        <w:rPr>
          <w:b/>
        </w:rPr>
        <w:t>Available abstract (not full text):</w:t>
      </w:r>
      <w:r>
        <w:t xml:space="preserve"> In Local Fusions, Barbara Rose Lange examines a familiar subject, folk-inspired contemporary music, through the unique lens of “poetic nationalism.” Addressing the adaptation of local traditional music by popular and art music practitioners in Hungary, Slovakia, and Austria from the 1990s to about 2008, Lange's book offers insights into postsocialist and European Union studies, the world music scene, and the ethics of sampling.While the three countries surveyed here are diverse in language and ethnicity, they are united by a Habsburg history still invoked by locals, some of whom identify with the empire's mythicized legacy of multiculturalism and multiconfessionalism. This is the group—primarily educated, urban, cosmopolitan, and internationalist in orientation—drawn to “poetic nationalism,” whether as music creators or consumers. Adapting Anikó Imre's term, Lange asserts that poetic nationalist artists “demonstrate competence in high art by playing with it, expanding it, or interrogating it. They reassert the significance of the individual, but they also draw on the group identities that folk and vernacular musics signify in order to excavate questions that are important in the whole society. Overtly or implicitly, these projects contradict ways in which the right wing uses folk music as a symbol to mobilize monoethnic nationalism” (3). In short, this is an intellectual—even i</w:t>
      </w:r>
    </w:p>
    <w:p>
      <w:pPr/>
      <w:r>
        <w:rPr>
          <w:b/>
        </w:rPr>
        <w:t>POSSIBLE 2023:</w:t>
      </w:r>
      <w:r>
        <w:t xml:space="preserve"> Analysis of Discourse Markers in Paragraph Writings of Preparatory Elective Class Students in a State University — https://doi.org/10.19160/e-ijer.1190477</w:t>
      </w:r>
    </w:p>
    <w:p>
      <w:pPr/>
      <w:r>
        <w:rPr>
          <w:b/>
        </w:rPr>
        <w:t>Shared claim-specific concepts:</w:t>
      </w:r>
      <w:r>
        <w:t xml:space="preserve"> final, paragraph, three; EU scope not established. This is a provisional connection, not an outcome finding.</w:t>
      </w:r>
    </w:p>
    <w:p>
      <w:pPr>
        <w:pStyle w:val="SourceNote"/>
      </w:pPr>
      <w:r>
        <w:rPr>
          <w:b/>
        </w:rPr>
        <w:t>Available abstract (not full text):</w:t>
      </w:r>
      <w:r>
        <w:t xml:space="preserve"> Writing is one of the productive skills and it is very important. However, it is a very difficult skill to develop even in the native language. In other words, knowing the grammar rules and vocabulary do not create a perfect writing. Using discourse markers between the sentences to relate them with one another makes it more coherent. Therefore, in this study it was aimed to scrutinize the use of discourse markers (DMs) in the paragraphs of high-scored students and low-scored students. In the final exam paper, students were asked to write a story about one of three pictures they chose. They were expected to narrate a story with 100-120 words as they were intermediate level students (B1). After two instructors evaluated each of the students’ writing exams based on the non-academic criteria with the following sub-criteria: “accuracy of vocabulary, variety of vocabulary, accuracy of grammar, variety of grammar, paragraph structure, quality and relevance of ideas, linking words, punctuation and capitalization, and spelling mistakes”, the writings of students who sent their consents were analyzed both quantitatively and qualitatively in this current study. 10 papers for each category (low-scored students’ and high-scored students’ paragraphs) were examined. Results showed that high-scored students used more DMs than low scored-students. Furthermore, misuse of DMs and overused DMs, wh</w:t>
      </w:r>
    </w:p>
    <w:p>
      <w:pPr/>
      <w:r>
        <w:rPr>
          <w:b/>
        </w:rPr>
        <w:t>POSSIBLE 2023:</w:t>
      </w:r>
      <w:r>
        <w:t xml:space="preserve"> Exclusion of the principle of non-refoulement in article 33 paragraph 2 of the 1951 refuge convention — https://doi.org/10.61511/eaebjol.v1i1.2023.108</w:t>
      </w:r>
    </w:p>
    <w:p>
      <w:pPr/>
      <w:r>
        <w:rPr>
          <w:b/>
        </w:rPr>
        <w:t>Shared claim-specific concepts:</w:t>
      </w:r>
      <w:r>
        <w:t xml:space="preserve"> paragraph, relations, outlined; EU scope not established. This is a provisional connection, not an outcome finding.</w:t>
      </w:r>
    </w:p>
    <w:p>
      <w:pPr>
        <w:pStyle w:val="SourceNote"/>
      </w:pPr>
      <w:r>
        <w:rPr>
          <w:b/>
        </w:rPr>
        <w:t>Available abstract (not full text):</w:t>
      </w:r>
      <w:r>
        <w:t xml:space="preserve"> This study aims to examine whether non-refoulement in the refugee context has attained the status of a jus cogens norm or not and how the exceptions in Article 33(2) should be understood if non-refoulement is indeed considered as a jus cogens. This research adopts a normative juridical analysis approach to critically examine the status of the principle of non-refoulement. The study concludes that the principle of non-refoulement qualifies as a norm of jus cogens based on several key criteria. Firstly, it satisfies the requirements of a jus cogens norm by addressing matters of common concern to the international community, serving humanitarian purposes, and aligning with principles outlined in the UN Charter relating to treaties and the use of force in international relations. Secondly, the exception outlined in Article 33 Paragraph 2 of the Refugee Convention does not alter the non-derogable nature of the principle of non-refoulement. The fulfillment of Article 33 Paragraph 2 is contingent upon strict conditions and necessitates objective evidence to be provided by a country. The research is intended to contribute to the understanding of the normative status of the principle of non-refoulement within the framework of international refugee law.</w:t>
      </w:r>
    </w:p>
    <w:p>
      <w:pPr/>
      <w:r>
        <w:rPr>
          <w:b/>
        </w:rPr>
        <w:t>POSSIBLE 2023:</w:t>
      </w:r>
      <w:r>
        <w:t xml:space="preserve"> IMPACT OF THE STATE OF EMERGENCY ON SOCIAL RELATIONS — https://doi.org/10.13165/pspo-23-34-04</w:t>
      </w:r>
    </w:p>
    <w:p>
      <w:pPr/>
      <w:r>
        <w:rPr>
          <w:b/>
        </w:rPr>
        <w:t>Shared claim-specific concepts:</w:t>
      </w:r>
      <w:r>
        <w:t xml:space="preserve"> final, external, relations, provide; EU scope visible. This is a provisional connection, not an outcome finding.</w:t>
      </w:r>
    </w:p>
    <w:p>
      <w:pPr>
        <w:pStyle w:val="SourceNote"/>
      </w:pPr>
      <w:r>
        <w:rPr>
          <w:b/>
        </w:rPr>
        <w:t>Available abstract (not full text):</w:t>
      </w:r>
      <w:r>
        <w:t xml:space="preserve"> The authors of this research paper analyse the impact of declared state of emergency measures on social relations in the Republic of Lithuania within the entire area at the state border of the Republic of Lithuania with the Republic of Belarus and 5 kilometres inland from the border area from 10 November 2021, 24.00 (midnight).Influx of migration as part of the hybrid attack against the Lithuania, Poland, Latvia supported by the Belorussian authorities in 2021 requires Lithuanian institutions to take immediate coordinated contra measures to stop the hybrid attack on the European Union (hereinafter – the EU). The Republic of Lithuania has 679 kilometres eastern external border of the European Union with the Republic of Belarus. Accordingly, Lithuania is in charge for ensuring protection of the border and as sovereign state has the exclusive and discretionary right to make final decisions in a given situation and employ the best suitable and effective measures to handle threats to the national security. Lithuania declared the state emergency at the border with the Republic of Belarus. The territory which falls under the state of emergency obtained a new legal status and concurrently became the object of the specific legal regulation. Also, this gives rise to several questions. How the new legal status of the given territory impacts the four freedoms of the EU, i.e., the free move</w:t>
      </w:r>
    </w:p>
    <w:p>
      <w:pPr/>
      <w:r>
        <w:rPr>
          <w:b/>
        </w:rPr>
        <w:t>POSSIBLE 2022:</w:t>
      </w:r>
      <w:r>
        <w:t xml:space="preserve"> The Role of Paragraph in the Corpora of Annotated Texts — https://doi.org/10.28995/2075-7182-2022-21-273-283</w:t>
      </w:r>
    </w:p>
    <w:p>
      <w:pPr/>
      <w:r>
        <w:rPr>
          <w:b/>
        </w:rPr>
        <w:t>Shared claim-specific concepts:</w:t>
      </w:r>
      <w:r>
        <w:t xml:space="preserve"> paragraph, relations, three; EU scope not established. This is a provisional connection, not an outcome finding.</w:t>
      </w:r>
    </w:p>
    <w:p>
      <w:pPr>
        <w:pStyle w:val="SourceNote"/>
      </w:pPr>
      <w:r>
        <w:rPr>
          <w:b/>
        </w:rPr>
        <w:t>Available abstract (not full text):</w:t>
      </w:r>
      <w:r>
        <w:t xml:space="preserve"> The paper focuses on the function of paragraph both in text organization and in text annotation from the point of view of coherence. Taking as examples three major types of corpora (the RST, ANNODIS, and PDTB corpora), it shows whether and to what extent the existing approaches account for the paragraph when a discourse relation gets annotated. Then it presents the theoretical principles underlying text annotation in two databases: the Supracorpora database of connectives and the Supracorpora database of hierarchical logical-semantic relations (a new linguistic resource). Text coherence is shown to result from the interaction of various discourse phenomena, acting at the level of local and global structures. In this approach, the paragraph is assigned to the meso-level, positioned between local and global levels. The researcher may analyze the internal organization of the paragraph, limiting oneself to the intersentential level. Yet, to analyze and describe how paragraphs follow one another in the text, it is necessary to operate at the supra-sentential level, adopting a conceptual apparatus fundamentally different from the one for the description of local text structure.</w:t>
      </w:r>
    </w:p>
    <w:p>
      <w:pPr/>
      <w:r>
        <w:rPr>
          <w:b/>
        </w:rPr>
        <w:t>POSSIBLE 2022:</w:t>
      </w:r>
      <w:r>
        <w:t xml:space="preserve"> Industrial Relations Mediator As an Effort to Settle Industrial Relations Disputes After the Covid-19 Pandemic — https://doi.org/10.18502/kss.v7i15.12127</w:t>
      </w:r>
    </w:p>
    <w:p>
      <w:pPr/>
      <w:r>
        <w:rPr>
          <w:b/>
        </w:rPr>
        <w:t>Shared claim-specific concepts:</w:t>
      </w:r>
      <w:r>
        <w:t xml:space="preserve"> paragraph, relations, provide; EU scope not established. This is a provisional connection, not an outcome finding.</w:t>
      </w:r>
    </w:p>
    <w:p>
      <w:pPr>
        <w:pStyle w:val="SourceNote"/>
      </w:pPr>
      <w:r>
        <w:rPr>
          <w:b/>
        </w:rPr>
        <w:t>Available abstract (not full text):</w:t>
      </w:r>
      <w:r>
        <w:t xml:space="preserve"> The COVID-19 pandemic had both positive and negative impacts on all areas of people’s lives. One of the negative impacts is the emergence of industrial relations disputes. Efforts to settle industrial relations dispute formally have been regulated in Law 2/2004. Industrial relations mediators have a vital role in resolving industrial relations disputes. This study aims to analyze the existence of industrial relations mediators in an effort to resolve these disputes. This research is a normative juridical approach to legislation and cases from the decision of the Industrial Relations Court at the Surabaya District Court number 111/Pdt-Sus PHI/2020/PN SBY. The results indicated that the existence of industrial relations mediators was strongly influenced by the quality of the substance of the legal product. The written recommendation of the Manpower Office of Probolinggo City Number 34/PHI/II/2022 has suggested that employers provide 3 months of severance pay to the workers. The labor relations mediator of Probolinggo city was not careful in categorizing the substance of the object of the dispute, namely the termination of employment because the company closed and suffered losses, in accordance with the provisions of article 164 paragraph (1) of the labor law. Keywords: written recommendation, mediator, industrial relation dispute</w:t>
      </w:r>
    </w:p>
    <w:p>
      <w:pPr/>
      <w:r>
        <w:rPr>
          <w:b/>
        </w:rPr>
        <w:t>POSSIBLE 2022:</w:t>
      </w:r>
      <w:r>
        <w:t xml:space="preserve"> A New Dataset for Topic-Based Paragraph Classification in Genocide-Related Court Transcripts — https://doi.org/10.63317/3o5tq7f6znep</w:t>
      </w:r>
    </w:p>
    <w:p>
      <w:pPr/>
      <w:r>
        <w:rPr>
          <w:b/>
        </w:rPr>
        <w:t>Shared claim-specific concepts:</w:t>
      </w:r>
      <w:r>
        <w:t xml:space="preserve"> paragraph, provide, three; EU scope not established. This is a provisional connection, not an outcome finding.</w:t>
      </w:r>
    </w:p>
    <w:p>
      <w:pPr>
        <w:pStyle w:val="SourceNote"/>
      </w:pPr>
      <w:r>
        <w:rPr>
          <w:b/>
        </w:rPr>
        <w:t>Available abstract (not full text):</w:t>
      </w:r>
      <w:r>
        <w:t xml:space="preserve"> Recent progress in natural language processing has been impressive in many different areas with transformer-based approaches setting new benchmarks for a wide range of applications.This development has also lowered the barriers for people outside the NLP community to tap into the tools and resources applied to a variety of domain-specific applications.The bottleneck however still remains the lack of annotated gold-standard collections as soon as one's research or professional interest falls outside the scope of what is readily available.One such area is genocide-related research (also including the work of experts who have a professional interest in accessing, exploring and searching large-scale document collections on the topic, such as lawyers).We present GTC (Genocide Transcript Corpus), the first annotated corpus of genocide-related court transcripts which serves three purposes: (1) to provide a first reference corpus for the community, (2) to establish benchmark performances (using state-of-the-art transformer-based approaches) for the new classification task of paragraph identification of violence-related witness statements, (3) to explore first steps towards transfer learning within the domain.We consider our contribution to be addressing in particular this year's hot topic on Language Technology for All.</w:t>
      </w:r>
    </w:p>
    <w:p>
      <w:pPr/>
      <w:r>
        <w:rPr>
          <w:b/>
        </w:rPr>
        <w:t>POSSIBLE 2022:</w:t>
      </w:r>
      <w:r>
        <w:t xml:space="preserve"> Partial Postponement of the Application of the In Vitro Diagnostic Medical Devices Regulation in the European Union — https://doi.org/10.1093/clinchem/hvac048</w:t>
      </w:r>
    </w:p>
    <w:p>
      <w:pPr/>
      <w:r>
        <w:rPr>
          <w:b/>
        </w:rPr>
        <w:t>Shared claim-specific concepts:</w:t>
      </w:r>
      <w:r>
        <w:t xml:space="preserve"> final, paragraph, outlined; EU scope visible. This is a provisional connection, not an outcome finding.</w:t>
      </w:r>
    </w:p>
    <w:p>
      <w:pPr>
        <w:pStyle w:val="SourceNote"/>
      </w:pPr>
      <w:r>
        <w:rPr>
          <w:b/>
        </w:rPr>
        <w:t>Available abstract (not full text):</w:t>
      </w:r>
      <w:r>
        <w:t xml:space="preserve"> In the January 2022 issue of Clinical Chemistry, we discussed core aspects of the new European Union (EU) regulation on in vitro diagnostic medical devices (European Union 2017/746 regulation, IVDR) (1, 2) and their particular implications for healthcare providers. Following the adoption of the IVDR by the European Parliament in May 2017, the full implementation was originally scheduled for May 27, 2022. Over the 5-year transition period, however, it became apparent that key structural and executive elements required for implementation of the IVDR were still under development (3). For example, the European Database for Medical Devices (EUDAMED) is meant to enable comparison of in-house devices and industrial devices as outlined in Article 5, 5 (d); however, EUDAMED is not yet live. Also, Notified Bodies are meant to certify commercial in vitro diagnostic devices (IVDs); however, there have been structural concerns as the number of accredited Notified Bodies in the EU is still very low. Aggravated by the burden of the COVID-19 pandemic, a gap in both areas raised concerns regarding successful implementation of the IVDR. This scenario led to the recent decision by the European Parliament, which, based on a proposal of the Council of the EU and the European Commission, passed a law that modified the initially proposed transition rules and deferred the application of the provisions</w:t>
      </w:r>
    </w:p>
    <w:p>
      <w:pPr>
        <w:pStyle w:val="Heading2"/>
      </w:pPr>
      <w:r>
        <w:t>730. Life cycle assessment integration into energy system models: An application for Power-to-Methane in the EU</w:t>
      </w:r>
    </w:p>
    <w:p>
      <w:pPr>
        <w:pStyle w:val="SourceNote"/>
      </w:pPr>
      <w:r>
        <w:rPr>
          <w:b/>
        </w:rPr>
        <w:t>Original source (2019):</w:t>
      </w:r>
      <w:r>
        <w:t xml:space="preserve"> https://doi.org/10.1016/j.apenergy.2019.114160</w:t>
      </w:r>
    </w:p>
    <w:p>
      <w:pPr/>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pPr/>
      <w:r>
        <w:rPr>
          <w:b/>
        </w:rPr>
        <w:t>POSSIBLE 2026:</w:t>
      </w:r>
      <w:r>
        <w:t xml:space="preserve"> Prospective Environmental Assessment of Citric Acid Production: An Integrated Framework of Ex-Ante LCA and Technological Learning — https://doi.org/10.3390/su18062848</w:t>
      </w:r>
    </w:p>
    <w:p>
      <w:pPr/>
      <w:r>
        <w:rPr>
          <w:b/>
        </w:rPr>
        <w:t>Shared claim-specific concepts:</w:t>
      </w:r>
      <w:r>
        <w:t xml:space="preserve"> lca, environmental, categories, co2; EU scope not established. This is a provisional connection, not an outcome finding.</w:t>
      </w:r>
    </w:p>
    <w:p>
      <w:pPr>
        <w:pStyle w:val="SourceNote"/>
      </w:pPr>
      <w:r>
        <w:rPr>
          <w:b/>
        </w:rPr>
        <w:t>Available abstract (not full text):</w:t>
      </w:r>
      <w:r>
        <w:t xml:space="preserve">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pPr/>
      <w:r>
        <w:rPr>
          <w:b/>
        </w:rPr>
        <w:t>POSSIBLE 2026:</w:t>
      </w:r>
      <w:r>
        <w:t xml:space="preserve"> All LCA models are wrong. Are some of them useful? Towards open computational LCA in ICT — https://doi.org/10.1145/3801488.3807497</w:t>
      </w:r>
    </w:p>
    <w:p>
      <w:pPr/>
      <w:r>
        <w:rPr>
          <w:b/>
        </w:rPr>
        <w:t>Shared claim-specific concepts:</w:t>
      </w:r>
      <w:r>
        <w:t xml:space="preserve"> lca, environmental, achieve; EU scope not established. This is a provisional connection, not an outcome finding.</w:t>
      </w:r>
    </w:p>
    <w:p>
      <w:pPr>
        <w:pStyle w:val="SourceNote"/>
      </w:pPr>
      <w:r>
        <w:rPr>
          <w:b/>
        </w:rPr>
        <w:t>Available abstract (not full text):</w:t>
      </w:r>
      <w:r>
        <w:t xml:space="preserve">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pPr/>
      <w:r>
        <w:rPr>
          <w:b/>
        </w:rPr>
        <w:t>POSSIBLE 2026:</w:t>
      </w:r>
      <w:r>
        <w:t xml:space="preserve"> Ex-post impact of first- and second-pillar CAP payments on farm structural change — https://doi.org/10.5281/zenodo.19633685</w:t>
      </w:r>
    </w:p>
    <w:p>
      <w:pPr/>
      <w:r>
        <w:rPr>
          <w:b/>
        </w:rPr>
        <w:t>Shared claim-specific concepts:</w:t>
      </w:r>
      <w:r>
        <w:t xml:space="preserve"> does, ex-post, environmental; EU scope visible. This is a provisional connection, not an outcome finding.</w:t>
      </w:r>
    </w:p>
    <w:p>
      <w:pPr>
        <w:pStyle w:val="SourceNote"/>
      </w:pPr>
      <w:r>
        <w:rPr>
          <w:b/>
        </w:rPr>
        <w:t>Available abstract (not full text):</w:t>
      </w:r>
      <w:r>
        <w:t xml:space="preserve"> Abstract The EU has seen a steady decline in farm numbers and agricultural labour, alongside an aging farming population. The present paper uses a non-stationary Markov chain model approach, estimated from farm level FADN data, to assess the impact of first- and second-pillar CAP payments on farm structure and employment in France over the 2004-2021 period. Farms are categorised into five economic size classes measured in euros of standard output. Results indicate that increasing either type of subsidies would have a positive effect on agricultural employment, primarily by supporting labour in farms of smaller economic size. However, the overall employment impact is positive but modest. The relative impact of first-pillar payments appears stronger, but second-pillar payments are more cost-effective per euro spent. The proposed farm-level approach will be extended to other EU member states to test the robustness and consistency of these findings, and avenues for future research are discussed. Funding acknowledgement Funded by the European Union. Grant Agreement No. 101060075. Views and opinions expressed are those of the authors only and do not necessarily reflect those of the European Union or the European Commission. Neither the European Union nor the granting authority can be held responsible for them.UK Research and Innovation Project Code: 10047415 https://gtr.ukri.org/proj</w:t>
      </w:r>
    </w:p>
    <w:p>
      <w:pPr/>
      <w:r>
        <w:rPr>
          <w:b/>
        </w:rPr>
        <w:t>POSSIBLE 2026:</w:t>
      </w:r>
      <w:r>
        <w:t xml:space="preserve"> Sustainability in Rockfall Protection Works: State-of-the-Art and LCA-Based Approaches — https://doi.org/10.68732/a72ad96228a4dcf9</w:t>
      </w:r>
    </w:p>
    <w:p>
      <w:pPr/>
      <w:r>
        <w:rPr>
          <w:b/>
        </w:rPr>
        <w:t>Shared claim-specific concepts:</w:t>
      </w:r>
      <w:r>
        <w:t xml:space="preserve"> lca, environmental, reduction; EU scope not established. This is a provisional connection, not an outcome finding.</w:t>
      </w:r>
    </w:p>
    <w:p>
      <w:pPr>
        <w:pStyle w:val="SourceNote"/>
      </w:pPr>
      <w:r>
        <w:rPr>
          <w:b/>
        </w:rPr>
        <w:t>Available abstract (not full text):</w:t>
      </w:r>
      <w:r>
        <w:t xml:space="preserve"> Starting from the early 2000s, the concept of sustainability has been progressively integrated into the design of civil works, through the reuse of excavation and demolition materials, the reduction of non-renewable resource consumption, the mitigation of landscape impacts, and the improvement of structural durability. Considering the high environmental impact of the construction sector - both in terms of natural resource and energy consumption and in the large volumes of waste generated - it is necessary to orient design practices toward sustainability. Geotechnical engineering can make a significant contribution to sustainable development by promoting environmentally friendly and economically viable solutions. Despite the widespread research on rockfall, it shows a limited correlation between sustainability and rockfall protection structures. Existing studies mainly focus on block trajectory analysis, fragmentation effects or risk assessment, but they don’t systematically address environmental aspects of these structures. At present, no comprehensive environmental evaluations have been conducted to consider the full life cycle of rockfall protection works and to compare alternative design solutions from a sustainability perspective. The only available data come from Environmental Product Declarations (EPD) voluntarily published by some of the leading manufacturers in the sect</w:t>
      </w:r>
    </w:p>
    <w:p>
      <w:pPr/>
      <w:r>
        <w:rPr>
          <w:b/>
        </w:rPr>
        <w:t>POSSIBLE 2026:</w:t>
      </w:r>
      <w:r>
        <w:t xml:space="preserve"> Bridging ex-post and ex-ante EU social indicator trends: an explorative modelling analysis for SDG4 and SDG5 — https://doi.org/10.1057/s41599-026-08097-9</w:t>
      </w:r>
    </w:p>
    <w:p>
      <w:pPr/>
      <w:r>
        <w:rPr>
          <w:b/>
        </w:rPr>
        <w:t>Shared claim-specific concepts:</w:t>
      </w:r>
      <w:r>
        <w:t xml:space="preserve"> ex-post, estimates, environmental, indicators, across; EU scope visible. This is a provisional connection, not an outcome finding.</w:t>
      </w:r>
    </w:p>
    <w:p>
      <w:pPr>
        <w:pStyle w:val="SourceNote"/>
      </w:pPr>
      <w:r>
        <w:rPr>
          <w:b/>
        </w:rPr>
        <w:t>Available abstract (not full text):</w:t>
      </w:r>
      <w:r>
        <w:t xml:space="preserve"> Abstract The 2030 Agenda for Sustainable Development represents a roadmap for navigating a sustainable path for global human development through 17 goals spanning economic, social and environmental domains. While ex-ante modelling is frequently used to anticipate progress in the economic and environmental spheres, the social domain remains relatively neglected. To fill this gap and taking an EU perspective, this paper combines novel ex-post econometrics and ex-ante simulation modelling. Using a double-lasso econometric panel specification for two key social indicators (education and gender), the study identifies key drivers and estimates their associated effects. Results indicate that economic growth, lower agricultural employment, higher education expenditure and trade openness raise post-secondary education attainment rates amongst 25–29-year-olds. Conversely, the gender wage gap is reduced by economic growth, increases in agricultural employment and average years of education, more equitable income distribution and fewer urban agglomerations. When these drivers are integrated into an ex-ante multi-regional simulation model, a ‘global slowdown’ scenario reveals a rising gender pay gap and declining post-secondary attainment rates across the EU by 2040. From a policy perspective, the drivers of tertiary attainment reinforce the importance of EU strategies that promote economic</w:t>
      </w:r>
    </w:p>
    <w:p>
      <w:pPr/>
      <w:r>
        <w:rPr>
          <w:b/>
        </w:rPr>
        <w:t>POSSIBLE 2026:</w:t>
      </w:r>
      <w:r>
        <w:t xml:space="preserve"> Carbon leakage in emissions trading systems: a systematic review and meta-analysis of ex-ante and ex-post evidence — https://doi.org/10.1080/14693062.2026.2627750</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 , 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measures.Key policy insightsThe systematic review finds that ex-ante studies estimate a lower leakage rate when emissions coverage is broader, anti-leakage measures are included, and computable ge</w:t>
      </w:r>
    </w:p>
    <w:p>
      <w:pPr/>
      <w:r>
        <w:rPr>
          <w:b/>
        </w:rPr>
        <w:t>POSSIBLE 2026:</w:t>
      </w:r>
      <w:r>
        <w:t xml:space="preserve"> Carbon leakage in emissions trading systems : a systematic review and meta-analysis of ex-ante and ex-post evidence — https://openalex.org/W7128126192</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w:t>
      </w:r>
    </w:p>
    <w:p>
      <w:pPr/>
      <w:r>
        <w:rPr>
          <w:b/>
        </w:rPr>
        <w:t>POSSIBLE 2026:</w:t>
      </w:r>
      <w:r>
        <w:t xml:space="preserve"> Impact of Seismic Design Requirements on the Environmental Performance of Reinforced Concrete Buildings: A BIM-Integrated Comparative LCA — https://doi.org/10.3390/buildings16122408</w:t>
      </w:r>
    </w:p>
    <w:p>
      <w:pPr/>
      <w:r>
        <w:rPr>
          <w:b/>
        </w:rPr>
        <w:t>Shared claim-specific concepts:</w:t>
      </w:r>
      <w:r>
        <w:t xml:space="preserve"> lca, environmental, indicators, emission; EU scope not established. This is a provisional connection, not an outcome finding.</w:t>
      </w:r>
    </w:p>
    <w:p>
      <w:pPr>
        <w:pStyle w:val="SourceNote"/>
      </w:pPr>
      <w:r>
        <w:rPr>
          <w:b/>
        </w:rPr>
        <w:t>Available abstract (not full text):</w:t>
      </w:r>
      <w:r>
        <w:t xml:space="preserve"> Seismic codes in high-risk earthquake zones magnify the embodied environmental impact of buildings by increasing structural mass. While the existing literature evaluates this burden holistically, this study isolates the environmental penalty of seismic design at the component level using building information modeling (BIM). Within this scope, an eight-story reinforced concrete residential building was modeled at LOD 300 and comparatively analyzed under TBDY-2018 (seismic) and a strictly theoretical TS-500 (gravity-only) baseline scenario. This gravity-only model acts solely as a mathematical isolation tool rather than a buildable design option. Using the CML 2001 methodology and Türkiye-specific environmental product declarations (EPDs), calculations covered the production (A1–A3), end-of-life (C1–C4), and recovery (Module D) stages of the building. Findings reveal that seismic mass increases create a nonlinear, asymmetric effect on environmental indicators. Increased concrete volume dictates the global warming potential (GWP), whereas steel reinforcement—driven by ductility demands—elevates the photochemical ozone creation potential (POCP) and acidification potential (AP) much more aggressively than concrete. Conversely, while seismic reinforcement provides a negative emission credit during the recovery stage (Module D), quantitative analysis reveals that this circular benefit</w:t>
      </w:r>
    </w:p>
    <w:p>
      <w:pPr/>
      <w:r>
        <w:rPr>
          <w:b/>
        </w:rPr>
        <w:t>POSSIBLE 2026:</w:t>
      </w:r>
      <w:r>
        <w:t xml:space="preserve"> Circularity indicators for remediation activities: assessing circularity at the ex-ante and ex-post phases in compliance with the latest standards — https://doi.org/10.1016/j.cesys.2026.100431</w:t>
      </w:r>
    </w:p>
    <w:p>
      <w:pPr/>
      <w:r>
        <w:rPr>
          <w:b/>
        </w:rPr>
        <w:t>Shared claim-specific concepts:</w:t>
      </w:r>
      <w:r>
        <w:t xml:space="preserve"> ex-post, environmental, indicators; EU scope not established. This is a provisional connection, not an outcome finding.</w:t>
      </w:r>
    </w:p>
    <w:p>
      <w:pPr>
        <w:pStyle w:val="SourceNote"/>
      </w:pPr>
      <w:r>
        <w:rPr>
          <w:b/>
        </w:rPr>
        <w:t>Available abstract (not full text):</w:t>
      </w:r>
      <w:r>
        <w:t xml:space="preserve"> The sector of contaminated soils and groundwater remediation is a critical and complex one, that requires targeted interventions and integrated strategies to reduce and mitigate the health and environmental risks posed by contamination, while adhering to principles of sustainability and circularity. The objective of this paper is to provide a set of suitable indicators for assessing circularity in the context of contaminated sites remediation both in the ex-ante and the ex-post remediation phases. Indicators have been selected from those provided in the latest standards for circularity assessment, specifically UNI/TS 11820:2022 and ISO 59020:2024. The selection process involved an in-depth analysis of the indicators included in the aforementioned standards and their data requirements, which serve as the knowledge base for a working group of experts with interdisciplinary expertise in remediation technologies design, Life Cycle Assessment, and Multi-Criteria Decision Analysis, which selected the circularity indicators suitable for application in contaminated sites remediation processes. The selected indicators follow the SMART model of criteria, which requires that they all are specific, measurable, achievable, relevant and time-bound. This selection procedure identified a total of 24 circularity indicators applicable in the ex-ante and the ex-post phases. These indicators cover</w:t>
      </w:r>
    </w:p>
    <w:p>
      <w:pPr/>
      <w:r>
        <w:rPr>
          <w:b/>
        </w:rPr>
        <w:t>POSSIBLE 2026:</w:t>
      </w:r>
      <w:r>
        <w:t xml:space="preserve"> Artificial Intelligence for Energy and Cost Resilience in Sustainable Supply Chains: A Dynamic LCA/TCO Approach to Multimodal Transport — https://doi.org/10.3390/en19092169</w:t>
      </w:r>
    </w:p>
    <w:p>
      <w:pPr/>
      <w:r>
        <w:rPr>
          <w:b/>
        </w:rPr>
        <w:t>Shared claim-specific concepts:</w:t>
      </w:r>
      <w:r>
        <w:t xml:space="preserve"> lca, estimates, environmental, emission; EU scope not established. This is a provisional connection, not an outcome finding.</w:t>
      </w:r>
    </w:p>
    <w:p>
      <w:pPr>
        <w:pStyle w:val="SourceNote"/>
      </w:pPr>
      <w:r>
        <w:rPr>
          <w:b/>
        </w:rPr>
        <w:t>Available abstract (not full text):</w:t>
      </w:r>
      <w:r>
        <w:t xml:space="preserve"> The decarbonization of multimodal transport systems requires assessment approaches that simultaneously address environmental impacts and economic performance at dynamic operational conditions. Conventional Life Cycle Assessment (LCA) and Life Cycle Costing (LCC), including Total Cost of Ownership (TCO), are widely used for this purpose; however, they often rely on static assumptions and averaged data, limiting their ability to capture real-world variability. This study proposes an AI-enhanced LCA–LCC/TCO framework for the integrated evaluation of decarbonised multimodal Door-to-Port transport systems. Artificial intelligence is embedded directly into the life cycle inventory and cost inventory stages to generate scenario-specific estimates of energy consumption, greenhouse gas emissions, and operational costs. The framework is demonstrated through a case study of a multimodal Door-to-Port transport chain comprising road pre-haulage, rail line-haul, and port terminal operations. Three scenarios are analysed: conventional, partially decarbonised, and fully decarbonised configurations. The results indicate that partial decarbonization reduces greenhouse gas emissions by more than 60% compared to the baseline while achieving the lowest total cost of ownership. Full decarbonization achieves emission reductions exceeding 95% but is associated with slightly higher costs under current </w:t>
      </w:r>
    </w:p>
    <w:p>
      <w:pPr/>
      <w:r>
        <w:rPr>
          <w:b/>
        </w:rPr>
        <w:t>POSSIBLE 2026:</w:t>
      </w:r>
      <w:r>
        <w:t xml:space="preserve"> Machine learning in prospective LCA: insights from a systematic literature review — https://doi.org/10.3389/frsus.2026.1854730</w:t>
      </w:r>
    </w:p>
    <w:p>
      <w:pPr/>
      <w:r>
        <w:rPr>
          <w:b/>
        </w:rPr>
        <w:t>Shared claim-specific concepts:</w:t>
      </w:r>
      <w:r>
        <w:t xml:space="preserve"> lca, across; EU scope not established. This is a provisional connection, not an outcome finding.</w:t>
      </w:r>
    </w:p>
    <w:p>
      <w:pPr>
        <w:pStyle w:val="SourceNote"/>
      </w:pPr>
      <w:r>
        <w:rPr>
          <w:b/>
        </w:rPr>
        <w:t>Available abstract (not full text):</w:t>
      </w:r>
      <w:r>
        <w:t xml:space="preserve"> Machine learning (ML) offers considerable opportunities for advancing life cycle assessment (LCA), yet a consolidated overview of ML models with potential for prospective LCA (pLCA) is still missing. This systematic review identifies ML models suited to pLCA's data needs and assesses the transferability of retrospective LCA models to pLCA. We apply keyword-based and automated forward/backward searches to identify studies based on algorithm type, training datasets, input/output variables, and performance metrics. We identify 50 publications and classify them into four ML application groups: (1) streamlined LCA, (2) life cycle inventory data prediction, (3) impact category prediction, and (4) characterization factor prediction. Among these, predicting life cycle inventory (LCI) data and characterization factor estimation are directly applicable to pLCA. Life cycle inventory data prediction and streamlined LCA represent the largest body of literature, offering benefits such as estimating missing unit process data, leveraging large external datasets, advanced simulation of process parameters, identifying molecular substitutes, or the employment of rapid screening tools. While characterization factor prediction shows potential, it requires further research for practical implementation. Overall, ML is rarely applied directly to pLCA. However, many ML models developed for retrospectiv</w:t>
      </w:r>
    </w:p>
    <w:p>
      <w:pPr/>
      <w:r>
        <w:rPr>
          <w:b/>
        </w:rPr>
        <w:t>POSSIBLE 2026:</w:t>
      </w:r>
      <w:r>
        <w:t xml:space="preserve"> Do Environmental, Social, and Governance (ESG) Practices Improve Corporate Profitability? Evidence from European Companies — https://openalex.org/W7198933918</w:t>
      </w:r>
    </w:p>
    <w:p>
      <w:pPr/>
      <w:r>
        <w:rPr>
          <w:b/>
        </w:rPr>
        <w:t>Shared claim-specific concepts:</w:t>
      </w:r>
      <w:r>
        <w:t xml:space="preserve"> does, environmental; EU scope visible. This is a provisional connection, not an outcome finding.</w:t>
      </w:r>
    </w:p>
    <w:p>
      <w:pPr>
        <w:pStyle w:val="SourceNote"/>
      </w:pPr>
      <w:r>
        <w:rPr>
          <w:b/>
        </w:rPr>
        <w:t>Available abstract (not full text):</w:t>
      </w:r>
      <w:r>
        <w:t xml:space="preserve"> The thesis focuses on the correlation between Environmental, Social, and Governance (ESG) performance and corporate profitability of the publicly listed non-financial European companies in the period 2011-2024. The study relies on panel data available in the Refinitiv ESG and financial databases to estimate that ESG engagement improves the profitability of firms and its impact varies by ESG dimension, industry, and economic stress periods. The findings have shown that aggregate ESG performance is not positively correlated with short-term accounting-based profitability, and is, in certain specifications, negatively related to firm performance, indicating the existence of short-term implementation and compliance costs. The performance of governance turns out to be comparatively stronger than the performance of environment and social, whereas the performance of the environment and social turns out to be relatively weak and contingent. The sectoral analyses indicate high heterogeneity of the ESG-profitability relationships, which indicates the significance of industry contexts. In both crisis-interaction models of the COVID-19 pandemic and the European energy crisis, it is revealed that ESG performance does not consistently reduce short-term decreases in profitability during economic stress times. In general, the results indicate that ESG engagement is a short-term tradeoff between</w:t>
      </w:r>
    </w:p>
    <w:p>
      <w:pPr>
        <w:pStyle w:val="Heading2"/>
      </w:pPr>
      <w:r>
        <w:t>731. Long-Term Projection of Renewable Energy Technology Diffusion</w:t>
      </w:r>
    </w:p>
    <w:p>
      <w:pPr>
        <w:pStyle w:val="SourceNote"/>
      </w:pPr>
      <w:r>
        <w:rPr>
          <w:b/>
        </w:rPr>
        <w:t>Original source (2019):</w:t>
      </w:r>
      <w:r>
        <w:t xml:space="preserve"> https://doi.org/10.3390/en12224261</w:t>
      </w:r>
    </w:p>
    <w:p>
      <w:pPr/>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POSSIBLE 2026:</w:t>
      </w:r>
      <w:r>
        <w:t xml:space="preserve"> Respect and Aggression in Intimate Relationships: A Grounded Theory of Relational Responsiveness — https://openalex.org/W7165831090</w:t>
      </w:r>
    </w:p>
    <w:p>
      <w:pPr/>
      <w:r>
        <w:rPr>
          <w:b/>
        </w:rPr>
        <w:t>Shared claim-specific concepts:</w:t>
      </w:r>
      <w:r>
        <w:t xml:space="preserve"> respect, use; EU scope not established. This is a provisional connection, not an outcome finding.</w:t>
      </w:r>
    </w:p>
    <w:p>
      <w:pPr>
        <w:pStyle w:val="SourceNote"/>
      </w:pPr>
      <w:r>
        <w:rPr>
          <w:b/>
        </w:rPr>
        <w:t>Available abstract (not full text):</w:t>
      </w:r>
      <w:r>
        <w:t xml:space="preserve"> The negative effects of aggression in intimate relationships have been well documented through research and clinical literature (Lawrence &amp; Bradbury, 2001; Shortt et al., 2006). Conversely, the positive effects of respectful behavior are well-known (Gottman, 1994; Dew &amp; Wilcox, 2013). This important dimension of relationships is crucial to understanding what makes up healthy and unhealthy relationships. However, little is known about how couples understand the varying types of respect and aggression within intimate relationships, nor how they are lived and experienced relationally. The purpose of this study is to explore the dyadic processes behind respect and aggression as well as their relational outcomes. The data for this project were taken from a larger qualitative study on healthy and unhealthy relationships. Individuals were selected through convenience and theoretical sampling and interviewed using a semi-structured format. Deductive coding was used to sort and organize the data into topics of interest, and inductive grounded theory methods were used to analyze the data that are related to respect and aggression. Clinical implications from this study include theorized interpersonal mechanisms of respect and aggression and suggestions on how therapists can use empirically supported treatments to increase respect and decrease aggression within intimate relationships.</w:t>
      </w:r>
    </w:p>
    <w:p>
      <w:pPr/>
      <w:r>
        <w:rPr>
          <w:b/>
        </w:rPr>
        <w:t>POSSIBLE 2026:</w:t>
      </w:r>
      <w:r>
        <w:t xml:space="preserve"> Cultivating Respect Empathy and Cooperation through Harmonious Living in Elementary Education — https://doi.org/10.21070/acopen.11.2026.14725</w:t>
      </w:r>
    </w:p>
    <w:p>
      <w:pPr/>
      <w:r>
        <w:rPr>
          <w:b/>
        </w:rPr>
        <w:t>Shared claim-specific concepts:</w:t>
      </w:r>
      <w:r>
        <w:t xml:space="preserve"> respect, requires, modeling; EU scope not established. This is a provisional connection, not an outcome finding.</w:t>
      </w:r>
    </w:p>
    <w:p>
      <w:pPr>
        <w:pStyle w:val="SourceNote"/>
      </w:pPr>
      <w:r>
        <w:rPr>
          <w:b/>
        </w:rPr>
        <w:t>Available abstract (not full text):</w:t>
      </w:r>
      <w:r>
        <w:t xml:space="preserve"> General Background Character education emphasizes moral and social intelligence alongside academic knowledge within schools. Specific Background The Harmonious Living Program specifically integrates the core values of respect, empathy, and cooperation into daily elementary school routines, extracurricular activities, and classroom interactions. Knowledge Gap However, the consistent application of these moral values faces persistent constraints due to limited parental involvement, restrictive curriculum loads, and inadequate teacher training in social-emotional learning. Aims This qualitative descriptive study examines the practical implementation, associated challenges, and behavioral outcomes of the Harmonious Living Program at Apuan 1 Public Elementary School. Results Data obtained through observation, interviews, and documentation reveal that integrating character values through teacher role modeling and collaborative learning significantly reduces student conflict. Furthermore, students demonstrate increased social awareness, polite communication, and collective responsibility. Novelty This research demonstrates that ethical values are not effectively acquired through isolated moral instruction, but require an integrated ecosystem where teachers function as continuous behavioral role models within a restorative school climate. Implications Sustaining these positive behavior</w:t>
      </w:r>
    </w:p>
    <w:p>
      <w:pPr/>
      <w:r>
        <w:rPr>
          <w:b/>
        </w:rPr>
        <w:t>POSSIBLE 2026:</w:t>
      </w:r>
      <w:r>
        <w:t xml:space="preserve"> The Restoration Project Architecture, Adjustments and Energy Efficiency — https://doi.org/10.65686/rsan8021</w:t>
      </w:r>
    </w:p>
    <w:p>
      <w:pPr/>
      <w:r>
        <w:rPr>
          <w:b/>
        </w:rPr>
        <w:t>Shared claim-specific concepts:</w:t>
      </w:r>
      <w:r>
        <w:t xml:space="preserve"> respect, energy, technologies, use; EU scope not established. This is a provisional connection, not an outcome finding.</w:t>
      </w:r>
    </w:p>
    <w:p>
      <w:pPr>
        <w:pStyle w:val="SourceNote"/>
      </w:pPr>
      <w:r>
        <w:rPr>
          <w:b/>
        </w:rPr>
        <w:t>Available abstract (not full text):</w:t>
      </w:r>
      <w:r>
        <w:t xml:space="preserve"> The existing building stock that characterises our cities is largely in an inadequate state of preservation, especially in relation to emission scenarios, energy consumption, and indoor comfort conditions. Reducing the energy consumption of historic cities is a hot topic in relation to the policies adopted to accompany the environmental energy transition towards more sustainable models: it is essential for restoration scholars to consider these new and complex aspects of the project. In order to promote these operations and guarantee their concrete effectiveness and durability, it is essential to search for innovative solutions and technologies to adapt existing buildings to the new requirements of reducing polluting emissions, decreasing consumption and rationalising energy flows between buildings and the environment more generally. Retrofit techniques are based on the principles of reducing emissions, reusing and recycling building materials and components, and promote the improvement of the building’s energy system, but also aim at the efficient use of space, environmentally sustainable materials and state-of-the-art technologies. The construction and installation features to be considered for improving the energy performance of buildings must not only be compatible with the architectural features to be preserved, but also cost-effective with respect to the life cycle of the</w:t>
      </w:r>
    </w:p>
    <w:p>
      <w:pPr/>
      <w:r>
        <w:rPr>
          <w:b/>
        </w:rPr>
        <w:t>POSSIBLE 2026:</w:t>
      </w:r>
      <w:r>
        <w:t xml:space="preserve"> MODELLING ENERGY CONSUMPTION IN TEA MANUFACTURING FACILITY — https://doi.org/10.58257/ijprems51610</w:t>
      </w:r>
    </w:p>
    <w:p>
      <w:pPr/>
      <w:r>
        <w:rPr>
          <w:b/>
        </w:rPr>
        <w:t>Shared claim-specific concepts:</w:t>
      </w:r>
      <w:r>
        <w:t xml:space="preserve"> energy, novel, critical; EU scope not established. This is a provisional connection, not an outcome finding.</w:t>
      </w:r>
    </w:p>
    <w:p>
      <w:pPr>
        <w:pStyle w:val="SourceNote"/>
      </w:pPr>
      <w:r>
        <w:rPr>
          <w:b/>
        </w:rPr>
        <w:t>Available abstract (not full text):</w:t>
      </w:r>
      <w:r>
        <w:t xml:space="preserve"> The tea processing industry is fundamentally energy intensive, relying heavily on both thermal and electrical energy throughout its value chain.This research presented novel methodology for energy modelling for tea processing plants using a combined approach of Energy Value Stream Mapping (EVSM) and Dual Energy stream approach (DES) analysis.Using tea Factory as case study, the research systematically mapped energy consumption in four critical sections to visualize energy flows.Modelling was based on withering shift of 70,000 Kgs of green leaf.The total energy consumed by the facility was 8427.54Kwh with energy intensity of 0.535Kw per kilogram of made tea.Based on an out turn of 22.5%, 15,750 Kgs of made tea was produced.From this consumption 7183.01Kwh was value adding energy with 1,244.53Kwhbeing waste energy.Current energy state map of the facility was created; bottlenecks were identified and future state map was then modelled and simulated.Energy consumption of 6888.77Kwh and energy intensity of 0.44Kwh per kilogram of made tea was achieved through modelling which form basis for creating future energy state map of the facility.The overall facility efficiency improved from 85% to 93% implying that measures if put in place will eliminate the bottlenecks.</w:t>
      </w:r>
    </w:p>
    <w:p>
      <w:pPr/>
      <w:r>
        <w:rPr>
          <w:b/>
        </w:rPr>
        <w:t>POSSIBLE 2026:</w:t>
      </w:r>
      <w:r>
        <w:t xml:space="preserve"> Global Energy Project for the Future of Humanity — https://doi.org/10.5281/zenodo.20648321</w:t>
      </w:r>
    </w:p>
    <w:p>
      <w:pPr/>
      <w:r>
        <w:rPr>
          <w:b/>
        </w:rPr>
        <w:t>Shared claim-specific concepts:</w:t>
      </w:r>
      <w:r>
        <w:t xml:space="preserve"> energy, rate, technologies, use; EU scope not established. This is a provisional connection, not an outcome finding.</w:t>
      </w:r>
    </w:p>
    <w:p>
      <w:pPr>
        <w:pStyle w:val="SourceNote"/>
      </w:pPr>
      <w:r>
        <w:rPr>
          <w:b/>
        </w:rPr>
        <w:t>Available abstract (not full text):</w:t>
      </w:r>
      <w:r>
        <w:t xml:space="preserve"> A NEW START FOR HUMANITY Global Energy and Civilizational Project for the Future of the World Author:Lukasz Dabrowski From the Author I am not a scientist, an economist, or a politician. I am an entrepreneur who has made many mistakes in his life, gone through many difficult experiences, and thanks to them learned to look at the world from a different perspective. This document was not created because I consider myself a person who has all the answers. It was created because I ask questions which, in my opinion, concern the future of all of us. For years I have observed people, companies, institutions and systems. I have seen both the good and the weaknesses of human nature. I have seen honesty, dedication and hard work, but also greed, corruption, waste of resources and decisions made at the expense of ordinary people. I have come to the conclusion that the greatest problem of the modern world is not the lack of knowledge, technology or money. The greatest problem is the way in which we manage them. We live in times in which humanity possesses possibilities unimaginable to previous generations. We are able to build advanced technologies, communicate with people on the other side of the world within seconds and develop artificial intelligence capable of supporting us in solving increasingly complex problems. At the same time, we still struggle with wars, poverty, corruption, un</w:t>
      </w:r>
    </w:p>
    <w:p>
      <w:pPr/>
      <w:r>
        <w:rPr>
          <w:b/>
        </w:rPr>
        <w:t>POSSIBLE 2026:</w:t>
      </w:r>
      <w:r>
        <w:t xml:space="preserve"> Citizens’ Investments in Collective Renewable Energy Facilities: a Stated Preferences Study with Project Appraisal — https://doi.org/10.2139/ssrn.7006243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Care Home Staff Experiences of Implementing the Recommended Summary Plan for Emergency Care and Treatment, ‘ReSPECT’, with Residents in Their Care: Implications for Their Role and Practice — https://doi.org/10.31389/jltc.417</w:t>
      </w:r>
    </w:p>
    <w:p>
      <w:pPr/>
      <w:r>
        <w:rPr>
          <w:b/>
        </w:rPr>
        <w:t>Shared claim-specific concepts:</w:t>
      </w:r>
      <w:r>
        <w:t xml:space="preserve"> respect, use, conducted; EU scope not established. This is a provisional connection, not an outcome finding.</w:t>
      </w:r>
    </w:p>
    <w:p>
      <w:pPr>
        <w:pStyle w:val="SourceNote"/>
      </w:pPr>
      <w:r>
        <w:rPr>
          <w:b/>
        </w:rPr>
        <w:t>Available abstract (not full text):</w:t>
      </w:r>
      <w:r>
        <w:t xml:space="preserve"> Context: Emergency care treatment planning is increasingly required in care homes for residents living with frailty and/or ill-health. ReSPECT (the Recommended Summary Plan for Emergency Care and Treatment) is a type of emergency care treatment plan used widely in UK care homes to guide treatment decisions in medical emergencies when residents are unable to speak for themselves. Objective: To understand care home staff experiences of implementing ReSPECT with residents in their care, and the implications for their role and practice. Methods: Semi-structured interviews were conducted with 31 care home staff from 12 care homes (seven residential, two nursing and three dual-registered) and one care provider group across three diverse areas of England between 2022 and 2023. Interview data were analysed thematically, drawing on Normalisation Process Theory (NPT) constructs. Findings: Care home staff facilitated and coordinated conversations with residents, their families, and health professionals to complete ReSPECT plans, and supported conversations to elicit resident wishes and reach a shared understanding of treatment scenarios. However, care home staff found interpreting ReSPECT recommendations in an emergency challenging and had mixed experiences of implementing recommendations with attending health professionals. Limitations: Self-selecting bias may have influenced findings. I</w:t>
      </w:r>
    </w:p>
    <w:p>
      <w:pPr/>
      <w:r>
        <w:rPr>
          <w:b/>
        </w:rPr>
        <w:t>POSSIBLE 2026:</w:t>
      </w:r>
      <w:r>
        <w:t xml:space="preserve"> Improving the Recommended Summary Plan for Emergency Care and Treatment (ReSPECT) process: Insights from qualitative interviews one year into the rollout at Nottingham University Hospitals — https://doi.org/10.17639/8jnm-2a16</w:t>
      </w:r>
    </w:p>
    <w:p>
      <w:pPr/>
      <w:r>
        <w:rPr>
          <w:b/>
        </w:rPr>
        <w:t>Shared claim-specific concepts:</w:t>
      </w:r>
      <w:r>
        <w:t xml:space="preserve"> respect, use, conducted; EU scope not established. This is a provisional connection, not an outcome finding.</w:t>
      </w:r>
    </w:p>
    <w:p>
      <w:pPr>
        <w:pStyle w:val="SourceNote"/>
      </w:pPr>
      <w:r>
        <w:rPr>
          <w:b/>
        </w:rPr>
        <w:t>Available abstract (not full text):</w:t>
      </w:r>
      <w:r>
        <w:t xml:space="preserve"> Introduction The Recommended Summary Plan for Emergency Care and Treatments (ReSPECT) is a nationally recognised advance care planning tool used to try to ensure that patients receive care in line with their preferences and medical needs. It has been used nationally across the United Kingdom (UK) since 2016 (1). Until 2024 it was not routinely used at Nottingham University Hospitals (NUH). Over the course of 2024/2025 DNACPR (Do Not Attempt Cardiopulmonary Resuscitation) forms were phased out at NUH and replaced with ReSPECT forms. ReSPECT forms are now the sole documentation method for resuscitation decisions at NUH in adult patients. This has been a significant change at NUH, so this quality improvement activity has been designed to evaluate the use of ReSPECT since the roll-out at NUH. It aims to identify what has worked well, what could be improved and any issues that have arisen since the ReSPECT form has replaced the DNACPR form. Method Interviews were conducted with staff members directly involved in using ReSPECT forms. The purpose was to capture an in-depth insight into their experiences, challenges faced in practice, and views on improving the process. Interviews were audio-recorded, transcribed, and anonymised to ensure confidentiality. Data was analysed using thematic analysis, allowing recurring themes and patterns to emerge from staff perspectives. Findings Twenty</w:t>
      </w:r>
    </w:p>
    <w:p>
      <w:pPr/>
      <w:r>
        <w:rPr>
          <w:b/>
        </w:rPr>
        <w:t>POSSIBLE 2025:</w:t>
      </w:r>
      <w:r>
        <w:t xml:space="preserve"> Respect, equality, and recognition in practice: a qualitative analysis of nurses’ workplace dignity in China — https://doi.org/10.1186/s12910-025-01292-4</w:t>
      </w:r>
    </w:p>
    <w:p>
      <w:pPr/>
      <w:r>
        <w:rPr>
          <w:b/>
        </w:rPr>
        <w:t>Shared claim-specific concepts:</w:t>
      </w:r>
      <w:r>
        <w:t xml:space="preserve"> respect, requires, conducted; EU scope not established. This is a provisional connection, not an outcome finding.</w:t>
      </w:r>
    </w:p>
    <w:p>
      <w:pPr>
        <w:pStyle w:val="SourceNote"/>
      </w:pPr>
      <w:r>
        <w:rPr>
          <w:b/>
        </w:rPr>
        <w:t>Available abstract (not full text):</w:t>
      </w:r>
      <w:r>
        <w:t xml:space="preserve"> BACKGROUND: Workplace dignity is a fundamental ethical concern in nursing, directly related to professional identity, human rights, and the moral foundations of care. Despite increasing global attention, few qualitative studies have explored how nurses themselves perceive and articulate workplace dignity, particularly within sociocultural contexts marked by rapid healthcare transformation. METHODS: This qualitative study was conducted in January 2025 at a tertiary hospital in Hangzhou, China. Sixteen registered nurses were recruited through purposive sampling and interviewed using semi-structured face-to-face interviews. Data were analyzed using Colaizzi's method. RESULTS: Nurses described workplace dignity as a subjective experience shaped by respect, equality, and recognition of self-worth. Influencing factors included sociodemographic characteristics, patient-related factors, organizational factors, and social factors. CONCLUSION: Workplace dignity is dynamic and socially constructed. Enhancing dignity requires supportive management, fair compensation, positive workplace culture, and improved societal recognition of the nursing profession.</w:t>
      </w:r>
    </w:p>
    <w:p>
      <w:pPr/>
      <w:r>
        <w:rPr>
          <w:b/>
        </w:rPr>
        <w:t>POSSIBLE 2025:</w:t>
      </w:r>
      <w:r>
        <w:t xml:space="preserve"> Planning for end of life in the past and present: historical, legal and clinical perspectives on ReSPECT — https://doi.org/10.1177/01410768251317843</w:t>
      </w:r>
    </w:p>
    <w:p>
      <w:pPr/>
      <w:r>
        <w:rPr>
          <w:b/>
        </w:rPr>
        <w:t>Shared claim-specific concepts:</w:t>
      </w:r>
      <w:r>
        <w:t xml:space="preserve"> respect, includes, critical; EU scope not established. This is a provisional connection, not an outcome finding.</w:t>
      </w:r>
    </w:p>
    <w:p>
      <w:pPr>
        <w:pStyle w:val="SourceNote"/>
      </w:pPr>
      <w:r>
        <w:rPr>
          <w:b/>
        </w:rPr>
        <w:t>Available abstract (not full text):</w:t>
      </w:r>
      <w:r>
        <w:t xml:space="preserve"> The ReSPECT ('Recommended Summary Plan for Emergency Care and Treatment') process was developed in the UK to guide and document conversations and decision-making with patients and their relatives around intervention during critical deterioration. This includes advising whether resuscitation should be attempted when a person dies. Current medical preparation for death is qualitatively different to social behaviours by people in the past and presents some controversies when considering the legal status of death-related decisions. In this article, we discuss our interdisciplinary perspectives as archaeological, historical, legal, medical and clinical psychologist academics following a historico-medico-legal appraisal of the ReSPECT process as situated in the current UK legal and cultural landscape. We review controversies and conundrums, and contextualise and contrast the current position to preparing for death and dying in the past.</w:t>
      </w:r>
    </w:p>
    <w:p>
      <w:pPr/>
      <w:r>
        <w:rPr>
          <w:b/>
        </w:rPr>
        <w:t>POSSIBLE 2025:</w:t>
      </w:r>
      <w:r>
        <w:t xml:space="preserve"> Financial Modeling for Renewable Energy Projects: Risk and Return Analysis of Wind and Solar Energy Investments — https://doi.org/10.20508/ijrer.v15i4.15391.g9131</w:t>
      </w:r>
    </w:p>
    <w:p>
      <w:pPr/>
      <w:r>
        <w:rPr>
          <w:b/>
        </w:rPr>
        <w:t>Shared claim-specific concepts:</w:t>
      </w:r>
      <w:r>
        <w:t xml:space="preserve"> energy, modeling; EU scope not established. This is a provisional connection, not an outcome finding.</w:t>
      </w:r>
    </w:p>
    <w:p>
      <w:pPr>
        <w:pStyle w:val="SourceNote"/>
      </w:pPr>
      <w:r>
        <w:rPr>
          <w:b/>
        </w:rPr>
        <w:t>Available abstract (not full text):</w:t>
      </w:r>
      <w:r>
        <w:t xml:space="preserve"> In this study, the financial modeling of wind and solar energy investments is investigated with an emphasis on the analysis of risk and return profiles. The primary objective is to provide a comprehensive financial performance assessment for renewable energy projects, focusing specifically on wind and solar energy sectors across various geographic locations. The study contributes to the literature by offering a detailed analysis of the factors influencing the financial performance of these investments and evaluates the applicability and effectiveness of different financial models in the renewable energy domain. Limitations of the research include variability due to geographical factors and potential market dynamics changes. Furthermore, the financial models are based on current economic conditions and technological advancements, which may affect the validity of results over time. Future directions suggest expanding financial modeling to include diverse energy sources and technological innovations, as well as a deeper examination of macroeconomic factors, such as policy making and government incentives, on renewable energy investments.</w:t>
      </w:r>
    </w:p>
    <w:p>
      <w:pPr/>
      <w:r>
        <w:rPr>
          <w:b/>
        </w:rPr>
        <w:t>POSSIBLE 2025:</w:t>
      </w:r>
      <w:r>
        <w:t xml:space="preserve"> Selection of Global Climate Model Data for Downscaling With Generative Machine Learning and Use in the Power Planning for Alignment of Climate and Energy Systems Project — https://doi.org/10.2172/2498329</w:t>
      </w:r>
    </w:p>
    <w:p>
      <w:pPr/>
      <w:r>
        <w:rPr>
          <w:b/>
        </w:rPr>
        <w:t>Shared claim-specific concepts:</w:t>
      </w:r>
      <w:r>
        <w:t xml:space="preserve"> respect, energy, use; EU scope not established. This is a provisional connection, not an outcome finding.</w:t>
      </w:r>
    </w:p>
    <w:p>
      <w:pPr>
        <w:pStyle w:val="SourceNote"/>
      </w:pPr>
      <w:r>
        <w:rPr>
          <w:b/>
        </w:rPr>
        <w:t>Available abstract (not full text):</w:t>
      </w:r>
      <w:r>
        <w:t xml:space="preserve"> The range of results from climate models and scenarios is important to the understanding of uncertainty in power planning analysis. A U.S. Department of Energy-funded analytic project called Power Planning for Alignment of Climate and Energy Systems is developing data and analytic methods to reflect the effects of climate change on key variables for power system planning, as part of the Grid Modernization Lab Consortium. This project will select and prepare global climate model results for use in power system planning models. A related report (Evaluation of Global Climate Models for Use in Energy Analysis) assesses the performance of various global climate models from the Coupled Model Intercomparison Project Phase 6 data archive for their historical skill with respect to energy system performance and for their future projections under multiple climate change scenarios. Building from that report, we describe the selection of a climate scenario (Shared Socioeconomic Pathway [SSP] 2-4.5) and five climate models: TaiESM1, EC-Earth3-CC, GFDL-CM4, EC-Earth3-Veg, and MPI-ESM1-2-HR. We describe the model selection criteria, which were based on the quality of the match between model results under historical conditions and on the representation of the range of future values for several variables. These results will be downscaled via an open-source generative machine learning method call</w:t>
      </w:r>
    </w:p>
    <w:p>
      <w:pPr>
        <w:pStyle w:val="Heading2"/>
      </w:pPr>
      <w:r>
        <w:t>732. Low-carbon energy scenarios 2050 in north-west European countries: Towards a more harmonised approach to achieve the EU targets</w:t>
      </w:r>
    </w:p>
    <w:p>
      <w:pPr>
        <w:pStyle w:val="SourceNote"/>
      </w:pPr>
      <w:r>
        <w:rPr>
          <w:b/>
        </w:rPr>
        <w:t>Original source (2019):</w:t>
      </w:r>
      <w:r>
        <w:t xml:space="preserve"> https://doi.org/10.1016/j.enpol.2019.03.047</w:t>
      </w:r>
    </w:p>
    <w:p>
      <w:pPr/>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POSSIBLE 2026:</w:t>
      </w:r>
      <w:r>
        <w:t xml:space="preserve"> Potential of PGPR to Enhance Soybean Productivity in Europe — https://doi.org/10.3390/agriculture16050497</w:t>
      </w:r>
    </w:p>
    <w:p>
      <w:pPr/>
      <w:r>
        <w:rPr>
          <w:b/>
        </w:rPr>
        <w:t>Shared claim-specific concepts:</w:t>
      </w:r>
      <w:r>
        <w:t xml:space="preserve"> all, countries, potential, achieve; EU scope visible. This is a provisional connection, not an outcome finding.</w:t>
      </w:r>
    </w:p>
    <w:p>
      <w:pPr>
        <w:pStyle w:val="SourceNote"/>
      </w:pPr>
      <w:r>
        <w:rPr>
          <w:b/>
        </w:rPr>
        <w:t>Available abstract (not full text):</w:t>
      </w:r>
      <w:r>
        <w:t xml:space="preserve"> Soybean cultivation in Europe remains limited compared to major global producing regions, resulting in dependence on imported sources of plant protein. Although soybean cultivation has expanded in several European countries in recent years, production is still constrained by climatic variability, soil conditions, restricted availability of locally adapted varieties, and yield instability. To improve the stimulation of plant defense mechanisms against biotic and abiotic stress, and above all, to achieve yield stability, there is an increasing search for environmentally friendly products, such as biofertilizers, that can be used to rebuild and maintain a sustainable ecosystem. However, environmental intervention requires extensive research on plant species and bacteria. Therefore, increasing attention is being focused on plant growth-promoting rhizobacteria (PGPR), among other factors. These microorganisms stimulate the growth of their host through various pathways, enabling biomass growth, and improving vitality. In the near future, this may explain the various detailed mechanisms of their interactions with plants. This article reviews the current state of soybean production in Europe and synthesizes recent advances in the understanding of PGPR–soybean interactions, with particular emphasis on both direct and indirect mechanisms of action. The roles of PGPR in nutrient acquisiti</w:t>
      </w:r>
    </w:p>
    <w:p>
      <w:pPr/>
      <w:r>
        <w:rPr>
          <w:b/>
        </w:rPr>
        <w:t>POSSIBLE 2026:</w:t>
      </w:r>
      <w:r>
        <w:t xml:space="preserve"> Organic Photovoltaics in European Greenhouses – Mapping Renewable Electricity Potential across Europe — https://doi.org/10.1016/j.ecmx.2026.102162</w:t>
      </w:r>
    </w:p>
    <w:p>
      <w:pPr/>
      <w:r>
        <w:rPr>
          <w:b/>
        </w:rPr>
        <w:t>Shared claim-specific concepts:</w:t>
      </w:r>
      <w:r>
        <w:t xml:space="preserve"> potential, energy; EU scope visible. This is a provisional connection, not an outcome finding.</w:t>
      </w:r>
    </w:p>
    <w:p>
      <w:pPr>
        <w:pStyle w:val="SourceNote"/>
      </w:pPr>
      <w:r>
        <w:rPr>
          <w:b/>
        </w:rPr>
        <w:t>Available abstract (not full text):</w:t>
      </w:r>
      <w:r>
        <w:t xml:space="preserve"> This study investigates the potential of Organic Photovoltaics (OPV) for integration into greenhouses across the European Union (EU), as a pathway to strengthen both energy and food security within the clean energy transition. The integration of renewable electricity generation with agricultural production in greenhouses employs a dual-use strategy for land and energy. As an emerging photovoltaic technology, OPV is explicitly relevant in this context, directly supporting the EU’s goals for sustainable transformation and the clean energy transition. The techno-economic feasibility of OPV greenhouses under varying deployment and performance scenarios is assessed. Depending on the assumptions made regarding coverage and efficiency, the annual electricity generation potential ranges from 14 TWh year⁻1 under conservative conditions to over 130 TWh year⁻1 in advanced cases. The findings indicate that, even under scenarios characterized by low OPV coverage and lower power density, annual OPV electricity generation has the potential to reach or even surpass allocated annual greenhouse electricity demand in numerous EU regions on an annual-balance basis. Under current high-cost assumptions, economic feasibility remains limited, with LCOE values ranging from 0.13 to 0.46 € kWh⁻1 across regions and module-capacity scenarios. Under industrial-scale manufacturing assumptions, LCOE decreases</w:t>
      </w:r>
    </w:p>
    <w:p>
      <w:pPr/>
      <w:r>
        <w:rPr>
          <w:b/>
        </w:rPr>
        <w:t>POSSIBLE 2026:</w:t>
      </w:r>
      <w:r>
        <w:t xml:space="preserve"> The development of Slovenian music in european discourse — https://doi.org/10.18690/pomurska-obzorja.13.24.1-32.2026</w:t>
      </w:r>
    </w:p>
    <w:p>
      <w:pPr/>
      <w:r>
        <w:rPr>
          <w:b/>
        </w:rPr>
        <w:t>Shared claim-specific concepts:</w:t>
      </w:r>
      <w:r>
        <w:t xml:space="preserve"> shown, all, selected, representatives; EU scope visible. This is a provisional connection, not an outcome finding.</w:t>
      </w:r>
    </w:p>
    <w:p>
      <w:pPr>
        <w:pStyle w:val="SourceNote"/>
      </w:pPr>
      <w:r>
        <w:rPr>
          <w:b/>
        </w:rPr>
        <w:t>Available abstract (not full text):</w:t>
      </w:r>
      <w:r>
        <w:t xml:space="preserve"> The following places Slovenian music in time and space, from antiquity to the present. In the context of European comparisons of this kind, Slovenian music has fluctuated continually in terms of performance and creativity; lagging behind, then equaling or even surpassing European music. From its very beginnings to the present day, Slovenian music has been interesting: On the one hand, it attracted the rest of Europe; on the other hand, the rest of European music was so interesting for Slovenian music that it faced it at home, on Slovenian soil. All this is shown chronologically and stylistically from its alleged and proven beginnings through the Middle Ages, the Renaissance, the Baroque, the Rococo – from the Wild Hags with a bone flute to the Baroque, classical, romanticism, modernism, modernisms of the 20th and 21st centuries, and their reflections in Slovenia – to the conclusion. The emergence of Slovenian music over two millennia is shown in the religious and secular spheres, through vocal, instrumental and vocal-instrumental music. All these musically relevant areas are shown with specific and selected creators/authors and performers of their music. Characteristic and different stylistic orientations, along with the nations of their European representatives, are highlighted.</w:t>
      </w:r>
    </w:p>
    <w:p>
      <w:pPr/>
      <w:r>
        <w:rPr>
          <w:b/>
        </w:rPr>
        <w:t>POSSIBLE 2025:</w:t>
      </w:r>
      <w:r>
        <w:t xml:space="preserve"> Seeds and vegetative propagules of all selected invasive plants in Europe do not survive industrial composting — https://doi.org/10.3897/neobiota.97.133943</w:t>
      </w:r>
    </w:p>
    <w:p>
      <w:pPr/>
      <w:r>
        <w:rPr>
          <w:b/>
        </w:rPr>
        <w:t>Shared claim-specific concepts:</w:t>
      </w:r>
      <w:r>
        <w:t xml:space="preserve"> all, selected, countries, regional; EU scope visible. This is a provisional connection, not an outcome finding.</w:t>
      </w:r>
    </w:p>
    <w:p>
      <w:pPr>
        <w:pStyle w:val="SourceNote"/>
      </w:pPr>
      <w:r>
        <w:rPr>
          <w:b/>
        </w:rPr>
        <w:t>Available abstract (not full text):</w:t>
      </w:r>
      <w:r>
        <w:t xml:space="preserve"> Plant material of invasive alien plant species (IAPS) must be appropriately disposed of to prevent unintended spread. The current guidelines in Slovenia and in several other European countries recommend composting only the parts of the plants from which they cannot sprout and reproduce. At the same time, the vegetative propagules and seeds should be incinerated. We tested whether the seeds and vegetative propagules (rhizomes, stolons, tubers, and branches) of 30 selected IAPS survive industrial composting, which is the method of processing collected organic waste and green cut from parks and gardens. Mature seeds and vegetative propagules were packed in metal boxes, which were filled with compost and included in the hygienisation phase of biowaste processing at the Regional Waste Management Centre, RCERO Ljubljana. After the industrial composting for 17 days, seed germination and viability tests were done and compared with a control group of seeds collected from the same plants but not undergoing the composting process. The composted and fresh vegetative propagules were planted in pots with soil, and the number of rooted parts was counted. None of the seeds and the vegetative propagules survived the industrial composting process, and we can conclude that it is safe to dispose of the IAPS like other organic waste or green cut.</w:t>
      </w:r>
    </w:p>
    <w:p>
      <w:pPr/>
      <w:r>
        <w:rPr>
          <w:b/>
        </w:rPr>
        <w:t>POSSIBLE 2025:</w:t>
      </w:r>
      <w:r>
        <w:t xml:space="preserve"> The Development of Slovenian music in European discourse — https://doi.org/10.35629/9467-1304102117</w:t>
      </w:r>
    </w:p>
    <w:p>
      <w:pPr/>
      <w:r>
        <w:rPr>
          <w:b/>
        </w:rPr>
        <w:t>Shared claim-specific concepts:</w:t>
      </w:r>
      <w:r>
        <w:t xml:space="preserve"> shown, all, selected, representatives; EU scope visible. This is a provisional connection, not an outcome finding.</w:t>
      </w:r>
    </w:p>
    <w:p>
      <w:pPr>
        <w:pStyle w:val="SourceNote"/>
      </w:pPr>
      <w:r>
        <w:rPr>
          <w:b/>
        </w:rPr>
        <w:t>Available abstract (not full text):</w:t>
      </w:r>
      <w:r>
        <w:t xml:space="preserve"> The following places Slovenian music in time and space, from antiquity to the present. In the context of European comparisons of this kind, Slovenian music has fluctuated continually in terms of performance and creativity; lagging behind, then equaling or even surpassing European music. From its very beginnings to the present day, Slovenian music has been interesting: On the one hand, it attracted the rest of Europe; on the other hand, the rest of European music was so interesting for Slovenian music that it faced it at home, on Slovenian soil. All this is shown chronologically and stylistically from its alleged and proven beginnings through the Middle Ages, the Renaissance, the Baroque, the Rococo – from the Wild Hags with a bone flute to the Baroque, classical, romanticism, modernism, modernisms of the 20th and 21st centuries, and their reflections in Slovenia – to the conclusion. The emergence of Slovenian music over two millennia is shown in the religious and secular spheres, through vocal, instrumental and vocal-instrumental music. All these musically relevant areas are shown with specific and selected creators/authors and performers of their music. Characteristic and different stylistic orientations, along with the nations of their European representatives, are highlighted.</w:t>
      </w:r>
    </w:p>
    <w:p>
      <w:pPr/>
      <w:r>
        <w:rPr>
          <w:b/>
        </w:rPr>
        <w:t>POSSIBLE 2024:</w:t>
      </w:r>
      <w:r>
        <w:t xml:space="preserve"> Regional cooling potential from expansion of perennial grasses in Europe — https://doi.org/10.1038/s43247-024-01923-5</w:t>
      </w:r>
    </w:p>
    <w:p>
      <w:pPr/>
      <w:r>
        <w:rPr>
          <w:b/>
        </w:rPr>
        <w:t>Shared claim-specific concepts:</w:t>
      </w:r>
      <w:r>
        <w:t xml:space="preserve"> potential, energy, achieve, regional; EU scope visible. This is a provisional connection, not an outcome finding.</w:t>
      </w:r>
    </w:p>
    <w:p>
      <w:pPr>
        <w:pStyle w:val="SourceNote"/>
      </w:pPr>
      <w:r>
        <w:rPr>
          <w:b/>
        </w:rPr>
        <w:t>Available abstract (not full text):</w:t>
      </w:r>
      <w:r>
        <w:t xml:space="preserve"> Abstract Perennial grasses are an option to mitigate global warming, increase energy security, and alleviate environmental pressures within agricultural landscapes. Their cultivation alters near-surface temperature in ways that are still largely unclear. Here, a regional climate model with an enhanced representation of perennial grasses shows that converting today’s cropland areas in Europe induces annual mean temperature reductions in summer and autumn (up to –1 °C), which are primarily driven by a later harvest of perennial grasses relative to annual crops. Cultivation of perennial grasses where they deliver stronger biogeophysical cooling can achieve a similar annual mean temperature reduction on half of the land. This cooling can counteract up to 50% of the projected future warming and it is three times larger than what is achieved via carbon emission reductions. A sustainable deployment of perennial grasses has the potential to link global mitigation objectives with co-benefits for the local climate and environment.</w:t>
      </w:r>
    </w:p>
    <w:p>
      <w:pPr/>
      <w:r>
        <w:rPr>
          <w:b/>
        </w:rPr>
        <w:t>POSSIBLE 2024:</w:t>
      </w:r>
      <w:r>
        <w:t xml:space="preserve"> A review of the current potential of European brown seaweed for the production of biofuels — https://doi.org/10.1186/s13705-024-00452-5</w:t>
      </w:r>
    </w:p>
    <w:p>
      <w:pPr/>
      <w:r>
        <w:rPr>
          <w:b/>
        </w:rPr>
        <w:t>Shared claim-specific concepts:</w:t>
      </w:r>
      <w:r>
        <w:t xml:space="preserve"> potential, energy, interest; EU scope visible. This is a provisional connection, not an outcome finding.</w:t>
      </w:r>
    </w:p>
    <w:p>
      <w:pPr>
        <w:pStyle w:val="SourceNote"/>
      </w:pPr>
      <w:r>
        <w:rPr>
          <w:b/>
        </w:rPr>
        <w:t>Available abstract (not full text):</w:t>
      </w:r>
      <w:r>
        <w:t xml:space="preserve"> Abstract Background In addition to the other uses for macroalgae, since the 1970s, there has been interest in using macroalgae as a source of biofuels, due to the high rates of productivity and intrinsic advantages over other biofuel crops such as not requiring land use or significant freshwater input. A wide range of conversion processes exist but anaerobic digestion was one of the first demonstrated and is still a widely proposed conversion pathway. To be economically viable and scalable within Europe, the industry will need to be based on a small number of fast growing, high-yielding European macroalgae species. There is a wide body of scientific work on the conversion of seaweeds to biofuel via anaerobic digestion. Main text These studies demonstrate that the efficiency of this conversion pathway is highly variable between species, processing techniques, composition and digestor conditions. In this paper, we review this body of work specifically linking it to candidate species for European macroalgae bio-energy cultivation with the aim to promote the future development of the European macroalgal cultivation sector and allow for a better alignment with the requirements for biofuel production from macroalgae. Conclusions Overall, anaerobic digestion of seaweed offers opportunities for large-scale energy production which avoids some of the issues that have faced previous gener</w:t>
      </w:r>
    </w:p>
    <w:p>
      <w:pPr/>
      <w:r>
        <w:rPr>
          <w:b/>
        </w:rPr>
        <w:t>POSSIBLE 2024:</w:t>
      </w:r>
      <w:r>
        <w:t xml:space="preserve"> The Range Potential of North American Tree Species in Europe — https://doi.org/10.3390/f15010130</w:t>
      </w:r>
    </w:p>
    <w:p>
      <w:pPr/>
      <w:r>
        <w:rPr>
          <w:b/>
        </w:rPr>
        <w:t>Shared claim-specific concepts:</w:t>
      </w:r>
      <w:r>
        <w:t xml:space="preserve"> all, potential, especially; EU scope visible. This is a provisional connection, not an outcome finding.</w:t>
      </w:r>
    </w:p>
    <w:p>
      <w:pPr>
        <w:pStyle w:val="SourceNote"/>
      </w:pPr>
      <w:r>
        <w:rPr>
          <w:b/>
        </w:rPr>
        <w:t>Available abstract (not full text):</w:t>
      </w:r>
      <w:r>
        <w:t xml:space="preserve"> European forest ecosystems are projected to change severely under climate change especially due to an anticipated decline in the distribution of major tree species in Europe. Therefore, the adaptation of European forests appears necessary and urgent. While spontaneous adaptation mechanisms bear a large self-guided potential, we focus on quantifying the potential of management-guided mechanisms. Besides other possible tree species groups for adaptation, non-native tree species from North America have a long tradition in Europe, yet their full distribution potential is not completely revealed. We applied an ensemble species distribution model approach to six North American species, using combined occurrence data from the native and naturalized ranges to gain more insights into the species suitability in the introduced area in 2070 (2061–2080) under the emission scenarios RCP 4.5 and 8.5. Our findings support the assumption that there is unreported species potential in the introduced area beyond their current distribution. Next to northeastern range shifts projected for all species, we identified Abies grandis, Liriodendron tulipifera, Quercus rubra, and Robinia pseudoacacia with increasing range potentials in the future. P. ponderosa and P. menziesii var. menziesii are projected to show a steady and decreased range potential under RCP 4.5 and 8.5, respectively.</w:t>
      </w:r>
    </w:p>
    <w:p>
      <w:pPr/>
      <w:r>
        <w:rPr>
          <w:b/>
        </w:rPr>
        <w:t>POSSIBLE 2024:</w:t>
      </w:r>
      <w:r>
        <w:t xml:space="preserve"> A Mapping of Textile Waste Recycling Technologies in Europe and Spain — https://doi.org/10.3390/textiles4030022</w:t>
      </w:r>
    </w:p>
    <w:p>
      <w:pPr/>
      <w:r>
        <w:rPr>
          <w:b/>
        </w:rPr>
        <w:t>Shared claim-specific concepts:</w:t>
      </w:r>
      <w:r>
        <w:t xml:space="preserve"> all, selected, especially;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Evidence of a European seed dispersal crisis — https://doi.org/10.1126/science.ado1464</w:t>
      </w:r>
    </w:p>
    <w:p>
      <w:pPr/>
      <w:r>
        <w:rPr>
          <w:b/>
        </w:rPr>
        <w:t>Shared claim-specific concepts:</w:t>
      </w:r>
      <w:r>
        <w:t xml:space="preserve"> potential, especially, international; EU scope visible. This is a provisional connection, not an outcome finding.</w:t>
      </w:r>
    </w:p>
    <w:p>
      <w:pPr>
        <w:pStyle w:val="SourceNote"/>
      </w:pPr>
      <w:r>
        <w:rPr>
          <w:b/>
        </w:rPr>
        <w:t>Available abstract (not full text):</w:t>
      </w:r>
      <w:r>
        <w:t xml:space="preserve"> Seed dispersal is crucial for ecosystem persistence, especially in fragmented landscapes, such as those common in Europe. Ongoing defaunation might compromise effective seed dispersal, but the conservation status of pairwise interactions remains unknown. With a literature review, we reconstructed the first European-wide seed dispersal network and evaluated the conservation status of interactions by assessing each interacting partner's IUCN (International Union for Conservation of Nature) conservation status and population trends. We found that a third of the disperser species and interactions face potential extinction and that 30% of the plant species have most of their dispersers threatened or declining. Our study reveals a developing seed dispersal crisis in Europe and highlights large knowledge gaps regarding the dispersers and conservation status of zoochorous plants, urging further scrutiny and action to conserve the seed dispersal service.</w:t>
      </w:r>
    </w:p>
    <w:p>
      <w:pPr/>
      <w:r>
        <w:rPr>
          <w:b/>
        </w:rPr>
        <w:t>POSSIBLE 2024:</w:t>
      </w:r>
      <w:r>
        <w:t xml:space="preserve"> An assessment of the species diversity and disease potential of Pythium communities in Europe — https://doi.org/10.1038/s41467-024-52761-0</w:t>
      </w:r>
    </w:p>
    <w:p>
      <w:pPr/>
      <w:r>
        <w:rPr>
          <w:b/>
        </w:rPr>
        <w:t>Shared claim-specific concepts:</w:t>
      </w:r>
      <w:r>
        <w:t xml:space="preserve"> all, countries, potential; EU scope visible. This is a provisional connection, not an outcome finding.</w:t>
      </w:r>
    </w:p>
    <w:p>
      <w:pPr>
        <w:pStyle w:val="SourceNote"/>
      </w:pPr>
      <w:r>
        <w:rPr>
          <w:b/>
        </w:rPr>
        <w:t>Available abstract (not full text):</w:t>
      </w:r>
      <w:r>
        <w:t xml:space="preserve"> Pythium sensu lato (s.l.) is a genus of parasitic oomycetes that poses a serious threat to agricultural production worldwide, but their severity is often neglected because little knowledge about them is available. Using an internal transcribed spacer (ITS) amplicon-based-metagenomics approach, we investigate the occurrence, abundance, and diversity of Pythium spp. s.l. in 127 corn fields of 11 European countries from the years 2019 to 2021. We also identify 73 species, with up to 20 species in a single soil sample, and the prevalent species, which show high species diversity, varying disease potential, and are widespread in most countries. Further, we show species-species co-occurrence patterns considering all detected species and link species abundance to soil parameter using the LUCAS topsoil dataset. Infection experiments with recovered isolates show that Pythium s.l. differ in disease potential, and that effective interference with plant hormone networks suppressing JA (jasmonate)-mediated defenses is an essential component of the virulence mechanism of Pythium s.l. species. This study provides a valuable dataset that enables deep insights into the structure and species diversity of Pythium s.l. communities in European corn fields and knowledge for better understanding plant-Pythium interactions, facilitating the development of an effective strategy to cope with this pathog</w:t>
      </w:r>
    </w:p>
    <w:p>
      <w:pPr/>
      <w:r>
        <w:rPr>
          <w:b/>
        </w:rPr>
        <w:t>POSSIBLE 2023:</w:t>
      </w:r>
      <w:r>
        <w:t xml:space="preserve"> Impact of COVID-19 pandemic on flu vaccine uptake in healthcare workers in Europe: a systematic review and meta-analysis — https://doi.org/10.1080/14760584.2023.2250437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INTRODUCTION: Influenza immunization policies in Europe primarily target at-risk and vulnerable subjects. Healthcare workers (HCWs) are a key focus of vaccination campaigns. Our systematic review and meta-analysis aim to evaluate the role of the COVID-19 pandemic on influenza vaccine uptake among HCWs since the 2020/21 influenza season. AREAS COVERED: Fourteen studies were included in the meta-analysis and systematic review, selected from scientific articles available in MEDLINE/PubMed, ISI Web of Knowledge, and Scopus databases between 1 January 2021 and 15 January 2023 The analysis revealed a significant relationship between influenza vaccine uptake and COVID-19 related determinants, such as willingness to receive COVID-19 vaccination, fear of COVID-19, and differentiating between influenza and COVID-19 symptoms (OR = 5.70; 95%CI = 2.08-15.60). Several studies reported higher vaccination coverages in the 2020/21 season compared to previous seasons, with VC values ranging from + 17% to + 38% compared to the 2019/20 season. The included studies identified a shift in HCWs' attitudes toward influenza vaccination, attributed to increased awareness due to the COVID-19 pandemic. EXPERT OPINION: Vaccine hesitancy is common among HCWs in Europe, necessitating mutual strategies across all European countries. So far, mandatory vaccination policies have shown the most potential in achiev</w:t>
      </w:r>
    </w:p>
    <w:p>
      <w:pPr>
        <w:pStyle w:val="Heading2"/>
      </w:pPr>
      <w:r>
        <w:t>733. Lyme Disease Risks in Europe under Multiple Uncertain Drivers of Change</w:t>
      </w:r>
    </w:p>
    <w:p>
      <w:pPr>
        <w:pStyle w:val="SourceNote"/>
      </w:pPr>
      <w:r>
        <w:rPr>
          <w:b/>
        </w:rPr>
        <w:t>Original source (2019):</w:t>
      </w:r>
      <w:r>
        <w:t xml:space="preserve"> https://doi.org/10.1289/ehp4615</w:t>
      </w:r>
    </w:p>
    <w:p>
      <w:pPr/>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projections, increases, not, low, whether, climate;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Climate &amp; Air Quality projections over Europe for 2030 and 2050 — https://openalex.org/W7213705154</w:t>
      </w:r>
    </w:p>
    <w:p>
      <w:pPr/>
      <w:r>
        <w:rPr>
          <w:b/>
        </w:rPr>
        <w:t>Shared claim-specific concepts:</w:t>
      </w:r>
      <w:r>
        <w:t xml:space="preserve"> projections, increases, emissions, over,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Widespread increase in frequency and duration of European wind droughts based on CMIP6 projections — https://doi.org/10.1016/j.isci.2026.115075</w:t>
      </w:r>
    </w:p>
    <w:p>
      <w:pPr/>
      <w:r>
        <w:rPr>
          <w:b/>
        </w:rPr>
        <w:t>Shared claim-specific concepts:</w:t>
      </w:r>
      <w:r>
        <w:t xml:space="preserve"> projections, increases, low, socioeconomic, over, climate; EU scope visible. This is a provisional connection, not an outcome finding.</w:t>
      </w:r>
    </w:p>
    <w:p>
      <w:pPr>
        <w:pStyle w:val="SourceNote"/>
      </w:pPr>
      <w:r>
        <w:rPr>
          <w:b/>
        </w:rPr>
        <w:t>Available abstract (not full text):</w:t>
      </w:r>
      <w:r>
        <w:t xml:space="preserve"> The urgent need for long-term sustainable energy solutions to combat climate change has accelerated the deployment of renewable power technologies worldwide. Among these technologies, wind power has gained more attention due to its zero-carbon emission electricity and low costs. However, the availability and reliability of wind resources are subject to weather conditions and the potential impact of climate change. In this study, we use five model projections from the Coupled Model Intercomparison Project Phase 6 (CMIP6) forced with the Shared Socioeconomic Pathway (SSP) 5-8.5 extreme high-emission-scenario to investigate the implications of changes in wind speed and extreme wind events (i.e., events of wind speeds outside the thresholds for power generation) across Europe for future wind energy projects. We adopt a model-level approach to estimate wind speeds at turbine hub heights and examine the potential changes in the frequency and duration of extreme wind events for power production in the Near-Future (2040–2059) and Far-Future (2080–2099).We find a notable and widespread increase in projected annual frequency of weak wind events of as much as 10-20% in some regions, with the most substantial increase in Western Europe – particularly over the United Kingdom. However, we find a decreasing winter frequency of weak wind events over Northern, Eastern, Central, and Western Euro</w:t>
      </w:r>
    </w:p>
    <w:p>
      <w:pPr/>
      <w:r>
        <w:rPr>
          <w:b/>
        </w:rPr>
        <w:t>POSSIBLE 2026:</w:t>
      </w:r>
      <w:r>
        <w:t xml:space="preserve"> Divergent European hail projections from machine learning and physically based models under global warming — https://doi.org/10.1038/s44304-026-00218-3</w:t>
      </w:r>
    </w:p>
    <w:p>
      <w:pPr/>
      <w:r>
        <w:rPr>
          <w:b/>
        </w:rPr>
        <w:t>Shared claim-specific concepts:</w:t>
      </w:r>
      <w:r>
        <w:t xml:space="preserve"> projections, increases, over, climate; EU scope visible. This is a provisional connection, not an outcome finding.</w:t>
      </w:r>
    </w:p>
    <w:p>
      <w:pPr>
        <w:pStyle w:val="SourceNote"/>
      </w:pPr>
      <w:r>
        <w:rPr>
          <w:b/>
        </w:rPr>
        <w:t>Available abstract (not full text):</w:t>
      </w:r>
      <w:r>
        <w:t xml:space="preserve"> Abstract Reliable fine-scale hail projections are urgently needed for robust risk assessments, yet future trends remain uncertain and contradictory across methods. Using 11-year pan-European convection-permitting climate simulations for the present and a + 3°C pseudo-global-warming climate, we compare an online hail-growth diagnostic (HAILCAST) with an offline machine learning model (XGBoost) trained on ERA5 hail environments. We show that, under current conditions, both approaches produce comparable hail frequencies across most of Europe. However, XGBoost predicts widespread hail suppression in a warmer climate, mainly driven by increasing freezing level heights, from conditions beyond the training distribution. HAILCAST instead simulates how enhanced storm updrafts can sustain hail growth despite a warmer atmosphere, projecting regional increases over central-eastern Europe and larger hailstones. Our findings show that data-driven approaches alone should be used with caution under global warming, underscoring the need for physically based hail representations in convection-permitting climate models to robustly assess future convective hazards.</w:t>
      </w:r>
    </w:p>
    <w:p>
      <w:pPr/>
      <w:r>
        <w:rPr>
          <w:b/>
        </w:rPr>
        <w:t>POSSIBLE 2026:</w:t>
      </w:r>
      <w:r>
        <w:t xml:space="preserve"> Hydrological drought projections across Europe under climate change — https://doi.org/10.1038/s44304-025-00152-w</w:t>
      </w:r>
    </w:p>
    <w:p>
      <w:pPr/>
      <w:r>
        <w:rPr>
          <w:b/>
        </w:rPr>
        <w:t>Shared claim-specific concepts:</w:t>
      </w:r>
      <w:r>
        <w:t xml:space="preserve"> projections, increases, socioeconomic, climate;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projection of habitat suitability and potential distribution of main European cereal bugs using MaxEnt modelling — https://doi.org/10.1111/afe.70040</w:t>
      </w:r>
    </w:p>
    <w:p>
      <w:pPr/>
      <w:r>
        <w:rPr>
          <w:b/>
        </w:rPr>
        <w:t>Shared claim-specific concepts:</w:t>
      </w:r>
      <w:r>
        <w:t xml:space="preserve"> projections, temperature, not, ssp1, climate; EU scope visible. This is a provisional connection, not an outcome finding.</w:t>
      </w:r>
    </w:p>
    <w:p>
      <w:pPr>
        <w:pStyle w:val="SourceNote"/>
      </w:pPr>
      <w:r>
        <w:rPr>
          <w:b/>
        </w:rPr>
        <w:t>Available abstract (not full text):</w:t>
      </w:r>
      <w:r>
        <w:t xml:space="preserve"> Abstract Main European sap‐sucking cereal bugs— Aelia acuminata , Aelia rostrata , Eurygaster maura and Eurygaster austriaca —are significant pests of wheat, causing significant yield loss in wheat and other cereals. Global climate change will modify their distribution areas by changing environmental conditions (e.g., increasing winter temperatures). Information on their dispersal possibilities can help to clarify their future economic importance and damage potential. Species distribution models are tools for predicting the distribution of species and habitat suitability by quantifying the relationship between species' occurrence records and environmental variables and predicting the potential species distributions. In this study, we modelled their current potential and future distribution by MaxEnt and the currently available occurrence data. For the future projections, we chose two scenarios (SSP1‐2.6 and SSP5‐8.5) of the global climate model IPSL‐CM6A‐LR. Our results show that the boundaries of potentially suitable habitats are shifting polewards with an eastern habitat expansion (total of 121.6%–200.6% increase in continental Europe), and areas of high habitat suitability are shifted towards western Europe and the north‐eastern areas of central Europe in both studied periods (2041–2060 and 2061–2080) for all four species. Based on our models, we can conclude that overwinter</w:t>
      </w:r>
    </w:p>
    <w:p>
      <w:pPr/>
      <w:r>
        <w:rPr>
          <w:b/>
        </w:rPr>
        <w:t>POSSIBLE 2026:</w:t>
      </w:r>
      <w:r>
        <w:t xml:space="preserve"> Machine Learning-Based Bias-Corrected Future Projections of Ozone Concentrations from a Chemistry-Climate Model — https://doi.org/10.1021/acs.est.5c11992</w:t>
      </w:r>
    </w:p>
    <w:p>
      <w:pPr/>
      <w:r>
        <w:rPr>
          <w:b/>
        </w:rPr>
        <w:t>Shared claim-specific concepts:</w:t>
      </w:r>
      <w:r>
        <w:t xml:space="preserve"> projections, increases, socioeconomic, ssp1, over, climate; EU scope visible. This is a provisional connection, not an outcome finding.</w:t>
      </w:r>
    </w:p>
    <w:p>
      <w:pPr>
        <w:pStyle w:val="SourceNote"/>
      </w:pPr>
      <w:r>
        <w:rPr>
          <w:b/>
        </w:rPr>
        <w:t>Available abstract (not full text):</w:t>
      </w:r>
      <w:r>
        <w:t xml:space="preserve"> Reliable projections of future surface ozone are crucial for air quality management and health risk assessment. However, potential biases in spatial distribution, magnitude, and trends in ozone simulated by global chemistry-climate models limit their applicability in regional evaluations. In this study, LightGBM, a machine learning (ML) algorithm, is applied to correct biases in CESM2-simulated ozone over China, the United States, and Europe and to calibrate future projections under two Shared Socioeconomic Pathways (SSP1–2.6 and SSP5–8.5) from 2020 to 2060. The ML-based correction significantly improves spatial distribution and reduces bias by 40 to 60%, also reversing the potentially incorrect trend under SSP1–2.6 in eastern China. When the ML-based correction is applied to CESM2 projections, the warm-season mean ozone shows substantial changes from 2020 to 2060. Under SSP1–2.6, corrected ozone decreases by 13.5, 17.9, and 13.7 μg/m 3 in China, the United States, and Europe, respectively. In contrast, under SSP5–8.5, ozone increases over the same period by 9.4, 2.0, and 5.2 μg/m 3 in these regions. The decomposition analysis shows that anthropogenic emission changes dominate future ozone trends, while a strong climate penalty occurs in polluted eastern China and climate benefits are found in western China, the United States, and Europe under SSP5–8.5. These findings demonstra</w:t>
      </w:r>
    </w:p>
    <w:p>
      <w:pPr/>
      <w:r>
        <w:rPr>
          <w:b/>
        </w:rPr>
        <w:t>POSSIBLE 2026:</w:t>
      </w:r>
      <w:r>
        <w:t xml:space="preserve"> Projections of changes in extreme storm surges for European coasts using statistical downscaling — https://doi.org/10.5194/nhess-26-2269-2026</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Abstract. Understanding future changes in extreme storm surges (ESSs) is critical for coastal risk assessment and adaptation. However, existing projections in Europe are often based on computationally expensive dynamical models, limiting ensemble sizes and thus confidence in projected changes. In this study, we develop a cost-effective statistical downscaling model (SDM) trained to replicate dynamically downscaled storm surges, enabling the generation of a pan-European ensemble of ESS projections based on 17 global climate models (GCMs) – substantially expanding previous efforts. The SDM is trained on a storm surge hindcast and demonstrates stable skill across historical and future climates, effectively capturing projected ESSs changes given by dynamical simulations. Ensemble projections reveal robust multi-model mean (MMM) changes in the 10-year return level (RL10) of ESSs by 2100. Negative MMM changes are identified in the Mediterranean Sea (−7 %), Moroccan Atlantic coast (−10 %), and Danish Straits (−6 %), while positive changes of around +6 % are projected for the Celtic and Irish Seas, western Denmark, and the Gulf of Finland. Despite these robust signals, inter-model spread is substantial, with likely ranges (17th–83rd percentiles) extending from −25 % to +17 % across Europe, and changes of up to ±35 % in individual models. The southern North Sea and northern Baltic Sea e</w:t>
      </w:r>
    </w:p>
    <w:p>
      <w:pPr/>
      <w:r>
        <w:rPr>
          <w:b/>
        </w:rPr>
        <w:t>POSSIBLE 2026:</w:t>
      </w:r>
      <w:r>
        <w:t xml:space="preserve"> DASNordicSLR —A Regional Dataset of Sea Level Projections for Northern Europe — https://doi.org/10.1002/gdj3.70065</w:t>
      </w:r>
    </w:p>
    <w:p>
      <w:pPr/>
      <w:r>
        <w:rPr>
          <w:b/>
        </w:rPr>
        <w:t>Shared claim-specific concepts:</w:t>
      </w:r>
      <w:r>
        <w:t xml:space="preserve"> projections, low, climate; EU scope visible. This is a provisional connection, not an outcome finding.</w:t>
      </w:r>
    </w:p>
    <w:p>
      <w:pPr>
        <w:pStyle w:val="SourceNote"/>
      </w:pPr>
      <w:r>
        <w:rPr>
          <w:b/>
        </w:rPr>
        <w:t>Available abstract (not full text):</w:t>
      </w:r>
      <w:r>
        <w:t xml:space="preserve"> ABSTRACT Sea level rise is an inevitable consequence and one of the most significant threats posed by climate change, increasing the risk of flooding in low‐lying areas along the German coast. Based on the IPCC 6th Assessment Report (AR6) projections, we aimed to deliver improved projections of relative sea‐level change for Northern Europe's coastal regions. These projections are available as spatial data up to 2150. While most drivers of sea level change operate on a continental or global scale, vertical land motion is a regional factor—particularly relevant in Northern Europe—resulting from glacial isostatic adjustment and local processes. By combining the IPCC projections of absolute sea level change with a new, high‐resolution vertical land motion model for Fennoscandia, an optimised set of projections for relative sea level change for the North Sea and Baltic Sea was developed. In this context, the spatial resolution changes from the 1 × 1 grid commonly used in AR6 datasets to the finer 1/6 × 1/12 grid of the regional land motion model. This results in local differences in sea level rise by 2100 up to −200 mm to +500 mm within the domain. This dataset represents a contribution to the DAS core service ‘climate and water’, the operational climate service operated by four federal authorities under the umbrella of the German Federal Ministry of Transport.</w:t>
      </w:r>
    </w:p>
    <w:p>
      <w:pPr/>
      <w:r>
        <w:rPr>
          <w:b/>
        </w:rPr>
        <w:t>POSSIBLE 2026:</w:t>
      </w:r>
      <w:r>
        <w:t xml:space="preserve"> Energy Supply Shocks and Inflation in Central and Eastern Europe: Evidence from Bayesian SVARs and Local Projections — https://doi.org/10.3390/commodities5030017</w:t>
      </w:r>
    </w:p>
    <w:p>
      <w:pPr/>
      <w:r>
        <w:rPr>
          <w:b/>
        </w:rPr>
        <w:t>Shared claim-specific concepts:</w:t>
      </w:r>
      <w:r>
        <w:t xml:space="preserve"> projections, reduced, over; EU scope visible. This is a provisional connection, not an outcome finding.</w:t>
      </w:r>
    </w:p>
    <w:p>
      <w:pPr>
        <w:pStyle w:val="SourceNote"/>
      </w:pPr>
      <w:r>
        <w:rPr>
          <w:b/>
        </w:rPr>
        <w:t>Available abstract (not full text):</w:t>
      </w:r>
      <w:r>
        <w:t xml:space="preserve"> Energy price shocks have been the main drivers of inflation in Europe during the last decade. This paper examines cross-country differences in the transmission and magnitude of energy supply shocks in the Visegrád Group countries (Poland, Czechia, Hungary, and Slovakia) over the period 2015–2026. To identify energy-related disturbances and evaluate their macroeconomic effects, we estimate Bayesian Structural Vector Autoregressive (BSVAR) models with sign restrictions and complement the analysis with Local Projections. The results indicate substantial heterogeneity in inflation responses across countries. Oil supply shocks increase inflation by approximately 0.8 percentage points in Czechia and 0.7 percentage points in Hungary, compared with around 0.5 percentage points in Poland and Slovakia. Similar response patterns are observed for gas supply shocks, suggesting that stronger commodity price pass-through contributes to the larger inflationary effects in Czechia and Hungary. The analysis also reveals methodological challenges in identifying the effects of increased LNG imports. Both models indicate LNG-related shocks are highly correlated with pipeline gas supply shocks. In fact, its imports have mitigated energy shortages and reduced price pressures.</w:t>
      </w:r>
    </w:p>
    <w:p>
      <w:pPr/>
      <w:r>
        <w:rPr>
          <w:b/>
        </w:rPr>
        <w:t>POSSIBLE 2026:</w:t>
      </w:r>
      <w:r>
        <w:t xml:space="preserve"> Continental-scale bias correction and random forest downscaling of CMIP6 precipitation across Europe — https://doi.org/10.1080/10106049.2026.2657618</w:t>
      </w:r>
    </w:p>
    <w:p>
      <w:pPr/>
      <w:r>
        <w:rPr>
          <w:b/>
        </w:rPr>
        <w:t>Shared claim-specific concepts:</w:t>
      </w:r>
      <w:r>
        <w:t xml:space="preserve"> projections, low, reduced, climate; EU scope visible. This is a provisional connection, not an outcome finding.</w:t>
      </w:r>
    </w:p>
    <w:p>
      <w:pPr>
        <w:pStyle w:val="SourceNote"/>
      </w:pPr>
      <w:r>
        <w:rPr>
          <w:b/>
        </w:rPr>
        <w:t>Available abstract (not full text):</w:t>
      </w:r>
      <w:r>
        <w:t xml:space="preserve"> This study evaluated bias-correction-based downscaling approaches for precipitation data from 11 high-resolution CMIP6 models across Europe. The empirical quantile mapping technique demonstrated superior performance by aligning the model outputs with observed precipitation data. Random forest-empirical quantile mapping model outperformed the random forest model, particularly for low rainfall intensities (0–5 mm/day), and exhibited residual errors closer to zero across most European regions. Precipitation overestimations by CMIP6 models in Central and Eastern Europe were significantly reduced through the application of empirical quantile mapping, random forest and random forest empirical quantile mapping approaches. Seasonal analysis revealed lower residual errors in summer than in winter for the evaluated methods. Future projections will provide insights into the reduced overestimation of high quantiles, leading to reliable precipitation estimates. The proposed methodological framework suggests that integrating bias correction complemented by machine learning techniques enhances the accuracy of regional precipitation downscaling, which is crucial for climate risk management in Europe.</w:t>
      </w:r>
    </w:p>
    <w:p>
      <w:pPr>
        <w:pStyle w:val="Heading2"/>
      </w:pPr>
      <w:r>
        <w:t>734. Nutrient criteria for surface waters under the European Water Framework Directive: Current state-of-the-art, challenges and future outlook</w:t>
      </w:r>
    </w:p>
    <w:p>
      <w:pPr>
        <w:pStyle w:val="SourceNote"/>
      </w:pPr>
      <w:r>
        <w:rPr>
          <w:b/>
        </w:rPr>
        <w:t>Original source (2019):</w:t>
      </w:r>
      <w:r>
        <w:t xml:space="preserve"> https://doi.org/10.1016/j.scitotenv.2019.133888</w:t>
      </w:r>
    </w:p>
    <w:p>
      <w:pPr/>
      <w:r>
        <w:t>Original wording (abstract; indexed_source_text_not_full_document_verified): The aim of European water policy is to achieve good ecological status in all rivers, lakes, coastal and transitional waters by 2027.</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Good ecological status of the Danube water quality in the function of environmental protection — https://doi.org/10.5937/gu_koret26121t</w:t>
      </w:r>
    </w:p>
    <w:p>
      <w:pPr/>
      <w:r>
        <w:rPr>
          <w:b/>
        </w:rPr>
        <w:t>Shared claim-specific concepts:</w:t>
      </w:r>
      <w:r>
        <w:t xml:space="preserve"> aim, water, achieve, good, ecological, status; EU scope not established. This is a provisional connection, not an outcome finding.</w:t>
      </w:r>
    </w:p>
    <w:p>
      <w:pPr>
        <w:pStyle w:val="SourceNote"/>
      </w:pPr>
      <w:r>
        <w:rPr>
          <w:b/>
        </w:rPr>
        <w:t>Available abstract (not full text):</w:t>
      </w:r>
      <w:r>
        <w:t xml:space="preserve"> The paper analyzes changes in the ecological status of surface water with the aim of achieving the required quality of the Danube's water in order to preserve environmental conditions. The ecological classification of oxygen regime parameters clearly indicates the degree of change in the quality, structure, vitality, and functioning of the Danube's aquatic ecosystem. For surface waters, the general objective of the Water Framework Directive is to achieve "good status," i.e., Class II ecological water quality status, as a condition for meeting the required environmental standards. The relevant values of oxygen consumption indicators for the observed annual periods were compared with the threshold values of quality classes prescribed by the Regulation on limit values of pollutants in surface and groundwater and sediments, and deadlines for their achievement ("Official Gazette of the Republic of Serbia", No. 50/2012). The results for the analyzed years 2015, 2021 and 2022 show a positive change in terms of the number of oxygen regime parameters and the number of profiles that meet the required range of values for achieving a good ecological status of the Danube's water quality along its course through Serbia, in the function of environmental protection.</w:t>
      </w:r>
    </w:p>
    <w:p>
      <w:pPr/>
      <w:r>
        <w:rPr>
          <w:b/>
        </w:rPr>
        <w:t>POSSIBLE 2026:</w:t>
      </w:r>
      <w:r>
        <w:t xml:space="preserve"> Achieve good ecological status of surface waters by 2027 and beyond - Policy brief - more4nature — https://doi.org/10.5281/zenodo.18505875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Achieving good ecological status of surface waters by 2027 remains a major challenge. In 2021, only 39.5% of EU surface water bodies were reported in good or high ecological status. Not a single country was reported to be on track to achieve compliance. Citizen science can complement official monitoring, identify pollution hotspots and strengthen local stewardship. Integrating citizen science into the implementation of the Water Framework Directive (WFD) and Program of Measures (PoM) can enableauthorities to meet targets and ensure sustainable water management in the longer term. This policy brief has been produced as part of T4.5 within the more4nature project. more4nature is a Horizon Europe research and innovation project that aims to trigger transformative change in environmental protection by strengthening the role of citizens and communities in environmental governance. The project focuses on enabling citizens to contribute meaningfully to collaborative environmental compliance assurance (ECA) in the areas of zero pollution, biodiversity protection, and deforestation prevention. The goal of the policy brief is to strategically engage policymakers and national agencies, enabling them to act beyond individual “change agents” within their institutions and to bring about more systemic policy and regulatory change. T4.5 has therefore been tasked with producing targeted policy </w:t>
      </w:r>
    </w:p>
    <w:p>
      <w:pPr/>
      <w:r>
        <w:rPr>
          <w:b/>
        </w:rPr>
        <w:t>POSSIBLE 2026:</w:t>
      </w:r>
      <w:r>
        <w:t xml:space="preserve"> Ecological characterisation of peatlands and coastal lagoons in Europe — https://doi.org/10.2760/9963649</w:t>
      </w:r>
    </w:p>
    <w:p>
      <w:pPr/>
      <w:r>
        <w:rPr>
          <w:b/>
        </w:rPr>
        <w:t>Shared claim-specific concepts:</w:t>
      </w:r>
      <w:r>
        <w:t xml:space="preserve"> water, ecological, coastal; EU scope visible. This is a provisional connection, not an outcome finding.</w:t>
      </w:r>
    </w:p>
    <w:p>
      <w:pPr>
        <w:pStyle w:val="SourceNote"/>
      </w:pPr>
      <w:r>
        <w:rPr>
          <w:b/>
        </w:rPr>
        <w:t>Available abstract (not full text):</w:t>
      </w:r>
      <w:r>
        <w:t xml:space="preserve"> This report is the response to a policy request submitted by DG Environment to the EC Knowledge Centre for Biodiversity (KCBD) through the KCBD ticketing system. KCBD assigned this to the BioAgora project, to be answered by the Science Service for Biodiversity (SSBD). European wetlands, including peatlands and coastal lagoons, are among the most valuable yet degraded ecosystems, with up to 80% lost over the past century and more than half of peatlands already drained. Despite their limited extent, peatlands store nearly one-third of global soil carbon, while coastal lagoons occupy ~13% of the world’s coastline and sustain highly productive and biodiverse systems. The report identifies hydrology as the key control on ecosystem functioning, showing that drainage, land-use change, and nutrient enrichment trigger cascading and often irreversible degradation, turning carbon sinks into major emission sources. It highlights that no single indicator can capture ecosystem condition, and that effective assessment requires integrated, multi-scale frameworks combining Earth Observation with in-situ data. These findings provide a critical scientific basis for implementing EU policies — including the Habitats Directive (92/43/EEC), Water Framework Directive (2000/60/EC), and Nature Restoration Regulation (2024/1991) — supporting harmonised monitoring, restoration prioritisation, and evidence</w:t>
      </w:r>
    </w:p>
    <w:p>
      <w:pPr/>
      <w:r>
        <w:rPr>
          <w:b/>
        </w:rPr>
        <w:t>POSSIBLE 2026:</w:t>
      </w:r>
      <w:r>
        <w:t xml:space="preserve"> Water Quality, Environmental Contaminants and Disease Burden in Europe: An Ecological Analysis of Associations with Disability-Adjusted Life Years — https://doi.org/10.3390/environments13010036</w:t>
      </w:r>
    </w:p>
    <w:p>
      <w:pPr/>
      <w:r>
        <w:rPr>
          <w:b/>
        </w:rPr>
        <w:t>Shared claim-specific concepts:</w:t>
      </w:r>
      <w:r>
        <w:t xml:space="preserve"> water, ecological, rivers; EU scope visible. This is a provisional connection, not an outcome finding.</w:t>
      </w:r>
    </w:p>
    <w:p>
      <w:pPr>
        <w:pStyle w:val="SourceNote"/>
      </w:pPr>
      <w:r>
        <w:rPr>
          <w:b/>
        </w:rPr>
        <w:t>Available abstract (not full text):</w:t>
      </w:r>
      <w:r>
        <w:t xml:space="preserve"> Rivers and groundwater supply 88% of Europe’s freshwater and are critical for public health. We examined whether cross-country differences in arsenic, lead, mercury, and nickel concentrations in groundwater and rivers are associated with disease burden. In an ecological cross-sectional study of 24 European countries, nationally aggregated concentrations from the European Environment Agency’s Waterbase Water Quality (2016–2019) were linked to cause-specific disability-adjusted life years (DALYs) from the Global Burden of Disease 2021 for six disease groups. Variables were z-standardized. Associations were assessed using Pearson correlations and linear regression with Benjamini–Hochberg correction. Missing concentrations were addressed via multiple imputation by chained equations using 1980–2025 monitoring records, and models were sequentially adjusted for health system, demographic, and economic indices. In groundwater, lead was positively associated with diabetes and kidney disease DALYs and remained significant after imputation and adjustment (β = 0.60, p = 0.011). In rivers, arsenic was positively associated with all-cause, cardiovascular, and neoplasm DALYs in unadjusted analyses but attenuated after adjustment and/or imputation. No consistent associations were observed for mercury or nickel. These continent-wide, non-causal findings can help prioritize monitoring and risk m</w:t>
      </w:r>
    </w:p>
    <w:p>
      <w:pPr/>
      <w:r>
        <w:rPr>
          <w:b/>
        </w:rPr>
        <w:t>POSSIBLE 2026:</w:t>
      </w:r>
      <w:r>
        <w:t xml:space="preserve"> Ecological integrity as a foundation for European health policy — https://doi.org/10.1016/j.lanepe.2026.101833</w:t>
      </w:r>
    </w:p>
    <w:p>
      <w:pPr/>
      <w:r>
        <w:rPr>
          <w:b/>
        </w:rPr>
        <w:t>Shared claim-specific concepts:</w:t>
      </w:r>
      <w:r>
        <w:t xml:space="preserve"> aim, water, ecological; EU scope visible. This is a provisional connection, not an outcome finding.</w:t>
      </w:r>
    </w:p>
    <w:p>
      <w:pPr>
        <w:pStyle w:val="SourceNote"/>
      </w:pPr>
      <w:r>
        <w:rPr>
          <w:b/>
        </w:rPr>
        <w:t>Available abstract (not full text):</w:t>
      </w:r>
      <w:r>
        <w:t xml:space="preserve"> Twenty years after the Council of the European Union endorsed overarching values for health systems, Frischhut and colleagues have proposed updating them in response to demographic, technological, geopolitical, and environmental change. 1 Their proposals rightly enlarge the ethical frame of European health policy.Yet one foundation remains insufficiently articulated: the integrity of the ecological systems on which health depends.The European Group on Ethics in Science and New Technologies (EGE), the European Commission's independent ethics advisory body, called for a right to a clean, healthy, and sustainable environment and for plural ways of valuing nature. 2 We argue that ecological integrity supplies a necessary normative and material foundation for making that right consequential in health policy.We use ecological integrity to denote the capacity of ecological systems to sustain biodiversity, essential functions, adaptive resilience, and regenerative processes over time.3 In ecological science, ecosystem integrity is used similarly.Svenning's dynamic account sharpens it by emphasising the continuation of biodiversitygenerating processes and evolutionary lineages through transformation.4 Integrity therefore does not imply pristine nature, an unchanging species composition, or the exclusion of responsible human use.Why not rely on familiar terms?Sustainability is an importa</w:t>
      </w:r>
    </w:p>
    <w:p>
      <w:pPr/>
      <w:r>
        <w:rPr>
          <w:b/>
        </w:rPr>
        <w:t>POSSIBLE 2026:</w:t>
      </w:r>
      <w:r>
        <w:t xml:space="preserve"> Outcome monitoring of water vole reintroductions in ecological restoration — https://openalex.org/W7165991401</w:t>
      </w:r>
    </w:p>
    <w:p>
      <w:pPr/>
      <w:r>
        <w:rPr>
          <w:b/>
        </w:rPr>
        <w:t>Shared claim-specific concepts:</w:t>
      </w:r>
      <w:r>
        <w:t xml:space="preserve"> aim, water, ecological; EU scope not established. This is a provisional connection, not an outcome finding.</w:t>
      </w:r>
    </w:p>
    <w:p>
      <w:pPr>
        <w:pStyle w:val="SourceNote"/>
      </w:pPr>
      <w:r>
        <w:rPr>
          <w:b/>
        </w:rPr>
        <w:t>Available abstract (not full text):</w:t>
      </w:r>
      <w:r>
        <w:t xml:space="preserve"> Growing awareness socially, economically, and politically, of extensive biodiversity loss in the UK is motivating a wide range of ecological restoration targets and projects. These range from targets for tree cover on farmland for environmental schemes to rewilding. Water voles (Arvicola amphibius) in the UK disappeared from 90% of their known range between 1970-2000. Their decline was driven by the introduction of the American mink (Neovison vison), and land use changes, where intensive livestock and dairy production has encroached on riverbank habitat. The restoration of their riparian habitat has included restricting livestock access, and removing the invasive American mink, permitting the reintroduction of captive bred water voles in over 250 sites across the UK since 2003. However, despite this conservation campaign, outcome monitoring of water vole reintroductions is limited, particularly in terms of health and survival rates. Our aim was to fill some of the gaps in post- reintroduction monitoring of water voles, develop a tool for post-release monitoring, and assess the potential of reintroduced species as sentinels of ecosystem health. Given that gut microbiota plays a vital role in host health, influencing immunity and physiology, identifying hypothesised post- reintroduction shifts is therefore important for animal welfare and reintroduction success. We collected faec</w:t>
      </w:r>
    </w:p>
    <w:p>
      <w:pPr/>
      <w:r>
        <w:rPr>
          <w:b/>
        </w:rPr>
        <w:t>POSSIBLE 2026:</w:t>
      </w:r>
      <w:r>
        <w:t xml:space="preserve"> EVALUATING THE EFFECTS OF ECOLOGICAL WATER ALLOCATION ON WATER RESOURCES AND ENVIRONMENT VIA AN ECOHYDROLOGICAL MODEL — https://doi.org/10.15666/aeer/2403_44254440</w:t>
      </w:r>
    </w:p>
    <w:p>
      <w:pPr/>
      <w:r>
        <w:rPr>
          <w:b/>
        </w:rPr>
        <w:t>Shared claim-specific concepts:</w:t>
      </w:r>
      <w:r>
        <w:t xml:space="preserve"> water, good, ecological; EU scope visible. This is a provisional connection, not an outcome finding.</w:t>
      </w:r>
    </w:p>
    <w:p>
      <w:pPr>
        <w:pStyle w:val="SourceNote"/>
      </w:pPr>
      <w:r>
        <w:rPr>
          <w:b/>
        </w:rPr>
        <w:t>Available abstract (not full text):</w:t>
      </w:r>
      <w:r>
        <w:t xml:space="preserve"> Along with the rapid urbanization, more severe problems of water shortage and degradation to aquatic ecosystem have been manifested in recent years leading to serious compromising of ecosystem health. In this research paper, the MIKE SHE (System Hydrological European) model is established and Beijing City is selected as a case to explore the relationships among ecological water allocation, water environment and water resources. The results indicate that ecological replenishment measures, such as water diverted from the Yellow River and volumes dedicated to river and lake replenishment, exhibit significant positive correlations with improvements in the water environment and water resources, with regression coefficients of 0.962 and 0.874 (p &lt;.01), respectively. In contrast, the number of hydrological monitoring stations and reservoirs shows negative correlations, with coefficients of -0.252 and -0.504, significant at the 10% and 5% levels, respectively. Moreover, the impacts of environmental water allocation are significantly different in diverse basins (such as Yongding River basin, Jiyun River basin, and Chaobai River basin), and most noticeable temporal variations occur between 2014 and 2023. The results verify the improvement of regional water environment and resource through good ecological water management.</w:t>
      </w:r>
    </w:p>
    <w:p>
      <w:pPr/>
      <w:r>
        <w:rPr>
          <w:b/>
        </w:rPr>
        <w:t>POSSIBLE 2026:</w:t>
      </w:r>
      <w:r>
        <w:t xml:space="preserve"> Assessment of the effects of pollutants on rivers and streams ecological health — https://doi.org/10.21248/gups.97990</w:t>
      </w:r>
    </w:p>
    <w:p>
      <w:pPr/>
      <w:r>
        <w:rPr>
          <w:b/>
        </w:rPr>
        <w:t>Shared claim-specific concepts:</w:t>
      </w:r>
      <w:r>
        <w:t xml:space="preserve"> water, achieve, good, ecological, status, all; EU scope visible. This is a provisional connection, not an outcome finding.</w:t>
      </w:r>
    </w:p>
    <w:p>
      <w:pPr>
        <w:pStyle w:val="SourceNote"/>
      </w:pPr>
      <w:r>
        <w:rPr>
          <w:b/>
        </w:rPr>
        <w:t>Available abstract (not full text):</w:t>
      </w:r>
      <w:r>
        <w:t xml:space="preserve"> Increasing human activity worldwide poses a complex threat to ecosystems, particularly for wetlands, 85% of which have now been destroyed by anthropogenic influences. In response, the Water Framework Directive has set the ambitious target to achieve the good ecological and chemical status of all water bodies by 2027. Yet, as of 2025, most surface waters still fall short: 60.8% of the surface water bodies fail to reach the good ecological status, while 46% fail to achieve good chemical status. These assessments are based on monitoring only a limited set of pollutants, and there are currently no methods for evaluating how chemical mixtures affect communities’ integrity of watercourses. Consequently, the real extent of chemical pollution and its effects on ecological health are likely underestimated. Against this background, this cumulative dissertation aims to fill these gaps by investigating chemical pollution and its connection to the ecological health of rivers and streams. It addresses strategies for the monitoring of chemical pollution, its effects on macroinvertebrate communities, and current legislation and practices implemented in this framework. To this end, three scientific studies were conducted, each examining different aspects of this complex topic. The first study overviews the most common biomonitoring methods for assessing chemical pollution. Through a systematic </w:t>
      </w:r>
    </w:p>
    <w:p>
      <w:pPr/>
      <w:r>
        <w:rPr>
          <w:b/>
        </w:rPr>
        <w:t>POSSIBLE 2026:</w:t>
      </w:r>
      <w:r>
        <w:t xml:space="preserve"> From policy to practice: challenges and solutions for coastal local authorities implementing European marine biodiversity policies in the French Mediterranean — https://doi.org/10.3389/focsu.2026.1769160</w:t>
      </w:r>
    </w:p>
    <w:p>
      <w:pPr/>
      <w:r>
        <w:rPr>
          <w:b/>
        </w:rPr>
        <w:t>Shared claim-specific concepts:</w:t>
      </w:r>
      <w:r>
        <w:t xml:space="preserve"> aim, water, good, ecological, coastal; EU scope visible. This is a provisional connection, not an outcome finding.</w:t>
      </w:r>
    </w:p>
    <w:p>
      <w:pPr>
        <w:pStyle w:val="SourceNote"/>
      </w:pPr>
      <w:r>
        <w:rPr>
          <w:b/>
        </w:rPr>
        <w:t>Available abstract (not full text):</w:t>
      </w:r>
      <w:r>
        <w:t xml:space="preserve"> This study investigates how local authorities in the French Mediterranean, focusing on the Provence-Alpes-Côte d'Azur region, navigate the complex landscape of European marine management policies, including the Water Framework Directive (WFD), the Marine Strategy Framework Directive (MSFD), and the Maritime Spatial Planning Directive (MSPD). Drawing on empirical data from policy and planning document analysis, semi-structured interviews, and observations from stakeholder events, the research identifies a range of challenges faced by local authorities, such as administrative burdens, fragmented governance, resource constraints, and the disconnect between national policy design and local implementation. The findings highlight that while EU directives provide a coherent framework for biodiversity protection, their operationalisation at the local level is often hindered by overlapping regulations, limited capacity, and insufficient stakeholder engagement. Despite these obstacles, the study documents several innovative governance mechanisms and good practices developed by local administrations, including multi-actor councils, specialized marine services within Water Agencies, and territorial ecological restoration plans, which have helped improve policy coherence and stakeholder collaboration. The analysis further explores the science-policy-society interface, emphasizing the import</w:t>
      </w:r>
    </w:p>
    <w:p>
      <w:pPr/>
      <w:r>
        <w:rPr>
          <w:b/>
        </w:rPr>
        <w:t>POSSIBLE 2025:</w:t>
      </w:r>
      <w:r>
        <w:t xml:space="preserve"> Water Security in North America and Europe — https://doi.org/10.1002/9781394176748.ch6</w:t>
      </w:r>
    </w:p>
    <w:p>
      <w:pPr/>
      <w:r>
        <w:rPr>
          <w:b/>
        </w:rPr>
        <w:t>Shared claim-specific concepts:</w:t>
      </w:r>
      <w:r>
        <w:t xml:space="preserve"> water, status;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Comparative analysis of adaptation policies and policy instruments for water management in Europe — https://doi.org/10.1016/j.ejrh.2025.102819</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pPr>
        <w:pStyle w:val="Heading2"/>
      </w:pPr>
      <w:r>
        <w:t>735. Overview of Existing Heat-Health Warning Systems in Europe</w:t>
      </w:r>
    </w:p>
    <w:p>
      <w:pPr>
        <w:pStyle w:val="SourceNote"/>
      </w:pPr>
      <w:r>
        <w:rPr>
          <w:b/>
        </w:rPr>
        <w:t>Original source (2019):</w:t>
      </w:r>
      <w:r>
        <w:t xml:space="preserve"> https://doi.org/10.3390/ijerph16152657</w:t>
      </w:r>
    </w:p>
    <w:p>
      <w:pPr/>
      <w:r>
        <w:t>Original wording (abstract; indexed_source_text_not_full_document_verified): Setting long-term planning actions as well as pre-alert levels might prevent and reduce damages due to heat.</w:t>
      </w:r>
    </w:p>
    <w:p>
      <w:pPr/>
      <w:r>
        <w:rPr>
          <w:b/>
        </w:rPr>
        <w:t>POSSIBLE 2025:</w:t>
      </w:r>
      <w:r>
        <w:t xml:space="preserve"> Financial &amp; Legal Planning: Securing Your Child's Future in the US and Europe — https://doi.org/10.5281/zenodo.19032835</w:t>
      </w:r>
    </w:p>
    <w:p>
      <w:pPr/>
      <w:r>
        <w:rPr>
          <w:b/>
        </w:rPr>
        <w:t>Shared claim-specific concepts:</w:t>
      </w:r>
      <w:r>
        <w:t xml:space="preserve"> setting, long-term, planning, reduce; EU scope visible. This is a provisional connection, not an outcome finding.</w:t>
      </w:r>
    </w:p>
    <w:p>
      <w:pPr>
        <w:pStyle w:val="SourceNote"/>
      </w:pPr>
      <w:r>
        <w:rPr>
          <w:b/>
        </w:rPr>
        <w:t>Available abstract (not full text):</w:t>
      </w:r>
      <w:r>
        <w:t xml:space="preserve">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pPr/>
      <w:r>
        <w:rPr>
          <w:b/>
        </w:rPr>
        <w:t>POSSIBLE 2025:</w:t>
      </w:r>
      <w:r>
        <w:t xml:space="preserve"> Strategically Linked Decisions in Long-Term Planning and Reinforcement Learning — https://doi.org/10.48550/arxiv.2505.16833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pPr/>
      <w:r>
        <w:rPr>
          <w:b/>
        </w:rPr>
        <w:t>POSSIBLE 2025:</w:t>
      </w:r>
      <w:r>
        <w:t xml:space="preserve"> EMTReK Model for Advance Care Planning in Long-Term Care: Qualitative Findings from mySupport Study — https://doi.org/10.3390/geriatrics10060171</w:t>
      </w:r>
    </w:p>
    <w:p>
      <w:pPr/>
      <w:r>
        <w:rPr>
          <w:b/>
        </w:rPr>
        <w:t>Shared claim-specific concepts:</w:t>
      </w:r>
      <w:r>
        <w:t xml:space="preserve"> long-term, planning, actions; EU scope visible. This is a provisional connection, not an outcome finding.</w:t>
      </w:r>
    </w:p>
    <w:p>
      <w:pPr>
        <w:pStyle w:val="SourceNote"/>
      </w:pPr>
      <w:r>
        <w:rPr>
          <w:b/>
        </w:rPr>
        <w:t>Available abstract (not full text):</w:t>
      </w:r>
      <w:r>
        <w:t xml:space="preserve">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pPr/>
      <w:r>
        <w:rPr>
          <w:b/>
        </w:rPr>
        <w:t>POSSIBLE 2025:</w:t>
      </w:r>
      <w:r>
        <w:t xml:space="preserve"> Strategic planning for the long-term development of shrinking cities — https://doi.org/10.17877/de290r-26782</w:t>
      </w:r>
    </w:p>
    <w:p>
      <w:pPr/>
      <w:r>
        <w:rPr>
          <w:b/>
        </w:rPr>
        <w:t>Shared claim-specific concepts:</w:t>
      </w:r>
      <w:r>
        <w:t xml:space="preserve"> setting, long-term, planning;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Rethinking Urban Water Network Design: A Reinforcement Learning Framework for Long-Term Flexible Planning — https://doi.org/10.1007/s11269-025-04290-8</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Abstract Effectively planning the design of water distribution networks (WDNs) for their whole lifecycle is a complex task for water utilities due to the dynamic nature of WDNs, their long planning horizons, and the deep uncertainty that characterises key design parameters such as future water demand and population growth. Existing flexible design methods, which attempt to address these challenges, rely on static heuristic approaches and predefined decision pathways, requiring re-optimisation whenever new information becomes available. As additional scenarios are introduced, these methods also suffer from exponential increase in complexity, limiting their ability to adapt to emerging information and efficiently explore a wide range of future possibilities. In this work, we introduce a deep reinforcement learning (DRL) framework for the flexible, long-term design of WDNs. By formulating the least-cost staged design problem as a Markov Decision Process and training an agent using Proximal Policy Optimisation, our approach learns cost-effective, sequential interventions across multiple construction stages and future scenarios without relying on predefined decision trees. We evaluate our method on a modified New York Tunnels benchmark across three design tasks, ranging from static single-stage to flexible multi-stage design. Our results show that the DRL agent performs comparably t</w:t>
      </w:r>
    </w:p>
    <w:p>
      <w:pPr/>
      <w:r>
        <w:rPr>
          <w:b/>
        </w:rPr>
        <w:t>POSSIBLE 2025:</w:t>
      </w:r>
      <w:r>
        <w:t xml:space="preserve"> Endogenous altruism and long term care policies in a Mirrleesian setting — https://openalex.org/W4415257443</w:t>
      </w:r>
    </w:p>
    <w:p>
      <w:pPr/>
      <w:r>
        <w:rPr>
          <w:b/>
        </w:rPr>
        <w:t>Shared claim-specific concepts:</w:t>
      </w:r>
      <w:r>
        <w:t xml:space="preserve"> setting, long-term, due; EU scope not established. This is a provisional connection, not an outcome finding.</w:t>
      </w:r>
    </w:p>
    <w:p>
      <w:pPr>
        <w:pStyle w:val="SourceNote"/>
      </w:pPr>
      <w:r>
        <w:rPr>
          <w:b/>
        </w:rPr>
        <w:t>Available abstract (not full text):</w:t>
      </w:r>
      <w:r>
        <w:t xml:space="preserve"> This study contributes to the long-term care policy literature by exploring how, in an uncertain environment, redistributive tax policies and long-term care program design interact with informal care incentives, shaping long-term caregiving outcomes. The analysis is done within an overlapping-generations model in the steady state under full and asymetric information. Altruistic children provide informal care to their elderly parents if dependent. Not all children are altruistic. Children’s level of altruism is shaped by the time and attention they received in childhood. Key findings, under asymetric information, include: (i) Allocations are distorted for redistributive purposes, except for savings, (ii) marginal income tax rates are positive, aligning with standard nonlinear income taxation models, and (iii) a consequence of government’s redistributive policies is to encourage time spent with children thus incresing family caregiving. These three findings apply to both “opting out” and “topping up” schemes. (iv) Savings must be subsidized in an opting out system due to fiscal externalities; (v) if public assistance carries a stigma, it may have to be distorted upward; the opting-out policy welfare dominates the topping-up policy. Finally, if long term care provision carries no stigma, opting out is more cost-effective than topping up in both first- and second-best.</w:t>
      </w:r>
    </w:p>
    <w:p>
      <w:pPr/>
      <w:r>
        <w:rPr>
          <w:b/>
        </w:rPr>
        <w:t>POSSIBLE 2024:</w:t>
      </w:r>
      <w:r>
        <w:t xml:space="preserve"> How do emergency departments respond to ambulance pre-alert calls? A qualitative exploration of the management of pre-alerts in UK emergency departments — https://doi.org/10.1136/emermed-2023-213854</w:t>
      </w:r>
    </w:p>
    <w:p>
      <w:pPr/>
      <w:r>
        <w:rPr>
          <w:b/>
        </w:rPr>
        <w:t>Shared claim-specific concepts:</w:t>
      </w:r>
      <w:r>
        <w:t xml:space="preserve"> pre-alert, reduce, due; EU scope not established. This is a provisional connection, not an outcome finding.</w:t>
      </w:r>
    </w:p>
    <w:p>
      <w:pPr>
        <w:pStyle w:val="SourceNote"/>
      </w:pPr>
      <w:r>
        <w:rPr>
          <w:b/>
        </w:rPr>
        <w:t>Available abstract (not full text):</w:t>
      </w:r>
      <w:r>
        <w:t xml:space="preserve"> Abstract Background Whilst pre-alerts have been shown to improve outcomes for some patients requiring immediate time-critical treatment (e.g. stroke), little is known about their usefulness for other patients and what processes are used by Emergency Department (EDs) to respond to them. In the current context of high demand, it is important to understand how pre-alerts affect EDs. Methods We undertook non-participation observation (162 hours, 143 pre-alerts) and semi-structured interviews (40 staff) within six UK Emergency Departments (EDs), between August 2022-April 2023. Interview transcripts and observation notes were imported into NVivo™ and analysed using a thematic approach. Results Pre-alert calls involved significant time and resources for ED staff but enabled staff to prepare for patient’s arrival both practically and psychologically, particularly when demand was high. High demand created additional pre-alerts due to advice or ‘heads up’ calls from ambulance clinicians concerned about handover delay. Despite some pre-alert fatigue regarding patients who did not always require a special response (e.g. sepsis), ED clinicians prioritised and valued pre-alerts, perceiving higher risks from under-alerting than over-alerting. Variation in ED processes for a) senior clinical review of pre-alerted patients not brought into resus and b) receiving, documenting and informing other</w:t>
      </w:r>
    </w:p>
    <w:p>
      <w:pPr/>
      <w:r>
        <w:rPr>
          <w:b/>
        </w:rPr>
        <w:t>POSSIBLE 2024:</w:t>
      </w:r>
      <w:r>
        <w:t xml:space="preserve"> Managing heart failure in the longer term — https://doi.org/10.1136/conmed-2024-000013</w:t>
      </w:r>
    </w:p>
    <w:p>
      <w:pPr/>
      <w:r>
        <w:rPr>
          <w:b/>
        </w:rPr>
        <w:t>Shared claim-specific concepts:</w:t>
      </w:r>
      <w:r>
        <w:t xml:space="preserve"> setting, long-term, reduce; EU scope not established. This is a provisional connection, not an outcome finding.</w:t>
      </w:r>
    </w:p>
    <w:p>
      <w:pPr>
        <w:pStyle w:val="SourceNote"/>
      </w:pPr>
      <w:r>
        <w:rPr>
          <w:b/>
        </w:rPr>
        <w:t>Available abstract (not full text):</w:t>
      </w:r>
      <w:r>
        <w:t xml:space="preserve"> After initial diagnosis and treatment, patients presenting to hospital with acute heart failure (HF) are assessed and managed by the hospital HF team. Further investigations are carried out to confirm the diagnosis; existing guideline-directed medical therapies are optimised; and new treatments are initiated to stabilise the condition, manage symptoms, and reduce morbidity and mortality. A wide range of diagnostic tests and therapeutics are established for HF with reduced ejection fraction, while options for HF with preserved ejection fraction have been limited. However, repurposing of drugs originally developed for other conditions (eg, sodium-glucose co-transporter 2 inhibitors and glucagon-like receptor 1 antagonists) for use in people with heart failure and extended use of medications traditionally restricted to reduced ejection fraction, such as mineralocorticoid receptor antagonists (eg, spironolactone) and angiotensin-neprilysin inhibitors (eg, sacubitril–valsartan) in those with an EF&gt;40% is challenging established practice and increasing the options for optimisation of long-term management of patients with HF, across the entire ejection fraction spectrum. Integral to the management of chronic HF is the need to consider approaches to identify deterioration between scheduled visits, including annual electrocardiography and N-terminal pro B-type natriuretic peptide monito</w:t>
      </w:r>
    </w:p>
    <w:p>
      <w:pPr/>
      <w:r>
        <w:rPr>
          <w:b/>
        </w:rPr>
        <w:t>POSSIBLE 2024:</w:t>
      </w:r>
      <w:r>
        <w:t xml:space="preserve"> Scaling Value Iteration Networks to 5000 Layers for Extreme Long-Term Planning — https://doi.org/10.48550/arxiv.2406.08404</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The Value Iteration Network (VIN) is an end-to-end differentiable neural network architecture for planning. It exhibits strong generalization to unseen domains by incorporating a differentiable planning module that operates on a latent Markov Decision Process (MDP). However, VINs struggle to scale to long-term and large-scale planning tasks, such as navigating a 100x100 maze -- a task that typically requires thousands of planning steps to solve. We observe that this deficiency is due to two issues: the representation capacity of the latent MDP and the planning module's depth. We address these by augmenting the latent MDP with a dynamic transition kernel, dramatically improving its representational capacity, and, to mitigate the vanishing gradient problem, introduce an "adaptive highway loss" that constructs skip connections to improve gradient flow. We evaluate our method on 2D/3D maze navigation environments, continuous control, and the real-world Lunar rover navigation task. We find that our new method, named Dynamic Transition VIN (DT-VIN), scales to 5000 layers and solves challenging versions of the above tasks. Altogether, we believe that DT-VIN represents a concrete step forward in performing long-term large-scale planning in complex environments.</w:t>
      </w:r>
    </w:p>
    <w:p>
      <w:pPr/>
      <w:r>
        <w:rPr>
          <w:b/>
        </w:rPr>
        <w:t>POSSIBLE 2024:</w:t>
      </w:r>
      <w:r>
        <w:t xml:space="preserve"> Psychological therapies for depression in older adults residing in long-term care settings — https://doi.org/10.1002/14651858.cd013059.pub2</w:t>
      </w:r>
    </w:p>
    <w:p>
      <w:pPr/>
      <w:r>
        <w:rPr>
          <w:b/>
        </w:rPr>
        <w:t>Shared claim-specific concepts:</w:t>
      </w:r>
      <w:r>
        <w:t xml:space="preserve"> setting, long-term, reduce, due; EU scope not established. This is a provisional connection, not an outcome finding.</w:t>
      </w:r>
    </w:p>
    <w:p>
      <w:pPr>
        <w:pStyle w:val="SourceNote"/>
      </w:pPr>
      <w:r>
        <w:rPr>
          <w:b/>
        </w:rPr>
        <w:t>Available abstract (not full text):</w:t>
      </w:r>
      <w:r>
        <w:t xml:space="preserve"> BACKGROUND: Depression is common amongst older people residing in long-term care (LTC) facilities. Currently, most residents treated for depression are prescribed antidepressant medications, despite the potential availability of psychological therapies that are suitable for older people and a preference amongst many older people for non-pharmacological treatment approaches. OBJECTIVES: To assess the effect of psychological therapies for depression in older people living in LTC settings, in comparison with treatment as usual, waiting list control, and non-specific attentional control; and to compare the effectiveness of different types of psychological therapies in this setting. SEARCH METHODS: We searched the Cochrane Common Mental Disorders Group Controlled Trials Register, CENTRAL, MEDLINE, Embase, five other databases, five grey literature sources, and two trial registers. We performed reference checking and citation searching, and contacted study authors to identify additional studies. The latest search was 31 October 2021. SELECTION CRITERIA: We included randomized controlled trials (RCTs) and cluster-RCTs of any type of psychological therapy for the treatment of depression in adults aged 65 years and over residing in a LTC facility. DATA COLLECTION AND ANALYSIS: Two review authors independently screened titles/abstracts and full-text manuscripts for inclusion. Two review </w:t>
      </w:r>
    </w:p>
    <w:p>
      <w:pPr/>
      <w:r>
        <w:rPr>
          <w:b/>
        </w:rPr>
        <w:t>POSSIBLE 2024:</w:t>
      </w:r>
      <w:r>
        <w:t xml:space="preserve"> Anticoagulation for people receiving long-term haemodialysis — https://doi.org/10.1002/14651858.cd011858.pub2</w:t>
      </w:r>
    </w:p>
    <w:p>
      <w:pPr/>
      <w:r>
        <w:rPr>
          <w:b/>
        </w:rPr>
        <w:t>Shared claim-specific concepts:</w:t>
      </w:r>
      <w:r>
        <w:t xml:space="preserve"> long-term, prevent, due; EU scope not established. This is a provisional connection, not an outcome finding.</w:t>
      </w:r>
    </w:p>
    <w:p>
      <w:pPr>
        <w:pStyle w:val="SourceNote"/>
      </w:pPr>
      <w:r>
        <w:rPr>
          <w:b/>
        </w:rPr>
        <w:t>Available abstract (not full text):</w:t>
      </w:r>
      <w:r>
        <w:t xml:space="preserve"> BACKGROUND: Haemodialysis (HD) requires safe and effective anticoagulation to prevent clot formation within the extracorporeal circuit during dialysis treatments to enable adequate dialysis and minimise adverse events, including major bleeding. Low molecular weight heparin (LMWH) may provide a more predictable dose, reliable anticoagulant effects and be simpler to administer than unfractionated heparin (UFH) for HD anticoagulation, but may accumulate in the kidneys and lead to bleeding. OBJECTIVES: To assess the efficacy and safety of anticoagulation strategies (including both heparin and non-heparin drugs) for long-term HD in people with kidney failure. Any intervention preventing clotting within the extracorporeal circuit without establishing anticoagulation within the patient, such as regional citrate, citrate enriched dialysate, heparin-coated dialysers, pre-dilution haemodiafiltration (HDF), and saline flushes were also included. SEARCH METHODS: We searched the Cochrane Kidney and Transplant Register of Studies up to November 2023 through contact with the Information Specialist using search terms relevant to this review. Studies in the Register are identified through searches of CENTRAL, MEDLINE, and EMBASE, conference proceedings, the International Clinical Trials Registry Platform (ICTRP) Search Portal and ClinicalTrials.gov. SELECTION CRITERIA: Randomised controlled tri</w:t>
      </w:r>
    </w:p>
    <w:p>
      <w:pPr/>
      <w:r>
        <w:rPr>
          <w:b/>
        </w:rPr>
        <w:t>POSSIBLE 2024:</w:t>
      </w:r>
      <w:r>
        <w:t xml:space="preserve"> City energy planning: Modeling long-term strategies under system uncertainties — https://doi.org/10.1016/j.esr.2024.101564</w:t>
      </w:r>
    </w:p>
    <w:p>
      <w:pPr/>
      <w:r>
        <w:rPr>
          <w:b/>
        </w:rPr>
        <w:t>Shared claim-specific concepts:</w:t>
      </w:r>
      <w:r>
        <w:t xml:space="preserve"> long-term, planning, heat; EU scope not established. This is a provisional connection, not an outcome finding.</w:t>
      </w:r>
    </w:p>
    <w:p>
      <w:pPr>
        <w:pStyle w:val="SourceNote"/>
      </w:pPr>
      <w:r>
        <w:rPr>
          <w:b/>
        </w:rPr>
        <w:t>Available abstract (not full text):</w:t>
      </w:r>
      <w:r>
        <w:t xml:space="preserve"> Cities are facing the dilemma of fulfilling energy service demands for their rapidly growing population while also working towards climate mitigation efforts. City energy planning is essential to deal with this dilemma. Thus, this study explores the role of city energy plans on future cost-efficient energy systems. A technology-rich cost-optimization model was developed using TIMES with intra-sectoral and inter-sectoral interactions and applied to the Gothenburg energy system. The model outcomes are investigated with the application of policy-driven scenarios and further tested under system uncertainties and price sensitivities identified using a participatory approach. Heating sector developments include DH production based on biomass CHP and heat pumps combined with improved building energy efficiency. Cost-efficient transport sector developments show a rapid deployment of biofuel vehicles, followed by increasing electrification later in the time horizon. With the applied uncertainties, different cost-optimal district heat production mixes and heating supply solutions are observed, providing alternative planning strategies. The model results also signify competition of biomass and electricity among sectors in their development pathways. The modeling outcomes enable decision-makers to assess various energy systems transition strategies from a long-term perspective. • TIMES cit</w:t>
      </w:r>
    </w:p>
    <w:p>
      <w:pPr>
        <w:pStyle w:val="Heading2"/>
      </w:pPr>
      <w:r>
        <w:t>736. Pathway Analysis of a Zero-Emission Transition in the Nordic-Baltic Region</w:t>
      </w:r>
    </w:p>
    <w:p>
      <w:pPr>
        <w:pStyle w:val="SourceNote"/>
      </w:pPr>
      <w:r>
        <w:rPr>
          <w:b/>
        </w:rPr>
        <w:t>Original source (2019):</w:t>
      </w:r>
      <w:r>
        <w:t xml:space="preserve"> https://doi.org/10.3390/en12173337</w:t>
      </w:r>
    </w:p>
    <w:p>
      <w:pPr/>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2026:</w:t>
      </w:r>
      <w:r>
        <w:t xml:space="preserve"> State policy for stimulating investment in the development of renewable energy under wartime and European integration changes — https://doi.org/10.66556/2663-0117.51.prots-r</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purpose of the study is to substantiate the theoretical foundations of state policy for stimulating investment in renewable energy development under the simultaneous intensification of wartime and European integration changes, as well as to form a system of instruments capable of combining the need for rapid restoration of energy infrastructure with the long-term investment attractiveness of the sector. The object of the study is the processes of state influence on the formation, attraction and allocation of investment resources for the development of renewable energy sources. It is substantiated that under wartime threats investment incentives cannot be reduced to individual tax, tariff or credit preferences, since an investor's decision increasingly depends on a combination of security, financial, infrastructural, legal and market preconditions. It is determined that European integration changes simultaneously increase requirements for transparency of state support, guarantees of energy origin, market competition, technical compatibility and predictability of rules. State policy for stimulating investment is proposed to be considered as an interconnected system of strategic and target-oriented, financial and economic, guarantee and insurance, infrastructural, organizational, informational and control components. It is proved that the most important result of state influen</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2026:</w:t>
      </w:r>
      <w:r>
        <w:t xml:space="preserve"> Temperature-Aware Heat Pump Modeling for Large-Scale Energy System Optimization — https://doi.org/10.1109/eem68581.2026.11589688</w:t>
      </w:r>
    </w:p>
    <w:p>
      <w:pPr/>
      <w:r>
        <w:rPr>
          <w:b/>
        </w:rPr>
        <w:t>Shared claim-specific concepts:</w:t>
      </w:r>
      <w:r>
        <w:t xml:space="preserve"> energy, system, indicate; EU scope visible. This is a provisional connection, not an outcome finding.</w:t>
      </w:r>
    </w:p>
    <w:p>
      <w:pPr>
        <w:pStyle w:val="SourceNote"/>
      </w:pPr>
      <w:r>
        <w:rPr>
          <w:b/>
        </w:rPr>
        <w:t>Available abstract (not full text):</w:t>
      </w:r>
      <w:r>
        <w:t xml:space="preserve"> Heat pumps are expected to dominate the heating sector, substantially increasing peak electricity demand. At the same time, building thermal inertia enables operational strategies, providing temporal flexibility in heat pump operation and short-term demand response. However, this dynamic behavior is not yet represented in large-scale energy system optimization models. To address this gap, we present an innovative formulation of building thermal inertia. The resulting temperature variable is integrated into a novel conic temperature-aware heat pump efficiency formulation, enabling a more precise emulation of smart control strategies. In a case study of the European energy system, we show that the approach captures operational heating flexibility while remaining computationally efficient. The results indicate substantial untapped flexibility potential, enabling up to a 22% reduction in heating-related electricity costs. This potential can be realized through a suitable energy market design that incentivizes coordinated heat pump control, individually or via aggregators.</w:t>
      </w:r>
    </w:p>
    <w:p>
      <w:pPr/>
      <w:r>
        <w:rPr>
          <w:b/>
        </w:rPr>
        <w:t>POSSIBLE 2026:</w:t>
      </w:r>
      <w:r>
        <w:t xml:space="preserve"> European Seaports in the Energy Transition — https://doi.org/10.4324/9781003745426</w:t>
      </w:r>
    </w:p>
    <w:p>
      <w:pPr/>
      <w:r>
        <w:rPr>
          <w:b/>
        </w:rPr>
        <w:t>Shared claim-specific concepts:</w:t>
      </w:r>
      <w:r>
        <w:t xml:space="preserve"> energy, comprehensive, analyses; EU scope visible. This is a provisional connection, not an outcome finding.</w:t>
      </w:r>
    </w:p>
    <w:p>
      <w:pPr>
        <w:pStyle w:val="SourceNote"/>
      </w:pPr>
      <w:r>
        <w:rPr>
          <w:b/>
        </w:rPr>
        <w:t>Available abstract (not full text):</w:t>
      </w:r>
      <w:r>
        <w:t xml:space="preserve"> As ports are critical nodes in global energy flows, understanding their evolving functions in supporting renewable energy carriers is essential. This book provides a comprehensive analysis of the role of European ports in the energy transition, focusing specifically on the import, storage, and infrastructure challenges related to green hydrogen and ammonia. The authors address the pressing need for strategic guidance on how ports can adapt to and facilitate the shift from fossil fuels to low-carbon energy sources. They offer a scenario-based approach to infrastructure allocation, investment requirements, and strategic positioning of key European ports under future decarbonization pathways. By providing detailed analyses, cost and surface area calculations, and scenario projections, this book equips readers with the tools to optimize port planning for the integration of green hydrogen and ammonia, thus enabling a more sustainable and resilient energy supply chain in Europe. This volume will be of particular relevance to researchers and graduate students in the fields of port economics, energy logistics, and sustainable transport systems. The actionable insights presented will also appeal to policymakers and industry stakeholders.</w:t>
      </w:r>
    </w:p>
    <w:p>
      <w:pPr/>
      <w:r>
        <w:rPr>
          <w:b/>
        </w:rPr>
        <w:t>POSSIBLE 2026:</w:t>
      </w:r>
      <w:r>
        <w:t xml:space="preserve"> European Energy Transition – Germany in the Heart of Europe — https://doi.org/10.34657/40040</w:t>
      </w:r>
    </w:p>
    <w:p>
      <w:pPr/>
      <w:r>
        <w:rPr>
          <w:b/>
        </w:rPr>
        <w:t>Shared claim-specific concepts:</w:t>
      </w:r>
      <w:r>
        <w:t xml:space="preserve"> energy, system, pathway, take, place, analyses;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 tection measures [1, 2]. These measures include Europe achieving net-zero greenhouse gas emissions by 2050. As an interim target, net greenhouse gas emissions are to be re- duced by 55% by 2030 compared to 1990 levels [3]. Achieving these goals will require a holistic transformation of the European energy system. Against this background, the ques- 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 ditions. The analyses are carried out using the ETHOS (Energy Transformation Pathway Optimization Suite) model family, which was developed by the Jülich Systems Analysis in- stitute (ICE-2) at Forschungszentrum Jülich [4]. This allows energy systems to be mapped on differ</w:t>
      </w:r>
    </w:p>
    <w:p>
      <w:pPr/>
      <w:r>
        <w:rPr>
          <w:b/>
        </w:rPr>
        <w:t>POSSIBLE 2026:</w:t>
      </w:r>
      <w:r>
        <w:t xml:space="preserve"> Hierarchical Control and Optimization of Energy Systems with Application to Renewable Energy and Thermal Management Systems — https://openalex.org/W7214141755</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This work focuses on the design, modeling, control, and optimization of energy systems with explicit consideration of thermal dynamics, operational constraints, and system resilience. As modern energy infrastructures transition toward greater integration of renewable energy resources, the complexity of managing interconnected components such as photovoltaic (PV) systems, energy storage devices, and power electronics continues to increase. These systems must simultaneously maintain efficiency, reliability, safety, and resilience while operating under changing environmental conditions and physical limitations. Thermal effects, including the temperature dependence of PV performance and the heat generation associated with energy conversion processes, significantly influence system behavior and long-term performance. Furthermore, large-scale networked energy systems introduce additional challenges related to subsystem interactions, communication dependencies, cybersecurity vulnerabilities, and the need for computationally efficient control strategies. Existing studies have investigated thermal management, optimization-based control, hierarchical architectures, and constrained control methods; however, these areas are typically studied in isolation, leaving a need for complementary modeling, optimization, and control frameworks that collectively address the thermal, operational, and </w:t>
      </w:r>
    </w:p>
    <w:p>
      <w:pPr/>
      <w:r>
        <w:rPr>
          <w:b/>
        </w:rPr>
        <w:t>POSSIBLE 2026:</w:t>
      </w:r>
      <w:r>
        <w:t xml:space="preserve"> DEVELOPMENT OF ENERGY LOGISTICS AS AN INNOVATIVE APPROACH TO OPTIMIZING THE ENERGY SYSTEM OF UKRAINE — https://doi.org/10.20998/2313-8890.2026.07.05</w:t>
      </w:r>
    </w:p>
    <w:p>
      <w:pPr/>
      <w:r>
        <w:rPr>
          <w:b/>
        </w:rPr>
        <w:t>Shared claim-specific concepts:</w:t>
      </w:r>
      <w:r>
        <w:t xml:space="preserve"> energy, system, modelling; EU scope not established. This is a provisional connection, not an outcome finding.</w:t>
      </w:r>
    </w:p>
    <w:p>
      <w:pPr>
        <w:pStyle w:val="SourceNote"/>
      </w:pPr>
      <w:r>
        <w:rPr>
          <w:b/>
        </w:rPr>
        <w:t>Available abstract (not full text):</w:t>
      </w:r>
      <w:r>
        <w:t xml:space="preserve"> The full-scale war has shown that Ukraine’s energy system has significant vulnerabilities, especially due to its dependence on a centralized model of resource management and distribution. The destruction of energy infrastructure, disruptions in supply, and the need for rapid restoration of facilities have demonstrated that the country requires a new approach to organizing energy flows. Therefore, energy logistics, which combines the management of energy resources, electricity, fuel, equipment, information, and financial flows, is becoming especially important for the modernization of Ukraine’s energy sector. Purpose. The purpose of the study is to justify the importance of energy logistics as an innovative approach to improving the functioning of Ukraine’s energy system. The paper identifies the main areas of its application, possible economic benefits of implementation, and the risks that may arise under wartime conditions. Materials and methods. The study uses a systematic approach, analysis of scientific sources, generalization of information, comparative analysis of modern logistics solutions in the energy sector, and logical modelling of the main connections between the elements of energy logistics. Results. The paper shows that energy logistics is an important system for managing energy flows. It combines distributed generation, energy storage systems, smart grids, digita</w:t>
      </w:r>
    </w:p>
    <w:p>
      <w:pPr/>
      <w:r>
        <w:rPr>
          <w:b/>
        </w:rPr>
        <w:t>POSSIBLE 2026:</w:t>
      </w:r>
      <w:r>
        <w:t xml:space="preserve"> Social Acceptability and Transport: An Energy System–Optimisation- Based Analysis of the European Case — https://doi.org/10.5547/2160-5890.15.1.mnic</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Social acceptance of low-carbon transport technologies is a crucial but frequently underrepresented dimension in energy system optimization models (ESOMs), despite its potential relevance for the design of effective decarbonization policies. This study examines the role of social acceptability in the transition of the European Union transport sector toward climate neutrality by integrating behavioral factors into the open-source ESOM TEMOA-Europe. In particular, social acceptability is represented through technology-specific hurdle rates, used as proxies for perceived risk and financing barriers, alongside assumptions on declining investment costs for low-carbon vehicle technologies. Four scenarios are developed and compared: (i) a Base scenario, (ii) a scenario with reduced hurdle rates for battery electric and fuel-cell vehicles, (iii) a CostSC scenario with lower investment costs for green truck technologies, and a Net0 scenario (iv) imposing a binding net-zero emissions constraint by 2050. The analysis evaluates these scenarios based on technology uptake, system costs, CO2 emissions, and critical raw material requirements. Results show that, in the passenger car sector, lower perceived risk can substantially accelerate electrification and achieve emissions reductions comparable to those obtained under stringent regulatory constraints, in some cases at lower overall system c</w:t>
      </w:r>
    </w:p>
    <w:p>
      <w:pPr/>
      <w:r>
        <w:rPr>
          <w:b/>
        </w:rPr>
        <w:t>POSSIBLE 2026:</w:t>
      </w:r>
      <w:r>
        <w:t xml:space="preserve"> Toward modeling principles for space energy system optimization — https://doi.org/10.1016/j.adapen.2026.100302</w:t>
      </w:r>
    </w:p>
    <w:p>
      <w:pPr/>
      <w:r>
        <w:rPr>
          <w:b/>
        </w:rPr>
        <w:t>Shared claim-specific concepts:</w:t>
      </w:r>
      <w:r>
        <w:t xml:space="preserve"> energy, system, based, analyses; EU scope not established. This is a provisional connection, not an outcome finding.</w:t>
      </w:r>
    </w:p>
    <w:p>
      <w:pPr>
        <w:pStyle w:val="SourceNote"/>
      </w:pPr>
      <w:r>
        <w:rPr>
          <w:b/>
        </w:rPr>
        <w:t>Available abstract (not full text):</w:t>
      </w:r>
      <w:r>
        <w:t xml:space="preserve"> With the aim of establishing modeling principles for space energy system optimization, this paper systematically reviews existing energy system modeling studies and assesses their transferability to extraterrestrial environments. Core concepts from terrestrial energy system modeling, including technology selection, capacity expansion, sector coupling, and storage optimization, provide a valuable foundation. However, space applications require adaptations to account for material and commodity flows, thermodynamic constraints, demand structures and mission criticality, and substantial uncertainty in technology performance, resource availability, and environmental conditions. These challenges highlight the need for stronger coupling between technology-level thermodynamic analyses and system-level optimization, explicit representation of mission-critical demands, and stochastic and other uncertainty-aware optimization approaches. Based on these findings, preliminary modeling principles and key directions for future methodological development are identified. To demonstrate their applicability, a lunar space village case study is developed for a sustained settlement over a one-year operational period. The optimized system combines nuclear power, solar photovoltaics, batteries, electrolyzers, and fuel cells, resulting in a levelized cost of electricity of approximately 7,800 EUR /MWh.</w:t>
      </w:r>
    </w:p>
    <w:p>
      <w:pPr/>
      <w:r>
        <w:rPr>
          <w:b/>
        </w:rPr>
        <w:t>POSSIBLE 2026:</w:t>
      </w:r>
      <w:r>
        <w:t xml:space="preserve"> Analyzing the impact of the Ostend declaration stated offshore wind targets on the European energy system — https://doi.org/10.1088/2753-3751/ae69e4</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The Ostend Declaration commits North Sea countries to installing 300 GW of offshore wind (OW) capacity by 2050, a development that will reshape Europe’s decarbonised energy system. This study assesses how such large-scale OW deployment affects the European energy mix, transmission needs, and OW project profitability. Using the open energy system model GENeSYS-MOD with a 47-node spatial resolution, including 19 offshore nodes, we evaluate scenarios with different offshore grid layouts and OW investment requirements, and conduct a sensitivity analysis on OW capital costs. Results show that meeting the Ostend targets increases total system costs by only about 1%, while OW primarily displaces onshore wind, solar PV, and nuclear power. Achieving the targeted OW levels endogenously requires roughly a 50% reduction in OW CAPEX. The choice of offshore grid layout has little impact on overall system cost or average OW return on investment, but it does shift the geographic distribution of investments; notably, radial grid layouts reduce the need for onshore wind in Norway. Enforcing early OW buildout raises OW profitability due to higher electricity prices in earlier periods. The findings highlight trade-offs between cost efficiency, infrastructure design, and regional policy priorities for North Sea energy development.</w:t>
      </w:r>
    </w:p>
    <w:p>
      <w:pPr/>
      <w:r>
        <w:rPr>
          <w:b/>
        </w:rPr>
        <w:t>POSSIBLE 2026:</w:t>
      </w:r>
      <w:r>
        <w:t xml:space="preserve"> Hydrogen integration into the European energy system — https://doi.org/10.36253/979-12-215-1013-3.04</w:t>
      </w:r>
    </w:p>
    <w:p>
      <w:pPr/>
      <w:r>
        <w:rPr>
          <w:b/>
        </w:rPr>
        <w:t>Shared claim-specific concepts:</w:t>
      </w:r>
      <w:r>
        <w:t xml:space="preserve"> energy, system, analyses;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pStyle w:val="Heading2"/>
      </w:pPr>
      <w:r>
        <w:t>737. Perspectives from 2037—Can Environmental Impact Assessment be the Solution for an Early Consideration of Climate Change-related Impacts?</w:t>
      </w:r>
    </w:p>
    <w:p>
      <w:pPr>
        <w:pStyle w:val="SourceNote"/>
      </w:pPr>
      <w:r>
        <w:rPr>
          <w:b/>
        </w:rPr>
        <w:t>Original source (2019):</w:t>
      </w:r>
      <w:r>
        <w:t xml:space="preserve"> https://doi.org/10.3390/su11154002</w:t>
      </w:r>
    </w:p>
    <w:p>
      <w:pPr/>
      <w:r>
        <w:t>Original wording (abstract; indexed_source_text_not_full_document_verified): Three scenario narratives were elaborated based on nine key impact factors based on literature review, content analysis of EIA documents and interviews with EIA actors.</w:t>
      </w:r>
    </w:p>
    <w:p>
      <w:pPr/>
      <w:r>
        <w:rPr>
          <w:b/>
        </w:rPr>
        <w:t>POSSIBLE 2026:</w:t>
      </w:r>
      <w:r>
        <w:t xml:space="preserve"> Narratives and Narratologies — https://doi.org/10.14361/9783839453773-177</w:t>
      </w:r>
    </w:p>
    <w:p>
      <w:pPr/>
      <w:r>
        <w:rPr>
          <w:b/>
        </w:rPr>
        <w:t>Shared claim-specific concepts:</w:t>
      </w:r>
      <w:r>
        <w:t xml:space="preserve"> narratives, key; EU scope not established. This is a provisional connection, not an outcome finding.</w:t>
      </w:r>
    </w:p>
    <w:p>
      <w:pPr>
        <w:pStyle w:val="SourceNote"/>
      </w:pPr>
      <w:r>
        <w:rPr>
          <w:b/>
        </w:rPr>
        <w:t>Available abstract (not full text):</w:t>
      </w:r>
      <w:r>
        <w:t xml:space="preserve">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pPr/>
      <w:r>
        <w:rPr>
          <w:b/>
        </w:rPr>
        <w:t>POSSIBLE 2026:</w:t>
      </w:r>
      <w:r>
        <w:t xml:space="preserve"> Behind The Superhero Façade : A Visual And Narrative Analysis Of Power And Genre In The Boys (2019) — https://openalex.org/W7128574996</w:t>
      </w:r>
    </w:p>
    <w:p>
      <w:pPr/>
      <w:r>
        <w:rPr>
          <w:b/>
        </w:rPr>
        <w:t>Shared claim-specific concepts:</w:t>
      </w:r>
      <w:r>
        <w:t xml:space="preserve"> three, nine, key; EU scope not established. This is a provisional connection, not an outcome finding.</w:t>
      </w:r>
    </w:p>
    <w:p>
      <w:pPr>
        <w:pStyle w:val="SourceNote"/>
      </w:pPr>
      <w:r>
        <w:rPr>
          <w:b/>
        </w:rPr>
        <w:t>Available abstract (not full text):</w:t>
      </w:r>
      <w:r>
        <w:t xml:space="preserve"> This thesis aims to investigate how visual and narrative expressions are used to deconstruct the superhero genre and construct power structures in the first season of The Boys (2019). Through a qualitative analysis of nine key scenes, the study explores the contrast of superheroes heroic, public image and their underlaying corruption. The study uses three research questions to answer; 1) how power structures between superheroes and humans are constructed, 2) how gender is represented within hypermasculine structures and 3) how the superhero genre is deconstructed through visual and narrative contrasts. To address these questions, will the theoretical framework for this study consist of Jenny Kidd´s representation theory, John Frow´s genre theory and Jason Mittell´s poetic approach to narrative complexity. The methodological approach combines Gillian Rose´s visual methodologies, together with Jason Mittell´s narrative analysis of the nine key scenes. The result of the study shows that The Boys (2019) season one systematically utilizes visual tools, such as low camera angles shots, strategic lightning and scenography, to elevate superheroes as dominant beings while visually marginalizing ordinary humans. The series further constructs a hypermasculine power structure that subordinates female characters such as Starlight and Queen Maeve, who are positioned in a hierarchy that favor</w:t>
      </w:r>
    </w:p>
    <w:p>
      <w:pPr/>
      <w:r>
        <w:rPr>
          <w:b/>
        </w:rPr>
        <w:t>POSSIBLE 2026:</w:t>
      </w:r>
      <w:r>
        <w:t xml:space="preserve"> Diverse Narratives and International Perspectives on the Russo-Ukrainian Offensive (DNIPRO) — https://doi.org/10.5281/zenodo.18470676</w:t>
      </w:r>
    </w:p>
    <w:p>
      <w:pPr/>
      <w:r>
        <w:rPr>
          <w:b/>
        </w:rPr>
        <w:t>Shared claim-specific concepts:</w:t>
      </w:r>
      <w:r>
        <w:t xml:space="preserve"> three, narratives, based, key, actors; EU scope not established. This is a provisional connection, not an outcome finding.</w:t>
      </w:r>
    </w:p>
    <w:p>
      <w:pPr>
        <w:pStyle w:val="SourceNote"/>
      </w:pPr>
      <w:r>
        <w:rPr>
          <w:b/>
        </w:rPr>
        <w:t>Available abstract (not full text):</w:t>
      </w:r>
      <w:r>
        <w:t xml:space="preserve"> DNIPRO is a longitudinal corpus of 246,229 news articles documenting the Russo-Ukrainian war from February 2022 to August 2024. The dataset captures competing geopolitical narratives from 11 media outlets across five nation-states (Russia, Ukraine, U.S., U.K., China) in three languages (English, Russian, Mandarin Chinese). The corpus includes comprehensive metadata, named entity annotations, sentiment scores for key actors and events, and topical framing labels based on a nine-category schema. All annotations are validated by human annotators. The dataset is designed to support research in computational journalism, media framing analysis, information warfare studies, and cross-lingual narrative analysis. Note: Due to potential copyright restrictions, this release contains metadata and annotations only. Full article text must be retrieved via the provided URLs. All data collection complied with publishers' terms of service. For detailed methodology, see the accompanying preprint (arXiv:2601.16309), to be published at the Fifteenth biennial Language Resources and Evaluation Conference (LREC) 2026. Keywords: news corpus, media framing, Russo-Ukrainian war, multilingual, geopolitical narratives, information warfare, sentiment analysis, stance detection</w:t>
      </w:r>
    </w:p>
    <w:p>
      <w:pPr/>
      <w:r>
        <w:rPr>
          <w:b/>
        </w:rPr>
        <w:t>POSSIBLE 2026:</w:t>
      </w:r>
      <w:r>
        <w:t xml:space="preserve"> The Coherence–Reservoir–Kernel Ontology: A Formal Specification for Narrative Entity Classification — https://doi.org/10.5281/zenodo.21121800</w:t>
      </w:r>
    </w:p>
    <w:p>
      <w:pPr/>
      <w:r>
        <w:rPr>
          <w:b/>
        </w:rPr>
        <w:t>Shared claim-specific concepts:</w:t>
      </w:r>
      <w:r>
        <w:t xml:space="preserve"> three, based, nine, key, literature; EU scope not established. This is a provisional connection, not an outcome finding.</w:t>
      </w:r>
    </w:p>
    <w:p>
      <w:pPr>
        <w:pStyle w:val="SourceNote"/>
      </w:pPr>
      <w:r>
        <w:rPr>
          <w:b/>
        </w:rPr>
        <w:t>Available abstract (not full text):</w:t>
      </w:r>
      <w:r>
        <w:t xml:space="preserve"> Abstract Narrative analysis lacks a universal, rigorous framework for classifying entities across myths, literature, games, comics, and films. Traditional taxonomies rely on culturally specific labels—"god," "vampire," "wizard," "superhero"—that break down in cross-cultural comparison and fail to capture the underlying structural logic of fictional universes. This paper introduces the Coherence–Reservoir–Kernel Ontology (CRK-O), a formal, capability-based classification system that defines entities not by what they are called but by what informational fields they can access and manipulate. Key Contributions Three-Field Framework: Narrative universes are modeled as dynamical systems with three nested informational fields: the Coherence Field (ψ, observable local reality), the Reservoir Field (χ, nonlocal memory and potential), and the Memory Kernel (K, structural transformation rules). Capability-Based Classification: Entities are classified into three ontological ranks based on field access: Rank 0 — Local Entity (LE): Bound to local coherence only (humans, animals, ordinary objects) Rank 1 — Reservoir-Coupled Entity (RCE): Access to nonlocal memory and potential (vampires, wizards, superheroes, demigods, ghosts) Rank 2 — Kernel Entity (KE): Define transformation rules (cosmic forces, archetypes, fundamental principles; theological gods are one cultural instantiation) Formal Ax</w:t>
      </w:r>
    </w:p>
    <w:p>
      <w:pPr/>
      <w:r>
        <w:rPr>
          <w:b/>
        </w:rPr>
        <w:t>POSSIBLE 2026:</w:t>
      </w:r>
      <w:r>
        <w:t xml:space="preserve"> Unemployment Narratives — https://doi.org/10.65864/ek0yrsgq0r</w:t>
      </w:r>
    </w:p>
    <w:p>
      <w:pPr/>
      <w:r>
        <w:rPr>
          <w:b/>
        </w:rPr>
        <w:t>Shared claim-specific concepts:</w:t>
      </w:r>
      <w:r>
        <w:t xml:space="preserve"> three, narratives, key, factors; EU scope not established. This is a provisional connection, not an outcome finding.</w:t>
      </w:r>
    </w:p>
    <w:p>
      <w:pPr>
        <w:pStyle w:val="SourceNote"/>
      </w:pPr>
      <w:r>
        <w:rPr>
          <w:b/>
        </w:rPr>
        <w:t>Available abstract (not full text):</w:t>
      </w:r>
      <w:r>
        <w:t xml:space="preserve"> We study economic narratives - causal accounts of observed events - in a high-stakes real-world context: long-term unemployment. We use open-ended questions to measure narratives about long-term unemployment in samples of Danish unemployed job seekers, firm managers, households from the general population, and experts at labor market institutions, as well as international academic experts. We document three main results. First, there is pronounced heterogeneity in narratives both within and across samples. For instance, job seekers are more likely to attribute long-term unemployment to factors outside the control of the individual and less likely to attribute it to job seekers' own decisions than respondents in the other samples. Second, narratives strongly reflect job seekers' personal experiences during both the current and previous unemployment spells. Third, narratives shape job seekers' and firm managers' quantitative beliefs, decisions and labor market outcomes as measured in survey and linked administrative data, which we demonstrate in a field experiment and correlationally. Our findings highlight the experiential origins of economic narratives and underscore the key role of narratives in belief formation and decision making.</w:t>
      </w:r>
    </w:p>
    <w:p>
      <w:pPr/>
      <w:r>
        <w:rPr>
          <w:b/>
        </w:rPr>
        <w:t>POSSIBLE 2026:</w:t>
      </w:r>
      <w:r>
        <w:t xml:space="preserve"> Mosaic narrative a poetics of cinematic new media narrative — https://doi.org/10.26192/9z55q</w:t>
      </w:r>
    </w:p>
    <w:p>
      <w:pPr/>
      <w:r>
        <w:rPr>
          <w:b/>
        </w:rPr>
        <w:t>Shared claim-specific concepts:</w:t>
      </w:r>
      <w:r>
        <w:t xml:space="preserve"> elaborated, based, key; EU scope not established. This is a provisional connection, not an outcome finding.</w:t>
      </w:r>
    </w:p>
    <w:p>
      <w:pPr>
        <w:pStyle w:val="SourceNote"/>
      </w:pPr>
      <w:r>
        <w:rPr>
          <w:b/>
        </w:rPr>
        <w:t>Available abstract (not full text):</w:t>
      </w:r>
      <w:r>
        <w:t xml:space="preserve"> This thesis proposes the Poetics of Mosaic Narrative as a tool for theorising the creation and telling of cinematic stories in a digital environment. As such the Poetics of Mosaic Narrative is designed to assist creators of new media narrative to design dramatically compelling screen based stories by drawing from established theories of cinema and emerging theories of new media. In doing so it validates the crucial element of cinematic storytelling in the digital medium, which due to its fragmentary, variable and re-combinatory nature, affords the opportunity for audience interaction. The Poetics of Mosaic Narrative re-asserts the dramatic and cinematic nature of narrative in new media by drawing upon the dramatic theory of Aristotle’s Poetics, the cinematic theories of the 1920s Russian Film Theorists and contemporary Neo-Formalists, the narrative theories of the 1960s French Structuralists, and the scriptwriting theories of contemporary cinema. In particular it focuses on the theory and practice of the prominent new media theorist, Lev Manovich, as a means of investigating and creating a practical poetics. The key element of the Poetics of Mosaic Narrative is the expansion of the previously forgotten and undeveloped Russian Formalist concept of cinematurgy which is vital to the successful development of new media storytelling theory and practice. This concept, as originally p</w:t>
      </w:r>
    </w:p>
    <w:p>
      <w:pPr/>
      <w:r>
        <w:rPr>
          <w:b/>
        </w:rPr>
        <w:t>POSSIBLE 2025:</w:t>
      </w:r>
      <w:r>
        <w:t xml:space="preserve"> What good is agroecology? Predominant narratives about agroecology in Africa — https://doi.org/10.1016/j.jrurstud.2025.103706</w:t>
      </w:r>
    </w:p>
    <w:p>
      <w:pPr/>
      <w:r>
        <w:rPr>
          <w:b/>
        </w:rPr>
        <w:t>Shared claim-specific concepts:</w:t>
      </w:r>
      <w:r>
        <w:t xml:space="preserve"> three, narratives, based, nine, key, interviews; EU scope not established. This is a provisional connection, not an outcome finding.</w:t>
      </w:r>
    </w:p>
    <w:p>
      <w:pPr>
        <w:pStyle w:val="SourceNote"/>
      </w:pPr>
      <w:r>
        <w:rPr>
          <w:b/>
        </w:rPr>
        <w:t>Available abstract (not full text):</w:t>
      </w:r>
      <w:r>
        <w:t xml:space="preserve"> Agroecology is still a marginal approach to agricultural development in Africa when compared to industrial approaches, despite growing evidence of its potential to address core challenges of food insecurity, poverty, and soil degradation. This paper investigates one possible explanation for this discrepancy: the discursive landscape of African agriculture. Taking inspiration from narrative analysis, we document stories about agroecology as told by key actors in the food system: farmers, pastoralists, NGO workers, extension officers, government officials, and researchers. Based on 208 interviews with key informants (KIs) across nine African case studies, we identified three distinct narratives: Agroecology is: 1) a tool in a toolbox 2) for poor farmers 3) the better path. In addition to these narratives, we report KIs' perceptions of two narrative components, namely their definition of agroecology and the key challenges affecting agriculture in their case study site. We use these problem framings to evaluate how logically agroecology fits as a solution in this story, and thus its discursive potential as an approach to agricultural development. We find that many respondents do not consider agroecology to be an effective or relevant solution to major food system challenges, or that they have a limited understanding of the full breadth of agroecology. We suggest that organizations </w:t>
      </w:r>
    </w:p>
    <w:p>
      <w:pPr/>
      <w:r>
        <w:rPr>
          <w:b/>
        </w:rPr>
        <w:t>POSSIBLE 2025:</w:t>
      </w:r>
      <w:r>
        <w:t xml:space="preserve"> Ketamine’s Therapeutic Role in Substance Use Disorders: A Narrative Review — https://doi.org/10.3390/neurosci6030083</w:t>
      </w:r>
    </w:p>
    <w:p>
      <w:pPr/>
      <w:r>
        <w:rPr>
          <w:b/>
        </w:rPr>
        <w:t>Shared claim-specific concepts:</w:t>
      </w:r>
      <w:r>
        <w:t xml:space="preserve"> three, nine, key, literature, review; EU scope not established. This is a provisional connection, not an outcome finding.</w:t>
      </w:r>
    </w:p>
    <w:p>
      <w:pPr>
        <w:pStyle w:val="SourceNote"/>
      </w:pPr>
      <w:r>
        <w:rPr>
          <w:b/>
        </w:rPr>
        <w:t>Available abstract (not full text):</w:t>
      </w:r>
      <w:r>
        <w:t xml:space="preserve"> Interest in ketamine as a novel treatment for substance use disorders (SUDs) has been increasing due to its N-methyl-D-aspartate (NMDA) glutamate receptor antagonism and mounting evidence that glutamate neurotransmission is involved in the pathogenesis of both depression and addictions. This narrative review provides an outline of clinical evidence reported in the literature from the 1970s to 2025 that examines the efficacy of ketamine for the treatment of SUDs, focusing primarily on randomized blinded controlled trials (RBCTs). Key cohort studies, retrospective studies, secondary analyses, case reports, and relevant basic neuroscience studies are reviewed to complement the more rigorous human controlled trial data. Thus far, ketamine has been tested in nine RBCTs targeting cocaine (three studies), alcohol (three studies), opioid use disorder (two studies), and nicotine (one study), suggesting efficacy for addiction in combination with psychotherapies, and often when doses produce subjectively reported mystical or psychedelic experiences. This review highlights promising preliminary evidence, and the need for more rigorous studies to elucidate the scope of drug addictions ketamine may target, its optimal dosing or route of administration, the importance of concurrent psychotherapies, professional supervision and safety monitoring, and which psychiatric comorbidities or contexts</w:t>
      </w:r>
    </w:p>
    <w:p>
      <w:pPr/>
      <w:r>
        <w:rPr>
          <w:b/>
        </w:rPr>
        <w:t>POSSIBLE 2025:</w:t>
      </w:r>
      <w:r>
        <w:t xml:space="preserve"> Narrative Reflexivity as Leaderful Practice — https://doi.org/10.1080/14697017.2025.2453132</w:t>
      </w:r>
    </w:p>
    <w:p>
      <w:pPr/>
      <w:r>
        <w:rPr>
          <w:b/>
        </w:rPr>
        <w:t>Shared claim-specific concepts:</w:t>
      </w:r>
      <w:r>
        <w:t xml:space="preserve"> three, narratives, literature; EU scope not established. This is a provisional connection, not an outcome finding.</w:t>
      </w:r>
    </w:p>
    <w:p>
      <w:pPr>
        <w:pStyle w:val="SourceNote"/>
      </w:pPr>
      <w:r>
        <w:rPr>
          <w:b/>
        </w:rPr>
        <w:t>Available abstract (not full text):</w:t>
      </w:r>
      <w:r>
        <w:t xml:space="preserve"> This paper reimagines leadership by proposing the practice of narrative reflexivity, where we interrogate the stories we tell ourselves and each other towards an ethical relationality. Using narrative reflexivity, we can deepen our understanding of emergent narrative phenomena in organizational life, where both stories and storytellers can act in leaderful ways. By engaging with collective narratives, we become more aware of hegemonic stories alongside marginalized stories as the practice introduces doubt, curiosity, pause and co-creative tension. We use vignettes from scholarly literature to illustrate how narrative reflexivity can emerge and operate at three levels of narrative activity: individual, group, and organizational. Within the leadership-as-practice movement that reconceptualizes leadership as an emergent and processual activity, narrative reflexivity opens the possibility of evaluating our stories, understanding others’ stories, and coproducing new stories for collective acting.MAD statementNarrative reflexivity is a critical practice in leadership whereby people interrogate stories. This practice activates an awareness of hegemonic stories alongside marginalized stories, introducing doubt, curiosity, pause and co-creative tension into the process of engaging with collective narratives. We use vignettes from scholarly literature to illustrate how narrative reflexiv</w:t>
      </w:r>
    </w:p>
    <w:p>
      <w:pPr/>
      <w:r>
        <w:rPr>
          <w:b/>
        </w:rPr>
        <w:t>POSSIBLE 2025:</w:t>
      </w:r>
      <w:r>
        <w:t xml:space="preserve"> The Effects of Yoga on Key Adipocytokines in Obesity: A Narrative Review of Leptin and Adiponectin — https://doi.org/10.7759/cureus.76792</w:t>
      </w:r>
    </w:p>
    <w:p>
      <w:pPr/>
      <w:r>
        <w:rPr>
          <w:b/>
        </w:rPr>
        <w:t>Shared claim-specific concepts:</w:t>
      </w:r>
      <w:r>
        <w:t xml:space="preserve"> key, literature, review; EU scope not established. This is a provisional connection, not an outcome finding.</w:t>
      </w:r>
    </w:p>
    <w:p>
      <w:pPr>
        <w:pStyle w:val="SourceNote"/>
      </w:pPr>
      <w:r>
        <w:rPr>
          <w:b/>
        </w:rPr>
        <w:t>Available abstract (not full text):</w:t>
      </w:r>
      <w:r>
        <w:t xml:space="preserve"> Obesity is a global health concern that increases the risk of numerous complications, including type 2 diabetes, hypertension, and cardiovascular diseases. Conventional obesity treatments, such as lifestyle modifications, pharmacotherapy, and surgical interventions, are often insufficient, highlighting the need for more efficient and effective approaches. Yoga, an ancient mind-body practice incorporating physical postures (asanas), breathing exercises (pranayama), and meditation, has emerged as a potential therapeutic intervention for obesity management. This review examines the functions of leptin and adiponectin, two key adipocytokines central to obesity, and evaluates the impact of yoga on these hormones. A literature search was conducted using PubMed, Scopus, and Google Scholar with the keywords "yoga" and "adipocytokine" as of May 5, 2024, resulting in the selection of 12 relevant studies. The majority of studies reviewed demonstrated that yoga significantly decreases leptin levels and increases adiponectin levels. Intensive yoga sessions and combined dietary interventions were found to contribute notably to improvements in these hormonal levels. These findings suggest that yoga may improve the balance between leptin and adiponectin, offering beneficial effects on anti-obesity and chronic inflammation reduction. Yoga, as an economical and non-invasive treatment option, pre</w:t>
      </w:r>
    </w:p>
    <w:p>
      <w:pPr/>
      <w:r>
        <w:rPr>
          <w:b/>
        </w:rPr>
        <w:t>POSSIBLE 2025:</w:t>
      </w:r>
      <w:r>
        <w:t xml:space="preserve"> Gestalt Psychology and (Literary) Narratives — https://doi.org/10.4324/9781032694467-16</w:t>
      </w:r>
    </w:p>
    <w:p>
      <w:pPr/>
      <w:r>
        <w:rPr>
          <w:b/>
        </w:rPr>
        <w:t>Shared claim-specific concepts:</w:t>
      </w:r>
      <w:r>
        <w:t xml:space="preserve"> three, narratives, elaborated, literature; EU scope not established. This is a provisional connection, not an outcome finding.</w:t>
      </w:r>
    </w:p>
    <w:p>
      <w:pPr>
        <w:pStyle w:val="SourceNote"/>
      </w:pPr>
      <w:r>
        <w:rPr>
          <w:b/>
        </w:rPr>
        <w:t>Available abstract (not full text):</w:t>
      </w:r>
      <w:r>
        <w:t xml:space="preserve"> Language and literature had not been the major focus of Gestalt psychology in the first decades of the 20th century. However, Rudolf Arnheim&amp;s;s application of Gestalt psychology for analyzing art may be used as a role model for analyzing language, art, and literature. The first section describes this potential. The second section deals with the linguistics of texts and the relevance of basic Gestalt principles and experimental techniques like memory experiments and cloze procedures. The relevance of some field-theoretical concepts for narrative analysis and some sociolinguistic techniques of oral narratives are reviewed. In the third section, some results of Stadler and Wildgen (1987) on the serial reproduction of a basic text and the self-organization of narrative patterns are reported. Temporal Gestalts imply a causal order and constitute a constellation of agents and a field of forces and conflicts; catastrophe theoretical schemata can describe basic force and conflict profiles. This technique is applied to the fairytale “Rumpelstilzchen”. The Gestalt features exemplified for retelling, oral narratives, and fairytales are elaborated for analyzing three novel passages by Émile Zola and Theodor Fontane. The last section and conclusion discuss the relationship between psychology and literature (more generally between science and art) and the more specific correlation between l</w:t>
      </w:r>
    </w:p>
    <w:p>
      <w:pPr/>
      <w:r>
        <w:rPr>
          <w:b/>
        </w:rPr>
        <w:t>POSSIBLE 2025:</w:t>
      </w:r>
      <w:r>
        <w:t xml:space="preserve"> From Prediction to Prevention: Identifying Actionable Crash Factors Through ML and Narrative-Based Sensitivity Testing — https://doi.org/10.3390/futuretransp5040190</w:t>
      </w:r>
    </w:p>
    <w:p>
      <w:pPr/>
      <w:r>
        <w:rPr>
          <w:b/>
        </w:rPr>
        <w:t>Shared claim-specific concepts:</w:t>
      </w:r>
      <w:r>
        <w:t xml:space="preserve"> three, narratives, nine, key, factors; EU scope not established. This is a provisional connection, not an outcome finding.</w:t>
      </w:r>
    </w:p>
    <w:p>
      <w:pPr>
        <w:pStyle w:val="SourceNote"/>
      </w:pPr>
      <w:r>
        <w:rPr>
          <w:b/>
        </w:rPr>
        <w:t>Available abstract (not full text):</w:t>
      </w:r>
      <w:r>
        <w:t xml:space="preserve"> Crashes on roadways continue to represent a major global public health concern due to high rates of death and injury, underscoring the need for predictive tools that can identify high-risk conditions and guide prevention strategies. This study develops a framework that combines structured crash records and road information with unstructured police narratives to predict injury severity using machine learning and natural language processing (NLP). The dataset is used to train, validate, and test nine models, combining three algorithms (Random Forest, AdaBoost, and XGBoost) with two NLP methods (TF-IDF and Word2Vec). Model performance is evaluated using macro-average F1-scores to address severe class imbalance. Results show that XGBoost with TF-IDF achieves the best performance (macro-F1 = 0.644), demonstrating measurable improvements from incorporating narrative features compared to structured data alone. Beyond prediction, a simulation-based sensitivity analysis is conducted on the top 100 features, identifying 11 variables with the greatest impact on severity outcomes in Kentucky. Seatbelt non-use, occupant entrapment, and impaired driver control emerge as the most influential factors, with simulated improvements leading to notable reductions in fatalities and major injuries. The study introduces a “prediction-to-prevention” framework that links injury severity prediction with </w:t>
      </w:r>
    </w:p>
    <w:p>
      <w:pPr>
        <w:pStyle w:val="Heading2"/>
      </w:pPr>
      <w:r>
        <w:t>738. Policy-based Population Projections for the European Union: A Complementary Approach</w:t>
      </w:r>
    </w:p>
    <w:p>
      <w:pPr>
        <w:pStyle w:val="SourceNote"/>
      </w:pPr>
      <w:r>
        <w:rPr>
          <w:b/>
        </w:rPr>
        <w:t>Original source (2019):</w:t>
      </w:r>
      <w:r>
        <w:t xml:space="preserve"> https://doi.org/10.12765/cpos-2019-14</w:t>
      </w:r>
    </w:p>
    <w:p>
      <w:pPr/>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POSSIBLE 2026:</w:t>
      </w:r>
      <w:r>
        <w:t xml:space="preserve"> Old wine in new bottles: A pan-European regional dataset of population and GDP since 1960 — https://doi.org/10.7163/gpol.0330</w:t>
      </w:r>
    </w:p>
    <w:p>
      <w:pPr/>
      <w:r>
        <w:rPr>
          <w:b/>
        </w:rPr>
        <w:t>Shared claim-specific concepts:</w:t>
      </w:r>
      <w:r>
        <w:t xml:space="preserve"> population, union, demographic, across; EU scope visible. This is a provisional connection, not an outcome finding.</w:t>
      </w:r>
    </w:p>
    <w:p>
      <w:pPr>
        <w:pStyle w:val="SourceNote"/>
      </w:pPr>
      <w:r>
        <w:rPr>
          <w:b/>
        </w:rPr>
        <w:t>Available abstract (not full text):</w:t>
      </w:r>
      <w:r>
        <w:t xml:space="preserve"> This article presents a harmonised procedural framework for constructing a new open-access pan-European regional database covering population, GDP, and derived GDP per capita for 1546 regions over the period 1960-2021; the empirical illustrations presented in the article cover the period 1960-2020. The resulting resource is distributed in three supplementary Excel workbooks, one for each variable. Drawing on national and regional sources, including the Maddison Project Database as the main GDP anchor, ARDECO, the Rosés–Wolf regional GDP database, database.earth, and country-specific sources, it provides continuous annual timeseries coverage and broad cross-country comparability. Its main contribution lies in combining pan-European spatial coverage, a six-decade temporal span, and the systematic harmonisation of heterogeneous national and regional data sources. The resource enables analyses of regional income convergence, spatial dynamics, and long-term demographic and economic polarisation across Europe. By extending beyond the European Union, it fills major spatial and temporal gaps in existing resources and creates new opportunities for spatial economic and regional research.</w:t>
      </w:r>
    </w:p>
    <w:p>
      <w:pPr/>
      <w:r>
        <w:rPr>
          <w:b/>
        </w:rPr>
        <w:t>POSSIBLE 2026:</w:t>
      </w:r>
      <w:r>
        <w:t xml:space="preserve"> Engagement in early childhood education: A systematic review of Gypsy, Roma and Traveller populations in Europe — https://doi.org/10.1002/rev3.70180</w:t>
      </w:r>
    </w:p>
    <w:p>
      <w:pPr/>
      <w:r>
        <w:rPr>
          <w:b/>
        </w:rPr>
        <w:t>Shared claim-specific concepts:</w:t>
      </w:r>
      <w:r>
        <w:t xml:space="preserve"> present, population, potential, populations, across; EU scope visible. This is a provisional connection, not an outcome finding.</w:t>
      </w:r>
    </w:p>
    <w:p>
      <w:pPr>
        <w:pStyle w:val="SourceNote"/>
      </w:pPr>
      <w:r>
        <w:rPr>
          <w:b/>
        </w:rPr>
        <w:t>Available abstract (not full text):</w:t>
      </w:r>
      <w:r>
        <w:t xml:space="preserve"> Abstract This systematic review focuses on engagement in early childhood education (ECE) within Gypsy, Roma and Traveller (GRT) communities. ECE increases lifelong educational success rates along with narrowing poverty and equity gaps. Yet the GRT participation rate in ECE is nearly half that of the majority mainstream population. In an effort to understand the underlying barriers and facilitators of engagement in ECE among GRT populations, two search methods were employed: a search of the academic databases and a grey literature search using a defined and informed search strategy (PRISMA). We included studies that were ECE focused and included GRT individuals from the continent of Europe and surrounding islands. All articles in this review were to be published in English and informed by PRISMA guidelines. Five identified qualitative articles were assessed for quality and underwent data extraction. Data were analysed using Thematic Synthesis through NVivo12. Results identified themes that included: first, external barriers, for example, financial means and prejudice. Second, internal barriers such as negative parent ideals and culture. Third, external facilitators, for example, school support, teacher support and parent participation. Last, internal facilitators such as parent motivation along with parent and educator hopes and experiences. This review has the potential to info</w:t>
      </w:r>
    </w:p>
    <w:p>
      <w:pPr/>
      <w:r>
        <w:rPr>
          <w:b/>
        </w:rPr>
        <w:t>POSSIBLE 2025:</w:t>
      </w:r>
      <w:r>
        <w:t xml:space="preserve"> A New Approach to Understanding Population Change in Central and Eastern Europe — https://doi.org/10.1111/padr.70029</w:t>
      </w:r>
    </w:p>
    <w:p>
      <w:pPr/>
      <w:r>
        <w:rPr>
          <w:b/>
        </w:rPr>
        <w:t>Shared claim-specific concepts:</w:t>
      </w:r>
      <w:r>
        <w:t xml:space="preserve"> population, countries, fertility, migration, across;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population, countries, show, potential, populations, across;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population, policies, populations, across;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Urban-rural population trends in Europe, 2011, 2021 — https://doi.org/10.15196/rs150608</w:t>
      </w:r>
    </w:p>
    <w:p>
      <w:pPr/>
      <w:r>
        <w:rPr>
          <w:b/>
        </w:rPr>
        <w:t>Shared claim-specific concepts:</w:t>
      </w:r>
      <w:r>
        <w:t xml:space="preserve"> population, demographic, increase; EU scope visible. This is a provisional connection, not an outcome finding.</w:t>
      </w:r>
    </w:p>
    <w:p>
      <w:pPr>
        <w:pStyle w:val="SourceNote"/>
      </w:pPr>
      <w:r>
        <w:rPr>
          <w:b/>
        </w:rPr>
        <w:t>Available abstract (not full text):</w:t>
      </w:r>
      <w:r>
        <w:t xml:space="preserve"> Although the literature suggests that Europe is experiencing a general demographic decline, a closer look reveals a different picture.In terms of European population trends, we cannot speak of a widespread, general population decline, and although there are marked differences in the urban-rural relationship, it is still a very complex and diverse phenomenon.A deeper analysis of this can only be done with grids that do not conflict with administrative boundaries.This analysis attempts to perform a spatial statistical analysis of 2 km 2 grids compiled based on 2011 and 2021 data.In our work, we demonstrate how complex phenomenon can be observed from a demographic perspective in Europe.Population concentration is already very significant and is expected to increase in the future, further deepening urban-rural disparities in Europe.</w:t>
      </w:r>
    </w:p>
    <w:p>
      <w:pPr/>
      <w:r>
        <w:rPr>
          <w:b/>
        </w:rPr>
        <w:t>POSSIBLE 2025:</w:t>
      </w:r>
      <w:r>
        <w:t xml:space="preserve"> THE DEVELOPMENT OF THE EUROPEAN UNION COUNTRIES UNDER THE INFLUENCE OF THE DIGITAL TRANSFORMATION — https://doi.org/10.24818/cike2024.14</w:t>
      </w:r>
    </w:p>
    <w:p>
      <w:pPr/>
      <w:r>
        <w:rPr>
          <w:b/>
        </w:rPr>
        <w:t>Shared claim-specific concepts:</w:t>
      </w:r>
      <w:r>
        <w:t xml:space="preserve"> present, population, out, countries, union; EU scope visible. This is a provisional connection, not an outcome finding.</w:t>
      </w:r>
    </w:p>
    <w:p>
      <w:pPr>
        <w:pStyle w:val="SourceNote"/>
      </w:pPr>
      <w:r>
        <w:rPr>
          <w:b/>
        </w:rPr>
        <w:t>Available abstract (not full text):</w:t>
      </w:r>
      <w:r>
        <w:t xml:space="preserve"> The main purpose of the study is to determine the main trends of the socio-economic development of the EU countries under the influence of the digital transformation. The modern world has already taken some steps towards a new technological, economic and social reality. The European Commission’s Digital Compass plan sets out goals for a successful digital transformation in Europe by 2030. The 2030 target of the Digital Compass is that at least 80% of citizens have at least basic digital skills, at least 90% of small and medium-sized enterprises in the EU should have a basic level of digital intensity, all key public services for citizens and businesses should be fully online by 2030. Based on the analysis from specialized literature and statistical data, it was possible to present the situation in the field of digital transformation of the EU states. The key aspects of socio-economic development indicators in the field of human capital, connectivity, integration of digital technology, digital public services are analyzed in this paper. Several indicators are analyzed such as: digitally skilled population and highly skilled digital professionals, secure and sustainable digital infrastructures, the degree of digital intensity of business processes, the use of Cloud computing, Big data, Artificial intelligence by enterprises, the share of businesses that sell online and the digita</w:t>
      </w:r>
    </w:p>
    <w:p>
      <w:pPr/>
      <w:r>
        <w:rPr>
          <w:b/>
        </w:rPr>
        <w:t>POSSIBLE 2025:</w:t>
      </w:r>
      <w:r>
        <w:t xml:space="preserve"> Trends in stroke prevalence caused by an elevated BMI in the European population — https://doi.org/10.5114/aoms/199362</w:t>
      </w:r>
    </w:p>
    <w:p>
      <w:pPr/>
      <w:r>
        <w:rPr>
          <w:b/>
        </w:rPr>
        <w:t>Shared claim-specific concepts:</w:t>
      </w:r>
      <w:r>
        <w:t xml:space="preserve"> population, projections, increase; EU scope visible. This is a provisional connection, not an outcome finding.</w:t>
      </w:r>
    </w:p>
    <w:p>
      <w:pPr>
        <w:pStyle w:val="SourceNote"/>
      </w:pPr>
      <w:r>
        <w:rPr>
          <w:b/>
        </w:rPr>
        <w:t>Available abstract (not full text):</w:t>
      </w:r>
      <w:r>
        <w:t xml:space="preserve"> Introduction: This study investigated the complex relationship between an elevated body mass index (BMI) and stroke risk in Europe amidst rising obesity rates and an aging population. Material and methods: A joinpoint regression model was used to fit the data on stroke mortality rates attributed to an elevated BMI. The age period cohort model was used to analyze the effects of age, period, and birth cohort on trends in stroke prevalence related to an elevated BMI from 1990-2019 in the European context. A Bayesian age-period-cohort model was used to project age-standardized stroke mortality attributed to elevated BMI in Europe from 2020 to 2044. Results: &lt; 0.001). Male mortality rates decreased from 21.48/100,000 in 1990 to 15.45/100,000 in 2019, while female rates declined more significantly from 21.40/100,000 in 1990 to 12.48/100,000 in 2019. Age-standardized stroke mortality due to elevated BMI is projected to decline in Europe over the next 25 years. Age-standardized stroke mortality due to increased BMI is expected to continue declining in Europe over the next 25 years, with projected reductions of 12.99% in males and 13.01% in females by 2044. Conclusions: From 1990 to 2019, stroke mortality rates associated with elevated BMI in Europe steadily increased. However, projections suggest a slight decline in the near future. Given these trends, there is an urgent need to enhanc</w:t>
      </w:r>
    </w:p>
    <w:p>
      <w:pPr/>
      <w:r>
        <w:rPr>
          <w:b/>
        </w:rPr>
        <w:t>POSSIBLE 2025:</w:t>
      </w:r>
      <w:r>
        <w:t xml:space="preserve"> Genetic admixture between East and West European Gravettian-associated populations in Western Europe before the Last Glacial Maximum — https://doi.org/10.1101/2025.09.26.678744</w:t>
      </w:r>
    </w:p>
    <w:p>
      <w:pPr/>
      <w:r>
        <w:rPr>
          <w:b/>
        </w:rPr>
        <w:t>Shared claim-specific concepts:</w:t>
      </w:r>
      <w:r>
        <w:t xml:space="preserve"> present, population, potential, populations; EU scope visible. This is a provisional connection, not an outcome finding.</w:t>
      </w:r>
    </w:p>
    <w:p>
      <w:pPr>
        <w:pStyle w:val="SourceNote"/>
      </w:pPr>
      <w:r>
        <w:rPr>
          <w:b/>
        </w:rPr>
        <w:t>Available abstract (not full text):</w:t>
      </w:r>
      <w:r>
        <w:t xml:space="preserve"> Abstract Modern humans first settled in Europe at least 45,000 years ago. However, limited genomic data from individuals dating between 45,000 and 20,000 years ago still restricts our understanding of population dynamics and admixture during the Upper Palaeolithic. Before the Last Glacial Maximum (LGM, 26.5–19 cal kya), Gravettian culture-associated populations were widespread and genetically diverse, comprising at least two distinct genetic groups, referred to as the Fournol and Věstonice clusters. We present genome-wide data from three Gravettian-associated individuals: two from cave sites in the Franco-Cantabrian region (Chufín and Isturitz) and one from Italy (Ostuni1b). These data reveal previously undetected gene flow linking the ancestry of 34,000-year-old individuals from Sungir (Russia) to Gravettian individuals from Western Europe, challenging the prevailing model of population continuity from the Aurignacian to the Solutrean. As osseous remains are scarce for this time period, DNA from sediments deposited by ancient humans opens a new possibility to obtain genomic data. We thus examine sedimentary DNA from Solutrean Layer 122 at El Mirón Cave (Cantabria, ∼22,000 cal BP), recovering approximately 16,000 human SNPs, among the highest yields reported from a Palaeolithic context. Generating these data required over 1.15 billion sequencing reads, illustrating both the pot</w:t>
      </w:r>
    </w:p>
    <w:p>
      <w:pPr/>
      <w:r>
        <w:rPr>
          <w:b/>
        </w:rPr>
        <w:t>POSSIBLE 2024:</w:t>
      </w:r>
      <w:r>
        <w:t xml:space="preserve"> Population Genetics and Invasion History of the European Starling Across Aotearoa New Zealand — https://doi.org/10.1111/mec.17579</w:t>
      </w:r>
    </w:p>
    <w:p>
      <w:pPr/>
      <w:r>
        <w:rPr>
          <w:b/>
        </w:rPr>
        <w:t>Shared claim-specific concepts:</w:t>
      </w:r>
      <w:r>
        <w:t xml:space="preserve"> present, population, countries, range, demographic, across; EU scope visible. This is a provisional connection, not an outcome finding.</w:t>
      </w:r>
    </w:p>
    <w:p>
      <w:pPr>
        <w:pStyle w:val="SourceNote"/>
      </w:pPr>
      <w:r>
        <w:rPr>
          <w:b/>
        </w:rPr>
        <w:t>Available abstract (not full text):</w:t>
      </w:r>
      <w:r>
        <w:t xml:space="preserve">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pPr/>
      <w:r>
        <w:rPr>
          <w:b/>
        </w:rPr>
        <w:t>POSSIBLE 2024:</w:t>
      </w:r>
      <w:r>
        <w:t xml:space="preserve"> Population exposure to multiple air pollutants and its compound episodes in Europe — https://doi.org/10.1038/s41467-024-46103-3</w:t>
      </w:r>
    </w:p>
    <w:p>
      <w:pPr/>
      <w:r>
        <w:rPr>
          <w:b/>
        </w:rPr>
        <w:t>Shared claim-specific concepts:</w:t>
      </w:r>
      <w:r>
        <w:t xml:space="preserve"> population, countries, increase, across; EU scope visible. This is a provisional connection, not an outcome finding.</w:t>
      </w:r>
    </w:p>
    <w:p>
      <w:pPr>
        <w:pStyle w:val="SourceNote"/>
      </w:pPr>
      <w:r>
        <w:rPr>
          <w:b/>
        </w:rPr>
        <w:t>Available abstract (not full text):</w:t>
      </w:r>
      <w:r>
        <w:t xml:space="preserve">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pPr/>
      <w:r>
        <w:rPr>
          <w:b/>
        </w:rPr>
        <w:t>POSSIBLE 2024:</w:t>
      </w:r>
      <w:r>
        <w:t xml:space="preserve"> A STUDY ON THE DISTANCES BETWEEN POLAND AND SELECTED EUROPEAN COUNTRIES AND THE PROVINCES OF POLAND WITH RESPECT TO THE USE OF NEW TECHNOLOGIES BY ENTERPRISES — https://doi.org/10.29119/1641-3466.2024.213.12</w:t>
      </w:r>
    </w:p>
    <w:p>
      <w:pPr/>
      <w:r>
        <w:rPr>
          <w:b/>
        </w:rPr>
        <w:t>Shared claim-specific concepts:</w:t>
      </w:r>
      <w:r>
        <w:t xml:space="preserve"> out, countries; EU scope visible. This is a provisional connection, not an outcome finding.</w:t>
      </w:r>
    </w:p>
    <w:p>
      <w:pPr>
        <w:pStyle w:val="SourceNote"/>
      </w:pPr>
      <w:r>
        <w:rPr>
          <w:b/>
        </w:rPr>
        <w:t>Available abstract (not full text):</w:t>
      </w:r>
      <w:r>
        <w:t xml:space="preserve"> Purpose: The aim of the analysis was to examine the dynamics of change in the synthetic variables describing the level of the phenomenon under consideration in selected European countries and Polish provinces.Design/methodology/approach: The study examines the use of the Internet and information and communication technologies by enterprises in the Polish provinces and selected European countries.Data were drawn from Statistics Poland and Eurostat, taking into account the thematic area of the study and data availability.The study of distances led to the identification of the areas in the development and use of new technologies where Poland differed from other countries and the Śląskie province differed from other provinces.The analysis of the European countries covered three thematic areas in the years 2013-2020, and the analysis of provincestwo thematic areas in the years 2020-2022. Findings:The study examines the use of the Internet and information and communication technologies by enterprises in the Polish provinces and selected European countries.Taxonomic analysis is an effective tool for assessing the influence of factors on selected characteristics of the development of the studied phenomenon. Research limitations/implications:The inability to create a set of comparable statistical data over many years is the main limitation of the analysis. Originality/value:The presente</w:t>
      </w:r>
    </w:p>
    <w:p>
      <w:pPr>
        <w:pStyle w:val="Heading2"/>
      </w:pPr>
      <w:r>
        <w:t>739. Population Projection Revisions and Their Impact on Economic Growth – The Case of Malta</w:t>
      </w:r>
    </w:p>
    <w:p>
      <w:pPr>
        <w:pStyle w:val="SourceNote"/>
      </w:pPr>
      <w:r>
        <w:rPr>
          <w:b/>
        </w:rPr>
        <w:t>Original source (2019):</w:t>
      </w:r>
      <w:r>
        <w:t xml:space="preserve"> https://doi.org/10.5296/rae.v11i3.15285</w:t>
      </w:r>
    </w:p>
    <w:p>
      <w:pPr/>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POSSIBLE 2026:</w:t>
      </w:r>
      <w:r>
        <w:t xml:space="preserve"> Economic Burden of Physical Inactivity in Europe — https://doi.org/10.71125/sporteconres.25</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Future Urban Heat Risk Assessment in Sydney: Integrating Satellite-Derived UTCI with Population Projections — https://doi.org/10.5194/isprs-annals-xii-4-w2-2026-137-2026</w:t>
      </w:r>
    </w:p>
    <w:p>
      <w:pPr/>
      <w:r>
        <w:rPr>
          <w:b/>
        </w:rPr>
        <w:t>Shared claim-specific concepts:</w:t>
      </w:r>
      <w:r>
        <w:t xml:space="preserve"> population, projections, approach; EU scope not established. This is a provisional connection, not an outcome finding.</w:t>
      </w:r>
    </w:p>
    <w:p>
      <w:pPr>
        <w:pStyle w:val="SourceNote"/>
      </w:pPr>
      <w:r>
        <w:rPr>
          <w:b/>
        </w:rPr>
        <w:t>Available abstract (not full text):</w:t>
      </w:r>
      <w:r>
        <w:t xml:space="preserve"> Urban heat stress poses an intensifying public health challenge in Australian cities, with Sydney facing increasingly severe summer thermal conditions. We present a reproducible framework for metropolitan-scale future heat risk assessment that integrates satellite-derived Universal Thermal Climate Index (UTCI) with demographic projections to 2031. We define the UTCI-Population Index (UPI), a composite indicator that quantifies population-weighted heat exposure at Travel Zone resolution across Sydney. We implemented two complementary satellite-based approaches: (1) trend-based extrapolation of the GloUTCI-M global UTCI dataset within Google Earth Engine to predict 2031 summer UTCI at 1 km resolution, and (2) a high-resolution spatial downscaling that combines ERA5-HEAT physically consistent UTCI at 28 km with Landsat 8/9 land surface temperature at 30 m, further refined by 3D solar radiation modelling and nine-station BOM bias correction to produce a pedestrian-level UTCI surface. The resulting UPI maps highlight priority zones where high projected thermal stress coincides with large future resident populations, supporting targeted heat adaptation planning. Approach 1 enables long-term metropolitan-scale future projection, while Approach 2 provides more than 30-fold higher spatial resolution for precinct-level intervention design. The two approaches are designed for future integ</w:t>
      </w:r>
    </w:p>
    <w:p>
      <w:pPr/>
      <w:r>
        <w:rPr>
          <w:b/>
        </w:rPr>
        <w:t>POSSIBLE 2026:</w:t>
      </w:r>
      <w:r>
        <w:t xml:space="preserve"> Short-Term Costs, Long-Term Gains: The Behavioral Challenge of Sustainability Regulation in the European Union — https://doi.org/10.21818/001c.159849</w:t>
      </w:r>
    </w:p>
    <w:p>
      <w:pPr/>
      <w:r>
        <w:rPr>
          <w:b/>
        </w:rPr>
        <w:t>Shared claim-specific concepts:</w:t>
      </w:r>
      <w:r>
        <w:t xml:space="preserve"> short-term, related; EU scope visible. This is a provisional connection, not an outcome finding.</w:t>
      </w:r>
    </w:p>
    <w:p>
      <w:pPr>
        <w:pStyle w:val="SourceNote"/>
      </w:pPr>
      <w:r>
        <w:rPr>
          <w:b/>
        </w:rPr>
        <w:t>Available abstract (not full text):</w:t>
      </w:r>
      <w:r>
        <w:t xml:space="preserve"> This editorial examines the behavioral and political dynamics that shape sustainability regulation in the European Union. While policy initiatives such as the European Green Deal and related directives reflect ambitious long-term goals, they often encounter resistance during implementation as short-term economic costs become more visible. Drawing on insights from behavioral economics, the analysis highlights how present bias, loss aversion, and political time horizons contribute to the softening or delay of regulatory measures. The editorial argues that effective sustainability governance requires not only strong policy design, but also an understanding of how individuals and institutions respond to temporal trade-offs and uncertainty.</w:t>
      </w:r>
    </w:p>
    <w:p>
      <w:pPr/>
      <w:r>
        <w:rPr>
          <w:b/>
        </w:rPr>
        <w:t>POSSIBLE 2026:</w:t>
      </w:r>
      <w:r>
        <w:t xml:space="preserve"> Government Policy, Financial Deepening and Economic Growth in Central and Eastern Europe — https://openalex.org/W7162059004</w:t>
      </w:r>
    </w:p>
    <w:p>
      <w:pPr/>
      <w:r>
        <w:rPr>
          <w:b/>
        </w:rPr>
        <w:t>Shared claim-specific concepts:</w:t>
      </w:r>
      <w:r>
        <w:t xml:space="preserve"> typically, short-term, availability; EU scope visible. This is a provisional connection, not an outcome finding.</w:t>
      </w:r>
    </w:p>
    <w:p>
      <w:pPr>
        <w:pStyle w:val="SourceNote"/>
      </w:pPr>
      <w:r>
        <w:rPr>
          <w:b/>
        </w:rPr>
        <w:t>Available abstract (not full text):</w:t>
      </w:r>
      <w:r>
        <w:t xml:space="preserve"> One of the questions that must be addressed by any developing country, especially those emerging from communism, is what the government’s role in financial deepening should be. In the years following the collapse of the Soviet Union, the countries of Central and Eastern Europe took quite different paths toward democratization and economic privatization. Several countries privatized immediately despite the imminent short-term economic pain privatization induced. Other countries tried to ease carefully into a privatized economy. It is well understood that there is a relationship between finance and economic growth; however, little literature focuses on the government’s role in financial deepening in the developing world. This research is unique and adds to the growing body of literature on the topic of financial deepening by quantitatively testing the economic impact of government subsidies, credit availability, and political stability on Albania, Bulgaria, Bosnia and Herzegovina, Czechia, Estonia, Croatia, Hungary, Lithuania, Latvia, Moldova, Montenegro, Poland, Romania, Slovak Republic, Russia, Slovenia, and Ukraine from the years 1996 to 2019. Following the quantitative study, the research embarks on case studies of Poland, Russia, Estonia, and the Slovak Republic to determine the impact different levels of governmental intervention has on economic growth. This research adds t</w:t>
      </w:r>
    </w:p>
    <w:p>
      <w:pPr/>
      <w:r>
        <w:rPr>
          <w:b/>
        </w:rPr>
        <w:t>POSSIBLE 2026:</w:t>
      </w:r>
      <w:r>
        <w:t xml:space="preserve"> Classical biological control of invasive aquatic weeds in Great Britain and Europe — https://doi.org/10.3897/aca.9.e204108</w:t>
      </w:r>
    </w:p>
    <w:p>
      <w:pPr/>
      <w:r>
        <w:rPr>
          <w:b/>
        </w:rPr>
        <w:t>Shared claim-specific concepts:</w:t>
      </w:r>
      <w:r>
        <w:t xml:space="preserve"> typically, population, function, approach, potential; EU scope visible. This is a provisional connection, not an outcome finding.</w:t>
      </w:r>
    </w:p>
    <w:p>
      <w:pPr>
        <w:pStyle w:val="SourceNote"/>
      </w:pPr>
      <w:r>
        <w:rPr>
          <w:b/>
        </w:rPr>
        <w:t>Available abstract (not full text):</w:t>
      </w:r>
      <w:r>
        <w:t xml:space="preserve"> Invasive aquatic weeds pose major threats to biodiversity, ecosystem function, economic activity and leisure use of freshwater habitats. Dense infestations alter hydrology, displace native species, impede navigation, and impose substantial management costs on water authorities and land managers. Effective long‑term control is a high priority. Mechanical and manual control approaches are widely used but are typically short term, costly, and must be repeated regularly to maintain suppression. Restrictions on herbicide use in and around water bodies in the EU and Great Britain due to concerns over non‑target impacts and water quality limit the potential role of this management tool. These constraints limit the efficacy and economic viability of conventional management techniques for long term control and intensify the need for alternative solutions. Classical biological control (CBC) offers a highly selective, environmentally benign and self‑sustaining approach to invasive weed management. Following rigorous host‑specificity testing, carefully selected natural enemies from a weed’s native range are released to provide population regulation in perpetuity, often at landscape scales and with minimal ongoing intervention. CBC targeting aquatic weeds has delivered impressive outcomes against numerous targets on multiple continents, with long‑term ecological and economic benefits which </w:t>
      </w:r>
    </w:p>
    <w:p>
      <w:pPr/>
      <w:r>
        <w:rPr>
          <w:b/>
        </w:rPr>
        <w:t>POSSIBLE 2026:</w:t>
      </w:r>
      <w:r>
        <w:t xml:space="preserve"> Arbitrage in Short-Term Electricity Markets: Economic Value of Multidimensional Ensemble Forecasts — https://doi.org/10.37190/ord/217347</w:t>
      </w:r>
    </w:p>
    <w:p>
      <w:pPr/>
      <w:r>
        <w:rPr>
          <w:b/>
        </w:rPr>
        <w:t>Shared claim-specific concepts:</w:t>
      </w:r>
      <w:r>
        <w:t xml:space="preserve"> short-term, forecasts, standard, approach; EU scope not established. This is a provisional connection, not an outcome finding.</w:t>
      </w:r>
    </w:p>
    <w:p>
      <w:pPr>
        <w:pStyle w:val="SourceNote"/>
      </w:pPr>
      <w:r>
        <w:rPr>
          <w:b/>
        </w:rPr>
        <w:t>Available abstract (not full text):</w:t>
      </w:r>
      <w:r>
        <w:t xml:space="preserve"> Generated quantity and market prices are major risk sources for electricity market participants, especially renewable producers with intermittent generation. Before delivery, wind and solar plants must decide their day-ahead bids, which, through deviations from actual generation, determine the direction and volume of intraday trade. We identify an arbitrage opportunity between these short-term markets that increases expected profits and reduces trading risk. To exploit it, we propose a novel multiple-split approach for estimating multidimensional probabilistic forecasts of market fundamentals. This semi-parametric method produces ensembles preserving true error correlations and supports forecasting of linear and nonlinear functions such as price spreads, residual load, or trading income. Using German electricity market data, we demonstrate superior predictive and economic performance over standard benchmarks.</w:t>
      </w:r>
    </w:p>
    <w:p>
      <w:pPr/>
      <w:r>
        <w:rPr>
          <w:b/>
        </w:rPr>
        <w:t>POSSIBLE 2026:</w:t>
      </w:r>
      <w:r>
        <w:t xml:space="preserve"> Spatiotemporal dynamics of leptospirosis in Europe: a retrospective observational study with prospective projections — https://doi.org/10.1016/j.lanepe.2026.101671</w:t>
      </w:r>
    </w:p>
    <w:p>
      <w:pPr/>
      <w:r>
        <w:rPr>
          <w:b/>
        </w:rPr>
        <w:t>Shared claim-specific concepts:</w:t>
      </w:r>
      <w:r>
        <w:t xml:space="preserve"> short-term, projections, potential; EU scope visible. This is a provisional connection, not an outcome finding.</w:t>
      </w:r>
    </w:p>
    <w:p>
      <w:pPr>
        <w:pStyle w:val="SourceNote"/>
      </w:pPr>
      <w:r>
        <w:rPr>
          <w:b/>
        </w:rPr>
        <w:t>Available abstract (not full text):</w:t>
      </w:r>
      <w:r>
        <w:t xml:space="preserve"> Background: spp., with a substantial burden on both human and animal health. Transmission occurs through contact with the urine of infected animals, with rodents serving as the main disease reservoir. Climate and environmental changes, including higher temperatures, heavy rainfall, urbanization, forest encroachment, and biodiversity loss are expected to alter rodent populations and disease dynamics, raising concerns about the increasing risk of leptospirosis in Europe. Despite this, no comprehensive risk map or modelling study has been conducted at the European scale. Given this, we aimed to quantify spatiotemporal patterns of leptospirosis risk in Europe and project future incidence rate under climate change scenarios. Methods: In this study, we present a Europe-wide spatiotemporal assessment of leptospirosis risk, integrating epidemiological, environmental and climate data. Using monthly leptospirosis cases from the European Surveillance System (TESSy) between 2010 and 2023, we developed a Bayesian hierarchical model to identify key risk factors, including the 3-month Standardised Precipitation Evapotranspiration Index (SPEI-3), mean temperature (Tmean), forest human nexus and mammal richness. Future changes in disease incidence rate were also investigated under two climate/socio-economic scenarios, namely the Shared Socioeconomic Pathways (SSP) 4.5 and 8.5. Findings: Over th</w:t>
      </w:r>
    </w:p>
    <w:p>
      <w:pPr/>
      <w:r>
        <w:rPr>
          <w:b/>
        </w:rPr>
        <w:t>POSSIBLE 2026:</w:t>
      </w:r>
      <w:r>
        <w:t xml:space="preserve"> KAZAKHSTAN'S DEMOGRAPHIC FUTURE: A DYNAMIC PROJECTION OF AGING AND ECONOMIC IMPLICATIONS — https://doi.org/10.17130/ijmeb.1966657</w:t>
      </w:r>
    </w:p>
    <w:p>
      <w:pPr/>
      <w:r>
        <w:rPr>
          <w:b/>
        </w:rPr>
        <w:t>Shared claim-specific concepts:</w:t>
      </w:r>
      <w:r>
        <w:t xml:space="preserve"> population; EU scope not established. This is a provisional connection, not an outcome finding.</w:t>
      </w:r>
    </w:p>
    <w:p>
      <w:pPr>
        <w:pStyle w:val="SourceNote"/>
      </w:pPr>
      <w:r>
        <w:rPr>
          <w:b/>
        </w:rPr>
        <w:t>Available abstract (not full text):</w:t>
      </w:r>
      <w:r>
        <w:t xml:space="preserve"> Kazakhstan’s relatively young and healthy demographic profile masks underlying pressures arising from population aging and declining fertility. This study provides an open, data-driven assessment of the country’s medium- and long-term demographic trajectory through a novel dynamic microsimulation framework. To isolate intrinsic demographic dynamics, the model assumes no migration and replaces exogenous age-specific schedules with endogenous feedback mechanisms in which births and deaths respond directly to changes in the population’s age structure. The results indicate that population growth will continue for approximately 25–36 years, reaching a peak of around 25 million before entering a sustained period of decline. At the same time, population aging accelerates, with the average age projected to increase from just over 30 years to between 48 and 58 years within a century. The analysis identifies fertility, rather than mortality, as the primary determinant of long-run demographic outcomes. From an economic perspective, these trends imply a gradual contraction of the working-age population, rising dependency ratios, and growing structural pressure on labor markets. As large working-age cohorts transition into retirement, the balance between contributors and beneficiaries is expected to deteriorate, increasing pressure on social security and pension systems. Although life expec</w:t>
      </w:r>
    </w:p>
    <w:p>
      <w:pPr/>
      <w:r>
        <w:rPr>
          <w:b/>
        </w:rPr>
        <w:t>POSSIBLE 2026:</w:t>
      </w:r>
      <w:r>
        <w:t xml:space="preserve"> Future Projections of Burned Area in Europe Highlight the Importance of Human Action — https://doi.org/10.1111/gcb.71043</w:t>
      </w:r>
    </w:p>
    <w:p>
      <w:pPr/>
      <w:r>
        <w:rPr>
          <w:b/>
        </w:rPr>
        <w:t>Shared claim-specific concepts:</w:t>
      </w:r>
      <w:r>
        <w:t xml:space="preserve"> population, projections, potential, substantially; EU scope visible. This is a provisional connection, not an outcome finding.</w:t>
      </w:r>
    </w:p>
    <w:p>
      <w:pPr>
        <w:pStyle w:val="SourceNote"/>
      </w:pPr>
      <w:r>
        <w:rPr>
          <w:b/>
        </w:rPr>
        <w:t>Available abstract (not full text):</w:t>
      </w:r>
      <w:r>
        <w:t xml:space="preserve"> Wildfires are often a natural part of many European ecosystems, but human activities through land use, other socio-economic factors and climate change have significantly changed how fires behave. Anthropogenic climate change is already intensifying fire-prone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experiments where socio-economic factors are held constant to isolate their influence. Our findings show that both biophysical and socio-economic factors strongly affect future wildfire activity. Fire weather and fire management capacity are important drivers, while population density, vegetation shifts and land use matter more at regional scales. By the end of the century, intensified fi</w:t>
      </w:r>
    </w:p>
    <w:p>
      <w:pPr/>
      <w:r>
        <w:rPr>
          <w:b/>
        </w:rPr>
        <w:t>POSSIBLE 2026:</w:t>
      </w:r>
      <w:r>
        <w:t xml:space="preserve"> The impact of population ageing on temperature-related mortality projections in the Czech Republic — https://doi.org/10.1088/2752-5295/aea925</w:t>
      </w:r>
    </w:p>
    <w:p>
      <w:pPr/>
      <w:r>
        <w:rPr>
          <w:b/>
        </w:rPr>
        <w:t>Shared claim-specific concepts:</w:t>
      </w:r>
      <w:r>
        <w:t xml:space="preserve"> population, projections, substantially; EU scope visible. This is a provisional connection, not an outcome finding.</w:t>
      </w:r>
    </w:p>
    <w:p>
      <w:pPr>
        <w:pStyle w:val="SourceNote"/>
      </w:pPr>
      <w:r>
        <w:rPr>
          <w:b/>
        </w:rPr>
        <w:t>Available abstract (not full text):</w:t>
      </w:r>
      <w:r>
        <w:t xml:space="preserve"> Abstract Climate change and population ageing are jointly reshaping temperature-related mortality patterns in Europe; however, their combined effects remain insufficiently quantified on the national scale. In the Czech Republic, cold-related mortality has historically exceeded heat-related mortality, but this pattern is expected to shift under future climate and demographic transitions. Here, we projected future heat- and cold-attributable mortality under both climate-only and population ageing scenarios. We estimated age-specific (&lt;75 and ⩾75 years) temperature–mortality associations for all 14 NUTS-3 regions using a three-stage time-series modelling framework and combined them with high-resolution EURO-CORDEX climate projections and Shared Socioeconomic Pathway population scenarios under RCP4.5/SSP2 and RCP8.5/SSP5. Heat- and cold-attributable mortalities were projected across four future periods. Heat-attributable mortality increases substantially, rising from 2 deaths historically to 20 deaths by the 2090s under RCP8.5/SSP5. Cold-attributable mortality declines under climate-only scenarios but increases markedly when population ageing is included, reaching 105 deaths by the 2090s and reversing climate-driven reductions. The combined net temperature-related mortality burden increased from 82 deaths in the historical period to 124 under population ageing scenarios, with agein</w:t>
      </w:r>
    </w:p>
    <w:p>
      <w:pPr/>
      <w:r>
        <w:rPr>
          <w:b/>
        </w:rPr>
        <w:t>POSSIBLE 2026:</w:t>
      </w:r>
      <w:r>
        <w:t xml:space="preserve"> Evaluating Livestock Culling Practices Using Population Projection Models in Neolithic Dalmatia — https://doi.org/10.5334/jcaa.257</w:t>
      </w:r>
    </w:p>
    <w:p>
      <w:pPr/>
      <w:r>
        <w:rPr>
          <w:b/>
        </w:rPr>
        <w:t>Shared claim-specific concepts:</w:t>
      </w:r>
      <w:r>
        <w:t xml:space="preserve"> population, production; EU scope not established. This is a provisional connection, not an outcome finding.</w:t>
      </w:r>
    </w:p>
    <w:p>
      <w:pPr>
        <w:pStyle w:val="SourceNote"/>
      </w:pPr>
      <w:r>
        <w:rPr>
          <w:b/>
        </w:rPr>
        <w:t>Available abstract (not full text):</w:t>
      </w:r>
      <w:r>
        <w:t xml:space="preserve"> Mortality profiles derived from age-at-death estimates of archaeological animal remains reveal the outcomes of prehistoric herders slaughtering decisions. Survivorship curves from these data are often interpreted as evidence for herd management strategies optimized for meat, milk, or wool production. Spatial and temporal comparisons can illuminate variation and development in agropastoral economies, but these profiles also carry assumptions. High juvenile mortality, for instance, may compromise long-term herd viability, while interpreting survivorship as a reflection of constant offtake rates across generations can oversimplify pastoral dynamics. This study addresses these issues by modeling sheep and goat herd demography with a stage-structured Lefkovitch projection model. Culling strategies derived from Neolithic Dalmatian sites, informed by caprine age-at-death data, serve as primary constraints on herd growth. By optimizing offtake rates, the simulations evaluate how herders might have adjusted their practices to maintain herd stability amid environmental and subsistence stresses. Results show that sheep herds were generally more sustainable than goat herds, highlighting the demographic impact of differing culling regimes. The findings underscore the adaptive nature of prehistoric herd management and the importance of flexible strategies for mitigating risk and ensuring lon</w:t>
      </w:r>
    </w:p>
    <w:p>
      <w:pPr/>
      <w:r>
        <w:rPr>
          <w:b/>
        </w:rPr>
        <w:t>POSSIBLE 2026:</w:t>
      </w:r>
      <w:r>
        <w:t xml:space="preserve"> Population Dynamics and Demographic Crises in the Parish of Detva (1781–1920): Evidence from Inverse Projection — https://doi.org/10.54694/dem.0389</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This study provides a comprehensive historical demographic analysis of the parish of Detva, located in present-day Slovakia, covering the period 1781–1920. It aims to reconstruct long-term population dynamics and assess the determinants of demographic change in a rural Central European setting, where systematic census data are limited. Parish registers of births, deaths, and marriages serve as the primary sources, with a total of 58,551 baptisms and 39,032 deaths analysed to reconstruct population dynamics. The study applies the inverse projection method, enabling the estimation of population size, age structure, fertility, mortality, and other key demographic indicators in a context where census data are incomplete or unavailable. The results reveal that the parish experienced gradual population growth, punctuated by periods of crisis caused by epidemics, famine, economic instability, and emigration. Crude Birth and Death Rates, along with Gross and Net Reproduction Rates (GRR and NRR), indicate sustained generational replacement, with fertility remaining high until the late 19th century and only declining under the influence of economic and wartime crises. Life expectancy at birth (e_0) remained relatively low, averaging around 32 years, reflecting high mortality among children and the elderly before the demographic transition. The age structure was dominated by children and </w:t>
      </w:r>
    </w:p>
    <w:p>
      <w:pPr>
        <w:pStyle w:val="Heading2"/>
      </w:pPr>
      <w:r>
        <w:t>740. Scenarios for population health inequalities in 2030 in Europe: the EURO-HEALTHY project experience</w:t>
      </w:r>
    </w:p>
    <w:p>
      <w:pPr>
        <w:pStyle w:val="SourceNote"/>
      </w:pPr>
      <w:r>
        <w:rPr>
          <w:b/>
        </w:rPr>
        <w:t>Original source (2019):</w:t>
      </w:r>
      <w:r>
        <w:t xml:space="preserve"> https://doi.org/10.1186/s12939-019-1000-8</w:t>
      </w:r>
    </w:p>
    <w:p>
      <w:pPr/>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POSSIBLE 2026:</w:t>
      </w:r>
      <w:r>
        <w:t xml:space="preserve"> Landscape Report on Diamond OA Publishing: Europe — https://doi.org/10.5281/zenodo.19236088</w:t>
      </w:r>
    </w:p>
    <w:p>
      <w:pPr/>
      <w:r>
        <w:rPr>
          <w:b/>
        </w:rPr>
        <w:t>Shared claim-specific concepts:</w:t>
      </w:r>
      <w:r>
        <w:t xml:space="preserve"> objective, three, regions; EU scope visible. This is a provisional connection, not an outcome finding.</w:t>
      </w:r>
    </w:p>
    <w:p>
      <w:pPr>
        <w:pStyle w:val="SourceNote"/>
      </w:pPr>
      <w:r>
        <w:rPr>
          <w:b/>
        </w:rPr>
        <w:t>Available abstract (not full text):</w:t>
      </w:r>
      <w:r>
        <w:t xml:space="preserve">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pPr/>
      <w:r>
        <w:rPr>
          <w:b/>
        </w:rPr>
        <w:t>POSSIBLE 2026:</w:t>
      </w:r>
      <w:r>
        <w:t xml:space="preserve"> Pathway narratives towards a nature‑positive European Union land system: operationalising the Nature Futures Framework for policy objectives — https://doi.org/10.5194/wbf2026-674</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2026:</w:t>
      </w:r>
      <w:r>
        <w:t xml:space="preserve"> Maternal Group B Streptococcus Vaccination: A Three-Country European Consortium to Improve Surveillance and Data Readiness — https://doi.org/10.2147/clep.s600067</w:t>
      </w:r>
    </w:p>
    <w:p>
      <w:pPr/>
      <w:r>
        <w:rPr>
          <w:b/>
        </w:rPr>
        <w:t>Shared claim-specific concepts:</w:t>
      </w:r>
      <w:r>
        <w:t xml:space="preserve"> objective, three, across, approach; EU scope visible. This is a provisional connection, not an outcome finding.</w:t>
      </w:r>
    </w:p>
    <w:p>
      <w:pPr>
        <w:pStyle w:val="SourceNote"/>
      </w:pPr>
      <w:r>
        <w:rPr>
          <w:b/>
        </w:rPr>
        <w:t>Available abstract (not full text):</w:t>
      </w:r>
      <w:r>
        <w:t xml:space="preserve"> Background: (GBS) is a common gut coloniser, yet it can cause serious disease in pregnant women, newborns, and in adults with predisposing conditions. Estimates suggest that approximately 20 million pregnant women are colonised with GBS, and 394,000 cases of invasive disease occur in infants every year, but there are many data gaps. Several countries lack robust data, leading to likely underestimation of the true disease burden, notably for GBS-associated stillbirths and preterm births. Objective: Recent progress in the development of maternal GBS vaccines adds urgency to the need for comprehensive surveillance data. The aim of this study is to describe advances in routine health information systems and record linkage offer new opportunities for robust monitoring and research on GBS outcomes, both before and after vaccine roll-out. Approach: This review article identifies crucial research gaps, proposes priority outcomes that should be monitored, and highlights opportunities to use routine data from three European countries (Denmark, the Netherlands, the United Kingdom) to harmonise data and strengthen the evidence base to inform national GBS vaccine policy decisions. Conclusion: Strengthening and harmonising routine data collection across Europe and globally will be essential to maximize and measure the benefits of a maternal GBS vaccination.</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key, across, regions;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Europe as a subject and object of epistemic reflection — https://doi.org/10.30574/wjarr.2025.27.1.2547</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Seroepidemiology of maternal and childhood pathogen exposure in three European mother-child cohorts — https://doi.org/10.1016/j.ijid.2025.107994</w:t>
      </w:r>
    </w:p>
    <w:p>
      <w:pPr/>
      <w:r>
        <w:rPr>
          <w:b/>
        </w:rPr>
        <w:t>Shared claim-specific concepts:</w:t>
      </w:r>
      <w:r>
        <w:t xml:space="preserve"> three, factors, across, methods, expected; EU scope visible. This is a provisional connection, not an outcome finding.</w:t>
      </w:r>
    </w:p>
    <w:p>
      <w:pPr>
        <w:pStyle w:val="SourceNote"/>
      </w:pPr>
      <w:r>
        <w:rPr>
          <w:b/>
        </w:rPr>
        <w:t>Available abstract (not full text):</w:t>
      </w:r>
      <w:r>
        <w:t xml:space="preserve"> OBJECTIVES: To describe the epidemiology of common pathogens and risk factors among pregnant women and their children. METHODS: In three European population-based birth cohorts, we examined 2213 mother-child pairs, contributing 5036 blood samples from pregnancy to 12 years of age. We measured serum immunoglobulin G levels against polyomaviruses (BKPyV, JCPyV, KIPyV, WUPyV, MCPyV), herpesviruses (Epstein-Barr virus [EBV], cytomegalovirus [CMV], varicella-zoster virus), adenovirus 36, Helicobacter pylori, and Toxoplasma gondii with multiplex serology. RESULTS: Among pregnant women, seroprevalence ranged from 18.7% (H. pylori) to 95.7% (EBV); among 4-6-year-old children, seroprevalence ranged from 3.6% (H. pylori) to 88.4% (BKPyV). Although most primary infections occurred in the first 4 years of life, some children had primary infections at later ages. Seropositive mothers were more likely to have seropositive children, but an intergenerational decrease in seroprevalence was evident for herpesviruses and H. pylori. There were sizeable differences between countries for H. pylori and T. gondii. Non-western ethnicity mothers and their children were more likely to be infected. Female sex (WUPyV, MCPyV, CMV), breastfeeding (CMV), early daycare attendance (CMV, H. pylori), and obesity (JCPyV, EBV, Adv-36) were associated with child's seroprevalence. CONCLUSIONS: European children acqui</w:t>
      </w:r>
    </w:p>
    <w:p>
      <w:pPr/>
      <w:r>
        <w:rPr>
          <w:b/>
        </w:rPr>
        <w:t>POSSIBLE 2025:</w:t>
      </w:r>
      <w:r>
        <w:t xml:space="preserve"> Pathway narratives towards a nature-positive European Union land system: operationalising the Nature Futures Framework for policy objectives — https://doi.org/10.1007/s11625-025-01737-0</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describes, developed, factors, across, methods;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Disparities in Seasonal Influenza Vaccination in Europe — https://doi.org/10.1002/iid3.70186</w:t>
      </w:r>
    </w:p>
    <w:p>
      <w:pPr/>
      <w:r>
        <w:rPr>
          <w:b/>
        </w:rPr>
        <w:t>Shared claim-specific concepts:</w:t>
      </w:r>
      <w:r>
        <w:t xml:space="preserve"> objective, key, factors, across, methods; EU scope visible. This is a provisional connection, not an outcome finding.</w:t>
      </w:r>
    </w:p>
    <w:p>
      <w:pPr>
        <w:pStyle w:val="SourceNote"/>
      </w:pPr>
      <w:r>
        <w:rPr>
          <w:b/>
        </w:rPr>
        <w:t>Available abstract (not full text):</w:t>
      </w:r>
      <w:r>
        <w:t xml:space="preserve"> BACKGROUND: Seasonal influenza remains a major public health challenge in Europe, associated with high morbidity, mortality, and socioeconomic burden. Despite the proven efficacy and cost-effectiveness of vaccination, coverage rates vary substantially across European countries and population groups, often falling short of the World Health Organization's target of 75% for older adults. OBJECTIVE: This narrative review aims to identify and explore disparities in seasonal influenza vaccination coverage across European countries and among different population subgroups. It also seeks to examine the underlying causes of these disparities and propose actionable strategies to improve equity in vaccine uptake. METHODS: A literature search was conducted using the PubMed database for English-language articles published within the last 5 years. Keywords included: comorbidity, disparity, Europe, inequality, influenza, knowledge, ethnic disparity, seasonal influenza vaccination, socioeconomic disparity, vaccination coverage, and vaccine hesitancy. Additional references were identified from the retrieved articles. RESULTS: Widespread disparities in influenza vaccination were observed across various demographic and professional groups. These included disparities by geographic location, ethnicity, socioeconomic status, sex and gender, age, comorbidities, and occupation-particularly among healt</w:t>
      </w:r>
    </w:p>
    <w:p>
      <w:pPr/>
      <w:r>
        <w:rPr>
          <w:b/>
        </w:rPr>
        <w:t>POSSIBLE 2024:</w:t>
      </w:r>
      <w:r>
        <w:t xml:space="preserve"> Soil bulk density assessment in Europe — https://doi.org/10.1016/j.agee.2024.108907</w:t>
      </w:r>
    </w:p>
    <w:p>
      <w:pPr/>
      <w:r>
        <w:rPr>
          <w:b/>
        </w:rPr>
        <w:t>Shared claim-specific concepts:</w:t>
      </w:r>
      <w:r>
        <w:t xml:space="preserve"> three, developed, applied;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CLASSIFICATION OF LARGE EUROPEAN CITIES BASED ON THE RATINGS OF THEIR INHABITANTS — https://doi.org/10.29119/1641-3466.2024.213.37</w:t>
      </w:r>
    </w:p>
    <w:p>
      <w:pPr/>
      <w:r>
        <w:rPr>
          <w:b/>
        </w:rPr>
        <w:t>Shared claim-specific concepts:</w:t>
      </w:r>
      <w:r>
        <w:t xml:space="preserve"> objective, three, factors, methods, approach; EU scope visible. This is a provisional connection, not an outcome finding.</w:t>
      </w:r>
    </w:p>
    <w:p>
      <w:pPr>
        <w:pStyle w:val="SourceNote"/>
      </w:pPr>
      <w:r>
        <w:rPr>
          <w:b/>
        </w:rPr>
        <w:t>Available abstract (not full text):</w:t>
      </w:r>
      <w:r>
        <w:t xml:space="preserve"> Purpose: Trends indicate an increasing share of the population living in an urbanized world.It is important to provide them with appropriate living conditions.Most often, we describe living conditions using objective indicators.We hope that they reflect the expectations of the residents well.What if this is not the case?The aim of the research presented in the article is to provide a classification of large European cities based on the opinions of their inhabitants.Design/methodology/approach: Eurostat provides data from the Perception Survey on the Quality of Life in European Cities.The research is carried out every four years.The last was in 2023.Findings: The existence of three types of large European cities covered by the study was indicated. Research limitations/implications:The results of the research are based on subjective assessments of the residents, perhaps they should be verified with objective factors.Social implications: A work to look at cities through the eyes of their inhabitants.It shows the similarities in their perception of the conditions resulting from the location of the city and the economic conditions of the state.Originality/value: Application of clustering methods to the analyzed data, determination of groups of similar cities.Defining the dimensions in the PCA analysis that cities can be described.</w:t>
      </w:r>
    </w:p>
    <w:p>
      <w:pPr>
        <w:pStyle w:val="Heading2"/>
      </w:pPr>
      <w:r>
        <w:t>741. Seeds of good anthropocenes: developing sustainability scenarios for Northern Europe</w:t>
      </w:r>
    </w:p>
    <w:p>
      <w:pPr>
        <w:pStyle w:val="SourceNote"/>
      </w:pPr>
      <w:r>
        <w:rPr>
          <w:b/>
        </w:rPr>
        <w:t>Original source (2019):</w:t>
      </w:r>
      <w:r>
        <w:t xml:space="preserve"> https://doi.org/10.1007/s11625-019-00714-8</w:t>
      </w:r>
    </w:p>
    <w:p>
      <w:pPr/>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POSSIBLE 2026:</w:t>
      </w:r>
      <w:r>
        <w:t xml:space="preserve"> Hydrological drought but not flood synchronicity increases over Europe — https://doi.org/10.5194/egusphere-egu26-4770</w:t>
      </w:r>
    </w:p>
    <w:p>
      <w:pPr/>
      <w:r>
        <w:rPr>
          <w:b/>
        </w:rPr>
        <w:t>Shared claim-specific concepts:</w:t>
      </w:r>
      <w:r>
        <w:t xml:space="preserve"> those, tend, large-scale, driven;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focus, role, few, often, initiatives;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2025:</w:t>
      </w:r>
      <w:r>
        <w:t xml:space="preserve"> The European Union’s role in European defence industry policy — https://doi.org/10.1080/14702436.2025.2472694</w:t>
      </w:r>
    </w:p>
    <w:p>
      <w:pPr/>
      <w:r>
        <w:rPr>
          <w:b/>
        </w:rPr>
        <w:t>Shared claim-specific concepts:</w:t>
      </w:r>
      <w:r>
        <w:t xml:space="preserve"> role, often, initiatives;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Regressive ‘alternative’ media and their role in disrupting the public spheres in Europe and Latin America — https://doi.org/10.1007/s11616-025-00892-9</w:t>
      </w:r>
    </w:p>
    <w:p>
      <w:pPr/>
      <w:r>
        <w:rPr>
          <w:b/>
        </w:rPr>
        <w:t>Shared claim-specific concepts:</w:t>
      </w:r>
      <w:r>
        <w:t xml:space="preserve"> those, role, often; EU scope visible. This is a provisional connection, not an outcome finding.</w:t>
      </w:r>
    </w:p>
    <w:p>
      <w:pPr>
        <w:pStyle w:val="SourceNote"/>
      </w:pPr>
      <w:r>
        <w:rPr>
          <w:b/>
        </w:rPr>
        <w:t>Available abstract (not full text):</w:t>
      </w:r>
      <w:r>
        <w:t xml:space="preserve"> Abstract The emergence of alternative media is linked to the progressive social movements of the 1960s and 1970s, which aimed to democratize media production and amplify marginalized voices. Recently, regressive news sites have emerged, claiming to be “alternative” despite their far-right ideologies. As a result, some independent “digital natives” in Latin America reject the “alternative” label. In disinformation studies, scholars often use the term ‘alternative’ to describe media outlets that oppose mainstream institutions without critically addressing power dynamics. Critical media scholars argue that labeling the far right as a counter-public under the ‘alternative’ banner risks equating undemocratic groups with those advocating for democracy. The global right-wing movement is more accurately characterized as “defensive” publics due to its alignment with systemic inequalities. We contend that the right wing’s alignment with systemic inequalities, coupled with its tenuous relationship with truth, distinguishes it from progressive alternative publics. While independent digital-native media often incorporate fact-checking units to combat disinformation, right-wing outlets are significant sources of falsehoods. These outlets exploit democratic rhetoric and distort constructivist views of facts to advance anti-democratic agendas. To illustrate this tactic, the article examines th</w:t>
      </w:r>
    </w:p>
    <w:p>
      <w:pPr/>
      <w:r>
        <w:rPr>
          <w:b/>
        </w:rPr>
        <w:t>POSSIBLE 2025:</w:t>
      </w:r>
      <w:r>
        <w:t xml:space="preserve"> Continuing recovery of wolves in Europe — https://doi.org/10.1371/journal.pstr.0000158</w:t>
      </w:r>
    </w:p>
    <w:p>
      <w:pPr/>
      <w:r>
        <w:rPr>
          <w:b/>
        </w:rPr>
        <w:t>Shared claim-specific concepts:</w:t>
      </w:r>
      <w:r>
        <w:t xml:space="preserve"> those, role, positive, often;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Cancer burden in Europe: a systematic analysis of the GLOBOCAN database (2022) — https://doi.org/10.1186/s12885-025-13862-1</w:t>
      </w:r>
    </w:p>
    <w:p>
      <w:pPr/>
      <w:r>
        <w:rPr>
          <w:b/>
        </w:rPr>
        <w:t>Shared claim-specific concepts:</w:t>
      </w:r>
      <w:r>
        <w:t xml:space="preserve"> role, common, environmental;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The role of social, policy and economic forces in shaping forest restoration practices in Europe — https://doi.org/10.1016/j.landusepol.2025.107876</w:t>
      </w:r>
    </w:p>
    <w:p>
      <w:pPr/>
      <w:r>
        <w:rPr>
          <w:b/>
        </w:rPr>
        <w:t>Shared claim-specific concepts:</w:t>
      </w:r>
      <w:r>
        <w:t xml:space="preserve"> role, large-scale, drivers, driven, initiatives; EU scope visible. This is a provisional connection, not an outcome finding.</w:t>
      </w:r>
    </w:p>
    <w:p>
      <w:pPr>
        <w:pStyle w:val="SourceNote"/>
      </w:pPr>
      <w:r>
        <w:rPr>
          <w:b/>
        </w:rPr>
        <w:t>Available abstract (not full text):</w:t>
      </w:r>
      <w:r>
        <w:t xml:space="preserve"> Forest restoration in Europe has a complex history strongly influenced by various social, policy and economic factors. Understanding these influences is essential for shaping effective restoration strategies and avoiding past mistakes, particularly in light of meeting ambitious targets outlined in initiatives such as the EU Nature Restoration Regulation. Here we identify the key social, policy and economic drivers, barriers and enablers that have historically shaped forest restoration across Europe. We analyzed and synthesized detailed information from historical national narratives on forest restoration provided by experts from 18 European countries. Our work details how wars, changes in governance (centralization vs. decentralization) and forest tenure (privatization vs. nationalization), different policy instruments (regulatory, financial, persuasive and organizational), market fluctuations and sociodemographic changes (e.g., rural abandonment, changes in public opinion) have driven the development of forest restoration in Europe. The findings underscore the need to use inclusive and innovative governance mechanisms to reconcile diverging societal paradigms (e.g., rural vs. urban, conservation vs. forestry) partly reflected in incoherent forest-related policies, as well as to address the fragmentation resulting from forest privatization. Ensuring stable funding mechanisms (e</w:t>
      </w:r>
    </w:p>
    <w:p>
      <w:pPr/>
      <w:r>
        <w:rPr>
          <w:b/>
        </w:rPr>
        <w:t>POSSIBLE 2024:</w:t>
      </w:r>
      <w:r>
        <w:t xml:space="preserve"> Trends and geographic variation in adverse impacts of nitrogen use in Europe on human health, climate, and ecosystems: A review — https://doi.org/10.1016/j.earscirev.2024.104789</w:t>
      </w:r>
    </w:p>
    <w:p>
      <w:pPr/>
      <w:r>
        <w:rPr>
          <w:b/>
        </w:rPr>
        <w:t>Shared claim-specific concepts:</w:t>
      </w:r>
      <w:r>
        <w:t xml:space="preserve"> those, tend, environmental, positive; EU scope visible. This is a provisional connection, not an outcome finding.</w:t>
      </w:r>
    </w:p>
    <w:p>
      <w:pPr>
        <w:pStyle w:val="SourceNote"/>
      </w:pPr>
      <w:r>
        <w:rPr>
          <w:b/>
        </w:rPr>
        <w:t>Available abstract (not full text):</w:t>
      </w:r>
      <w:r>
        <w:t xml:space="preserve"> This paper presents a review of the trends and geographic variation of impacts of reactive nitrogen (N) inputs on in Europe through impacts on air, soil and water quality. It illustrates those impacts, by assessing temporal and spatial variation in air, soil and water quality indicators and their exceedances of critical thresholds in view of impacts on human health, terrestrial and aquatic ecosystems, during 1990-2019. Trends are derived from regular inventory and monitoring data and from simulated trends in air quality using the EMEP model. Well quantified adverse impacts of increased N use are: (i) the effects on human health due to increased tropospheric concentrations of NOx and ozone, and N-induced increases in fine particulate matter, (ii) the contribution of N2O to climate change and stratospheric ozone depletion, (iii) the loss of plant and faunal diversity both in terrestrial and aquatic ecosystems via direct and soil mediated impacts, (iv) the acidification of forest soils, with impacts on tree forest nutrition, tree growth and tree vitality, and (v) the eutrophication of marine ecosystems, and associated biodiversity loss and occurrence of harmful algae blooms. Over the period 1990-2019, N inputs to agriculture stayed relatively constant, but the emissions of ammonia (NH3) decreased by 27%, while emissions of nitrogen oxides (NOx) decreased by 57%. In response to tho</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role, drivers, positive;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The Role of Environmental Factors in Lyme Disease Transmission in the European Union: A Systematic Review — https://doi.org/10.3390/tropicalmed9050113</w:t>
      </w:r>
    </w:p>
    <w:p>
      <w:pPr/>
      <w:r>
        <w:rPr>
          <w:b/>
        </w:rPr>
        <w:t>Shared claim-specific concepts:</w:t>
      </w:r>
      <w:r>
        <w:t xml:space="preserve"> role, environmental, positive; EU scope visible. This is a provisional connection, not an outcome finding.</w:t>
      </w:r>
    </w:p>
    <w:p>
      <w:pPr>
        <w:pStyle w:val="SourceNote"/>
      </w:pPr>
      <w:r>
        <w:rPr>
          <w:b/>
        </w:rPr>
        <w:t>Available abstract (not full text):</w:t>
      </w:r>
      <w:r>
        <w:t xml:space="preserve"> BACKGROUND: spp. Our objective was to determine meteorological and environmental factors associated with LD transmission in Europe and the effect of climate change on LD. MATERIALS AND METHODS: A systematic review following the PRISMA guidelines was performed. We selected studies on LD transmission in the European Union (EU) and the European Economic Area (EEA) published between 2000 and 2022. The protocol was registered in the PROSPERO database. RESULTS: We included 81 studies. The impact of environmental, meteorological or climate change factors on tick vectors was studied in 65 papers (80%), and the impact on human LD cases was studied in 16 papers (19%), whereas animal hosts were only addressed in one study (1%). A significant positive relationship was observed between temperature and precipitation and the epidemiology of LD, although contrasting results were found among studies. Other positive factors were humidity and the expansion of anthropized habitats. CONCLUSIONS: The epidemiology of LD seems to be related to climatic factors that are changing globally due to ongoing climate change. Unfortunately, the complete zoonotic cycle was not systematically analyzed. It is important to adopt a One Health approach to understand LD epidemiology.</w:t>
      </w:r>
    </w:p>
    <w:p>
      <w:pPr/>
      <w:r>
        <w:rPr>
          <w:b/>
        </w:rPr>
        <w:t>POSSIBLE 2024:</w:t>
      </w:r>
      <w:r>
        <w:t xml:space="preserve"> Role of Renewable Energy Adoption in Reducing Climate Change Impacts in Europe — https://doi.org/10.47672/ajcs.2336</w:t>
      </w:r>
    </w:p>
    <w:p>
      <w:pPr/>
      <w:r>
        <w:rPr>
          <w:b/>
        </w:rPr>
        <w:t>Shared claim-specific concepts:</w:t>
      </w:r>
      <w:r>
        <w:t xml:space="preserve"> role, environmental, often;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2024:</w:t>
      </w:r>
      <w:r>
        <w:t xml:space="preserve"> Proactively boosting home dialysis adoption in Europe — https://doi.org/10.1093/ndt/gfae199</w:t>
      </w:r>
    </w:p>
    <w:p>
      <w:pPr/>
      <w:r>
        <w:rPr>
          <w:b/>
        </w:rPr>
        <w:t>Shared claim-specific concepts:</w:t>
      </w:r>
      <w:r>
        <w:t xml:space="preserve"> those, focus, initiatives; EU scope visible. This is a provisional connection, not an outcome finding.</w:t>
      </w:r>
    </w:p>
    <w:p>
      <w:pPr>
        <w:pStyle w:val="SourceNote"/>
      </w:pPr>
      <w:r>
        <w:rPr>
          <w:b/>
        </w:rPr>
        <w:t>Available abstract (not full text):</w:t>
      </w:r>
      <w:r>
        <w:t xml:space="preserve"> This publication builds upon a previous editorial outlining the advantages of home dialysis [1], and suggests strategies to boost the adoption of home dialysis across Europe. By the end of 2021, the ERA Registry [2, 3] reported a dismal 8.6% and 1.3% of dialysis patients across Europe on peritoneal dialysis (PD) and home hemodialysis, respectively, with marked variations between countries (Table 1). Failure to take proactive stimulating measures risks jeopardizing the long-term continuity of quality kidney care in Europe. Ranking of European countries with regards to uptake of home dialysis strategies vs all dialysis. All dialysis: home hemodialysis, peritoneal dialysis and in-center hemodialysis; all home dialysis: home hemodialysis plus peritoneal dialysis. Based on the ERA Registry 2023 (covering the year 2021) [2]. Data for some countries (e.g. Cyprus, Germany, Ireland, Luxembourg, Malta, Moldova, Russia and Slovenia, and small European states like Andorra) are missing in the ERA registry and for other countries data is incomplete (France 27 of 28 regions, Italy 7 of 20 regions). For Portugal, no figures on home hemodialysis were made available. Belgium, Spain and UK: composite figures for 2, 16 and 4 regions, respectively. Tunisia (Sfax region), Turkey and Israel are reported by the ERA registry but are not included here. Data for Cyprus and Russia extrapolated from [3] (d</w:t>
      </w:r>
    </w:p>
    <w:p>
      <w:pPr>
        <w:pStyle w:val="Heading2"/>
      </w:pPr>
      <w:r>
        <w:t>742. Soft-linking of a behavioral model for transport with energy system cost optimization applied to hydrogen in EU</w:t>
      </w:r>
    </w:p>
    <w:p>
      <w:pPr>
        <w:pStyle w:val="SourceNote"/>
      </w:pPr>
      <w:r>
        <w:rPr>
          <w:b/>
        </w:rPr>
        <w:t>Original source (2019):</w:t>
      </w:r>
      <w:r>
        <w:t xml:space="preserve"> https://doi.org/10.1016/j.rser.2019.109349</w:t>
      </w:r>
    </w:p>
    <w:p>
      <w:pPr/>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POSSIBLE 2026:</w:t>
      </w:r>
      <w:r>
        <w:t xml:space="preserve"> Decentralized Energy Systems in the European Union — https://doi.org/10.4324/9781003781127-4</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Climate and Energy Policy — https://doi.org/10.4324/9781003736134-18</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This chapter examines the role of AI in climate action and energy policy, focusing on its potential to support energy transition, grid modernisation, energy efficiency, renewable energy deployment, and emissions reduction. Through a comparative analysis of the European Union and Japan, it explores how both jurisdictions integrate AI into broader climate, energy, and industrial strategies. The chapter also considers the regulatory implications of AI in energy governance, including its potential to assist regulators and improve policy implementation. By linking technological innovation with sustainability objectives, the chapter highlights AI’s growing significance in shaping future climate and energy governance frameworks.</w:t>
      </w:r>
    </w:p>
    <w:p>
      <w:pPr/>
      <w:r>
        <w:rPr>
          <w:b/>
        </w:rPr>
        <w:t>POSSIBLE 2026:</w:t>
      </w:r>
      <w:r>
        <w:t xml:space="preserve"> PERSEUS-PtX: European Energy System Model and Dataset — https://doi.org/10.5281/zenodo.19480834</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This repository contains the complete code and dataset of the European energy system model PERSEUS-PtX, a member of the PERSEUS model family. The model enables the analysis of European energy system transformation pathways with a particular focus on hydrogen and reactive metals. All components required for model runs and for the production of results, including processed output diagrams, are included. Background information on the model’s development, key features, and detailed instructions for execution and citation are provided in the accompanying README file. Funding is gratefully acknowledged, including support from the following organizations: Stiftung Energieforschung Baden-Württemberg, European Institute for Energy Research (EIFER), German Federal Ministry of Economic Affairs (BMWi/BMWK/BMWE), German Federal Ministry for the Environment, Climate Protection, Nature Conservation and Nuclear Safety (BMU/BMUB/BMUV/BMUKN), German Federal Ministry of Education and Research (BMBF), Baden-Württemberg Ministry for the Environment, Climate and Energy Sector, VolkswagenStiftung, Helmholtz-Gemeinschaft Deutscher Forschungszentren e.V., European Commission, Interreg, Deutsche Forschungsgemeinschaft (DFG), Projekt- und Studienfonds der schweizerischen Elektrizitätswirtschaft, BKW Energie AG, and Kraftwerke Oberhasli AG.</w:t>
      </w:r>
    </w:p>
    <w:p>
      <w:pPr/>
      <w:r>
        <w:rPr>
          <w:b/>
        </w:rPr>
        <w:t>POSSIBLE 2026:</w:t>
      </w:r>
      <w:r>
        <w:t xml:space="preserve"> Energy policy and economic security: a comparison of Europe and Asia — https://doi.org/10.33223/epj/207199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Back to Basics: Changes in the Energy Policies of American and European Oil and Gas Majors amid the Fourth Energy Transition — https://doi.org/10.24833/2073-8420-2026-2-79-123-131</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Introduction. The aim of this article is to analyze how the strategies of major oil and gas companies have evolved both in their core hydrocarbon business and in its low-carbon component, as a result of the erratic energy policies pursued by many large energy-consuming countries. For decades, oil and gas activities formed the backbone of these companies’ operations. However, with the growing political prioritization of “green energy,” several major players announced intentions to scale back traditional hydrocarbons and dramatically increase investments in renewable energy. Of particular interest are the actual outcomes these companies have faced depending on their chosen policy trajectory and strategic decisions. Materials and methods. The study employs qualitative research approaches that make it possible to synthesize existing perspectives on corporate diversification and to assess its advantages and drawbacks. Corporate reports of leading oil and gas companies were examined to identify the key drivers and strategic directions underlying their ongoing transformation. Research results. The authors analyzed the strategic planning practices of European and American majors in the context of the fourth energy transition, highlighting the differences in their approaches and paying close attention to the gap between the companies’ public commitments and their actual performance. Dis</w:t>
      </w:r>
    </w:p>
    <w:p>
      <w:pPr/>
      <w:r>
        <w:rPr>
          <w:b/>
        </w:rPr>
        <w:t>POSSIBLE 2026:</w:t>
      </w:r>
      <w:r>
        <w:t xml:space="preserve"> Long-term scenario for a decarbonised European energy system — https://openalex.org/W7141777866</w:t>
      </w:r>
    </w:p>
    <w:p>
      <w:pPr/>
      <w:r>
        <w:rPr>
          <w:b/>
        </w:rPr>
        <w:t>Shared claim-specific concepts:</w:t>
      </w:r>
      <w:r>
        <w:t xml:space="preserve"> energy, system, largest;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2026:</w:t>
      </w:r>
      <w:r>
        <w:t xml:space="preserve"> Input and results for "Energy demand modelling in Germany and Europe" — https://doi.org/10.5281/zenodo.21340996</w:t>
      </w:r>
    </w:p>
    <w:p>
      <w:pPr/>
      <w:r>
        <w:rPr>
          <w:b/>
        </w:rPr>
        <w:t>Shared claim-specific concepts:</w:t>
      </w:r>
      <w:r>
        <w:t xml:space="preserve"> focus, energy, system, reduction, without; EU scope visible. This is a provisional connection, not an outcome finding.</w:t>
      </w:r>
    </w:p>
    <w:p>
      <w:pPr>
        <w:pStyle w:val="SourceNote"/>
      </w:pPr>
      <w:r>
        <w:rPr>
          <w:b/>
        </w:rPr>
        <w:t>Available abstract (not full text):</w:t>
      </w:r>
      <w:r>
        <w:t xml:space="preserve"> This dataset contains the input and results for the Streamlit application Europe Demand · Streamlit. We examine the impact of policy and technological measures on the European hydrogen demand between 2025 and 2050 in five-year intervals, with a particular focus on Germany. For this, we employ the open-source energy system model PyPSA-Eur in combination with a myopic optimization approach. The geographical scope covers the EU, the United Kingdom, Norway, Switzerland, and the Western Balkan countries, excluding Malta and Cyprus. The analysis encompasses 34 countries and 39 regions. The selected scenarios represent potential developments in the European energy system and contribute to rational decision-making regarding necessary measures. The reference scenario aims to meet climate protection targets in line with the European Green Deal. The focus is on a technology-neutral, region-specific approach without additional biomass use. Building on this, the following scenarios are further developed and refined to identify a range of potential demand for green hydrogen and its derivates: Low-Carbon Scenario: Achieving a 1.5 °C-compatible transition pathway High-Carbon Scenario: No further progress on climate action after 2025 Low H2 Cost Scenario: 25% reduction in CAPEX costs for electrolysers Grid Freeze Scenario: No additional grid expansion compared to the current status High H2 Dema</w:t>
      </w:r>
    </w:p>
    <w:p>
      <w:pPr/>
      <w:r>
        <w:rPr>
          <w:b/>
        </w:rPr>
        <w:t>POSSIBLE 2026:</w:t>
      </w:r>
      <w:r>
        <w:t xml:space="preserve"> Comparison of Building Energy Performance Policies in the European Union and Türkiye in the Context of Climate Risk Management — https://doi.org/10.54864/planarch.1949234</w:t>
      </w:r>
    </w:p>
    <w:p>
      <w:pPr/>
      <w:r>
        <w:rPr>
          <w:b/>
        </w:rPr>
        <w:t>Shared claim-specific concepts:</w:t>
      </w:r>
      <w:r>
        <w:t xml:space="preserve"> energy, system, reduction, period; EU scope visible. This is a provisional connection, not an outcome finding.</w:t>
      </w:r>
    </w:p>
    <w:p>
      <w:pPr>
        <w:pStyle w:val="SourceNote"/>
      </w:pPr>
      <w:r>
        <w:rPr>
          <w:b/>
        </w:rPr>
        <w:t>Available abstract (not full text):</w:t>
      </w:r>
      <w:r>
        <w:t xml:space="preserve"> Due to its significant contribution to global energy consumption and greenhouse gas emissions, the building sector plays an important role in reducing carbon footprints, supporting climate adaptation, and strengthening risk management. This study compares building energy performance policies in the European Union (EU) and Türkiye from the perspective of climate risk management. The analysis focuses on the EU Energy Performance of Buildings Directive (EPBD), which has developed from the nearly zero-energy building (nZEB) approach toward the zero-emission building (ZEB) target, and on Türkiye’s Regulation on Energy Performance in Buildings (BEPY), including the nearly zero-energy building (nSEB) approach, the BEP-TR calculation system, and the Energy Identity Certificate (EKB). In the document analysis, five EU documents and four Turkish documents from the 2010–2024 period were evaluated in terms of design, implementation, and management/supervision dimensions. The findings show that the two approaches share common goals in reducing energy demand, increasing energy efficiency, and supporting the use of renewable energy. While policy tools do not eliminate climate hazards, they can contribute to reducing vulnerability and improving adaptation capacity through building envelope performance, passive design, and performance monitoring. While the EU approach integrates building renova</w:t>
      </w:r>
    </w:p>
    <w:p>
      <w:pPr/>
      <w:r>
        <w:rPr>
          <w:b/>
        </w:rPr>
        <w:t>POSSIBLE 2026:</w:t>
      </w:r>
      <w:r>
        <w:t xml:space="preserve"> The Common European Energy Data Space and the Energy Networks — https://doi.org/10.1007/s40518-026-00288-x</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Abstract Purpose of Review The development of the Common European Energy Data Space (CEEDS) emerges as a pillar to enable secure, interoperable, trusted, and resilient data exchange among stakeholders of the European energy system. Recent Findings We study the potentials for the CEEDS from an energy infrastructure perspective. We focus on the improvement of operational processes, reducing barriers to entry and to data exchanges, utilising AI-driven analytics, new cross-sectoral processes, and flexibility. Summary Recent innovative projects and solutions implemented, show promising and relevant potential for the implementation of the CEEDS in the energy sector. However, there are still not enough empirical analyses of the impact of real-life energy data space initiatives, which are essential for implementing these large-scale solutions.</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energy, system, total;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ENERGY SYSTEM OF UKRAINE: EUROPEAN INTEGRATION TRANSFORMATIONS AND ECONOMIC SECURITY — https://doi.org/10.31617/1.2026(169)01</w:t>
      </w:r>
    </w:p>
    <w:p>
      <w:pPr/>
      <w:r>
        <w:rPr>
          <w:b/>
        </w:rPr>
        <w:t>Shared claim-specific concepts:</w:t>
      </w:r>
      <w:r>
        <w:t xml:space="preserve"> energy, system, period; EU scope visible. This is a provisional connection, not an outcome finding.</w:t>
      </w:r>
    </w:p>
    <w:p>
      <w:pPr>
        <w:pStyle w:val="SourceNote"/>
      </w:pPr>
      <w:r>
        <w:rPr>
          <w:b/>
        </w:rPr>
        <w:t>Available abstract (not full text):</w:t>
      </w:r>
      <w:r>
        <w:t xml:space="preserve"> This article examines the significance of the energy system for the functioning of the national economy and its impact on the level of the stateʼs economic and overall security. Particular atten­tion is paid to the energy systemʼs ability to adapt to crisis conditions, particularly during a period of martial law, when the risks of losing generation, transmission and distribution capa­city increase significantly. It is argued that the recovery and development of the sector require the modernisation of the technical infrastructure and a reorientation of resource provision in line with European approaches. The research hypo­thesis is that the deepening of Ukraineʼs integration into the European economic space creates conditions for the qualitative moderni­sation of the energy system, increases its resilience to external threats and contributes to strengthening the stateʼs economic security. It is demonstrated that attracting international support and developing institutional investment mechanisms are important factors in the restora­tion of energy infrastructure. The theoretical basis of the study is the approach of enterprise economic security, which allows for a compre­hen­sive assessment of the state and prospects of the energy systemʼs development. The study employs general scientific methods, in particular analysis, synthesis and generalisation. It is gene­rally accepted that</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focus, energy, system, total;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pStyle w:val="Heading2"/>
      </w:pPr>
      <w:r>
        <w:t>743. Solar Photovoltaic Electricity Generation: A Lifeline for the European Coal Regions in Transition</w:t>
      </w:r>
    </w:p>
    <w:p>
      <w:pPr>
        <w:pStyle w:val="SourceNote"/>
      </w:pPr>
      <w:r>
        <w:rPr>
          <w:b/>
        </w:rPr>
        <w:t>Original source (2019):</w:t>
      </w:r>
      <w:r>
        <w:t xml:space="preserve"> https://doi.org/10.3390/su11133703</w:t>
      </w:r>
    </w:p>
    <w:p>
      <w:pPr/>
      <w:r>
        <w:t>Original wording (abstract; indexed_source_text_not_full_document_verified): According to the International Energy Agency, these emissions have to be reduced by more than 70% by 2040 to stay on track for the 1.5–2 °C scenario suggested by the Paris Agreement.</w:t>
      </w:r>
    </w:p>
    <w:p>
      <w:pPr/>
      <w:r>
        <w:rPr>
          <w:b/>
        </w:rPr>
        <w:t>POSSIBLE 2026:</w:t>
      </w:r>
      <w:r>
        <w:t xml:space="preserve"> Assessment of Energy Efficiency of the European Union Countries and Their Grouping by Qualimetric Methods — https://doi.org/10.1109/ess70338.2026.11536735</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 Green Deal highlights the strategic necessity of enhancing productivity within the energy sectors of member states. The aim of this study is to assess the energy efficiency performance of European Union countries and classify them through the application of a nonlinear functional relationship. Alongside the conventional linear normalisation approach, a nonlinear normalisation method for grouping countries is proposed. This approach is based on establishing a functional dependence between the actual indicator values and their corresponding scores on a dimensionless scale. As a result, the countries were categorised into three groups according to their level of energy efficiency. The developed methodology for country classification is universal and may be applied to a wide range of international comparative analyses.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according, international, energy, agency;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2026:</w:t>
      </w:r>
      <w:r>
        <w:t xml:space="preserve"> CLUSTER ANALYSIS OF THE MEMBER COUNTRIES OF THE EUROPEAN UNION ACCORDING TO ENERGY, ENVIRONMENTAL AND ECONOMIC INDICATORS — https://doi.org/10.7251/emc2601131a</w:t>
      </w:r>
    </w:p>
    <w:p>
      <w:pPr/>
      <w:r>
        <w:rPr>
          <w:b/>
        </w:rPr>
        <w:t>Shared claim-specific concepts:</w:t>
      </w:r>
      <w:r>
        <w:t xml:space="preserve"> according, energy, emissions; EU scope visible. This is a provisional connection, not an outcome finding.</w:t>
      </w:r>
    </w:p>
    <w:p>
      <w:pPr>
        <w:pStyle w:val="SourceNote"/>
      </w:pPr>
      <w:r>
        <w:rPr>
          <w:b/>
        </w:rPr>
        <w:t>Available abstract (not full text):</w:t>
      </w:r>
      <w:r>
        <w:t xml:space="preserve"> In this paper, a cluster analysis was conducted to group the European Union member states according to energy, environmental and economic indicators for 2023. The selected variables are GDP per capita, the share of renewable energy sources in total energy consumption and CO₂ emissions per capita. The aim of cluster analysis is to group the European Union member states based on economic, energy and environmental indicators in order to identify their mutual similarities and differences. The analysis begins with a hierarchical clustering method using the Ward method with squared Euclidean distance. The dendrogram indicated several potential solutions, and particular attention was paid to solutions with three and five clusters. The observed clusters reflect differences in the level of development and approach to energy policy. Countries with higher levels of economic development are characterized by a lower degree of sustainability due to a lower share of renewable energy sources and high greenhouse gas emissions. Conversely, less developed countries achieve better results according to environmental sustainability indicators, but at the same time have limited economic growth potential. To confirm the stability of the clusters, the K-means method, i.e. a non-hierarchical method, was also applied, which further refined the grouping. The results of the discriminant analysis showed hig</w:t>
      </w:r>
    </w:p>
    <w:p>
      <w:pPr/>
      <w:r>
        <w:rPr>
          <w:b/>
        </w:rPr>
        <w:t>POSSIBLE 2025:</w:t>
      </w:r>
      <w:r>
        <w:t xml:space="preserve"> A gridded inventory of anthropogenic hydrogen emissions in Europe — https://doi.org/10.1016/j.isci.2025.114095</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/year). However, hydrogen production is expected to increase 5- to 6-fold by 2050. Under such a scenario, hydrogen emissions from the hydrogen value chain can dominate hydrogen emissions in Europe and could undermine the climate benefits of hydrogen as an energy carrier, if not properly managed.</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Beef and dairy emissions: a diagnosis of the international legal order — https://doi.org/10.1093/jel/eqaf020</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Climate Change, Cattle, and the International Legal Order offers a new but necessary view of the role of international law in the fight against climate change. Rebecca Williams’ monograph focuses on the links between climate change and the cattle sector, exploring the integration of this agricultural sector into four relevant regimes—climate change, agriculture, forest and trade—showing how it remains a dangerous black spot of the international legal order. Her ‘diagnosis’ of livestock emissions consideration in the international legal order leads, however, to a broader discussion of understanding climate justice in relation to agriculture and redefines ‘the current conceptualisation of who is responsible for taking agri-climate action’.1 The links between climate change and cattle can be briefly described as 3-fold. Most famously, the first link is the role of enteric fermentation by cattle in producing Greenhouse Gases (GHGs) (with methane being more dangerous for the climate than carbon dioxide). The second link, now gaining traction in public awareness, is land-use impacts, namely the destruction of forests (which are carbon converters) due to cattle feed production and grazing. The third link, and maybe less known, is the way manure management produces carbon and methane and causes nitrogen run-off, creating ocean dead zones. Rebecca Williams employs a nexus approach to fo</w:t>
      </w:r>
    </w:p>
    <w:p>
      <w:pPr/>
      <w:r>
        <w:rPr>
          <w:b/>
        </w:rPr>
        <w:t>POSSIBLE 2025:</w:t>
      </w:r>
      <w:r>
        <w:t xml:space="preserve"> Methane Emissions from Mining in the European Union — https://doi.org/10.3390/en18040791</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2025:</w:t>
      </w:r>
      <w:r>
        <w:t xml:space="preserve"> Analysis of solar and wind energy utilisation in Europe and Africa — https://doi.org/10.70132/z8468559752</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increasing reliance on renewable energy sources is essential for achieving global sustainability, with solar and wind energy playing pivotal roles in mitigating climate change and reducing dependency on fossil fuels.This study presents an in-depth comparative analysis of solar and wind energy utilisation in Europe and Africa, examining the key differences in resource availability, adoption rates, technological advancements, economic factors, and policy frameworks.Europe has made significant progress integrating renewable energy into its energy mix through comprehensive policies, substantial financial investments, and cutting-edge technological developments.In contrast, despite possessing immense renewable energy potential, particularly in solar energy, Africa faces considerable challenges, including inadequate infrastructure, limited funding, and inconsistent policy implementation.The findings highlight the barriers and opportunities for both regions and propose strategies to optimise renewable energy deployment, fostering sustainable development across diverse socio-economic contexts.</w:t>
      </w:r>
    </w:p>
    <w:p>
      <w:pPr/>
      <w:r>
        <w:rPr>
          <w:b/>
        </w:rPr>
        <w:t>POSSIBLE 2025:</w:t>
      </w:r>
      <w:r>
        <w:t xml:space="preserve"> TRANSFORMATION OF EUROPEAN ENERGY LAW AND ITS CONSEQUENCES FOR THE INTERNATIONAL NATURAL GAS MARKET — https://doi.org/10.61525/s231243500036422-2</w:t>
      </w:r>
    </w:p>
    <w:p>
      <w:pPr/>
      <w:r>
        <w:rPr>
          <w:b/>
        </w:rPr>
        <w:t>Shared claim-specific concepts:</w:t>
      </w:r>
      <w:r>
        <w:t xml:space="preserve"> international, energy; EU scope visible. This is a provisional connection, not an outcome finding.</w:t>
      </w:r>
    </w:p>
    <w:p>
      <w:pPr>
        <w:pStyle w:val="SourceNote"/>
      </w:pPr>
      <w:r>
        <w:rPr>
          <w:b/>
        </w:rPr>
        <w:t>Available abstract (not full text):</w:t>
      </w:r>
      <w:r>
        <w:t xml:space="preserve"> The process of European integration, undertaken in preparation for the conclusion of the Treaty on European Union, created in the 1980s the need to consolidate the pan-European fuel and energy market and to unify the national energy spaces of European countries. Since then, an intensive process of forming a single energy space of European countries has begun. The initial objective was to establish a unified European energy system to optimize regulatory processes. Between 1996 and 2019, four successive legislative packages were adopted, aimed at integrating markets and liberalizing national gas and electricity markets. Having undergone substantial transformation, European energy legislation has evolved into an instrument designed to phase out fossil fuels, including natural gas, and to increase the share of renewable energy sources in the overall energy mix. To achieve the stated climate goals by 2050, the legal framework governing the operation of the European energy system will continue to be reformed. The global trend towards 2050 involves a steady increase in electricity generation, provided by both carbon-based and carbon-free sources. The energy transition exerts a significant influence on international energy markets, compelling gas producers and exporters to adapt to changing conditions. Owing to fast economic growth and rising demand for energy resources, countries in t</w:t>
      </w:r>
    </w:p>
    <w:p>
      <w:pPr/>
      <w:r>
        <w:rPr>
          <w:b/>
        </w:rPr>
        <w:t>POSSIBLE 2025:</w:t>
      </w:r>
      <w:r>
        <w:t xml:space="preserve"> ENERGY EFFICIENCY IN RESIDENTIAL BUILDINGS: ANALYSIS OF NATIONAL AND INTERNATIONAL EXPERIENCE — https://doi.org/10.33042/3083-6727-2025-6-194-228-237</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article provides a comprehensive analytical review of contemporary approaches to energy-efficient residential building design, comparing practices in Ukraine with those established in Western countries. The study examines the regulatory and legal framework that governs the design, construction, and certification of buildings according to energy efficiency criteria, highlighting the evolution of standards and their impact on the construction industry. A detailed comparison is conducted between Ukrainian building codes (DBNs) and state standards (DSTUs) and their European, American, and Canadian counterparts, including the Energy Performance of Buildings Directive (EPBD), ISO 52000 series, ASHRAE 90.1, and the National Energy Code of Canada for Buildings (NECB). This comparative analysis reveals significant disparities in methodology, calculation procedures, and minimum energy performance requirements. The research demonstrates that Western standards incorporate more comprehensive approaches to lifecycle assessment, renewable energy integration, and occupant behavior modeling, while Ukrainian regulations are gradually transitioning toward these advanced methodologies. Based on the practical example of the Lofthouse cottage in the Netherlands, the article illustrates a technological model of an energy-efficient building that exemplifies Nearly Zero Energy Building (NZEB) princ</w:t>
      </w:r>
    </w:p>
    <w:p>
      <w:pPr/>
      <w:r>
        <w:rPr>
          <w:b/>
        </w:rPr>
        <w:t>POSSIBLE 2024:</w:t>
      </w:r>
      <w:r>
        <w:t xml:space="preserve"> Energy in Europe: The influence of uncertainty on biogas development — https://openalex.org/W4397049276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Driven by the effects of climate change, renewable energy production is growing at a fast pace. Forexample, biogas production using anaerobic digestion holds great potential (78 billion m3) in Europe.There has been a significant increase in the number of biogas plants in Europe, with a 40 percent increasein the number of installations between 2020 and 2021, and other development projects in the pipeline topromote renewable energy at European level, such as in the REPowerEU plan. However, for decadesnow, technical, political, and social uncertainties have limited the development of biogas production inEurope, and especially in France. Methods used to estimate bioCH4 potential showed a wide dispersion,due to the high variability of biomass and microbial communities. Uncertainty arising from changes inlaw and regulation has a negative impact on the economics of biogas projects. Another factor is socialuncertainty, driven in particular by the “Not In My BackYard” (NIMBY) effect and economic costs,incidents due to the operator’s lack of training, insufficient monitoring by the authorities, and inadequatepollution control measures</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pStyle w:val="Heading2"/>
      </w:pPr>
      <w:r>
        <w:t>744. The Dutch Public Health Foresight Study 2018: an example of a comprehensive foresight exercise</w:t>
      </w:r>
    </w:p>
    <w:p>
      <w:pPr>
        <w:pStyle w:val="SourceNote"/>
      </w:pPr>
      <w:r>
        <w:rPr>
          <w:b/>
        </w:rPr>
        <w:t>Original source (2019):</w:t>
      </w:r>
      <w:r>
        <w:t xml:space="preserve"> https://doi.org/10.1093/eurpub/ckz200</w:t>
      </w:r>
    </w:p>
    <w:p>
      <w:pPr/>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POSSIBLE 2026:</w:t>
      </w:r>
      <w:r>
        <w:t xml:space="preserve"> Conclusions…and Beginnings — https://doi.org/10.4324/9781003733386-7</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pPr/>
      <w:r>
        <w:rPr>
          <w:b/>
        </w:rPr>
        <w:t>POSSIBLE 2026:</w:t>
      </w:r>
      <w:r>
        <w:t xml:space="preserve"> Short-term thinking, long-term costs: How managerial myopia undermines green innovation — https://doi.org/10.4102/sajbm.v57i1.5337</w:t>
      </w:r>
    </w:p>
    <w:p>
      <w:pPr/>
      <w:r>
        <w:rPr>
          <w:b/>
        </w:rPr>
        <w:t>Shared claim-specific concepts:</w:t>
      </w:r>
      <w:r>
        <w:t xml:space="preserve"> long-term, thinking, stronger, level; EU scope not established. This is a provisional connection, not an outcome finding.</w:t>
      </w:r>
    </w:p>
    <w:p>
      <w:pPr>
        <w:pStyle w:val="SourceNote"/>
      </w:pPr>
      <w:r>
        <w:rPr>
          <w:b/>
        </w:rPr>
        <w:t>Available abstract (not full text):</w:t>
      </w:r>
      <w:r>
        <w:t xml:space="preserve">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pPr/>
      <w:r>
        <w:rPr>
          <w:b/>
        </w:rPr>
        <w:t>POSSIBLE 2026:</w:t>
      </w:r>
      <w:r>
        <w:t xml:space="preserve"> Strategic and Long-Term Educational Planning — https://doi.org/10.4018/979-8-3373-7645-5.ch008</w:t>
      </w:r>
    </w:p>
    <w:p>
      <w:pPr/>
      <w:r>
        <w:rPr>
          <w:b/>
        </w:rPr>
        <w:t>Shared claim-specific concepts:</w:t>
      </w:r>
      <w:r>
        <w:t xml:space="preserve"> long-term, thinking; EU scope not established. This is a provisional connection, not an outcome finding.</w:t>
      </w:r>
    </w:p>
    <w:p>
      <w:pPr>
        <w:pStyle w:val="SourceNote"/>
      </w:pPr>
      <w:r>
        <w:rPr>
          <w:b/>
        </w:rPr>
        <w:t>Available abstract (not full text):</w:t>
      </w:r>
      <w:r>
        <w:t xml:space="preserve"> .Long-term and strategic educational planning, therefore, is crucial for guaranteeing sustainability and resilience in higher education. In light of globalisation, technological change, and socio-economic insecurity, universities and colleges such as HBCUs, HSIs, MSIs, and PWIs must all adopt forward-looking models of planning. This chapter explores how strategic planning at universities and colleges can make them more agile, innovative, and inclusive through the application of systems thinking, data-informed decision-making, and foresight modelling to enhance governance, curriculum, faculty development, and student success. A global perspective points out how institutions operating within different policy and cultural settings respond to emerging challenges and opportunities. It provides a roadmap for linking institutional priorities with wider societal goals, including the United Nations' Sustainable Development Goals. The conclusion is that forward-looking planning is a transformative process through which the evolving mission and social purpose of higher education is shaped.</w:t>
      </w:r>
    </w:p>
    <w:p>
      <w:pPr/>
      <w:r>
        <w:rPr>
          <w:b/>
        </w:rPr>
        <w:t>POSSIBLE 2026:</w:t>
      </w:r>
      <w:r>
        <w:t xml:space="preserve"> Redesigning Long-Term Care Policy Using Systems Thinking in the Post-Pandemic Era — https://doi.org/10.3390/systems14010079</w:t>
      </w:r>
    </w:p>
    <w:p>
      <w:pPr/>
      <w:r>
        <w:rPr>
          <w:b/>
        </w:rPr>
        <w:t>Shared claim-specific concepts:</w:t>
      </w:r>
      <w:r>
        <w:t xml:space="preserve"> long-term, thinking, involvement; EU scope not established. This is a provisional connection, not an outcome finding.</w:t>
      </w:r>
    </w:p>
    <w:p>
      <w:pPr>
        <w:pStyle w:val="SourceNote"/>
      </w:pPr>
      <w:r>
        <w:rPr>
          <w:b/>
        </w:rPr>
        <w:t>Available abstract (not full text):</w:t>
      </w:r>
      <w:r>
        <w:t xml:space="preserve"> The COVID-19 pandemic highlighted critical issues in health services and public policy, particularly in long-term care facilities across Canada. Failures in these facilities revolving around chronic underfunding, staffing shortages, inadequate infection control, and inconsistent regulatory oversight, underscore the need to rethink health service interventions, especially considering varying implementation contexts among provinces. The Ontario Long-Term Care COVID-19 Commission Final Report pointed to long-standing systemic issues as the primary causes of the sector’s failures. To explore this issue, a narrative review was conducted with findings indicating that the long-term care crisis in Canada cannot be solved by more privatization, regulation or efficiency measures, as these have contributed to the problem’s root causes. Ontario’s long-term care crisis stems from systemic misalignments in policy, structure and stakeholder dynamics, requiring a shift toward systems thinking and resident-centered care to build an equitable and sustainable long-term care sector. Ultimately, governments must lead a policy redesign that reflects shared responsibility, stakeholder interdependence, and public involvement, offering a model for broader healthcare reform.</w:t>
      </w:r>
    </w:p>
    <w:p>
      <w:pPr/>
      <w:r>
        <w:rPr>
          <w:b/>
        </w:rPr>
        <w:t>POSSIBLE 2026:</w:t>
      </w:r>
      <w:r>
        <w:t xml:space="preserve"> TREATMENT OF ACUTE LUNATE DISLOCATION BY CLOSED REDUCTION AND CASTING: A CASE REPORT — https://doi.org/10.25258/ijddt.16.63s.182</w:t>
      </w:r>
    </w:p>
    <w:p>
      <w:pPr/>
      <w:r>
        <w:rPr>
          <w:b/>
        </w:rPr>
        <w:t>Shared claim-specific concepts:</w:t>
      </w:r>
      <w:r>
        <w:t xml:space="preserve"> long-term, casting, applied; EU scope not established. This is a provisional connection, not an outcome finding.</w:t>
      </w:r>
    </w:p>
    <w:p>
      <w:pPr>
        <w:pStyle w:val="SourceNote"/>
      </w:pPr>
      <w:r>
        <w:rPr>
          <w:b/>
        </w:rPr>
        <w:t>Available abstract (not full text):</w:t>
      </w:r>
      <w:r>
        <w:t xml:space="preserve"> Background: Lunate dislocation is an uncommon, high-energy traumatic wrist injury.Due to its rarity, misdiagnosis or delayed treatment is common and frequently leads to poor functional outcomes, median nerve compression, and chronic joint dysfunction.1,2 While open reduction and surgical repair of disrupted ligaments are typically performed in most cases to prevent long-term dysfunction, early-diagnosed acute dislocations may benefit from a conservative approach after stable closed reduction.[3][4][5][6] Case Description: A 28-year-old male physical education teacher presented to the emergency department with acute pain, swelling, and median nerve paresthesia over the right wrist following trauma.Radiographic evaluation confirmed a diagnosis of acute volar lunate dislocation (Mayfield Stage 4 carpal instability).3 Under general anesthesia, successful closed reduction was achieved using Tavernier's method.7 With satisfactory intraoperative stability, a below-elbow cast was applied for three weeks, and oral methylcobalamin therapy was initiated.The patient's tingling sensation completely resolved over the first two weeks.At the 3-month follow-up, the patient experienced no pain at rest, demonstrated an exceptional extension/flexion range of 90°-0°-75° and pronation/supination range of 90°-0°-90°, and successfully resumed his professional duties.Conclusion: Closed reduction and ca</w:t>
      </w:r>
    </w:p>
    <w:p>
      <w:pPr/>
      <w:r>
        <w:rPr>
          <w:b/>
        </w:rPr>
        <w:t>POSSIBLE 2025:</w:t>
      </w:r>
      <w:r>
        <w:t xml:space="preserve"> Value-Driven Back casting Technique as a Methodology for designing the Future of Continuous Learning Center Interiors (AI as an Assistive Tool). — https://doi.org/10.21608/aaj.2025.378971.1130</w:t>
      </w:r>
    </w:p>
    <w:p>
      <w:pPr/>
      <w:r>
        <w:rPr>
          <w:b/>
        </w:rPr>
        <w:t>Shared claim-specific concepts:</w:t>
      </w:r>
      <w:r>
        <w:t xml:space="preserve"> long-term, thinking, back, casting, developing; EU scope not established. This is a provisional connection, not an outcome finding.</w:t>
      </w:r>
    </w:p>
    <w:p>
      <w:pPr>
        <w:pStyle w:val="SourceNote"/>
      </w:pPr>
      <w:r>
        <w:rPr>
          <w:b/>
        </w:rPr>
        <w:t>Available abstract (not full text):</w:t>
      </w:r>
      <w:r>
        <w:t xml:space="preserve"> Interior design today faces two significant challenges: a decline in creativity and originality due to an overreliance on digital tools, AI, and online platforms for inspiration, and a lack of alignment with sustainability and the United Nations Sustainable Development Goals (SDGs). This misalignment often occurs because these global visions are not adequately considered during the design process. One of the main reasons for these challenges is the pressure of time and efficiency, which frequently forces designers to prioritize convenience over creativity and innovation. As a result, designs often fail to address long-term societal and environmental impacts.This paper explores various thinking approaches while designing, critically examining their potential to tackle these challenges. It introduces "value-driven back casting" technique as an innovative framework for interior design, emphasizing a future-focused and goal-oriented approach to overcoming these issues. This methodology empowers interior designers to actively shape and define their own future, rather than merely following trends or relying on existing tools and ideas. By developing out-of-the-box thinking and encouraging innovation, this approach enables designers to become leaders in creating forward-thinking and sustainable solutions. To demonstrate its application, the paper presents an experiment that uses this </w:t>
      </w:r>
    </w:p>
    <w:p>
      <w:pPr/>
      <w:r>
        <w:rPr>
          <w:b/>
        </w:rPr>
        <w:t>POSSIBLE 2025:</w:t>
      </w:r>
      <w:r>
        <w:t xml:space="preserve"> The Learning Inquiry with Mnemonic Strategy for the Formation of Long-Term Memory and Creative Thinking Ability — https://doi.org/10.1344/joned.v6i1.49406</w:t>
      </w:r>
    </w:p>
    <w:p>
      <w:pPr/>
      <w:r>
        <w:rPr>
          <w:b/>
        </w:rPr>
        <w:t>Shared claim-specific concepts:</w:t>
      </w:r>
      <w:r>
        <w:t xml:space="preserve"> long-term, thinking, level; EU scope not established. This is a provisional connection, not an outcome finding.</w:t>
      </w:r>
    </w:p>
    <w:p>
      <w:pPr>
        <w:pStyle w:val="SourceNote"/>
      </w:pPr>
      <w:r>
        <w:rPr>
          <w:b/>
        </w:rPr>
        <w:t>Available abstract (not full text):</w:t>
      </w:r>
      <w:r>
        <w:t xml:space="preserve"> Students' understanding of enzyme and metabolism material is relatively low. This is due to the students' low memory. In the latest curriculum, students are expected to understand the function of enzymes and be familiar with the metabolic processes that occur in the body. Another ability that needs to be improved is the ability to think creatively which must be present in 21st century students. This study aims to analyze the impact of the inquiry model with mnemonic strategy on the formation of long-term memory (LTM) and creative thinking and the correlation between the two on metabolic material. The method used was a quasi-experiment with a pretest-posttest control group design on students of class XII SMA Negeri 1 Magelang who obtained phase F of Biology subject. The instruments used include pretest questions, posttest questions, LKPD, student response questionnaire, and an observation sheet of learning implementation. The results showed that this learning model had a significant positive effect on forming LTM and creative thinking skills as indicated by the significance of Mann-Whitney U 0.000 &lt;0.005. Spearman correlation analysis showed a fairly close relationship (r = 0.311) between the two. In addition, the implementation of learning was rated 100% and students' positive responses reached 86%. This study implies that the use of an inquiry learning model with mnemonic stra</w:t>
      </w:r>
    </w:p>
    <w:p>
      <w:pPr/>
      <w:r>
        <w:rPr>
          <w:b/>
        </w:rPr>
        <w:t>POSSIBLE 2025:</w:t>
      </w:r>
      <w:r>
        <w:t xml:space="preserve"> ‘Near-to-Medium Term’ Practices in the European Union’s Governance — https://doi.org/10.38158/apjeus.23.1.3</w:t>
      </w:r>
    </w:p>
    <w:p>
      <w:pPr/>
      <w:r>
        <w:rPr>
          <w:b/>
        </w:rPr>
        <w:t>Shared claim-specific concepts:</w:t>
      </w:r>
      <w:r>
        <w:t xml:space="preserve"> long-term, thinking, policy-makers; EU scope visible. This is a provisional connection, not an outcome finding.</w:t>
      </w:r>
    </w:p>
    <w:p>
      <w:pPr>
        <w:pStyle w:val="SourceNote"/>
      </w:pPr>
      <w:r>
        <w:rPr>
          <w:b/>
        </w:rPr>
        <w:t>Available abstract (not full text):</w:t>
      </w:r>
      <w:r>
        <w:t xml:space="preserve"> Long-term thinking is one of the most difficult tasks that States, and their policy-makers, face, and the European Union (EU) is no exception. This article examines the long-termist literature and the EU’s governance’s practices infused with power. It addresses the following question: does (and how) the practice approach make it possible to capture the practices of the European Union’s governance that give rise to contrasting directions when encroaching on social interactions? The findings highlight how the practices of the EU’s governance lead to different and opposed outcomes when interact with the social sphere, and how the outcomes are connected to the future. The findings might serve policy-makers to remind the importance of considering the effects of their policies on the future. The article fulfils these tasks by applying the practice approach to three short illustrative examples that are inherent within the EU’s governance: the Covid pandemic, Afghanistan, and China. The issue of how the practical implications of this paper might inform the ‘near-to-medium term’ policy-making or international relations strategies is discussed in the conclusion.</w:t>
      </w:r>
    </w:p>
    <w:p>
      <w:pPr/>
      <w:r>
        <w:rPr>
          <w:b/>
        </w:rPr>
        <w:t>POSSIBLE 2025:</w:t>
      </w:r>
      <w:r>
        <w:t xml:space="preserve"> Strategic thinking and psychological security of the individual — https://doi.org/10.17759/epps.2025020201</w:t>
      </w:r>
    </w:p>
    <w:p>
      <w:pPr/>
      <w:r>
        <w:rPr>
          <w:b/>
        </w:rPr>
        <w:t>Shared claim-specific concepts:</w:t>
      </w:r>
      <w:r>
        <w:t xml:space="preserve"> conclusions, long-term, thinking, developing; EU scope not established. This is a provisional connection, not an outcome finding.</w:t>
      </w:r>
    </w:p>
    <w:p>
      <w:pPr>
        <w:pStyle w:val="SourceNote"/>
      </w:pPr>
      <w:r>
        <w:rPr>
          <w:b/>
        </w:rPr>
        <w:t>Available abstract (not full text):</w:t>
      </w:r>
      <w:r>
        <w:t xml:space="preserve"> Context and Relevance. The study examines the concept of “strategic thinking” as a complex ability of an individual, closely tied to long-term planning, critical thinking, and metacognitive capabilities. This, in turn, is directly related to psychological well-being and the psychological safety of the individual. Objective: to explore and substantiate the relationship between the psychological constructs of “strategic thinking” and “psychological safety” of the individual. Hypotheses. “Strategic thinking”, manifested in the ability for long-term planning and risk analysis, contributes to enhancing personal psychological safety by reducing uncertainty and anxiety. Additionally, metacognitive processes, which are part of “strategic thinking”, strengthen personal psychological safety, enabling better management of emotions and reactions in stressful situations. These two directions can influence social representations and social attitudes, and interventions aimed at strengthening the construct of “strategic thinking” can contribute to improving the social situation by reducing anxiety and enhancing adaptive capabilities. Materials and methods. The study employs theoretical methods such as analysis (since “strategic thinking” comprises several interconnected components) and synthesis (to identify common features of the “strategic thinking” construct and psychological safety, and to</w:t>
      </w:r>
    </w:p>
    <w:p>
      <w:pPr/>
      <w:r>
        <w:rPr>
          <w:b/>
        </w:rPr>
        <w:t>POSSIBLE 2025:</w:t>
      </w:r>
      <w:r>
        <w:t xml:space="preserve"> Strategic planning for the long-term development of shrinking cities — https://doi.org/10.17877/de290r-26782</w:t>
      </w:r>
    </w:p>
    <w:p>
      <w:pPr/>
      <w:r>
        <w:rPr>
          <w:b/>
        </w:rPr>
        <w:t>Shared claim-specific concepts:</w:t>
      </w:r>
      <w:r>
        <w:t xml:space="preserve"> long-term, thinking, action, local, level;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Knowledge, thinking, and management — https://doi.org/10.7256/2454-0757.2025.12.77357</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The subject of this article's research is three interrelated concepts: knowledge, thinking, and management. A comprehensive analysis of these concepts, the definition of key terms and mechanisms reveals their significant commonality. The study of the knowledge system implies: consideration of methods for constructing the knowledge system, a comparative analysis of these methods, determination of the possibility of forming a meaningful model of knowledge; analysis of thinking – a set of event chains that make up the process of working memory in the cognitive system; managing complex systems, including real-time management of cognitive systems. In conclusion, the social aspect of the development of artificial cognitive systems is examined in the context of the established concepts of the knowledge-thinking-management cycle during the transition of civilization to the stage of cognitive technology civilization, characterized by a sharp increase in the significance of artificial cognitive systems. The research methodology is based on the use of knowledge from many fields: epistemology, general system theory and the methodology of scientific cognition, cognitive systems theory, management theory, and others. Various actor-oriented approaches were used as tools for implementing tasks related to building knowledge systems, developing thinking, and management. The scientific novelty of</w:t>
      </w:r>
    </w:p>
    <w:p>
      <w:pPr/>
      <w:r>
        <w:rPr>
          <w:b/>
        </w:rPr>
        <w:t>POSSIBLE 2025:</w:t>
      </w:r>
      <w:r>
        <w:t xml:space="preserve"> DEVELOPING CRITICAL THINKING SKILLS OF PRIMARY SCHOOL STUDENTS THROUGH INDEPENDENT CURRICULUM LEARNING — https://openalex.org/W7221244119</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The development of critical thinking skills among elementary school students plays an important role in preparing the younger generation to face the challenges of the fourth industrial revolution era. The method used is a literature study on this theme. The results of the study revealed that Merdeka Belajar Curriculum provides ample space to improve students' critical thinking skills through flexible learning, focusing on students, and closely related to context. Effective strategies include project-based learning, collaborative problem solving, and technology integration in the learning process. However, the research also identified challenges such as the need for intense enrichment of teacher competencies and adaptation of assessment methods to appropriately measure critical thinking skills. In conclusion, Merdeka Belajar Curriculum has great potential to improve the critical thinking skills of primary school students, but this achievement is highly dependent on careful implementation along with comprehensive support from all education stakeholders. Recommendations for further studies include long-term studies on the long-term impact of this curriculum on the development of students' critical thinking skills and the exploration of new assessment models that are in line with the objectives of the Merdeka Belajar Curriculum</w:t>
      </w:r>
    </w:p>
    <w:p>
      <w:pPr>
        <w:pStyle w:val="Heading2"/>
      </w:pPr>
      <w:r>
        <w:t>745. The biological transformation of industrial manufacturing – Technologies, status and scenarios for a sustainable future of the German manufacturing industry</w:t>
      </w:r>
    </w:p>
    <w:p>
      <w:pPr>
        <w:pStyle w:val="SourceNote"/>
      </w:pPr>
      <w:r>
        <w:rPr>
          <w:b/>
        </w:rPr>
        <w:t>Original source (2019):</w:t>
      </w:r>
      <w:r>
        <w:t xml:space="preserve"> https://doi.org/10.1016/j.jmsy.2019.11.006</w:t>
      </w:r>
    </w:p>
    <w:p>
      <w:pPr/>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POSSIBLE 2026:</w:t>
      </w:r>
      <w:r>
        <w:t xml:space="preserve"> Summary, Conclusions and Recommendations — https://doi.org/10.1201/9781003759744-14</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pPr/>
      <w:r>
        <w:rPr>
          <w:b/>
        </w:rPr>
        <w:t>POSSIBLE 2026:</w:t>
      </w:r>
      <w:r>
        <w:t xml:space="preserve"> Guidance on negative emissions for cities - Summary for Decision Makers — https://doi.org/10.2760/4262978</w:t>
      </w:r>
    </w:p>
    <w:p>
      <w:pPr/>
      <w:r>
        <w:rPr>
          <w:b/>
        </w:rPr>
        <w:t>Shared claim-specific concepts:</w:t>
      </w:r>
      <w:r>
        <w:t xml:space="preserve"> summary, decision, makers, develop;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2026:</w:t>
      </w:r>
      <w:r>
        <w:t xml:space="preserve"> DISCUSSION OF FINDINGS, SUMMARY, CONCLUSIONS, RECOMMENDATIONS, SUGGESTIONS FOR FURTHER RESEARCH, AND AUTHOR REFLECTION — https://doi.org/10.5281/zenodo.22797016</w:t>
      </w:r>
    </w:p>
    <w:p>
      <w:pPr/>
      <w:r>
        <w:rPr>
          <w:b/>
        </w:rPr>
        <w:t>Shared claim-specific concepts:</w:t>
      </w:r>
      <w:r>
        <w:t xml:space="preserve"> conclude, summary, recommendations, context; EU scope not established. This is a provisional connection, not an outcome finding.</w:t>
      </w:r>
    </w:p>
    <w:p>
      <w:pPr>
        <w:pStyle w:val="SourceNote"/>
      </w:pPr>
      <w:r>
        <w:rPr>
          <w:b/>
        </w:rPr>
        <w:t>Available abstract (not full text):</w:t>
      </w:r>
      <w:r>
        <w:t xml:space="preserve"> Leadership development plays an important role in increasing the effectiveness and sustainability of church organisations,especially in post conflict situations where the leaders are faced with a myriad of spiritual, social, organisational andresource challenges. The study focused on the effectiveness of leadership development programmes on leadershipcapacity among emerging leaders in African Inland Church (AIC) Torit District Church Council (DCC), South Sudan.Four dimensions of the leadership development programme were mentioned: programme content, training methods,training exposure and programme implementation constraints. The research design used was a mixed research designwhich involved both structured questionnaires and key informant interviews. 90 respondents provided quantitative dataand eight key informants provided qualitative data. Pearson correlation and regression analysis were used to explore therelationships between leadership development programme characteristics and leadership capacity, while descriptivestatistics were used to examine the characteristics of these programmes.The results revealed that there was positive and significant relationship between programme content and leadershipcapacity (r = 0.64; β = 0.30; p = 0.003), meaning that the programme content has a positive relationship with leadershipcapacity when it is relevant and integrated. The training m</w:t>
      </w:r>
    </w:p>
    <w:p>
      <w:pPr/>
      <w:r>
        <w:rPr>
          <w:b/>
        </w:rPr>
        <w:t>POSSIBLE 2026:</w:t>
      </w:r>
      <w:r>
        <w:t xml:space="preserve"> Digitizing the Pre-consultation Experience: Impacts and Design Recommendations — https://doi.org/10.1145/3772318.3791354</w:t>
      </w:r>
    </w:p>
    <w:p>
      <w:pPr/>
      <w:r>
        <w:rPr>
          <w:b/>
        </w:rPr>
        <w:t>Shared claim-specific concepts:</w:t>
      </w:r>
      <w:r>
        <w:t xml:space="preserve"> conclude, recommendations, information; EU scope not established. This is a provisional connection, not an outcome finding.</w:t>
      </w:r>
    </w:p>
    <w:p>
      <w:pPr>
        <w:pStyle w:val="SourceNote"/>
      </w:pPr>
      <w:r>
        <w:rPr>
          <w:b/>
        </w:rPr>
        <w:t>Available abstract (not full text):</w:t>
      </w:r>
      <w:r>
        <w:t xml:space="preserve"> Clinical pre-consultation, where patients share health information prior to an appointment, can offer better patient-centered care by freeing time for meaningful patient–physician conversations. Conversational agents powered by large language models (LLMs) can automate this process to make it more scalable and consistent, but doing so can cause information overload that exacerbates physicians’ workload as they spend time parsing through data. This paper examines the opportunities and challenges of using pre-consultation agents to mediate information transfer between patients and physicians, with the aim of producing clinically useful yet patient-driven summaries that capture their histories and concerns. Through sessions with both patients and physicians, we show that automatically generated pre-consultation summaries can increase patients’ confidence and sense of control over their health information while fostering a more collaborative dynamic. We conclude with design recommendations for integrating pre-consultation agents into clinical workflows.</w:t>
      </w:r>
    </w:p>
    <w:p>
      <w:pPr/>
      <w:r>
        <w:rPr>
          <w:b/>
        </w:rPr>
        <w:t>POSSIBLE 2025:</w:t>
      </w:r>
      <w:r>
        <w:t xml:space="preserve"> Understanding an Executive Summary: A Guide to Effective Communication and Decision-Making — https://doi.org/10.36948/ijfmr.2025.v07i05.55439</w:t>
      </w:r>
    </w:p>
    <w:p>
      <w:pPr/>
      <w:r>
        <w:rPr>
          <w:b/>
        </w:rPr>
        <w:t>Shared claim-specific concepts:</w:t>
      </w:r>
      <w:r>
        <w:t xml:space="preserve"> conclude, summary, recommendations, decision, context, information; EU scope not established. This is a provisional connection, not an outcome finding.</w:t>
      </w:r>
    </w:p>
    <w:p>
      <w:pPr>
        <w:pStyle w:val="SourceNote"/>
      </w:pPr>
      <w:r>
        <w:rPr>
          <w:b/>
        </w:rPr>
        <w:t>Available abstract (not full text):</w:t>
      </w:r>
      <w:r>
        <w:t xml:space="preserve"> Understanding an Executive Summary: A Guide to Effective Communication and Decision-Making The executive summary is a critical, yet frequently underestimated, component of professional communication in business, academic, and policy contexts. Often perceived as a mere formality or a brief introduction, its true purpose is to serve as a standalone, concise, and comprehensive overview of a larger document. It is designed to empower time-constrained decision-makers, stakeholders, and investors by providing them with the essential information required to grasp the core issues, key findings, and proposed recommendations without needing to read the entire report. A well-crafted executive summary demystifies complex data and extensive analysis, translating intricate details into a clear, compelling narrative that drives action. This abstract delves into the foundational principles of effective executive summary creation, exploring its strategic purpose, essential components, and the common pitfalls writers must navigate to produce a document that is both impactful and informative. At its core, an executive summary is a synthesis of critical information. It is not an introduction; rather, it is a distilled version of the entire report that should be able to stand on its own. Its purpose is to present the problem being addressed, the methodology used to investigate it, the key findings </w:t>
      </w:r>
    </w:p>
    <w:p>
      <w:pPr/>
      <w:r>
        <w:rPr>
          <w:b/>
        </w:rPr>
        <w:t>POSSIBLE 2025:</w:t>
      </w:r>
      <w:r>
        <w:t xml:space="preserve"> Policy recommendations for enhancing communication efficiency in organizations — https://doi.org/10.70593/978-93-49910-07-2_5</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This chapter presents a summary of the key findings based on the data presentation and analysis discussed in the previous chapter. Conclusions are then drawn, followed by recommendations derived from the study’s findings. Finally, suggestions for future research are provided. 5.2 Summary of Findings The following are the major findings that emerged from the data analysis: The study revealed that effective communication has a significant positive impact on organizational performance. The analysis further showed that effective communication enhances productivity within organizations. The findings indicate that managers who possess strong interpersonal communication skills are better able to disseminate information clearly, thereby minimizing communication gaps within the organization. The study also found that effective manager–employee communication contributes positively to the execution of decisions and the successful accomplishment of tasks. 5.3. Conclusion Based on the findings, the study concludes that effective communication fosters mutual understanding between management and employees. This mutual understanding plays a vital role in building strong relationships within the organization. Communication serves as the channel through which roles, responsibilities, resources, expectations, and tasks are conveyed to subordinates, enabling smoother workflow and enhanced performa</w:t>
      </w:r>
    </w:p>
    <w:p>
      <w:pPr/>
      <w:r>
        <w:rPr>
          <w:b/>
        </w:rPr>
        <w:t>POSSIBLE 2024:</w:t>
      </w:r>
      <w:r>
        <w:t xml:space="preserve"> The Politics of Platform Regulation — https://doi.org/10.1093/oso/9780197692851.001.0001</w:t>
      </w:r>
    </w:p>
    <w:p>
      <w:pPr/>
      <w:r>
        <w:rPr>
          <w:b/>
        </w:rPr>
        <w:t>Shared claim-specific concepts:</w:t>
      </w:r>
      <w:r>
        <w:t xml:space="preserve"> politics, information, technology; EU scope visible. This is a provisional connection, not an outcome finding.</w:t>
      </w:r>
    </w:p>
    <w:p>
      <w:pPr>
        <w:pStyle w:val="SourceNote"/>
      </w:pPr>
      <w:r>
        <w:rPr>
          <w:b/>
        </w:rPr>
        <w:t>Available abstract (not full text):</w:t>
      </w:r>
      <w:r>
        <w:t xml:space="preserve"> Abstract As digital platforms have become more integral to not just how we live, but also to how we do politics, the rules governing online expression, behavior, and interaction created by large multinational technology firms—popularly termed ‘content moderation,’ ‘platform governance,’ or ‘trust and safety’—have increasingly become the target of government regulatory efforts. This book provides a conceptual and empirical analysis of the important and emerging tech policy terrain of ‘platform regulation.’ How, why, and where exactly is it happening? Why now? And how do we best understand the vast array of strategies being deployed across jurisdictions to tackle this issue? The book outlines three strategies commonly pursued by government actors seeking to combat issues relating to the proliferation of hate speech, disinformation, child abuse imagery, and other forms of harmful content on user-generated content platforms: convincing, collaborating, and contesting. It then outlines a theoretical model for explaining the adoption of these different strategies in different political contexts and regulatory episodes. This model is explored through detailed case study chapters—driven by a combination of stakeholder interviews and new policymaking documents obtained via freedom of information requests—looking at policy development in Germany, Australia and New Zealand, and the United </w:t>
      </w:r>
    </w:p>
    <w:p>
      <w:pPr/>
      <w:r>
        <w:rPr>
          <w:b/>
        </w:rPr>
        <w:t>POSSIBLE 2024:</w:t>
      </w:r>
      <w:r>
        <w:t xml:space="preserve"> Concluding summary and future directions for travel behaviour — https://doi.org/10.4337/9781839105746.00034</w:t>
      </w:r>
    </w:p>
    <w:p>
      <w:pPr/>
      <w:r>
        <w:rPr>
          <w:b/>
        </w:rPr>
        <w:t>Shared claim-specific concepts:</w:t>
      </w:r>
      <w:r>
        <w:t xml:space="preserve"> summary, recommendations, context, date; EU scope not established. This is a provisional connection, not an outcome finding.</w:t>
      </w:r>
    </w:p>
    <w:p>
      <w:pPr>
        <w:pStyle w:val="SourceNote"/>
      </w:pPr>
      <w:r>
        <w:rPr>
          <w:b/>
        </w:rPr>
        <w:t>Available abstract (not full text):</w:t>
      </w:r>
      <w:r>
        <w:t xml:space="preserve"> This chapter is the closing summary of the Handbook of Travel Behaviour and discusses the major emerging themes, which are organised into two categories: 'Conceptual and Analytical' aspects and 'Contextual and Empirical' aspects. Key areas highlighted under these themes include: the profound effects of effects of virtualisation and digital technologies on the where, when and how people travel; the need for greater public participation in all stages of design, collection, and analysis of data as well as the communication of findings; greater understanding of the differing environmental, social and cultural contexts that travel behaviour takes place within, and corresponding impacts. To date, the field is dynamically moving and evolving depending on the geographical context. The best that can be hoped for is to comprehend these differences and do our best to reflect them in the approaches that we take and the recommendations that we make.</w:t>
      </w:r>
    </w:p>
    <w:p>
      <w:pPr/>
      <w:r>
        <w:rPr>
          <w:b/>
        </w:rPr>
        <w:t>POSSIBLE 2024:</w:t>
      </w:r>
      <w:r>
        <w:t xml:space="preserve"> The Politics of Approval — https://doi.org/10.1017/9781009341554.007</w:t>
      </w:r>
    </w:p>
    <w:p>
      <w:pPr/>
      <w:r>
        <w:rPr>
          <w:b/>
        </w:rPr>
        <w:t>Shared claim-specific concepts:</w:t>
      </w:r>
      <w:r>
        <w:t xml:space="preserve"> summary, politics, authors; EU scope not established. This is a provisional connection, not an outcome finding.</w:t>
      </w:r>
    </w:p>
    <w:p>
      <w:pPr>
        <w:pStyle w:val="SourceNote"/>
      </w:pPr>
      <w:r>
        <w:rPr>
          <w:b/>
        </w:rPr>
        <w:t>Available abstract (not full text):</w:t>
      </w:r>
      <w:r>
        <w:t xml:space="preserve"> The most widely read and influential component of the IPCC’s practice of writing is the summary for policymakers (SPM), where the key messages of the underlying report are presented in short sentences and figures to facilitate travel into the media, ministers’ speeches and UNFCCC negotiations. The aim of this chapter is to describe the politics of approval. The chapter begins the historical emergence of this practice and documents the tactics and strategies available to co-chairs, authors and delegates to influence the final outcome. Documenting participation in the authorship and approval of the SPM again illuminates the asymmetries revealed in previous chapters, but also highlights the growing presence of some developing countries in the process. This is evident in the content that has initiated some of the greatest struggle – the categorisation of developing versus developed countries. This account reveals that the forces structuring the final stage of the IPCC’s practice of writing originate in the broader global struggle to determine the meaning of climate change and continue after the approval, only now with a new SPM to substantiate national positions in the negotiation of the collective response.</w:t>
      </w:r>
    </w:p>
    <w:p>
      <w:pPr/>
      <w:r>
        <w:rPr>
          <w:b/>
        </w:rPr>
        <w:t>POSSIBLE 2024:</w:t>
      </w:r>
      <w:r>
        <w:t xml:space="preserve"> Global barriers to decision makers for prioritizing interventions for obesity — https://doi.org/10.1038/s41366-024-01650-z</w:t>
      </w:r>
    </w:p>
    <w:p>
      <w:pPr/>
      <w:r>
        <w:rPr>
          <w:b/>
        </w:rPr>
        <w:t>Shared claim-specific concepts:</w:t>
      </w:r>
      <w:r>
        <w:t xml:space="preserve"> decision, makers, politics, technology; EU scope not established. This is a provisional connection, not an outcome finding.</w:t>
      </w:r>
    </w:p>
    <w:p>
      <w:pPr>
        <w:pStyle w:val="SourceNote"/>
      </w:pPr>
      <w:r>
        <w:rPr>
          <w:b/>
        </w:rPr>
        <w:t>Available abstract (not full text):</w:t>
      </w:r>
      <w:r>
        <w:t xml:space="preserve"> The treatment of obesity remains underprioritized. New pharmacologic options for the treatment of obesity have shown effectiveness and safety but are not widely reimbursed. Despite the unmet need and the existence of effective prevention and treatment strategies, substantial barriers exist to effectively address obesity as a disease. The purpose of this scoping review was to investigate the barriers for decision makers in prioritizing interventions for obesity and to seek out interconnection between barriers to prevention and treatment. A scoping review was conducted using a systematic search of both scientific databases and Health Technology Assessment (HTA) databases. Studies that addressed barriers to reimbursement or prioritization of obesity treatment and prevention were included. A total of 26 articles and 14 HTAs were included. Four main barriers for decision makers to prioritize new interventions for obesity were identified: perceptions, knowledge, economics, and politics. There was a high degree of interconnectedness among barriers, as well as large overlaps between barriers in relation to bariatric surgery, pharmacologic treatments, and prevention regulation. Multiple barriers exist that impact decision makers in prioritizing interventions for treating obesity. A strong interconnectedness of the barriers was found, indicating a systems approach to improve global prior</w:t>
      </w:r>
    </w:p>
    <w:p>
      <w:pPr/>
      <w:r>
        <w:rPr>
          <w:b/>
        </w:rPr>
        <w:t>POSSIBLE 2024:</w:t>
      </w:r>
      <w:r>
        <w:t xml:space="preserve"> Are physiotherapists and occupational therapists following the guidelines for discharge summary?–An analysis of the content of physiotherapists’ and occupational therapists’ discharge summaries and their adherence to stroke guideline recommendations — https://doi.org/10.1371/journal.pone.0308039</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PURPOSE: Discharge summaries are important tools for communication between health care levels and can ensure continuity of rehabilitation. This study aims to gain insight into the content of discharge summaries written by hospital physiotherapists and occupational therapists regarding patients with stroke, and their adherence to recommended criteria for discharge summaries. MATERIAL AND METHODS: 31 physiotherapy and multidisciplinary discharge summaries, for stroke patients discharged home from hospital with need of follow-up, were included in the study. We employed qualitative content analysis and descriptive statistics to explore and describe the content. RESULTS: The physiotherapists and occupational therapists adhered to the recommended criteria for content in varying degree. The main focus for physiotherapists and occupational therapists were description of ADL, sensorimotor and general cognitive functions, they rarely report tolerance to exercise, and the specific cognitive abilities to follow instruction and learn were often omitted. Less focus was put on patients' experiences and needs during acute stroke, and description of goals were omitted in the physiotherapy discharge summaries. CONCLUSION: While the physiotherapists and occupational therapists complement each other in their assessment of patients and inform the reader about both sensorimotor and cognitive functio</w:t>
      </w:r>
    </w:p>
    <w:p>
      <w:pPr/>
      <w:r>
        <w:rPr>
          <w:b/>
        </w:rPr>
        <w:t>POSSIBLE 2024:</w:t>
      </w:r>
      <w:r>
        <w:t xml:space="preserve"> Artificial Intelligence Use to Empower the Implementation of OER and the UNESCO OER Recommendation — https://doi.org/10.55982/openpraxis.16.2.650</w:t>
      </w:r>
    </w:p>
    <w:p>
      <w:pPr/>
      <w:r>
        <w:rPr>
          <w:b/>
        </w:rPr>
        <w:t>Shared claim-specific concepts:</w:t>
      </w:r>
      <w:r>
        <w:t xml:space="preserve"> conclude, context, recently; EU scope not established. This is a provisional connection, not an outcome finding.</w:t>
      </w:r>
    </w:p>
    <w:p>
      <w:pPr>
        <w:pStyle w:val="SourceNote"/>
      </w:pPr>
      <w:r>
        <w:rPr>
          <w:b/>
        </w:rPr>
        <w:t>Available abstract (not full text):</w:t>
      </w:r>
      <w:r>
        <w:t xml:space="preserve"> Artificial intelligence (AI) has recently been gaining ground, particularly since November 2022, with the introduction of generative tools based on natural language processing and neural network algorithms. These kinds of tools have great potential for creators and users of Open Educational Resources (OER) and the Open Movement itself but they also represent risks. The International Council for Open and Distance Education OER Advocacy Committee (OERAC) developed two workshops to present the role of AI in OER at two international conferences in the fall of 2023. The workshops presented the features, benefits, key challenges, and practical issues related to using AI technologies from professional, ethical, sustainable, and equitable perspectives, while also focusing on the five areas of the UNESCO OER Recommendation. Participants were dynamically engaged in discussions, and documented their ideas in formats that could be used as OER in themselves. The OERAC noted and categorized the results, and developed short summaries and drafts for further work. Finally, drawing on the findings from the workshops, we asked ChatPDF for a second opinion on further suggestions for AI in connection with OER, which in turn related to the five areas of the recommendation. We conclude that, while there is great potential for the use of AI in the context of the Open Movement, there is also a need for</w:t>
      </w:r>
    </w:p>
    <w:p>
      <w:pPr>
        <w:pStyle w:val="Heading2"/>
      </w:pPr>
      <w:r>
        <w:t>746. The perspectives of development of high-speed rail network in the European Union till</w:t>
        <w:br/>
        <w:t>the year 2050</w:t>
      </w:r>
    </w:p>
    <w:p>
      <w:pPr>
        <w:pStyle w:val="SourceNote"/>
      </w:pPr>
      <w:r>
        <w:rPr>
          <w:b/>
        </w:rPr>
        <w:t>Original source (2019):</w:t>
      </w:r>
      <w:r>
        <w:t xml:space="preserve"> https://doi.org/10.35117/a_eng_19_07_01</w:t>
      </w:r>
    </w:p>
    <w:p>
      <w:pPr/>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pPr/>
      <w:r>
        <w:rPr>
          <w:b/>
        </w:rPr>
        <w:t>POSSIBLE 2026:</w:t>
      </w:r>
      <w:r>
        <w:t xml:space="preserve"> Clinical heterogeneity and outcome of acquired PRCA: a multicenter European study — https://doi.org/10.1182/bloodadvances.2025019525</w:t>
      </w:r>
    </w:p>
    <w:p>
      <w:pPr/>
      <w:r>
        <w:rPr>
          <w:b/>
        </w:rPr>
        <w:t>Shared claim-specific concepts:</w:t>
      </w:r>
      <w:r>
        <w:t xml:space="preserve"> outcome, analyses, presented, complete; EU scope visible. This is a provisional connection, not an outcome finding.</w:t>
      </w:r>
    </w:p>
    <w:p>
      <w:pPr>
        <w:pStyle w:val="SourceNote"/>
      </w:pPr>
      <w:r>
        <w:rPr>
          <w:b/>
        </w:rPr>
        <w:t>Available abstract (not full text):</w:t>
      </w:r>
      <w:r>
        <w:t xml:space="preserve"> ABSTRACT: Pure red cell aplasia (PRCA) is a rare single-lineage bone marrow (BM) failure characterized by anemia with profound reticulocytopenia and severe reduction of erythroid precursors. PRCA is heterogeneous, and diagnosis requires extensive evaluation to distinguish primary from secondary causes, such as thymoma, autoimmune diseases, T-cell large granular lymphocyte expansion, and myelodysplastic syndrome (MDS), the differential diagnosis of which is particularly challenging. Evidence guiding management remains limited because of the rarity of the disease and the lack of prospective studies. We analyzed 121 acquired adult PRCA (excluding Parvovirus B19-associated PRCA) cases across 14 European centers. Secondary forms accounted for 78% of diagnoses, mostly thymoma (23%) or MDS (21%). In a subset of patients, BM immunohistochemistry demonstrated significant depositions of C3, C4d, immunoglobulin M (IgM), and IgG, reducing after immunosuppression. Next-generation sequencing was performed in half of the patients, 36% of whom presented mutations predominantly related to clonal hematopoiesis, except in MDS-associated cases, which often carried multiple non-clonal hematopoiesis mutations. Immunosuppression represented the backbone of therapy: cyclosporine A (CyA) was the most effective agent, with 61% overall response rate (47% complete) and better outcomes when initiated earli</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outcome, there, emerged;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2025:</w:t>
      </w:r>
      <w:r>
        <w:t xml:space="preserve"> The emerging, non-routine European skills of the future — https://doi.org/10.1108/ejms-02-2025-0013</w:t>
      </w:r>
    </w:p>
    <w:p>
      <w:pPr/>
      <w:r>
        <w:rPr>
          <w:b/>
        </w:rPr>
        <w:t>Shared claim-specific concepts:</w:t>
      </w:r>
      <w:r>
        <w:t xml:space="preserve"> there, union; EU scope visible. This is a provisional connection, not an outcome finding.</w:t>
      </w:r>
    </w:p>
    <w:p>
      <w:pPr>
        <w:pStyle w:val="SourceNote"/>
      </w:pPr>
      <w:r>
        <w:rPr>
          <w:b/>
        </w:rPr>
        <w:t>Available abstract (not full text):</w:t>
      </w:r>
      <w:r>
        <w:t xml:space="preserve"> Purpose This paper investigates the future of emerging skills and their impact on occupations in the European Union by setting up a powerful paradigm of leveraging the European Skills, Competences, Qualifications and Occupations (ESCO) Delta files to predict future skills in a repeatable fashion, allowing policymakers and educational institutes to easily gain insights into emerging skill needs. This study explores the implications of automation on skill development, addressing key questions regarding the emergence of non-automatable skills across all industries and skills contained in the ESCO dataset. Design/methodology/approach The research design is exploratory, quantitative and cross-sectional. This study employed a big data analysis of the ESCO Delta datasets combined with the ALM-hypothesis framework to analyse the emergence of non-automatable (herein called non-routinisable) skills and what this means for future occupations. The proposed methodology provides a replicable framework for analysing future ESCO Delta file releases with regard to emerging, non-routinsable skills. Findings Our empirical findings reveal that (1) there is a Self-Automating Effect, i.e. non-routinisable skills are growing more in non-technical industries and technical industries may be automating themselves out of jobs. (2) The Matthew Effect in Skills, i.e. high-skill jobs are requiring more skil</w:t>
      </w:r>
    </w:p>
    <w:p>
      <w:pPr/>
      <w:r>
        <w:rPr>
          <w:b/>
        </w:rPr>
        <w:t>POSSIBLE 2025:</w:t>
      </w:r>
      <w:r>
        <w:t xml:space="preserve"> Mentorship in endocrinology training: a cross-sectional study of the United States and Europe — https://doi.org/10.1016/j.eclinm.2025.103377</w:t>
      </w:r>
    </w:p>
    <w:p>
      <w:pPr/>
      <w:r>
        <w:rPr>
          <w:b/>
        </w:rPr>
        <w:t>Shared claim-specific concepts:</w:t>
      </w:r>
      <w:r>
        <w:t xml:space="preserve"> outcome, analyses, emerged; EU scope visible. This is a provisional connection, not an outcome finding.</w:t>
      </w:r>
    </w:p>
    <w:p>
      <w:pPr>
        <w:pStyle w:val="SourceNote"/>
      </w:pPr>
      <w:r>
        <w:rPr>
          <w:b/>
        </w:rPr>
        <w:t>Available abstract (not full text):</w:t>
      </w:r>
      <w:r>
        <w:t xml:space="preserve"> Background: Mentorship is crucial for developing both scientific and professional competencies in medical training, yet its role in endocrinology training remains underexplored. We aimed to assess the prevalence of mentorship in endocrinology trainees, analyse demographic and training programme factors, and evaluate the impact of mentor characteristics on trainee outcomes. Methods: We conducted a cross-sectional study of endocrinology trainees in the United States and Europe (23 countries) between June 2023 to January 2024. Participants were recruited via professional societies, email lists, and social media. Those who had completed more than 7 years of training post-medical school or had missing data on duration of training were excluded. A structured online questionnaire was developed using validated mentorship competency tools and adapted for regional nuances to collect data on demographics, mentorship experiences, academic productivity, and well-being. The primary outcome assessed the prevalence of mentorship; secondary outcomes evaluated the associations between mentor characteristics and self-reported academic productivity, satisfaction within the mentorship relationship, and levels of burnout and stress. Univariable and multivariable logistic regression analyses were conducted. Findings: Between June 10, 2023, and January 1, 2024, 250 respondents (154 from the U.S. and 9</w:t>
      </w:r>
    </w:p>
    <w:p>
      <w:pPr/>
      <w:r>
        <w:rPr>
          <w:b/>
        </w:rPr>
        <w:t>POSSIBLE 2025:</w:t>
      </w:r>
      <w:r>
        <w:t xml:space="preserve"> Greening politics? European parties’ and European Parliament groups’ standpoints on sustainability (2019–2024) — https://doi.org/10.1108/sampj-11-2024-1307</w:t>
      </w:r>
    </w:p>
    <w:p>
      <w:pPr/>
      <w:r>
        <w:rPr>
          <w:b/>
        </w:rPr>
        <w:t>Shared claim-specific concepts:</w:t>
      </w:r>
      <w:r>
        <w:t xml:space="preserve"> analyses, presented, union; EU scope visible. This is a provisional connection, not an outcome finding.</w:t>
      </w:r>
    </w:p>
    <w:p>
      <w:pPr>
        <w:pStyle w:val="SourceNote"/>
      </w:pPr>
      <w:r>
        <w:rPr>
          <w:b/>
        </w:rPr>
        <w:t>Available abstract (not full text):</w:t>
      </w:r>
      <w:r>
        <w:t xml:space="preserve"> Purpose The study aims to discuss the “greening” of European Union politics in the European Parliament, by the voice of its political groups/parties, from 2019 to 2024. It aims at characterising the standpoints of each of the groups. Design/methodology/approach The main question guiding the research is: to what extent did the political parties and groups at the European Union level adopt green politics standpoints, in the period 2019–2024? The conceptual framework connects green politics with the three pillars of sustainability (economic, social and environmental); with the debate on weak vs strong sustainability; with anthropocentric vs ecocentric perspectives. The standpoints of the European Parliament (EP) groups/parties are analysed with reference to those categories. The empirical research is based on the qualitative analysis of party manifestos and programmes for the 2019 election, and on a selection of EP parliamentary debates. Findings The data evidence the evolution of green politics in the EP, from 2019 to 2024. Variation across groups is presented. The predominance of each of the three pillars of sustainability by the EP group is demonstrated. Weak vs strong sustainability and anthropocentric vs ecocentric standpoints are mapped. Practical implications The study contributes: to the sustainable development debate (sustainable development goals [SDG]16 “Peace, Justice </w:t>
      </w:r>
    </w:p>
    <w:p>
      <w:pPr/>
      <w:r>
        <w:rPr>
          <w:b/>
        </w:rPr>
        <w:t>POSSIBLE 2025:</w:t>
      </w:r>
      <w:r>
        <w:t xml:space="preserve"> The European Union in a New Emerging Global Order — https://doi.org/10.33067/se.1.2025.7</w:t>
      </w:r>
    </w:p>
    <w:p>
      <w:pPr/>
      <w:r>
        <w:rPr>
          <w:b/>
        </w:rPr>
        <w:t>Shared claim-specific concepts:</w:t>
      </w:r>
      <w:r>
        <w:t xml:space="preserve"> article, vision, union; EU scope visible. This is a provisional connection, not an outcome finding.</w:t>
      </w:r>
    </w:p>
    <w:p>
      <w:pPr>
        <w:pStyle w:val="SourceNote"/>
      </w:pPr>
      <w:r>
        <w:rPr>
          <w:b/>
        </w:rPr>
        <w:t>Available abstract (not full text):</w:t>
      </w:r>
      <w:r>
        <w:t xml:space="preserve"> The European Union (EU) is a very speciﬁc sui generis entity in the international arena as it neither a classical international organisation nor state. Moreover, the process of its creation remains incomplete, with the original vision of establishing a novel, supranational entity on the continent still not fully realised. What is more, European integration and the EU has recently met many challenges and obstacles of different kinds, both internal (a potential Grexit, a very real Brexit, an axiological clash of the elites, and democratic deﬁcit) and external (e.g., conﬂicts on its borders, the resurgence of hard power to the international scene, the so-called “Trump factor”, etc.). This article seeks to examine and specify the current global position of the EU in this new, turbulent era marked by partial de-globalisation, the dominance of hard power, and great-power competition in the world. This era is deﬁned in this essay as a “strategic draft”, during which Russia seems intent on dismantling the international order, while China looks to establish an entirely new one. These are challenging times, as the old order no longer functions properly, while the new one is yet to take shape.</w:t>
      </w:r>
    </w:p>
    <w:p>
      <w:pPr/>
      <w:r>
        <w:rPr>
          <w:b/>
        </w:rPr>
        <w:t>POSSIBLE 2022:</w:t>
      </w:r>
      <w:r>
        <w:t xml:space="preserve"> Benefits of future clean air policies in Europe — https://doi.org/10.1097/ee9.0000000000000221</w:t>
      </w:r>
    </w:p>
    <w:p>
      <w:pPr/>
      <w:r>
        <w:rPr>
          <w:b/>
        </w:rPr>
        <w:t>Shared claim-specific concepts:</w:t>
      </w:r>
      <w:r>
        <w:t xml:space="preserve"> analyses, presented, union, estimated; EU scope visible. This is a provisional connection, not an outcome finding.</w:t>
      </w:r>
    </w:p>
    <w:p>
      <w:pPr>
        <w:pStyle w:val="SourceNote"/>
      </w:pPr>
      <w:r>
        <w:rPr>
          <w:b/>
        </w:rPr>
        <w:t>Available abstract (not full text):</w:t>
      </w:r>
      <w:r>
        <w:t xml:space="preserve"> Introduction Health impact assessments (HIA) and cost-benefit analyses (CBA) play a major role in the ongoing revision of the European Union Ambient Air Quality Directive (EU AAQD). HIAs quantify the public health impacts of the air pollution levels a population is exposed to. CBAs quantify the economic costs of achieving lower air pollution levels and the (monetized) benefits for public health that result from these lower air pollution levels. In this commentary, we consider the recent body of evidence on the effects of long-term exposure to fine particulate matter (PM2.5) and nitrogen dioxide (NO2) on total mortality from natural causes and present the rationale for conducting additional analyses within the framework of the HIA conducted for the revision of the EU AAQD, based on the recently published European “Effects of Low-Level Air Pollution: A Study in Europe” (ELAPSE) study. The air pollution-related burden (presented as impact on mortality from natural causes) for Europe has been estimated since 2014 in the annual “Air Quality in Europe” reports published by the European Environment Agency (EEA). EEA in their HIA has used relative risk estimates from meta-analyses by Hoek and colleagues1 in 2013, based on evidence published before January 2013: 1.06 (1.04, 1.08) for PM2.5 and 1.05 (1.03, 1.08) for NO2, both per 10 μg/m3. The EEA, in its latest HIA for 2019, assumed no </w:t>
      </w:r>
    </w:p>
    <w:p>
      <w:pPr/>
      <w:r>
        <w:rPr>
          <w:b/>
        </w:rPr>
        <w:t>POSSIBLE 2022:</w:t>
      </w:r>
      <w:r>
        <w:t xml:space="preserve"> Demographics and treatment outcomes in patients with EBV+ PTLD treated with off-the-shelf EBV-specific CTL under an ongoing expanded access program in Europe: First analyses. — https://doi.org/10.1200/jco.2022.40.16_suppl.7530</w:t>
      </w:r>
    </w:p>
    <w:p>
      <w:pPr/>
      <w:r>
        <w:rPr>
          <w:b/>
        </w:rPr>
        <w:t>Shared claim-specific concepts:</w:t>
      </w:r>
      <w:r>
        <w:t xml:space="preserve"> analyses, presented, complete; EU scope visible. This is a provisional connection, not an outcome finding.</w:t>
      </w:r>
    </w:p>
    <w:p>
      <w:pPr>
        <w:pStyle w:val="SourceNote"/>
      </w:pPr>
      <w:r>
        <w:rPr>
          <w:b/>
        </w:rPr>
        <w:t>Available abstract (not full text):</w:t>
      </w:r>
      <w:r>
        <w:t xml:space="preserve"> 7530 Background: Patients undergoing allogeneic hematopoietic cell transplant (HCT) or solid organ transplant (SOT) are at risk of developing Epstein–Barr virus driven post-transplant lymphoproliferative disorder (EBV+ PTLD), a rare hematologic malignancy, which is often aggressive and life-threatening. Patients with relapsed or refractory (r/r) EBV+ PTLD have few treatment options with poor outcomes, demonstrating a clear unmet medical need. Tabelecleucel is an investigational, off-the-shelf, allogeneic EBV-specific T-cell immunotherapy being studied in patients with serious EBV+ diseases (NCT04554914 &amp; NCT03394365) that has demonstrated clinical benefit and favorable safety profile in the treatment of EBV+ PTLD after failure of rituximab (R) ± chemotherapy (Prockop, EBMT 2021, ATC 2021, ASH 2021). Methods: Atara Biotherapeutics supports an ongoing expanded access program (EAP) in Europe for patients with EBV+ diseases who have no other treatment options. Here we report demographics, efficacy and safety results of r/r EBV+ PTLD patients following SOT or HCT who presented between Jul 2020 and Nov 2021 and consented to research. Results: A total of 48 EAP requests from 9 countries for patients with EBV+ diseases were received. Twenty-two patients from 7 countries consented to this research: 16 EBV+ PTLD and 6 EBV+ non-PTLD. Of the 16 PTLD patients 15 received at least one dose o</w:t>
      </w:r>
    </w:p>
    <w:p>
      <w:pPr/>
      <w:r>
        <w:rPr>
          <w:b/>
        </w:rPr>
        <w:t>POSSIBLE 2022:</w:t>
      </w:r>
      <w:r>
        <w:t xml:space="preserve"> Exposure to Green Spaces and Multiple Child Health Outcomes: a preliminary meta-analysis from 11 European Birth Cohorts — https://doi.org/10.1289/isee.2022.p-0484</w:t>
      </w:r>
    </w:p>
    <w:p>
      <w:pPr/>
      <w:r>
        <w:rPr>
          <w:b/>
        </w:rPr>
        <w:t>Shared claim-specific concepts:</w:t>
      </w:r>
      <w:r>
        <w:t xml:space="preserve"> outcome, analyses, presented; EU scope visible. This is a provisional connection, not an outcome finding.</w:t>
      </w:r>
    </w:p>
    <w:p>
      <w:pPr>
        <w:pStyle w:val="SourceNote"/>
      </w:pPr>
      <w:r>
        <w:rPr>
          <w:b/>
        </w:rPr>
        <w:t>Available abstract (not full text):</w:t>
      </w:r>
      <w:r>
        <w:t xml:space="preserve"> Studies on the association between exposure to green spaces and child health have captured only a narrow range of outcomes. Here, we conducted an outcome-wide study on more than 90,000 mother-children’s dyads from 11 European birth-cohort studies, to examine the association of residential availability (NDVI) and accessibility to green spaces (yes/no) in a 300 meters buffer during pregnancy and childhood with a range of outcomes. Fourteen outcomes in three areas of child health (respiratory health, obesity, neurodevelopment) will be included. The latest available measure of each outcome within the age band 3-12 years, was selected for each child. For postnatal period, green space exposures were calculated from birth up to the age before the outcome assessment. Using a federated-analysis tool (DataSHIELD), we fitted linear and logistic regression models in each cohort separately and then combined the results using random-effects meta-analysis. All the analyses were adjusted for child age (years) and sex, maternal education (low, medium, high), and area-level socioeconomic status (low/medium/high deprived). More than 70% of study participants lived close to green space during pregnancy and childhood period. Preliminary analyses on eight outcomes show no associations between availability of, or accessibility to, green spaces and respiratory (asthma diagnosis, forced expiration volu</w:t>
      </w:r>
    </w:p>
    <w:p>
      <w:pPr/>
      <w:r>
        <w:rPr>
          <w:b/>
        </w:rPr>
        <w:t>POSSIBLE 2022:</w:t>
      </w:r>
      <w:r>
        <w:t xml:space="preserve"> P1457: DEMOGRAPHICS AND TREATMENT OUTCOMES IN PATIENTS WITH EBV+ PTLD TREATED WITH OFF-THE-SHELF EBV-SPECIFIC CTL (TABELECLEUCEL) UNDER AN ONGOING EXPANDED ACCESS PROGRAM IN EUROPE: FIRST ANALYSES — https://doi.org/10.1097/01.hs9.0000848684.24968.42</w:t>
      </w:r>
    </w:p>
    <w:p>
      <w:pPr/>
      <w:r>
        <w:rPr>
          <w:b/>
        </w:rPr>
        <w:t>Shared claim-specific concepts:</w:t>
      </w:r>
      <w:r>
        <w:t xml:space="preserve"> analyses, presented, complete; EU scope visible. This is a provisional connection, not an outcome finding.</w:t>
      </w:r>
    </w:p>
    <w:p>
      <w:pPr>
        <w:pStyle w:val="SourceNote"/>
      </w:pPr>
      <w:r>
        <w:rPr>
          <w:b/>
        </w:rPr>
        <w:t>Available abstract (not full text):</w:t>
      </w:r>
      <w:r>
        <w:t xml:space="preserve"> Background: Patients undergoing allogeneic hematopoietic cell transplant (HCT) or solid organ transplant (SOT) are at risk of developing Epstein–Barr virus driven post-transplant lymphoproliferative disorder (EBV+ PTLD), a rare hematologic malignancy, which is often aggressive and life-threatening. Patients with relapsed or refractory (r/r) EBV+ PTLD have few treatment options with poor outcomes, demonstrating a clear unmet medical need. Tabelecleucel is an investigational, off-the-shelf, allogeneic EBV-specific T-cell immunotherapy being studied in patients with serious EBV+ diseases (NCT04554914 &amp; NCT03394365) that has demonstrated clinical benefit and favorable safety profile in the treatment of EBV+ PTLD after failure of rituximab (R) ± chemotherapy (Prockop, EBMT 2021, ATC 2021, ASH 2021). Aims: First analyses of demographics, efficacy and safety results of r/r EBV+ PTLD patients following SOT or HCT who presented between Jul 2020 and Nov 2021 and consented to research. Methods: Atara Biotherapeutics supports an ongoing expanded access program (EAP) in Europe for patients with EBV+ diseases who have no other treatment options. Demographics, efficacy and safety data of r/r EBV+ PTLD patients following SOT or HCT who presented to the EAP between Jul 2020 and Nov 2021 and consented to research were analyzed. Results: A total of 48 EAP requests from 9 countries for patients wi</w:t>
      </w:r>
    </w:p>
    <w:p>
      <w:pPr/>
      <w:r>
        <w:rPr>
          <w:b/>
        </w:rPr>
        <w:t>POSSIBLE 2022:</w:t>
      </w:r>
      <w:r>
        <w:t xml:space="preserve"> Molecular testing of rhabdomyosarcoma in clinical trials to improve risk stratification and outcome: A consensus view from European paediatric Soft tissue sarcoma Study Group, Children's Oncology Group and Cooperative Weichteilsarkom-Studiengruppe — https://doi.org/10.1016/j.ejca.2022.05.036</w:t>
      </w:r>
    </w:p>
    <w:p>
      <w:pPr/>
      <w:r>
        <w:rPr>
          <w:b/>
        </w:rPr>
        <w:t>Shared claim-specific concepts:</w:t>
      </w:r>
      <w:r>
        <w:t xml:space="preserve"> outcome, analyses; EU scope visible. This is a provisional connection, not an outcome finding.</w:t>
      </w:r>
    </w:p>
    <w:p>
      <w:pPr>
        <w:pStyle w:val="SourceNote"/>
      </w:pPr>
      <w:r>
        <w:rPr>
          <w:b/>
        </w:rPr>
        <w:t>Available abstract (not full text):</w:t>
      </w:r>
      <w:r>
        <w:t xml:space="preserve"> Rhabdomyosarcomas (RMSs) are the most common soft tissue sarcomas in children/adolescents less than 18 years of age with an annual incidence of 1-2/million. Inter/intra-tumour heterogeneity raise challenges in clinical, pathological and biological research studies. Risk stratification in European and North American clinical trials previously relied on clinico-pathological features, but now, incorporates PAX3/7-FOXO1-fusion gene status in the place of alveolar histology. International working groups propose a coordinated approach through the INternational Soft Tissue SaRcoma ConsorTium to evaluate the specific genetic abnormalities and generate and integrate molecular and clinical data related to patients with RMS across different trial settings. We review relevant data and present a consensus view on what molecular features should be assessed. In particular, we recommend the assessment of the MYOD1-LR122R mutation for risk escalation, as it has been associated with poor outcomes in spindle/sclerosing RMS and rare RMS with classic embryonal histopathology. The prospective analyses of rare fusion genes beyond PAX3/7-FOXO1 will generate new data linked to outcomes and assessment of TP53 mutations and CDK4 amplification may confirm their prognostic value. Pathogenic/likely pathogenic germline variants in TP53 and other cancer predisposition genes should also be assessed. DNA/RNA pr</w:t>
      </w:r>
    </w:p>
    <w:p>
      <w:pPr/>
      <w:r>
        <w:rPr>
          <w:b/>
        </w:rPr>
        <w:t>POSSIBLE 2022:</w:t>
      </w:r>
      <w:r>
        <w:t xml:space="preserve"> Contested gender mainstreaming in the European Parliament: political groups and committees as gatekeepers — https://doi.org/10.1332/251510822x16547712638806</w:t>
      </w:r>
    </w:p>
    <w:p>
      <w:pPr/>
      <w:r>
        <w:rPr>
          <w:b/>
        </w:rPr>
        <w:t>Shared claim-specific concepts:</w:t>
      </w:r>
      <w:r>
        <w:t xml:space="preserve"> analyses, article, union; EU scope visible. This is a provisional connection, not an outcome finding.</w:t>
      </w:r>
    </w:p>
    <w:p>
      <w:pPr>
        <w:pStyle w:val="SourceNote"/>
      </w:pPr>
      <w:r>
        <w:rPr>
          <w:b/>
        </w:rPr>
        <w:t>Available abstract (not full text):</w:t>
      </w:r>
      <w:r>
        <w:t xml:space="preserve"> This article analyses the implementation of gender mainstreaming in the European Parliament and aims at deciphering the role of its committees and political groups in advancing or hindering the integration of gender perspectives. The article engages with feminist institutionalism and micro-political approaches, and is based on interview and documentary data. It examines how formal and informal institutions and micro-political strategies within committees and political groups affect the abilities of this representative European Union institution to ensure a gender perspective is present in European Union policies. We suggest that although the Committee on Women’s Rights and Gender Equality (the gender-focused parliamentary body) oversees gender mainstreaming, committees and political groups, as the core actors of European Parliament policymaking, are the gatekeepers that determine the outcomes. Our findings advance understandings of the limits of gender mainstreaming in European Union policymaking and shed light on the specific challenges of gender mainstreaming and broader gender equality change in parliaments.</w:t>
      </w:r>
    </w:p>
    <w:p>
      <w:pPr>
        <w:pStyle w:val="Heading2"/>
      </w:pPr>
      <w:r>
        <w:t>747. Towards a sustainable European energy system: Linking optimization models with multi-regional input-output analysis</w:t>
      </w:r>
    </w:p>
    <w:p>
      <w:pPr>
        <w:pStyle w:val="SourceNote"/>
      </w:pPr>
      <w:r>
        <w:rPr>
          <w:b/>
        </w:rPr>
        <w:t>Original source (2019):</w:t>
      </w:r>
      <w:r>
        <w:t xml:space="preserve"> https://doi.org/10.1016/j.esr.2019.100391</w:t>
      </w:r>
    </w:p>
    <w:p>
      <w:pPr/>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POSSIBLE 2026:</w:t>
      </w:r>
      <w:r>
        <w:t xml:space="preserve"> Assessing invasion risk of two North American Saperda species (Coleoptera, Cerambycidae) in Europe using joint bioclimatic-habitat species distribution models and maritime-inland connectivity — https://doi.org/10.3897/neobiota.109.192296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pPr/>
      <w:r>
        <w:rPr>
          <w:b/>
        </w:rPr>
        <w:t>POSSIBLE 2026:</w:t>
      </w:r>
      <w:r>
        <w:t xml:space="preserve"> Improving Europe-wide windstorm damage modeling using insurance loss data — https://doi.org/10.5194/egusphere-2026-3099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2026:</w:t>
      </w:r>
      <w:r>
        <w:t xml:space="preserve"> Mapping where biodiversity goals meet local values in European land use futures — https://doi.org/10.5194/wbf2026-660</w:t>
      </w:r>
    </w:p>
    <w:p>
      <w:pPr/>
      <w:r>
        <w:rPr>
          <w:b/>
        </w:rPr>
        <w:t>Shared claim-specific concepts:</w:t>
      </w:r>
      <w:r>
        <w:t xml:space="preserve"> uses, two, implications, goals, based; EU scope visible. This is a provisional connection, not an outcome finding.</w:t>
      </w:r>
    </w:p>
    <w:p>
      <w:pPr>
        <w:pStyle w:val="SourceNote"/>
      </w:pPr>
      <w:r>
        <w:rPr>
          <w:b/>
        </w:rPr>
        <w:t>Available abstract (not full text):</w:t>
      </w:r>
      <w:r>
        <w:t xml:space="preserve"> In Europe, spatial planning is being asked to reconcile biodiversity restoration, climate mitigation and social needs at the same time. In practice, however, European scale planning often fails to align with locally defined values and priorities that emerge in participatory processes. In this contribution, we compare a SSP-scenario with a scenario from local visions for future landscapes to explore where spatial planning can create biodiversity positive and socially just transformations. For twelve case studies in Europe, stakeholders co-developed “Possible Landscapes” that articulate place-based visions for vital, biodiverse and liveable landscapes.These two contrasting 2050 land-system scenarios (SSP vs. local visions) are simulated with the CLUMondo model to model land-system futures for Europe. From the resulting land-system maps, spatial indicators are derived for a diverse range of outcomes: high level restoration (nature area, patch size and connectivity including mosaics), agriculture and climate mitigation (changes in emission relevant land uses such as peat soils and forest loss, and food production), local wellbeing (access to green space near cities) and environmental safety (shifts toward green land uses in drought, flood and erosion prone areas).The indicators are then compared with the local needs and values, with data from Eurobarometer surveys that reflect how </w:t>
      </w:r>
    </w:p>
    <w:p>
      <w:pPr/>
      <w:r>
        <w:rPr>
          <w:b/>
        </w:rPr>
        <w:t>POSSIBLE 2026:</w:t>
      </w:r>
      <w:r>
        <w:t xml:space="preserve"> Evaluation of European Air Quality Simulations in 2019 Using the CMAQ–WRF Modeling System — https://doi.org/10.5194/egusphere-egu26-4162</w:t>
      </w:r>
    </w:p>
    <w:p>
      <w:pPr/>
      <w:r>
        <w:rPr>
          <w:b/>
        </w:rPr>
        <w:t>Shared claim-specific concepts:</w:t>
      </w:r>
      <w:r>
        <w:t xml:space="preserve"> two, energy, system, based; EU scope visible. This is a provisional connection, not an outcome finding.</w:t>
      </w:r>
    </w:p>
    <w:p>
      <w:pPr>
        <w:pStyle w:val="SourceNote"/>
      </w:pPr>
      <w:r>
        <w:rPr>
          <w:b/>
        </w:rPr>
        <w:t>Available abstract (not full text):</w:t>
      </w:r>
      <w:r>
        <w:t xml:space="preserve"> Air pollution levels across Europe have declined significantly over the past two decades, largely due to targeted emission controls in the energy, industry, and transport sectors. Recent monitoring data (2023–2024) show that EU air quality standards are met at 99% of stations for PM2.5 and 98% for nitrogen dioxide (NO2). Despite this progress, air pollution remains the leading environmental health risk in Europe. The European Environment Agency (EEA) estimates that annual exposure to PM2.5, ozone (O3), and NO2 caused approximately 239,000, 70,000, and 48,000 premature deaths, respectively, in the EU–27. Therefore, member States are required to prepare National Air Pollution Control Programmes (NAPCPs) and local action plans, with a stronger role for air quality modeling in complementing monitoring, assessing pollutant distributions, and evaluating mitigation pathways. Air quality modeling has become indispensable for understanding pollutant dynamics, quantifying the effects of emission reductions, and designing integrated air–climate policies. Large–scale initiatives such as FAIRMODE, AQMEII, EURODELT, and HTAP have advanced knowledge on model performance and uncertainties, while emphasizing the need for harmonized approaches across Europe. These efforts show that robust policy support requires continent–wide evaluations based on consistent emissions, updated meteorological dri</w:t>
      </w:r>
    </w:p>
    <w:p>
      <w:pPr/>
      <w:r>
        <w:rPr>
          <w:b/>
        </w:rPr>
        <w:t>POSSIBLE 2026:</w:t>
      </w:r>
      <w:r>
        <w:t xml:space="preserve"> Wild ruminant distribution in Europe: occurrence and hunting yield models — https://doi.org/10.5281/zenodo.21977769</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These are model outputs referring to the ENETwild report "Revised wild ruminant distribution in Europe: occurrence and hunting yield models.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two, implications, goals, energy, system, capacity;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2026:</w:t>
      </w:r>
      <w:r>
        <w:t xml:space="preserve"> Models of care for women living with HIV in Europe: A scoping review — https://doi.org/10.1111/hiv.70266</w:t>
      </w:r>
    </w:p>
    <w:p>
      <w:pPr/>
      <w:r>
        <w:rPr>
          <w:b/>
        </w:rPr>
        <w:t>Shared claim-specific concepts:</w:t>
      </w:r>
      <w:r>
        <w:t xml:space="preserve"> two, world, programming; EU scope visible. This is a provisional connection, not an outcome finding.</w:t>
      </w:r>
    </w:p>
    <w:p>
      <w:pPr>
        <w:pStyle w:val="SourceNote"/>
      </w:pPr>
      <w:r>
        <w:rPr>
          <w:b/>
        </w:rPr>
        <w:t>Available abstract (not full text):</w:t>
      </w:r>
      <w:r>
        <w:t xml:space="preserve"> INTRODUCTION: With the widespread availability of antiretroviral therapy, human immunodeficiency virus (HIV) has become a chronic condition requiring long-term, integrated care. Women with HIV experience distinct clinical, reproductive, and psychosocial needs shaped by gender and social determinants. However, care models addressing these needs for women in Europe have not been comprehensively documented. In this scoping review, we aim to map existing literature on models of care for women with HIV in Europe and examine their key components and regional variation. METHODS: We searched the Ovid database to identify studies on care models for women with HIV in Europe from 2000 onwards. We further included national guidelines provided by the European AIDS Clinical Society (EACS) country representatives. Two reviewers independently extracted data and synthesized findings using descriptive content analysis informed by the World Health Organization Social Determinants of Health framework. RESULTS: Out of 8183 records screened, 17 studies and guidelines met inclusion criteria. Most originated from Western and Central Europe, with only one source from Eastern Europe. We identified 10 core components of women-responsive HIV services: co-design of services with women with HIV, healthcare provider training, tailored programming for women, gender-inclusive and culturally sensitive approache</w:t>
      </w:r>
    </w:p>
    <w:p>
      <w:pPr/>
      <w:r>
        <w:rPr>
          <w:b/>
        </w:rPr>
        <w:t>POSSIBLE 2026:</w:t>
      </w:r>
      <w:r>
        <w:t xml:space="preserve"> Revised wild ruminant distribution in Europe: occurrence and hunting yield models — https://doi.org/10.5281/zenodo.23192443</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 Dama dama exhibited more fragmented suitable habitat, largely influenced by altitude. In contrast. Alces alces and Rangifer tarandus were la</w:t>
      </w:r>
    </w:p>
    <w:p>
      <w:pPr/>
      <w:r>
        <w:rPr>
          <w:b/>
        </w:rPr>
        <w:t>POSSIBLE 2026:</w:t>
      </w:r>
      <w:r>
        <w:t xml:space="preserve"> Digital Transformation and Sustainable Development Goals Disclosure: The Mediating Role of Public Sector Transparency in Europe — https://doi.org/10.3390/su18189316</w:t>
      </w:r>
    </w:p>
    <w:p>
      <w:pPr/>
      <w:r>
        <w:rPr>
          <w:b/>
        </w:rPr>
        <w:t>Shared claim-specific concepts:</w:t>
      </w:r>
      <w:r>
        <w:t xml:space="preserve"> implications, goals, system, based; EU scope visible. This is a provisional connection, not an outcome finding.</w:t>
      </w:r>
    </w:p>
    <w:p>
      <w:pPr>
        <w:pStyle w:val="SourceNote"/>
      </w:pPr>
      <w:r>
        <w:rPr>
          <w:b/>
        </w:rPr>
        <w:t>Available abstract (not full text):</w:t>
      </w:r>
      <w:r>
        <w:t xml:space="preserve"> This study examines the association between national digital transformation and corporate Sustainable Development Goals (SDGs) disclosure and investigates the mediating role of public sector transparency in this relationship. Using an unbalanced panel of 420 EU-listed firms from 20 European Union countries over the period 2019–2024, the study measures SDGs disclosure through a manually constructed content-analysis index based on firms’ reported activities, policies, targets, key performance indicators, and measurable outcomes related to the 17 United Nations SDGs. The empirical analysis employs two-way fixed-effects regressions and country-clustered bootstrap mediation analysis, complemented by System Generalized Method of Moments (System GMM), two-stage least squares (2SLS), and heterogeneity analyses. The findings show that digital transformation is positively associated with public sector transparency and that greater public sector transparency is associated with higher levels of corporate SDGs disclosure. The mediation analysis further reveals a positive and statistically significant implied mediating association between digital transformation and SDGs disclosure through public sector transparency, accounting for approximately 51.4% of the estimated total association. The findings remain robust across alternative specifications and endogeneity tests. This study contributes </w:t>
      </w:r>
    </w:p>
    <w:p>
      <w:pPr/>
      <w:r>
        <w:rPr>
          <w:b/>
        </w:rPr>
        <w:t>POSSIBLE 2026:</w:t>
      </w:r>
      <w:r>
        <w:t xml:space="preserve"> The implications of unification for Germany's role in the European Union. — https://doi.org/10.82444/warw.33741772</w:t>
      </w:r>
    </w:p>
    <w:p>
      <w:pPr/>
      <w:r>
        <w:rPr>
          <w:b/>
        </w:rPr>
        <w:t>Shared claim-specific concepts:</w:t>
      </w:r>
      <w:r>
        <w:t xml:space="preserve"> two, implications, first;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Modeling of root reinforcement of European hornbeam considering the use different fiber bundle models — https://doi.org/10.24425/ace.2026.157490</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This study comprises measurements of root systems of European hornbeam in forests located near Winiary, in the vicinity of Gdów (Wiśnickie Foothills, Poland) and near the town of Kanice (Moravia, Czech Republic). Field research included root measurements using the trench wall method conducted at a distance of approximately 1 m from the tree trunks. Tensile strength of the roots collected from both study sites and the geotechnical properties of the soil were determined in the laboratory. Based on the results of field measurements and laboratory tests, the root reinforcement was calculated using selected fibre bundle models. This study was aimed to compare root systems and mechanical properties of roots of the European hornbeam from the two sites and to compare the root reinforcement results obtained using different bundle models, taking into account different approaches to load distribution. The paper also discusses the impact of the tensile strength-strain characteristics of roots and their orientation relative to the direction of slip plane (zone) on the root reinforcement. The results of laboratory tests showed that tensile strength and elasticity of roots collected from both sites are very similar. Calculations showed that the values of root reinforcement computed using fiber bundle models are even 2.5 times smaller than those obtained from the classic Wu–Waldron model. On t</w:t>
      </w:r>
    </w:p>
    <w:p>
      <w:pPr/>
      <w:r>
        <w:rPr>
          <w:b/>
        </w:rPr>
        <w:t>POSSIBLE 2026:</w:t>
      </w:r>
      <w:r>
        <w:t xml:space="preserve"> Networked SIRS model with Kalman filter state estimation for epidemic monitoring in Europe — https://doi.org/10.1038/s43856-026-01611-9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Background Metapopulation models, which consider epidemic spread across interconnected regions, can provide more accurate epidemic predictions with respect to country-specific models. Still, their added complexity and data requirements raise questions about their tangible benefits over simpler, localized models. Aim Our goal is to develop and validate networked metapopulation SIRS models, integrated with an Extended Kalman Filter (EKF), for predicting influenza-like illness (ILI) across Europe, which enables accurate forecasts, missing data imputation, and actionable insights. Methods We constructed two different metapopulation SIRS models: a detailed network-based model, including inter-country travel dynamics, and a simpler mean-field model, aggregating average regional data. Both were calibrated based on decade-long data of European mobility and ILI incidence, using EKF to estimate disease dynamics and forecast epidemic progression. The forecasting performance was benchmarked against isolated country-specific models. Results Network models outperformed isolated models in forecasting ILI progression, particularly during critical periods such as wave onsets and peaks, and maintained reliability during COVID-19-affected seasons. The full network model provided up to 25% improvement in peak predictions and demonstrated robustness in imputing missing data, even when up t</w:t>
      </w:r>
    </w:p>
    <w:p>
      <w:pPr>
        <w:pStyle w:val="Heading2"/>
      </w:pPr>
      <w:r>
        <w:t>748. Transition pathways to sustainability in greater than 2 °C climate futures of Europe</w:t>
      </w:r>
    </w:p>
    <w:p>
      <w:pPr>
        <w:pStyle w:val="SourceNote"/>
      </w:pPr>
      <w:r>
        <w:rPr>
          <w:b/>
        </w:rPr>
        <w:t>Original source (2019):</w:t>
      </w:r>
      <w:r>
        <w:t xml:space="preserve"> https://doi.org/10.1007/s10113-019-01475-x</w:t>
      </w:r>
    </w:p>
    <w:p>
      <w:pPr/>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pathways, support, vulnerabilities, shows;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The European Society of Cataract and Refractive Surgeons Cataract Simulation Curriculum: Wet Lab and Virtual Reality Pathways to Competency — https://doi.org/10.1097/j.jcrs.0000000000002036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support, top-down, gas;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Moving forward AKIS research and practice for agroecological transitions in Europe — https://doi.org/10.1080/1389224x.2026.2640918</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Purpose This paper presents findings from a critical review of European AKIS research, guided by a transformative agroecology perspective, to refine analytical frameworks for assessing their capacity to support systemic change.Design/Methodology/Approach The review followed an original analytical framework developed through a comprehensive synthesis of key agroecological frameworks and work. It was applied to 50 peer-reviewed studies in English, identified through a systematic search in four databases, using directed content analysis.Findings The review highlights growing attention to farmers’ agency, diverse knowledge systems, and informal networks, contributing to a reframing of AKIS as socially embedded and territorially grounded. However, participatory and transdisciplinary approaches are more often cited than implemented, and the political dimensions of AKIS remain underexplored, limiting understanding of the levers and barriers shaping their contribution to systemic change.Practical Implications The findings indicate that advancing AKIS research and policy requires politically informed, systems-based approaches that centre farmers and communities, strengthening collective agencies for systemic change.Theoretical Implications An agroecological perspective highlights the need to strengthen current AKIS theoretical frameworks and thinking to include how knowledge and innovat</w:t>
      </w:r>
    </w:p>
    <w:p>
      <w:pPr/>
      <w:r>
        <w:rPr>
          <w:b/>
        </w:rPr>
        <w:t>POSSIBLE 2026:</w:t>
      </w:r>
      <w:r>
        <w:t xml:space="preserve"> Moving the needle on transforming food systems: What's blocking progress in Europe and the UK and where investments can help — https://doi.org/10.25383/city.34057083</w:t>
      </w:r>
    </w:p>
    <w:p>
      <w:pPr/>
      <w:r>
        <w:rPr>
          <w:b/>
        </w:rPr>
        <w:t>Shared claim-specific concepts:</w:t>
      </w:r>
      <w:r>
        <w:t xml:space="preserve"> pathways, support, moving, climate; EU scope visible. This is a provisional connection, not an outcome finding.</w:t>
      </w:r>
    </w:p>
    <w:p>
      <w:pPr>
        <w:pStyle w:val="SourceNote"/>
      </w:pPr>
      <w:r>
        <w:rPr>
          <w:b/>
        </w:rPr>
        <w:t>Available abstract (not full text):</w:t>
      </w:r>
      <w:r>
        <w:t xml:space="preserve"> Food systems across Europe and the UK are falling short on health, climate and equity outcomes. This study combines interviews and workshops with changemakers across seven countries and the EU level with bibliographic mapping, a researcher survey and a scoping review to identify barriers to transformation and priorities for investment. Findings highlight five recurring barriers: entrenched power, difficult policy environments, polarisation, fragmentation, and evidence that is poorly suited to implementation. We identify four investment priorities: more applied research, stronger links between evidence and decision-making, long-term collaboration, and more effective narratives. These priorities support targeted, longer-term and transformative funding pathways.Suggested citation:Aubert, P-M., Headings, R., Reynolds, C., Zurek, M., Garnett, T., Harding, A. et al. (2026). Moving the needle on transforming food systems: What’s blocking progress in Europe and the UK and where investments can help. Report. doi: 10.25383/city.34057083</w:t>
      </w:r>
    </w:p>
    <w:p>
      <w:pPr/>
      <w:r>
        <w:rPr>
          <w:b/>
        </w:rPr>
        <w:t>POSSIBLE 2026:</w:t>
      </w:r>
      <w:r>
        <w:t xml:space="preserve"> Moving from conventional to experiential and creative futures: methodological reflection on pathway co-creation — https://doi.org/10.5194/wbf2026-387</w:t>
      </w:r>
    </w:p>
    <w:p>
      <w:pPr/>
      <w:r>
        <w:rPr>
          <w:b/>
        </w:rPr>
        <w:t>Shared claim-specific concepts:</w:t>
      </w:r>
      <w:r>
        <w:t xml:space="preserve"> pathways, support, moving, enhance; EU scope visible. This is a provisional connection, not an outcome finding.</w:t>
      </w:r>
    </w:p>
    <w:p>
      <w:pPr>
        <w:pStyle w:val="SourceNote"/>
      </w:pPr>
      <w:r>
        <w:rPr>
          <w:b/>
        </w:rPr>
        <w:t>Available abstract (not full text):</w:t>
      </w:r>
      <w:r>
        <w:t xml:space="preserve"> Transformative change is increasingly understood as plural, emergent and relational, yet many futuring approaches remain dominated by structured, linear, and causal modes of thinking. Such ‘systems-analytical’ approaches often assume high levels of manageability and coherence in societal change, generating useful strategies and conditions for transformation but overlooking more embodied, emotional, relational and creative ways of imagining the future. Such experiential and creative approaches can surface radical ideas, challenge dominant assumptions, and complement conventional approaches by better reflecting the plurality of realities, perspectives, and futures that shape complex socio-ecological systems. In this work, we explore how combining systems-analytical, experiential and creative futuring methods can enhance co-creation processes for transformative change.We draw on an extensive co-creation process involving three iterative 2–3 day workshops with 23–26 participants from across Europe and various sectors, through which three visions and pathways for a nature-positive Europe by 2050 were developed, evaluated and enriched. The process intentionally integrated systems-analytical co-creative methods – such as backcasting, sectoral structuring, and analysing trade-offs and synergies – and transformative, experiential, and creative exercises. These included reflexive activit</w:t>
      </w:r>
    </w:p>
    <w:p>
      <w:pPr/>
      <w:r>
        <w:rPr>
          <w:b/>
        </w:rPr>
        <w:t>POSSIBLE 2026:</w:t>
      </w:r>
      <w:r>
        <w:t xml:space="preserve"> Anti-amyloid therapies and the transformation of Alzheimer's care pathways: early lessons from the frontline — https://doi.org/10.1016/j.lanepe.2026.101609</w:t>
      </w:r>
    </w:p>
    <w:p>
      <w:pPr/>
      <w:r>
        <w:rPr>
          <w:b/>
        </w:rPr>
        <w:t>Shared claim-specific concepts:</w:t>
      </w:r>
      <w:r>
        <w:t xml:space="preserve"> pathways, support, moving, shift; EU scope visible. This is a provisional connection, not an outcome finding.</w:t>
      </w:r>
    </w:p>
    <w:p>
      <w:pPr>
        <w:pStyle w:val="SourceNote"/>
      </w:pPr>
      <w:r>
        <w:rPr>
          <w:b/>
        </w:rPr>
        <w:t>Available abstract (not full text):</w:t>
      </w:r>
      <w:r>
        <w:t xml:space="preserve"> The introduction of anti-amyloid monoclonal antibodies marks a major shift in Alzheimer's disease (AD) care, moving treatment toward biological modification and reshaping diagnostic and organizational models. At the Center for Alzheimer's and Related Diseases (CARD), IRCCS San Raffaele Hospital (Milan, Italy), among the first European tertiary centers to initiate both lecanemab and donanemab, we developed a structured fast-track pathway to support timely and safe access to therapy. Our early real-world experience highlights three critical domains. First, patient selection requires integration of cognitive, functional, and biological data, moving beyond rigid global score thresholds. Second, safety monitoring must balance ARIA risk with real-world feasibility through risk-adapted MRI surveillance. Third, effective implementation depends on transparent communication and continuous shared decision-making, particularly when benefit is uncertain or safety events occur. These elements underscore that the impact of disease-modifying therapies will depend not only on pharmacology, but on coordinated care models supported by real-world registries.</w:t>
      </w:r>
    </w:p>
    <w:p>
      <w:pPr/>
      <w:r>
        <w:rPr>
          <w:b/>
        </w:rPr>
        <w:t>POSSIBLE 2026:</w:t>
      </w:r>
      <w:r>
        <w:t xml:space="preserve"> Towards an Integrated 0–6 System in Hungary. European Lessons, Territorial Equity and Policy Pathways for Early Childhood Education and Care — https://doi.org/10.5281/zenodo.19928554</w:t>
      </w:r>
    </w:p>
    <w:p>
      <w:pPr/>
      <w:r>
        <w:rPr>
          <w:b/>
        </w:rPr>
        <w:t>Shared claim-specific concepts:</w:t>
      </w:r>
      <w:r>
        <w:t xml:space="preserve"> pathways, moving, lower; EU scope visible. This is a provisional connection, not an outcome finding.</w:t>
      </w:r>
    </w:p>
    <w:p>
      <w:pPr>
        <w:pStyle w:val="SourceNote"/>
      </w:pPr>
      <w:r>
        <w:rPr>
          <w:b/>
        </w:rPr>
        <w:t>Available abstract (not full text):</w:t>
      </w:r>
      <w:r>
        <w:t xml:space="preserve"> Early childhood education and care (ECEC) has become a central field of European policy because it connects child development, educational equity, social inclusion, parental employment and territorial cohesion. This volume examines European best practices in ECEC from an integrated 0–6 perspective and translates them into operational policy pathways for Hungary. It argues that quality cannot be assessed through participation rates alone. While the revised Barcelona targets and European Education Area indicators remain essential for monitoring access, the European Quality Framework requires a broader analysis of governance, staff qualifications, curriculum, monitoring and evaluation, funding, affordability and territorial reach. The volume adopts a functional comparative approach rather than recommending a single national model. Denmark, Finland, Sweden and Estonia are used as integrated structural benchmarks because they combine early entitlement, unified governance, qualified staff and educational guidelines across the whole early childhood phase. Italy, Portugal, Spain and France provide function-specific lessons on pedagogical integration, affordability, expansion and strong preschool traditions. The V4 countries — Czechia, Hungary, Poland and Slovakia — are treated as contextual comparators, helping to situate Hungary within a Central European policy environment marked by s</w:t>
      </w:r>
    </w:p>
    <w:p>
      <w:pPr/>
      <w:r>
        <w:rPr>
          <w:b/>
        </w:rPr>
        <w:t>POSSIBLE 2026:</w:t>
      </w:r>
      <w:r>
        <w:t xml:space="preserve"> Conditional pathways to loneliness in older adults with vision impairment: a decision-tree analysis — https://doi.org/10.1093/geroni/igag102</w:t>
      </w:r>
    </w:p>
    <w:p>
      <w:pPr/>
      <w:r>
        <w:rPr>
          <w:b/>
        </w:rPr>
        <w:t>Shared claim-specific concepts:</w:t>
      </w:r>
      <w:r>
        <w:t xml:space="preserve"> pathways, vision, lower, robust; EU scope not established. This is a provisional connection, not an outcome finding.</w:t>
      </w:r>
    </w:p>
    <w:p>
      <w:pPr>
        <w:pStyle w:val="SourceNote"/>
      </w:pPr>
      <w:r>
        <w:rPr>
          <w:b/>
        </w:rPr>
        <w:t>Available abstract (not full text):</w:t>
      </w:r>
      <w:r>
        <w:t xml:space="preserve"> Background and Objectives: The prevalence of vision impairment continues to increase globally due to population growth and aging. Among older adults with vision impairment, loneliness is common. Prior studies assessing loneliness risk have relied on regression-based approaches, which may not capture complex, heterogeneous conditional pathways. We apply a theoretically guided machine learning approach to examine loneliness risk among older adults with age-related macular degeneration (AMD). Research Design and Methods: = 80.1 years) enrolled in a randomized controlled trial, we applied a decision tree method using measures of legal blindness, emotional responses to vision loss, social life satisfaction, anxiety, depression, optimism, future planning, and sociodemographic factors to investigate heterogeneous pathways to loneliness. Results: = .78, DeLong 95% confidence interval: 0.68-0.88) and robust classification performance across thresholds. Social life satisfaction emerged as the primary branching condition differentiating loneliness outcomes. Distinct pathways suggested that high social life satisfaction was strongly associated with lower loneliness; optimism served as a compensatory resource when social satisfaction was lower. Additional pathways highlighted the effects of vision loss severity, anxiety, and emotional responses to vision loss on loneliness. Depressive sympt</w:t>
      </w:r>
    </w:p>
    <w:p>
      <w:pPr/>
      <w:r>
        <w:rPr>
          <w:b/>
        </w:rPr>
        <w:t>POSSIBLE 2026:</w:t>
      </w:r>
      <w:r>
        <w:t xml:space="preserve"> Cleaning up cleaning: a pathway to net zero for fast moving consumer goods chemical formulations — https://doi.org/10.3389/frevc.2026.1742124</w:t>
      </w:r>
    </w:p>
    <w:p>
      <w:pPr/>
      <w:r>
        <w:rPr>
          <w:b/>
        </w:rPr>
        <w:t>Shared claim-specific concepts:</w:t>
      </w:r>
      <w:r>
        <w:t xml:space="preserve"> moving, greenhouse, emissions; EU scope not established. This is a provisional connection, not an outcome finding.</w:t>
      </w:r>
    </w:p>
    <w:p>
      <w:pPr>
        <w:pStyle w:val="SourceNote"/>
      </w:pPr>
      <w:r>
        <w:rPr>
          <w:b/>
        </w:rPr>
        <w:t>Available abstract (not full text):</w:t>
      </w:r>
      <w:r>
        <w:t xml:space="preserve"> Household cleaning products and packaged chemicals sold by fast moving consumer goods (FMCG) companies contribute significantly to global emissions. Once used, these products largely enter wastewater systems and degrade into carbon-based greenhouse gases (GHGs). Such end-of-life emissions can account for up to two-thirds of the product's total, but are often overlooked in both environmental assessments and policy. Here, we examine the decarbonization of the FMCG chemical formulations sector, motivated by four questions. First, is it preferable to substitute fossil-based feedstock with bio-based feedstock, or to continue with fossil feedstocks but with capture and permanent storage of the corresponding atmospheric carbon dioxide? Second, how large are the current cost differentials between fossil-based and viable bio-based feedstocks? Third, what is the potential for cost reductions among bio-based feedstocks, given technology learning curves? Fourth, what carbon prices would make bio-based feedstocks competitive with their fossil-based alternatives? The paper concludes with a discussion of policy options to enable the competitiveness of bio-based feedstocks with their fossil carbon equivalents, opening up a pathway to net zero for household chemical formulations.</w:t>
      </w:r>
    </w:p>
    <w:p>
      <w:pPr/>
      <w:r>
        <w:rPr>
          <w:b/>
        </w:rPr>
        <w:t>POSSIBLE 2026:</w:t>
      </w:r>
      <w:r>
        <w:t xml:space="preserve"> 6.4 Vision and pathway development of aqua thermal energy in the EU North Sea region:Version March 2026 — https://openalex.org/W7152935239</w:t>
      </w:r>
    </w:p>
    <w:p>
      <w:pPr/>
      <w:r>
        <w:rPr>
          <w:b/>
        </w:rPr>
        <w:t>Shared claim-specific concepts:</w:t>
      </w:r>
      <w:r>
        <w:t xml:space="preserve"> pathways, vision, actions, enhance; EU scope visible. This is a provisional connection, not an outcome finding.</w:t>
      </w:r>
    </w:p>
    <w:p>
      <w:pPr>
        <w:pStyle w:val="SourceNote"/>
      </w:pPr>
      <w:r>
        <w:rPr>
          <w:b/>
        </w:rPr>
        <w:t>Available abstract (not full text):</w:t>
      </w:r>
      <w:r>
        <w:t xml:space="preserve"> This report presents the outcomes of Work Package 6 (WP6) within the EU Interreg North Sea WaterWarmth Project, focusing on governance, innovation, policy frameworks, and stakeholder engagement for the advancement of aqua thermal energy (AE) systems in the EU North Sea Region. The project aims to accelerate the transition toward sustainable, low-carbon aqua thermal heating and cooling by developing shared strategic knowledge and actionable pathways for AE deployment across six European countries. The central result of WP6 is a co-created vision for aqua thermal energy systems in 2050, supported by country-specific and unified transition pathways spanning the period 2025–2050. The vision was formulated with the WaterWarmth project partners to elicit individual and group level ideas. To enhance the co-creation process, and to apply an innovative mixed methodology approach, Generative Artificial Intelligence (GenAI) was integrated in the process of vision formulation. The vision depicts a fair, sustainable, and community-driven heating system in which decentralized yet interconnected AE networks are owned and managed by local, non-profit cooperatives. These systems ensure affordability, resilience, and secure access to clean heat, while safeguarding aquatic ecosystems. Technological development is another pillar of the vision augmented through smart management systems. To operatio</w:t>
      </w:r>
    </w:p>
    <w:p>
      <w:pPr/>
      <w:r>
        <w:rPr>
          <w:b/>
        </w:rPr>
        <w:t>POSSIBLE 2026:</w:t>
      </w:r>
      <w:r>
        <w:t xml:space="preserve"> Comparative analysis of language policies in Malta and the European schools language policy — https://doi.org/10.20897/ejelr/18596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This study investigates how national language policies and the European Schools Language Policy support the inclusion of multiple languages in early and primary education in Malta. It focuses on Maltese policy documents such as the Language Policy for the Early Years, the Junior Years Policy, and the National Literacy Strategy and compares them with the European Schools Language Policy. Using a comparative content analysis framework, the research evaluates how these policies conceptualise multilingualism, support linguistic diversity, and accommodate students’ full language repertoires. Findings reveal that while Maltese policies promote bilingualism in Maltese and English, they often adopt a monoglossic orientation that marginalises students’ first language/s (L1). In contrast, the European Schools Language Policy operationalises plurilingualism through L1 maintenance, additional language pathways, and Content and Language Integrated Learning (CLIL), positioning linguistic diversity as both a right and a pedagogical resource. The analysis highlights clear divergences in policy measurability, implementation mechanisms, and children’s participation, alongside the persistence of a colonial legacy, specifically the historical British influence on English dominance in education. The study concludes that Malta’s education system would benefit from moving beyond declarative bilingual</w:t>
      </w:r>
    </w:p>
    <w:p>
      <w:pPr>
        <w:pStyle w:val="Heading2"/>
      </w:pPr>
      <w:r>
        <w:t>749. When will European Muslim population be majority and in which country?</w:t>
      </w:r>
    </w:p>
    <w:p>
      <w:pPr>
        <w:pStyle w:val="SourceNote"/>
      </w:pPr>
      <w:r>
        <w:rPr>
          <w:b/>
        </w:rPr>
        <w:t>Original source (2019):</w:t>
      </w:r>
      <w:r>
        <w:t xml:space="preserve"> https://doi.org/10.1108/prr-12-2018-0034</w:t>
      </w:r>
    </w:p>
    <w:p>
      <w:pPr/>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POSSIBLE 2026:</w:t>
      </w:r>
      <w:r>
        <w:t xml:space="preserve"> Exploring the genetic diversity of recent Ralstonia pseudosolanacearum phylotype I findings in Europe — https://doi.org/10.1007/s10658-026-03191-9</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pPr/>
      <w:r>
        <w:rPr>
          <w:b/>
        </w:rPr>
        <w:t>POSSIBLE 2026:</w:t>
      </w:r>
      <w:r>
        <w:t xml:space="preserve"> CSR and cost of debt in three European countries — https://doi.org/10.1007/s43621-026-03822-5</w:t>
      </w:r>
    </w:p>
    <w:p>
      <w:pPr/>
      <w:r>
        <w:rPr>
          <w:b/>
        </w:rPr>
        <w:t>Shared claim-specific concepts:</w:t>
      </w:r>
      <w:r>
        <w:t xml:space="preserve"> findings, among, three, likely, countries, between; EU scope visible. This is a provisional connection, not an outcome finding.</w:t>
      </w:r>
    </w:p>
    <w:p>
      <w:pPr>
        <w:pStyle w:val="SourceNote"/>
      </w:pPr>
      <w:r>
        <w:rPr>
          <w:b/>
        </w:rPr>
        <w:t>Available abstract (not full text):</w:t>
      </w:r>
      <w:r>
        <w:t xml:space="preserve">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pPr/>
      <w:r>
        <w:rPr>
          <w:b/>
        </w:rPr>
        <w:t>POSSIBLE 2026:</w:t>
      </w:r>
      <w:r>
        <w:t xml:space="preserve"> A multinational exploratory assessment of cancer knowledge among people with intellectual disabilities across European countries — https://doi.org/10.1186/s12939-026-02959-z</w:t>
      </w:r>
    </w:p>
    <w:p>
      <w:pPr/>
      <w:r>
        <w:rPr>
          <w:b/>
        </w:rPr>
        <w:t>Shared claim-specific concepts:</w:t>
      </w:r>
      <w:r>
        <w:t xml:space="preserve"> findings, among, three, countries, population, between; EU scope visible. This is a provisional connection, not an outcome finding.</w:t>
      </w:r>
    </w:p>
    <w:p>
      <w:pPr>
        <w:pStyle w:val="SourceNote"/>
      </w:pPr>
      <w:r>
        <w:rPr>
          <w:b/>
        </w:rPr>
        <w:t>Available abstract (not full text):</w:t>
      </w:r>
      <w:r>
        <w:t xml:space="preserve"> Abstract Background People with intellectual disabilities (ID) experience significant health inequalities, including limited access to cancer-related information and poor cancer outcomes. Cancer knowledge is a key determinant of early detection and prevention; however, evidence from European countries remains limited. This study aimed to assess cancer knowledge among people with (ID) across European countries and to examine associated sociodemographic factors. Methods A cross-sectional, multinational exploratory study was conducted between January 2025 and January 2026 across multiple European countries using a collaborative research network. A total of 896 adults with mild-to-moderate (ID) participated in this study. Cancer knowledge was assessed using an adapted, easy-to-read Cancer Awareness Measure covering three domains: warning signs (9 items), risk factors (11 items), and prevention (7 items). Data were analyzed using descriptive statistics, Spearman’s rank correlation, Mann–Whitney U test, Kruskal–Wallis test, and multiple linear regression. Results All three knowledge domains demonstrated good internal consistency (Cronbach’s α = 0.802–0.929). Significant positive correlations were observed among knowledge of warning signs, risk factors, and prevention (ρ = 0.503–0.772, p &lt; 0.001). Female participants had higher warning sign knowledge than male participants ( p = 0.039</w:t>
      </w:r>
    </w:p>
    <w:p>
      <w:pPr/>
      <w:r>
        <w:rPr>
          <w:b/>
        </w:rPr>
        <w:t>POSSIBLE 2026:</w:t>
      </w:r>
      <w:r>
        <w:t xml:space="preserve"> Barriers and facilitators to healthcare access among Sub-Saharan African migrants in Europe: A scoping review — https://doi.org/10.1371/journal.pone.0351011</w:t>
      </w:r>
    </w:p>
    <w:p>
      <w:pPr/>
      <w:r>
        <w:rPr>
          <w:b/>
        </w:rPr>
        <w:t>Shared claim-specific concepts:</w:t>
      </w:r>
      <w:r>
        <w:t xml:space="preserve"> findings, among, three, population; EU scope visible. This is a provisional connection, not an outcome finding.</w:t>
      </w:r>
    </w:p>
    <w:p>
      <w:pPr>
        <w:pStyle w:val="SourceNote"/>
      </w:pPr>
      <w:r>
        <w:rPr>
          <w:b/>
        </w:rPr>
        <w:t>Available abstract (not full text):</w:t>
      </w:r>
      <w:r>
        <w:t xml:space="preserve"> BACKGROUND: Sub-Saharan African (SSA) migrants represent a significant and growing proportion of Europe's diverse migrant population; yet face substantial barriers in accessing healthcare services. Understanding these barriers is essential for developing equitable healthcare policies and anticipating long-term care needs as these populations age. METHODS: This scoping review systematically mapped and synthesised existing evidence on healthcare access, utilization, barriers, and facilitators among SSA migrants across European settings. The primary review question was: What are the barriers and facilitators to healthcare access and utilization among Sub-Saharan African migrants in Europe? Following Arksey and O'Malley framework and PRISMA-ScR guidelines, we systematically searched Europe PMC, Scopus, Web of Science, PubMed, and Google Scholar. Fourteen studies met inclusion criteria. Data were synthesised using thematic analysis to identify descriptive and analytical themes. RESULTS: Three overarching analytical themes emerged: (1) structural determinants as persistent barriers to care, including health insurance gaps, legal precarity, and administrative complexity; (2) intersectional vulnerabilities shaping healthcare experiences, particularly among undocumented migrants, women, and those living with HIV; and (3) cultural mediation and system misalignment, characterized by langu</w:t>
      </w:r>
    </w:p>
    <w:p>
      <w:pPr/>
      <w:r>
        <w:rPr>
          <w:b/>
        </w:rPr>
        <w:t>POSSIBLE 2026:</w:t>
      </w:r>
      <w:r>
        <w:t xml:space="preserve"> The Long Shadow of Migration: How Mobility Biographies Shape Mental Health Among Older Adults in Europe — https://doi.org/10.12765/cpos-2026-13</w:t>
      </w:r>
    </w:p>
    <w:p>
      <w:pPr/>
      <w:r>
        <w:rPr>
          <w:b/>
        </w:rPr>
        <w:t>Shared claim-specific concepts:</w:t>
      </w:r>
      <w:r>
        <w:t xml:space="preserve"> findings, among, three, migration, countries; EU scope visible. This is a provisional connection, not an outcome finding.</w:t>
      </w:r>
    </w:p>
    <w:p>
      <w:pPr>
        <w:pStyle w:val="SourceNote"/>
      </w:pPr>
      <w:r>
        <w:rPr>
          <w:b/>
        </w:rPr>
        <w:t>Available abstract (not full text):</w:t>
      </w:r>
      <w:r>
        <w:t xml:space="preserve"> This paper examines how mobility biographies shape mental health in later life. Moving beyond the conventional migrant/non-migrant binary, we reconstruct complete internal, return, and international migration histories for individuals aged 50 and older across 20 European countries, linking retrospective life-history data from SHARE to repeated measures of depressive symptoms (Waves 4-9). Our results reveal three sets of findings. First, international migrants face a substantial and persistent mental health penalty, roughly five times greater than the modest disadvantage observed among internal migrants, while return migrants are statistically indistinguishable from stayers. Second, the cumulative toll of repeated mobility depends on migration type: each additional cross-border episode is associated with markedly worse mental health, while repeated internal moves carry limited consequences. Third, international migration in midlife is associated with progressively worse outcomes in later life, whereas the timing of internal moves bears no discernible association with mental health. These findings underscore the importance of treating migration not as a single event but as a cumulative biographical process, the mental health consequences of which unfold – and compound – across the life course. * This article belongs to a special issue on “Migration Trajectories Across the Life Co</w:t>
      </w:r>
    </w:p>
    <w:p>
      <w:pPr/>
      <w:r>
        <w:rPr>
          <w:b/>
        </w:rPr>
        <w:t>POSSIBLE 2026:</w:t>
      </w:r>
      <w:r>
        <w:t xml:space="preserve"> Motivations for smart cities differ between Africa, Europe, and Asia — https://doi.org/10.1016/j.erss.2026.104943</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Smart cities are understood in literature and among municipal actors as a way forward to better organize and manage cities. However, the underlying motivations behind smart city development diverge substantially across regions, and their implications for governance capacity and urban energy transitions remain insufficiently explored. Here, we combine NLP-based discourse analysis with implementation-oriented triangulation to examine smart city motivations and their relationship with urban energy transitions across 15 selected cities in Asia, Europe, and Africa, including six in-depth case studies: Hangzhou, Singapore, Copenhagen, Helsinki, Nairobi, and Johannesburg. The findings illustrate three broad smart city trajectories: technology-driven, climate-oriented, and need-based pathways. The sampled Asian cities more strongly aligned with digital optimization, the selected European cases with low-carbon infrastructure integration and climate governance, and the sampled African cases with infrastructure expansion and basic service provision. The findings further suggest that interactions between smart city technologies and urban energy systems vary across differing governance and infrastructural contexts.</w:t>
      </w:r>
    </w:p>
    <w:p>
      <w:pPr/>
      <w:r>
        <w:rPr>
          <w:b/>
        </w:rPr>
        <w:t>POSSIBLE 2026:</w:t>
      </w:r>
      <w:r>
        <w:t xml:space="preserve"> Right Wing Reactionary Populist Radicalism and Migration in Europe — https://doi.org/10.5195/valeus.2026.3</w:t>
      </w:r>
    </w:p>
    <w:p>
      <w:pPr/>
      <w:r>
        <w:rPr>
          <w:b/>
        </w:rPr>
        <w:t>Shared claim-specific concepts:</w:t>
      </w:r>
      <w:r>
        <w:t xml:space="preserve"> findings, migration, countries, between, france, greece; EU scope visible. This is a provisional connection, not an outcome finding.</w:t>
      </w:r>
    </w:p>
    <w:p>
      <w:pPr>
        <w:pStyle w:val="SourceNote"/>
      </w:pPr>
      <w:r>
        <w:rPr>
          <w:b/>
        </w:rPr>
        <w:t>Available abstract (not full text):</w:t>
      </w:r>
      <w:r>
        <w:t xml:space="preserve"> The main purpose of this essay is to assess the relationship between populism and immigration in the European Union. Based on an extensive literature review on the current state of populist movements in the EU as well as on the findings of two sets of comparative fieldwork conducted in various European countries in 2017 (Germany, France, Italy, Greece, and the Netherlands) and between 2020 and 2021 (Germany, France, Italy, and the Netherlands), the essay seeks to understand and explain the relevance of the debates on migration, refugees and Islam with the rise of radical right-wing populism as well as with the current state of the EU. The essay discusses the impact of the growing populist and anti-Muslim sentiments on migration and asylum policies in the EU.</w:t>
      </w:r>
    </w:p>
    <w:p>
      <w:pPr/>
      <w:r>
        <w:rPr>
          <w:b/>
        </w:rPr>
        <w:t>POSSIBLE 2026:</w:t>
      </w:r>
      <w:r>
        <w:t xml:space="preserve"> Rethinking European Migration Through Second-Best Destinations — https://doi.org/10.1007/978-981-92-2630-6_2</w:t>
      </w:r>
    </w:p>
    <w:p>
      <w:pPr/>
      <w:r>
        <w:rPr>
          <w:b/>
        </w:rPr>
        <w:t>Shared claim-specific concepts:</w:t>
      </w:r>
      <w:r>
        <w:t xml:space="preserve"> three, migration, sweden, italy; EU scope visible. This is a provisional connection, not an outcome finding.</w:t>
      </w:r>
    </w:p>
    <w:p>
      <w:pPr>
        <w:pStyle w:val="SourceNote"/>
      </w:pPr>
      <w:r>
        <w:rPr>
          <w:b/>
        </w:rPr>
        <w:t>Available abstract (not full text):</w:t>
      </w:r>
      <w:r>
        <w:t xml:space="preserve"> This chapter develops the theoretical framework of the book by introducing three interrelated concepts: (1) second-best destinations, (2) diasporic marginalities, and (3) learning to stay, to analyze how migration from Turkey unfolds at the edges of Europe’s opportunity structures. It argues that destinations are structurally produced positions within a European migration system that unevenly distribute access, protection, and mobility. Southern Europe, and Italy in particular, emerges as a second-best destination through the combined effects of European migration governance, informal labor market structures, and the foreclosure of preferred alternatives in Northern Europe. The chapter proceeds in three movements. It first traces the consolidation of European migration governance, from the Common European Asylum System and the Dublin Regulation through the EU-Turkey Statement of 2016, showing how supranational frameworks systematically positioned Southern European states as enforcement peripheries while limiting their capacity for long-term protection and incorporation. It then examines Italy’s specific trajectory, from late incorporation into European migration circuits through recurrent regularizations and institutionalized informality, to its current position as a space where migrants can remain but rarely thrive. Finally, it maps the aspirational geographies against which I</w:t>
      </w:r>
    </w:p>
    <w:p>
      <w:pPr/>
      <w:r>
        <w:rPr>
          <w:b/>
        </w:rPr>
        <w:t>POSSIBLE 2026:</w:t>
      </w:r>
      <w:r>
        <w:t xml:space="preserve"> Migration resistance as border politics : counter-imaginaries of EUrope — https://doi.org/10.82444/warw.33687625</w:t>
      </w:r>
    </w:p>
    <w:p>
      <w:pPr/>
      <w:r>
        <w:rPr>
          <w:b/>
        </w:rPr>
        <w:t>Shared claim-specific concepts:</w:t>
      </w:r>
      <w:r>
        <w:t xml:space="preserve"> three, migration, italy; EU scope visible. This is a provisional connection, not an outcome finding.</w:t>
      </w:r>
    </w:p>
    <w:p>
      <w:pPr>
        <w:pStyle w:val="SourceNote"/>
      </w:pPr>
      <w:r>
        <w:rPr>
          <w:b/>
        </w:rPr>
        <w:t>Available abstract (not full text):</w:t>
      </w:r>
      <w:r>
        <w:t xml:space="preserve"> This thesis seeks to conceptualise and mobilise migration resistances as forces of animation through which contemporary forms of EUropean border governance can be productively explored. By following different migration struggles ethnographically, it inquires into their emergence and asks what practices of government and control they reveal. Situated within the academic fields of ‘critical border and migration studies’ and Michel Foucault’s conceptualisations of power, resistance and the art of government, resistance is understood as method. As a set of analytics and catalysts that sets sociopolitical processes and phenomena into frictional motion, resistance is developed as a mode of critical investigation. It is argued that, while always specific and situated, migration struggles form transversal resistances that bring to light particular aspects of the ‘EUropean border dispositif’ which seeks to monitor, regulate and deter certain human mobilities. In a multi-sited ethnography, conducted in diverse borderscapes, heterogeneous struggles are explored. The first study follows the Non-Citizen movement that emerged in Germany and interprets their confrontational and provocative struggle as dissent. The second ethnographic study explores the Boats4People campaign that took place in Italy and Tunisia to protest migrant deaths in the Mediterranean Sea and focuses on their embodied pr</w:t>
      </w:r>
    </w:p>
    <w:p>
      <w:pPr/>
      <w:r>
        <w:rPr>
          <w:b/>
        </w:rPr>
        <w:t>POSSIBLE 2025:</w:t>
      </w:r>
      <w:r>
        <w:t xml:space="preserve"> P-529 Fertility knowledge among european adolescents: findings from the “FActs!” serious educational game — https://doi.org/10.1093/humrep/deaf097.835</w:t>
      </w:r>
    </w:p>
    <w:p>
      <w:pPr/>
      <w:r>
        <w:rPr>
          <w:b/>
        </w:rPr>
        <w:t>Shared claim-specific concepts:</w:t>
      </w:r>
      <w:r>
        <w:t xml:space="preserve"> findings, among, three, countries, between, bulgaria; EU scope visible. This is a provisional connection, not an outcome finding.</w:t>
      </w:r>
    </w:p>
    <w:p>
      <w:pPr>
        <w:pStyle w:val="SourceNote"/>
      </w:pPr>
      <w:r>
        <w:rPr>
          <w:b/>
        </w:rPr>
        <w:t>Available abstract (not full text):</w:t>
      </w:r>
      <w:r>
        <w:t xml:space="preserve">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pPr/>
      <w:r>
        <w:rPr>
          <w:b/>
        </w:rPr>
        <w:t>POSSIBLE 2025:</w:t>
      </w:r>
      <w:r>
        <w:t xml:space="preserve"> Migration to Italy and Integration into the European Space from the Point of View of Romanians — https://doi.org/10.3390/genealogy9040109</w:t>
      </w:r>
    </w:p>
    <w:p>
      <w:pPr/>
      <w:r>
        <w:rPr>
          <w:b/>
        </w:rPr>
        <w:t>Shared claim-specific concepts:</w:t>
      </w:r>
      <w:r>
        <w:t xml:space="preserve"> findings, migration, italy; EU scope visible. This is a provisional connection, not an outcome finding.</w:t>
      </w:r>
    </w:p>
    <w:p>
      <w:pPr>
        <w:pStyle w:val="SourceNote"/>
      </w:pPr>
      <w:r>
        <w:rPr>
          <w:b/>
        </w:rPr>
        <w:t>Available abstract (not full text):</w:t>
      </w:r>
      <w:r>
        <w:t xml:space="preserve"> This study investigates the determinants of Romanian workers’ migration intentions towards Italy, integrating economic, social, and psychological perspectives. Based on a sample of 358 respondents, four hypotheses were tested concerning perceived living standards, working conditions, quality of public services, and anticipated integration difficulties. Data were analysed using descriptive statistics, Spearman’s rho correlation, Mann–Whitney U, Chi-square, ANOVA, and ordinal logistic regression. The results confirm that higher perceived living standards and better working conditions in Italy significantly increase the likelihood of expressing migration intentions, while favourable evaluations of healthcare and education act as additional pull factors. Conversely, anticipated integration difficulties, particularly language barriers and cultural adaptation, reduce migration intentions, indicating that socio-psychological obstacles can counterbalance economic incentives. By combining non-parametric and multivariate analyses, the study demonstrates that migration is a multidimensional process shaped not only by structural opportunities but also by behavioural and psychological appraisals. These findings are consistent with recent research on European labour mobility and contribute to the literature by highlighting the role of subjective perceptions in shaping migration decisions. Im</w:t>
      </w:r>
    </w:p>
    <w:p>
      <w:pPr/>
      <w:r>
        <w:rPr>
          <w:b/>
        </w:rPr>
        <w:t>POSSIBLE 2025:</w:t>
      </w:r>
      <w:r>
        <w:t xml:space="preserve"> Mobilising on Migration? Linkages of Migration and European Integration in Four Irish EU Referendums — https://doi.org/10.1002/cep4.70012</w:t>
      </w:r>
    </w:p>
    <w:p>
      <w:pPr/>
      <w:r>
        <w:rPr>
          <w:b/>
        </w:rPr>
        <w:t>Shared claim-specific concepts:</w:t>
      </w:r>
      <w:r>
        <w:t xml:space="preserve"> migration, between, ireland; EU scope visible. This is a provisional connection, not an outcome finding.</w:t>
      </w:r>
    </w:p>
    <w:p>
      <w:pPr>
        <w:pStyle w:val="SourceNote"/>
      </w:pPr>
      <w:r>
        <w:rPr>
          <w:b/>
        </w:rPr>
        <w:t>Available abstract (not full text):</w:t>
      </w:r>
      <w:r>
        <w:t xml:space="preserve"> ABSTRACT In a Europe where contestation over migration and European integration has become increasingly connected, Ireland seems to be an outlier. Whereas European integration has been a politicised issue in Ireland, not least in the context of four consecutive referendums on EU treaties in the early 2000s, politicisation of immigration has traditionally been low in Ireland. But while previous studies suggest that this has also been the case during EU referendums, the debates on the Treaty of Nice seem to be an exception. Ireland's status as an outlier in Western Europe and the variation across referendums makes the Irish referendums an ideal case for exploring the relationship between politicisation of migration and European integration. This article examines and explains to what extent and how migration has been discursively linked to European integration in the four Irish EU referendums in the period 2001–2009. Based on a quantitative and qualitative analysis of political claims in Irish newspapers, I argue that pre‐existing national discourses on migration and European integration, which have been predominantly positive in Ireland, have generally hindered the mobilisation of anti‐immigration sentiments against the EU. The Nice II referendum is an exception, highlighting how not even Ireland is immune to such politicisation. My analysis shows how domestic radical right actor</w:t>
      </w:r>
    </w:p>
    <w:p>
      <w:pPr>
        <w:pStyle w:val="Heading2"/>
      </w:pPr>
      <w:r>
        <w:t>750. Will we reach the Sustainable Development Goals target for tuberculosis in the European Union/European Economic Area by 2030?</w:t>
      </w:r>
    </w:p>
    <w:p>
      <w:pPr>
        <w:pStyle w:val="SourceNote"/>
      </w:pPr>
      <w:r>
        <w:rPr>
          <w:b/>
        </w:rPr>
        <w:t>Original source (2019):</w:t>
      </w:r>
      <w:r>
        <w:t xml:space="preserve"> https://doi.org/10.2807/1560-7917.es.2019.24.12.1900153</w:t>
      </w:r>
    </w:p>
    <w:p>
      <w:pPr/>
      <w:r>
        <w:t>Original wording (abstract; indexed_source_text_not_full_document_verified): With the current average decline in notification rate and number of TB deaths however, the EU/EEA will not reach the targets by 2030.</w:t>
      </w:r>
    </w:p>
    <w:p>
      <w:pPr/>
      <w:r>
        <w:rPr>
          <w:b/>
        </w:rPr>
        <w:t>POSSIBLE 2026:</w:t>
      </w:r>
      <w:r>
        <w:t xml:space="preserve"> Predicted decline in common bird and butterfly species even under conservation policy scenarios in Europe — https://doi.org/10.1038/s41559-026-03139-6</w:t>
      </w:r>
    </w:p>
    <w:p>
      <w:pPr/>
      <w:r>
        <w:rPr>
          <w:b/>
        </w:rPr>
        <w:t>Shared claim-specific concepts:</w:t>
      </w:r>
      <w:r>
        <w:t xml:space="preserve"> current, average, decline, however, not, targets; EU scope visible. This is a provisional connection, not an outcome finding.</w:t>
      </w:r>
    </w:p>
    <w:p>
      <w:pPr>
        <w:pStyle w:val="SourceNote"/>
      </w:pPr>
      <w:r>
        <w:rPr>
          <w:b/>
        </w:rPr>
        <w:t>Available abstract (not full text):</w:t>
      </w:r>
      <w:r>
        <w:t xml:space="preserve">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pPr/>
      <w:r>
        <w:rPr>
          <w:b/>
        </w:rPr>
        <w:t>POSSIBLE 2026:</w:t>
      </w:r>
      <w:r>
        <w:t xml:space="preserve"> Alarming decline in the carbon sink of European forests driven by disturbances — https://doi.org/10.1093/nsr/nwag354</w:t>
      </w:r>
    </w:p>
    <w:p>
      <w:pPr/>
      <w:r>
        <w:rPr>
          <w:b/>
        </w:rPr>
        <w:t>Shared claim-specific concepts:</w:t>
      </w:r>
      <w:r>
        <w:t xml:space="preserve"> decline, however, targets; EU scope visible. This is a provisional connection, not an outcome finding.</w:t>
      </w:r>
    </w:p>
    <w:p>
      <w:pPr>
        <w:pStyle w:val="SourceNote"/>
      </w:pPr>
      <w:r>
        <w:rPr>
          <w:b/>
        </w:rPr>
        <w:t>Available abstract (not full text):</w:t>
      </w:r>
      <w:r>
        <w:t xml:space="preserve"> ABSTRACT Forests are carbon sinks essential for climate change mitigation. However, increased harvests and natural disturbances across Europe have recently challenged this role. To project the future carbon sink capacity of Europe’s forests, we integrated country reports from the United Nations Framework Convention on Climate Change with remote sensing maps of disturbances and above-ground biomass. Our model simulates biomass dynamics at 18 km resolution from 2010 to 2030, predicting a 39% decrease in the EU-27 forest carbon sink, driven by disturbances outpacing biomass recovery. Consequently, the 2030 forest carbon sink will fall 27% short of the estimated target consistent with EU-27 climate objectives. We demonstrate that the three billion trees initiative is insufficient for climate change mitigation and needs to be combined with a 28% reduction in forest harvests from 2025 to 2030 to meet these targets.</w:t>
      </w:r>
    </w:p>
    <w:p>
      <w:pPr/>
      <w:r>
        <w:rPr>
          <w:b/>
        </w:rPr>
        <w:t>POSSIBLE 2026:</w:t>
      </w:r>
      <w:r>
        <w:t xml:space="preserve"> Alarming decline in the carbon sink of European forests driven by disturbances. — https://doi.org/10.1093/nsr/nwag354</w:t>
      </w:r>
    </w:p>
    <w:p>
      <w:pPr/>
      <w:r>
        <w:rPr>
          <w:b/>
        </w:rPr>
        <w:t>Shared claim-specific concepts:</w:t>
      </w:r>
      <w:r>
        <w:t xml:space="preserve"> decline, however, targets; EU scope visible. This is a provisional connection, not an outcome finding.</w:t>
      </w:r>
    </w:p>
    <w:p>
      <w:pPr>
        <w:pStyle w:val="SourceNote"/>
      </w:pPr>
      <w:r>
        <w:rPr>
          <w:b/>
        </w:rPr>
        <w:t>Available abstract (not full text):</w:t>
      </w:r>
      <w:r>
        <w:t xml:space="preserve"> Forests are carbon sinks essential for climate change mitigation. However, increased harvests and natural disturbances across Europe have recently challenged this role. To project the future carbon sink capacity of Europe's forests, we integrated country reports from the United Nations Framework Convention on Climate Change with remote sensing maps of disturbances and above-ground biomass. Our model simulates biomass dynamics at 18 km resolution from 2010 to 2030, predicting a 39% decrease in the EU-27 forest carbon sink, driven by disturbances outpacing biomass recovery. Consequently, the 2030 forest carbon sink will fall 27% short of the estimated target consistent with EU-27 climate objectives. We demonstrate that the three billion trees initiative is insufficient for climate change mitigation and needs to be combined with a 28% reduction in forest harvests from 2025 to 2030 to meet these targets.</w:t>
      </w:r>
    </w:p>
    <w:p>
      <w:pPr/>
      <w:r>
        <w:rPr>
          <w:b/>
        </w:rPr>
        <w:t>POSSIBLE 2026:</w:t>
      </w:r>
      <w:r>
        <w:t xml:space="preserve"> Maternity Care in the Context of Demographic Decline: Lessons From Greece for Europe — https://doi.org/10.31083/ceog55583</w:t>
      </w:r>
    </w:p>
    <w:p>
      <w:pPr/>
      <w:r>
        <w:rPr>
          <w:b/>
        </w:rPr>
        <w:t>Shared claim-specific concepts:</w:t>
      </w:r>
      <w:r>
        <w:t xml:space="preserve"> average, decline, however, not; EU scope visible. This is a provisional connection, not an outcome finding.</w:t>
      </w:r>
    </w:p>
    <w:p>
      <w:pPr>
        <w:pStyle w:val="SourceNote"/>
      </w:pPr>
      <w:r>
        <w:rPr>
          <w:b/>
        </w:rPr>
        <w:t>Available abstract (not full text):</w:t>
      </w:r>
      <w:r>
        <w:t xml:space="preserve"> Across Europe, maternity systems are increasingly challenged by demographic decline, rising medicalization, and evolving expectations surrounding childbirth. Greece represents a particularly informative case. Despite a substantial reduction in annual births, the country continues to sustain one of the highest physician densities in Europe, with a large obstetric specialist workforce alongside a persistent shortage of midwives. This structural imbalance coincides with exceptionally high cesarean section (CS) rates. As mode-of-delivery data were unavailable before 2018 and substantially incomplete between 2018 and 2020, the most reliable assessment is limited to the period 2021–2024. Throughout this period, CS rates remained elevated throughout this period, ranging from 60.5% to 62.1% of live births, with the peak plateauing across 2023 and 2024 at roughly 62.1%. Considering national vital statistics, health workforce data, and comparative European indicators, this article presents a policy-oriented ecological analysis of maternity care in Greece. It briefly explores the interrelationship between workforce composition, medicolegal pressures, maternal demographic change, and patterns of obstetric intervention. Although Greek obstetricians report a strong personal preference for vaginal birth, clinical practice remains predominantly interventionist. The sustained predominance of CS</w:t>
      </w:r>
    </w:p>
    <w:p>
      <w:pPr/>
      <w:r>
        <w:rPr>
          <w:b/>
        </w:rPr>
        <w:t>POSSIBLE 2025:</w:t>
      </w:r>
      <w:r>
        <w:t xml:space="preserve"> Growth decline in European beech associated with temperature-driven increase in reproductive allocation — https://doi.org/10.1073/pnas.2423181122</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pPr/>
      <w:r>
        <w:rPr>
          <w:b/>
        </w:rPr>
        <w:t>POSSIBLE 2025:</w:t>
      </w:r>
      <w:r>
        <w:t xml:space="preserve"> European Breeding Bird Declines Associated With Narrower Climatic Niches — https://doi.org/10.1111/jbi.15127</w:t>
      </w:r>
    </w:p>
    <w:p>
      <w:pPr/>
      <w:r>
        <w:rPr>
          <w:b/>
        </w:rPr>
        <w:t>Shared claim-specific concepts:</w:t>
      </w:r>
      <w:r>
        <w:t xml:space="preserve"> average, however, not; EU scope visible. This is a provisional connection, not an outcome finding.</w:t>
      </w:r>
    </w:p>
    <w:p>
      <w:pPr>
        <w:pStyle w:val="SourceNote"/>
      </w:pPr>
      <w:r>
        <w:rPr>
          <w:b/>
        </w:rPr>
        <w:t>Available abstract (not full text):</w:t>
      </w:r>
      <w:r>
        <w:t xml:space="preserve">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current, decline, not;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Differential impact of gender and socioeconomic indicators on heart failure hospitalisations: A Pan-European population-based time-series analysis — https://doi.org/10.1093/eurheartj/ehaf784.1064</w:t>
      </w:r>
    </w:p>
    <w:p>
      <w:pPr/>
      <w:r>
        <w:rPr>
          <w:b/>
        </w:rPr>
        <w:t>Shared claim-specific concepts:</w:t>
      </w:r>
      <w:r>
        <w:t xml:space="preserve"> average, decline, rate, number, however; EU scope visible. This is a provisional connection, not an outcome finding.</w:t>
      </w:r>
    </w:p>
    <w:p>
      <w:pPr>
        <w:pStyle w:val="SourceNote"/>
      </w:pPr>
      <w:r>
        <w:rPr>
          <w:b/>
        </w:rPr>
        <w:t>Available abstract (not full text):</w:t>
      </w:r>
      <w:r>
        <w:t xml:space="preserve"> Abstract Background Heart failure (HF) is a growing global health challenge, placing an increasing burden on healthcare systems worldwide. There is currently a lack of large-scale multinational studies examining how HF hospitalisation rates vary over time by age and socioeconomic indicators Purpose To examine trends in HF hospitalisation rates across European nations and, assess their association with gender and socioeconomic metrics. Methods Annual HF discharge rates (per 100,000 inhabitants) categorised by sex, along with national socioeconomic data were extracted from the Eurostat and World Bank databases, respectively for the periods 2004-2018. Joinpoint regression was used to analyse trends in discharge rates. Healthcare and socioeconomic metrics were compared between countries with increasing vs. decreasing HF discharge rates for recent years (2014-2018). HF prevalence (per 100,000 inhabitants) from the Global Burden of Disease database was assessed for correlations with discharge rates. Results A total of 19,975,316 HF related hospitalisation were reported across 26 European countries between 2004-2018. Among them, 19 countries showed an increase in HF hospitalisation rates for both sexes. The largest increases were observed in Latvia (+550% males, +510% females), Malta (+188% males, +228% females), and Slovakia (+169% males, +151% females). The largest decrease was seen</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current, however, not;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2024:</w:t>
      </w:r>
      <w:r>
        <w:t xml:space="preserve"> Dissecting the Decline in Average Hours Worked in Europe — https://doi.org/10.5089/9798400261183.001</w:t>
      </w:r>
    </w:p>
    <w:p>
      <w:pPr/>
      <w:r>
        <w:rPr>
          <w:b/>
        </w:rPr>
        <w:t>Shared claim-specific concepts:</w:t>
      </w:r>
      <w:r>
        <w:t xml:space="preserve"> average, decline, not;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Growth decline in European beech associated with temperature-driven increase in reproductive allocation — https://openalex.org/W7112765388</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current, average, rate;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pStyle w:val="Heading2"/>
      </w:pPr>
      <w:r>
        <w:t>751. A Foresight Study of European East-West Agrifood Trade Options</w:t>
      </w:r>
    </w:p>
    <w:p>
      <w:pPr>
        <w:pStyle w:val="SourceNote"/>
      </w:pPr>
      <w:r>
        <w:rPr>
          <w:b/>
        </w:rPr>
        <w:t>Original source (2018):</w:t>
      </w:r>
      <w:r>
        <w:t xml:space="preserve"> https://doi.org/10.52825/gjae.v67i3.2099</w:t>
      </w:r>
    </w:p>
    <w:p>
      <w:pPr/>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POSSIBLE 2026:</w:t>
      </w:r>
      <w:r>
        <w:t xml:space="preserve"> The BRICs and the Global Agrifood System — https://doi.org/10.4324/9781003287100</w:t>
      </w:r>
    </w:p>
    <w:p>
      <w:pPr/>
      <w:r>
        <w:rPr>
          <w:b/>
        </w:rPr>
        <w:t>Shared claim-specific concepts:</w:t>
      </w:r>
      <w:r>
        <w:t xml:space="preserve"> trade, agrifood, relations; EU scope not established. This is a provisional connection, not an outcome finding.</w:t>
      </w:r>
    </w:p>
    <w:p>
      <w:pPr>
        <w:pStyle w:val="SourceNote"/>
      </w:pPr>
      <w:r>
        <w:rPr>
          <w:b/>
        </w:rPr>
        <w:t>Available abstract (not full text):</w:t>
      </w:r>
      <w:r>
        <w:t xml:space="preserve"> The BRICS grouping – Brazil, Russia, India, China, and South Africa – jointly founded the New Development Bank and the Contingent Reserve Arrangement as part of their efforts to constitute a trade, monetary, and geopolitical bloc. Yet the inability to deal collectively with external pressures, intra-group tensions, and ideological divergences has hampered efforts to establish a coherent and articulated strategy. Nevertheless, given their centrality to the production, circulation, and consumption of agricultural commodities and food products; their abundant reserves of labour and natural resources, and the scale of their domestic markets, the development trajectories of the BRICS countries remain crucial to understanding the future not only of the global agrifood system but also of capitalism itself. Engaging with recent debates in comparative capitalism and food regime approaches, this book provides a comparative institutional analysis of the BRICS ‘varieties of capitalism’ and their role in the international reordering of the contemporary ‘food regime’. It is argued that the historically embedded legacy of the agrarian question in the institutional configurations and class relations of each country can help to explain the institutional diversity of capitalism. Conversely, to the extent that the dynamics of the agrifood system have a decisive influence on their overall developm</w:t>
      </w:r>
    </w:p>
    <w:p>
      <w:pPr/>
      <w:r>
        <w:rPr>
          <w:b/>
        </w:rPr>
        <w:t>POSSIBLE 2026:</w:t>
      </w:r>
      <w:r>
        <w:t xml:space="preserve"> Trade Agreements and Trade-Embedded Carbon: An Environmental Provisions Perspective — https://doi.org/10.3390/su18021066</w:t>
      </w:r>
    </w:p>
    <w:p>
      <w:pPr/>
      <w:r>
        <w:rPr>
          <w:b/>
        </w:rPr>
        <w:t>Shared claim-specific concepts:</w:t>
      </w:r>
      <w:r>
        <w:t xml:space="preserve"> trade, perspective, focus, different; EU scope not established. This is a provisional connection, not an outcome finding.</w:t>
      </w:r>
    </w:p>
    <w:p>
      <w:pPr>
        <w:pStyle w:val="SourceNote"/>
      </w:pPr>
      <w:r>
        <w:rPr>
          <w:b/>
        </w:rPr>
        <w:t>Available abstract (not full text):</w:t>
      </w:r>
      <w:r>
        <w:t xml:space="preserve"> Achieving sustainable growth in the global economy and promoting low-carbon development can be achieved by concluding trade agreements that advance trade liberalisation progressively. The study looks at how far environmental rulers go in trade deals between different countries, by examining what these agreements actually say. Combining this analysis with trade-embedded carbon data from 35 sub-sectors across 60 countries from 2009 to 2023, the effect of the depth of environmental rulers in trade deals on trade-embedded carbon is the focus of this empirical study and its underlying mechanisms. Research findings indicate that strengthening environmental clauses significantly reduces carbon emissions embedded in trade. This result remained consistent after undergoing a series of robustness tests and employing instrumental variable methods to address endogeneity issues. Mechanism tests reveal that the carbon reduction effect of environmental clauses can be achieved through two channels: green technology cooperation between countries and increased carbon productivity. Heterogeneity tests indicate that provisions in trade agreements that are more environmentally focused can have a greater effect on reducing embedded carbon in non-technology-intensive areas and pollution-intensive sectors, particularly for developing countries. Provisions relating to the environment in bilateral trade </w:t>
      </w:r>
    </w:p>
    <w:p>
      <w:pPr/>
      <w:r>
        <w:rPr>
          <w:b/>
        </w:rPr>
        <w:t>POSSIBLE 2026:</w:t>
      </w:r>
      <w:r>
        <w:t xml:space="preserve"> “Fairness” in Agrifood Systems as Marketing Strategy to Reduce Food Waste by 2027 — https://doi.org/10.54663/2182-9306.2026.specialissuecmth.56-77</w:t>
      </w:r>
    </w:p>
    <w:p>
      <w:pPr/>
      <w:r>
        <w:rPr>
          <w:b/>
        </w:rPr>
        <w:t>Shared claim-specific concepts:</w:t>
      </w:r>
      <w:r>
        <w:t xml:space="preserve"> agrifood, implications, thereby; EU scope visible. This is a provisional connection, not an outcome finding.</w:t>
      </w:r>
    </w:p>
    <w:p>
      <w:pPr>
        <w:pStyle w:val="SourceNote"/>
      </w:pPr>
      <w:r>
        <w:rPr>
          <w:b/>
        </w:rPr>
        <w:t>Available abstract (not full text):</w:t>
      </w:r>
      <w:r>
        <w:t xml:space="preserve"> The complexity of modern agri-food systems, characterized by globalized supply chains and diverse stakeholders, amplifies the risk of waste and increasingly shapes market perceptions and value creation dynamics. Food loss and waste remain a critical challenge, impacting environmental sustainability, economic efficiency, and social equity, as well as consumer trust and brand legitimacy. This study explores the strategic role of fairness in supply chain management (SCM) within the Portuguese agrifood sector, focusing on its potential as a governance and value-signalling factor to achieve ambitious food waste reduction goals by 2027. Fairness could be seeing as a mechanism that enhances transparency, fosters equitable relationships, and mitigates opportunistic behaviours across the supply chain, thereby reinforcing reputational capital and shared value. To address the complexity and future orientation inherent in this topic, and its implications for long-term market positioning, the Delphi method was selected, supported in 24 experts, from Academic, Public and Private sectors. Through successive rounds of structured questionnaires, expert opinions were solicited, evaluated, and refined to forecast two interrelated trajectories for Portugal by 2027: i) local procurement for institutional settings, specifically that all public and private schools will be predominantly supplied by lo</w:t>
      </w:r>
    </w:p>
    <w:p>
      <w:pPr/>
      <w:r>
        <w:rPr>
          <w:b/>
        </w:rPr>
        <w:t>POSSIBLE 2025:</w:t>
      </w:r>
      <w:r>
        <w:t xml:space="preserve"> The European Union Green Deal and Global Trade: A Constructivist Perspective on Sustainability Norms — https://doi.org/10.22146/jwts.v10i1.18729</w:t>
      </w:r>
    </w:p>
    <w:p>
      <w:pPr/>
      <w:r>
        <w:rPr>
          <w:b/>
        </w:rPr>
        <w:t>Shared claim-specific concepts:</w:t>
      </w:r>
      <w:r>
        <w:t xml:space="preserve"> trade, perspective, focus, pathways; EU scope visible. This is a provisional connection, not an outcome finding.</w:t>
      </w:r>
    </w:p>
    <w:p>
      <w:pPr>
        <w:pStyle w:val="SourceNote"/>
      </w:pPr>
      <w:r>
        <w:rPr>
          <w:b/>
        </w:rPr>
        <w:t>Available abstract (not full text):</w:t>
      </w:r>
      <w:r>
        <w:t xml:space="preserve">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pPr/>
      <w:r>
        <w:rPr>
          <w:b/>
        </w:rPr>
        <w:t>POSSIBLE 2025:</w:t>
      </w:r>
      <w:r>
        <w:t xml:space="preserve"> Māori Perspectives on Digital Trade — https://doi.org/10.15663/3610366.12jj</w:t>
      </w:r>
    </w:p>
    <w:p>
      <w:pPr/>
      <w:r>
        <w:rPr>
          <w:b/>
        </w:rPr>
        <w:t>Shared claim-specific concepts:</w:t>
      </w:r>
      <w:r>
        <w:t xml:space="preserve"> taking, trade, focus; EU scope not established. This is a provisional connection, not an outcome finding.</w:t>
      </w:r>
    </w:p>
    <w:p>
      <w:pPr>
        <w:pStyle w:val="SourceNote"/>
      </w:pPr>
      <w:r>
        <w:rPr>
          <w:b/>
        </w:rPr>
        <w:t>Available abstract (not full text):</w:t>
      </w:r>
      <w:r>
        <w:t xml:space="preserve"> Māori have engaged in trade for generations, both domestically and internationally (Mika 2014, Spiller et al 2025). As a way to access resources and build or strengthen relationships, trade allowed Māori in the North Island to access pounamu from the South Island and now allows those around the world to experience Whakatōhea mussels, Tai Tokerau mānuka honey and Tohu wines (Tohu Wines 2021, Open Ocean Whakatōhea mussels 2021, Tai Tokerau Honey 2025). With Māori authorities and businesses exporting a combined $1,350 million worth of goods in 20233, Māori international trade is becoming increasingly important to both the national and Māori economies. However, the way we trade, and what we are trading, are rapidly changing. Advances in technology, from improved refrigeration and transportation to the creation of the internet, are expanding flows of trade in goods, services, capital, labour and now data. This new form of trade, in digital assets and on digital channels has “…fundamentally altered the production and consumption of goods and services worldwide over the past two decades (OECD 2023 page 1).” As a growing part of the national economy, Māori are increasingly engaging in digital trade, from utilising online platforms and QR codes for product identification to creating and exporting applications. As Whaanga et al (2015) state, Māori have a long history of “…adopting new te</w:t>
      </w:r>
    </w:p>
    <w:p>
      <w:pPr/>
      <w:r>
        <w:rPr>
          <w:b/>
        </w:rPr>
        <w:t>POSSIBLE 2025:</w:t>
      </w:r>
      <w:r>
        <w:t xml:space="preserve"> Sustainable and Resilient Agrifood Systems ( SARAS ). A Leibniz Position — https://doi.org/10.1002/sd.3468</w:t>
      </w:r>
    </w:p>
    <w:p>
      <w:pPr/>
      <w:r>
        <w:rPr>
          <w:b/>
        </w:rPr>
        <w:t>Shared claim-specific concepts:</w:t>
      </w:r>
      <w:r>
        <w:t xml:space="preserve"> trade, agrifood, current; EU scope not established. This is a provisional connection, not an outcome finding.</w:t>
      </w:r>
    </w:p>
    <w:p>
      <w:pPr>
        <w:pStyle w:val="SourceNote"/>
      </w:pPr>
      <w:r>
        <w:rPr>
          <w:b/>
        </w:rPr>
        <w:t>Available abstract (not full text):</w:t>
      </w:r>
      <w:r>
        <w:t xml:space="preserve"> ABSTRACT Current agrifood systems fail to provide healthy, affordable food for all while also damaging the environment, contributing to climate change, reducing biodiversity, and increasing inequality. Given these compounding crises, it is crucial to transition towards sustainable and resilient agrifood systems (SARAS). This paper synthesizes perspectives from multiple disciplines on SARAS, incorporating consensus statements, current research positions, and actionable measures comprising ecological, economic, social, and political dimensions. Achieving a balance between global and local solutions is paramount to address the complexities inherent in agrifood systems. Moving forward, diversifying consumption patterns, production systems, and value chains depending on local conditions can support the realization of SARAS. Adopting a holistic system approach that covers both global and local dimensions of agrifood systems minimizes trade‐offs, leverages synergies, integrates international agreements, and mitigates unintended impacts on other countries and vulnerable groups. Nevertheless, several unsolved issues persist, including matters of scaling, applicability of effective policy instruments, and securing funding for this transformation.</w:t>
      </w:r>
    </w:p>
    <w:p>
      <w:pPr/>
      <w:r>
        <w:rPr>
          <w:b/>
        </w:rPr>
        <w:t>POSSIBLE 2025:</w:t>
      </w:r>
      <w:r>
        <w:t xml:space="preserve"> Fairness-Accuracy Trade-Offs: A Causal Perspective — https://doi.org/10.1609/aaai.v39i25.34833</w:t>
      </w:r>
    </w:p>
    <w:p>
      <w:pPr/>
      <w:r>
        <w:rPr>
          <w:b/>
        </w:rPr>
        <w:t>Shared claim-specific concepts:</w:t>
      </w:r>
      <w:r>
        <w:t xml:space="preserve"> perspective, quantify, different, pathways; EU scope not established. This is a provisional connection, not an outcome finding.</w:t>
      </w:r>
    </w:p>
    <w:p>
      <w:pPr>
        <w:pStyle w:val="SourceNote"/>
      </w:pPr>
      <w:r>
        <w:rPr>
          <w:b/>
        </w:rPr>
        <w:t>Available abstract (not full text):</w:t>
      </w:r>
      <w:r>
        <w:t xml:space="preserve"> With the widespread adoption of AI systems, many of the decisions once made by humans are now delegated to automated systems. Recent works in the literature demonstrate that these automated systems, when used in socially sensitive domains, may exhibit discriminatory behavior based on sensitive characteristics such as gender, sex, religion, or race. In light of this, various notions of fairness and methods to quantify discrimination have been proposed, also leading to the development of numerous approaches for constructing fair predictors. At the same time, imposing fairness constraints may decrease the utility of the decision-maker, highlighting a tension between fairness and utility. This tension is also recognized in legal frameworks, for instance in the disparate impact doctrine of Title VII of the Civil Rights Act of 1964 -- in which specific attention is given to considerations of \textit{business necessity} -- possibly allowing the usage of proxy variables associated with the sensitive attribute in case a high-enough utility cannot be achieved without them. In this work, we analyze the tension between fairness and accuracy from a causal lens for the first time. We introduce the notion of a path-specific excess loss (PSEL) that captures how much the predictor's loss increases when a causal fairness constraint is enforced. We then show that the total excess loss (TEL), defi</w:t>
      </w:r>
    </w:p>
    <w:p>
      <w:pPr/>
      <w:r>
        <w:rPr>
          <w:b/>
        </w:rPr>
        <w:t>POSSIBLE 2025:</w:t>
      </w:r>
      <w:r>
        <w:t xml:space="preserve"> Agrifood policy after Brexit: The growing role of agroecology in Wales — https://doi.org/10.1016/j.jrurstud.2024.103559</w:t>
      </w:r>
    </w:p>
    <w:p>
      <w:pPr/>
      <w:r>
        <w:rPr>
          <w:b/>
        </w:rPr>
        <w:t>Shared claim-specific concepts:</w:t>
      </w:r>
      <w:r>
        <w:t xml:space="preserve"> trade, agrifood, general, implications; EU scope not established. This is a provisional connection, not an outcome finding.</w:t>
      </w:r>
    </w:p>
    <w:p>
      <w:pPr>
        <w:pStyle w:val="SourceNote"/>
      </w:pPr>
      <w:r>
        <w:rPr>
          <w:b/>
        </w:rPr>
        <w:t>Available abstract (not full text):</w:t>
      </w:r>
      <w:r>
        <w:t xml:space="preserve"> The UK's exit from the Common Agricultural Policy has created an opportunity for significant agrifood policy change. In Wales, plans to implement a ‘Community Food Strategy’ promise to lend more support to domestic, community-based, and ecologically sustainable food provision, echoing policy demands made by agroecological organisations. However, The Welsh agrifood system's specialisation around meat production and trade stand in direct opposition to these ambitions. This paper analyses the Welsh government's reforms in light of these tensions to explain what achievements and challenges a small, trade-dependent nation faces when attempting to change its agrifood system. It examines policy claims and advocacy activities by agroecological organisations, assesses to what extent the government addresses those claims, and discusses the overall trajectory of Welsh agrifood policy. The paper draws on ‘Foundational Economy’ scholarship to conceptualise agroecology as a socio-ecological innovation capable of informing large-scale sustainability transitions through active citizenship and policy change. Empirical data is drawn from qualitative analyses of policy documents and interviews with agroecological organisations. The paper finds that agroecological organisations provide the Welsh Government with arguments, data, and best practices, but struggle to see their more ambitious claims im</w:t>
      </w:r>
    </w:p>
    <w:p>
      <w:pPr/>
      <w:r>
        <w:rPr>
          <w:b/>
        </w:rPr>
        <w:t>POSSIBLE 2025:</w:t>
      </w:r>
      <w:r>
        <w:t xml:space="preserve"> AGRIFOOD SUPPLY CHAIN SUSTAINABILITY FOR PERISHABLE GOODS SHIPMENT — https://doi.org/10.70382/tijasdr.v10i2.066</w:t>
      </w:r>
    </w:p>
    <w:p>
      <w:pPr/>
      <w:r>
        <w:rPr>
          <w:b/>
        </w:rPr>
        <w:t>Shared claim-specific concepts:</w:t>
      </w:r>
      <w:r>
        <w:t xml:space="preserve"> agrifood, different, independent; EU scope not established. This is a provisional connection, not an outcome finding.</w:t>
      </w:r>
    </w:p>
    <w:p>
      <w:pPr>
        <w:pStyle w:val="SourceNote"/>
      </w:pPr>
      <w:r>
        <w:rPr>
          <w:b/>
        </w:rPr>
        <w:t>Available abstract (not full text):</w:t>
      </w:r>
      <w:r>
        <w:t xml:space="preserve"> The management of transportation, warehousing, and distribution of perishable goods from the farm to consumers zone has been major concern in the agri-food industry, considering decay of products and effect of methane gas to the environment from this decayed product. A multi-period, strategic and tactical planning model was developed to take care of shipment route for these perishable goods from the farm gate to the consumer’s zone with different cold-hubs via different routes options. The S-T model addressed sensitivity and ambiguity associated with seasonal demand and product loss due to delay in shipment, to ensure timely and efficient delivery of products. Five contradicting objectives (Profit, Power Rating, Credit Performance, Response time and Distributors Reputation) were optimized, initially a single objective optimization was employed to attain a single best solution and then a multi-objective optimization to achieve a compromise solution using Chebyshev goal programming. The model bases its analysis on five objective factors: customer response time, power rating, credit performance, distributor reputation, and profit. Following the tactical and strategic requirements in the aforementioned S-T framework, only three distribution centers of mixed capacity were established for a mid-term planning. In addition to determining the location and capacity of each cold hub, the </w:t>
      </w:r>
    </w:p>
    <w:p>
      <w:pPr/>
      <w:r>
        <w:rPr>
          <w:b/>
        </w:rPr>
        <w:t>POSSIBLE 2025:</w:t>
      </w:r>
      <w:r>
        <w:t xml:space="preserve"> Spatial Imaginaries and the Geopolitics of Trade: A Constructivist Perspective — https://doi.org/10.1080/14650045.2025.2578629</w:t>
      </w:r>
    </w:p>
    <w:p>
      <w:pPr/>
      <w:r>
        <w:rPr>
          <w:b/>
        </w:rPr>
        <w:t>Shared claim-specific concepts:</w:t>
      </w:r>
      <w:r>
        <w:t xml:space="preserve"> trade, perspective, focus, relations; EU scope visible. This is a provisional connection, not an outcome finding.</w:t>
      </w:r>
    </w:p>
    <w:p>
      <w:pPr>
        <w:pStyle w:val="SourceNote"/>
      </w:pPr>
      <w:r>
        <w:rPr>
          <w:b/>
        </w:rPr>
        <w:t>Available abstract (not full text):</w:t>
      </w:r>
      <w:r>
        <w:t xml:space="preserve"> This Special Issue explores the spatial politics of trade through a constructivist lens. While recent debates in international trade policy have emphasised geostrategic concerns, we argue that space in trade governance is not merely a geopolitical backdrop, but a politically contested arena. The establishment, management, and contestation of trade relations are shaped by, and contribute to, social constructions of space, including the power structures that underpin them. Borrowing from political geography and the literature on spatial imaginaries, we set out the conceptual categories and guiding questions that structure this Special Issue. We examine how trade policies construct spatial imaginaries that reflect and reproduce geopolitical hierarchies, particularly between the Global South and North. With a focus on the trade politics of the European Union and the United Kingdom, we demonstrate why it is beneficial to analyse trade through a nuanced conceptualisation that understands space as contingently constructed, rather than as a neutral container.</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trade, perspective, focus, states;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Scientific and Political Narratives: Discursive Strategies in EU Agrifood Policies and Legislation — https://openalex.org/W7126729200</w:t>
      </w:r>
    </w:p>
    <w:p>
      <w:pPr/>
      <w:r>
        <w:rPr>
          <w:b/>
        </w:rPr>
        <w:t>Shared claim-specific concepts:</w:t>
      </w:r>
      <w:r>
        <w:t xml:space="preserve"> focus, agrifood, different; EU scope visible. This is a provisional connection, not an outcome finding.</w:t>
      </w:r>
    </w:p>
    <w:p>
      <w:pPr>
        <w:pStyle w:val="SourceNote"/>
      </w:pPr>
      <w:r>
        <w:rPr>
          <w:b/>
        </w:rPr>
        <w:t>Available abstract (not full text):</w:t>
      </w:r>
      <w:r>
        <w:t xml:space="preserve"> This article analyzes the European Commission’s justification of legislation through a modern dualistic framework, contrasting scientific (objective) and political (subjective) narratives: the political narrative, reflecting the will of the people, and the scientific narrative, grounded in technical harmonization, evidence, and data. The research focuses on the uses and strategic shifts in the Commission’s justifications, particularly the transition from scientific to political narratives. Despite claims of a "more political" Commission, as articulated in Juncker’s State of the Union addresses, we hypothesize that the Commission effectively operates within both narratives and strategically shifts its narrative register to enhance legitimacy. Our approach is interdisciplinary, combining EU law in context, legal philosophy, political science, and formal legislative motivation, alongside discursive analysis methods (Narrative Policy Framework). By analyzing various agrifood cases in which the Commission communicates across different forums (COFE, EC-Biotech and EC-Hormone litigation), with a particular focus on the proposal for a regulation on new genomic techniques (NGT), this article concludes that the Commission strategically utilizes both scientific and political narratives in a complementary manner, depending on the subject matter and the institutions involved.</w:t>
      </w:r>
    </w:p>
    <w:p>
      <w:pPr>
        <w:pStyle w:val="Heading2"/>
      </w:pPr>
      <w:r>
        <w:t>752. A forecast of international migration flows into EU countries until 2050</w:t>
      </w:r>
    </w:p>
    <w:p>
      <w:pPr>
        <w:pStyle w:val="SourceNote"/>
      </w:pPr>
      <w:r>
        <w:rPr>
          <w:b/>
        </w:rPr>
        <w:t>Original source (2018):</w:t>
      </w:r>
      <w:r>
        <w:t xml:space="preserve"> https://doi.org/10.14746/pp.2018.23.4.6</w:t>
      </w:r>
    </w:p>
    <w:p>
      <w:pPr/>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POSSIBLE 2026:</w:t>
      </w:r>
      <w:r>
        <w:t xml:space="preserve"> Data Sources for International Migration in Europe: Categories, Definitions and Policy Uses — https://openalex.org/W7123388283</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Estimating migration and mortality rates for European sea bass ( Dicentrarchus labrax ) using electronic tagging data — https://doi.org/10.1093/icesjms/fsag043</w:t>
      </w:r>
    </w:p>
    <w:p>
      <w:pPr/>
      <w:r>
        <w:rPr>
          <w:b/>
        </w:rPr>
        <w:t>Shared claim-specific concepts:</w:t>
      </w:r>
      <w:r>
        <w:t xml:space="preserve"> data, migration, population, between, international; EU scope visible. This is a provisional connection, not an outcome finding.</w:t>
      </w:r>
    </w:p>
    <w:p>
      <w:pPr>
        <w:pStyle w:val="SourceNote"/>
      </w:pPr>
      <w:r>
        <w:rPr>
          <w:b/>
        </w:rPr>
        <w:t>Available abstract (not full text):</w:t>
      </w:r>
      <w:r>
        <w:t xml:space="preserve">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pPr/>
      <w:r>
        <w:rPr>
          <w:b/>
        </w:rPr>
        <w:t>POSSIBLE 2026:</w:t>
      </w:r>
      <w:r>
        <w:t xml:space="preserve"> The Biometric_On: On the (Dual) Use of Biometric Data in Migration and Asylum — https://doi.org/10.4324/9781003748557-17</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Replication data for "A golden rule for migration? Demographic adjustment and public debt sustainability in the European Union" — https://doi.org/10.5281/zenodo.21946815</w:t>
      </w:r>
    </w:p>
    <w:p>
      <w:pPr/>
      <w:r>
        <w:rPr>
          <w:b/>
        </w:rPr>
        <w:t>Shared claim-specific concepts:</w:t>
      </w:r>
      <w:r>
        <w:t xml:space="preserve"> data, used, migration; EU scope visible. This is a provisional connection, not an outcome finding.</w:t>
      </w:r>
    </w:p>
    <w:p>
      <w:pPr>
        <w:pStyle w:val="SourceNote"/>
      </w:pPr>
      <w:r>
        <w:rPr>
          <w:b/>
        </w:rPr>
        <w:t>Available abstract (not full text):</w:t>
      </w:r>
      <w:r>
        <w:t xml:space="preserve"> This repository contains the processed replication data underlying the empirical application in “A golden rule for migration? Demographic adjustment and public debt sustainability in the European Union”. The dataset covers 26 EU Member States over 2026-2035 and includes the baseline inputs and country-year outputs used in the two counterfactual scenarios analysed in the paper. It also contains the Eurostat demographic data underlying Figures 1 and 2. The underlying data are drawn from the European Commission’s AMECO Autumn 2025 Forecast, the Debt Sustainability Monitor 2025, and Eurostat (demo_gind). The workbook includes a README, parameter settings, a country-year panel, country-level summary results, a data dictionary, and the demographic data used in the descriptive analysis. Potential-output growth is provided as the processed input used in the empirical application.</w:t>
      </w:r>
    </w:p>
    <w:p>
      <w:pPr/>
      <w:r>
        <w:rPr>
          <w:b/>
        </w:rPr>
        <w:t>POSSIBLE 2026:</w:t>
      </w:r>
      <w:r>
        <w:t xml:space="preserve"> Migration in the European Union in the post-pandemic period. Economic implications — https://doi.org/10.36004/nier.cdr.19.2025.10</w:t>
      </w:r>
    </w:p>
    <w:p>
      <w:pPr/>
      <w:r>
        <w:rPr>
          <w:b/>
        </w:rPr>
        <w:t>Shared claim-specific concepts:</w:t>
      </w:r>
      <w:r>
        <w:t xml:space="preserve"> data, used, migration, quantitative, international; EU scope visible. This is a provisional connection, not an outcome finding.</w:t>
      </w:r>
    </w:p>
    <w:p>
      <w:pPr>
        <w:pStyle w:val="SourceNote"/>
      </w:pPr>
      <w:r>
        <w:rPr>
          <w:b/>
        </w:rPr>
        <w:t>Available abstract (not full text):</w:t>
      </w:r>
      <w:r>
        <w:t xml:space="preserve"> Migration has existed since ancient times, but has recorded different intensities from one historical stage to another and has developed new forms. The aim of the paper is to analyze the phenomenon of migration and remittances in the European Union in the post-pandemic period (2021-2024), and their economic implications (effects on the labor market, economic growth and demographic balance). The methodology used is descriptive and empirical, by calling on various bibliographic sources, with a preponderance of foreign specialized literature, as well as a quantitative methodology, for the processing and analysis of data taken from international databases.</w:t>
      </w:r>
    </w:p>
    <w:p>
      <w:pPr/>
      <w:r>
        <w:rPr>
          <w:b/>
        </w:rPr>
        <w:t>POSSIBLE 2026:</w:t>
      </w:r>
      <w:r>
        <w:t xml:space="preserve"> Migration, Education, and Labor Market Integration: Evidence from a Panel Data Analysis of Institutional Heterogeneity in Europe — https://doi.org/10.5281/zenodo.20425290</w:t>
      </w:r>
    </w:p>
    <w:p>
      <w:pPr/>
      <w:r>
        <w:rPr>
          <w:b/>
        </w:rPr>
        <w:t>Shared claim-specific concepts:</w:t>
      </w:r>
      <w:r>
        <w:t xml:space="preserve"> data, migration, flows, population, between, countries; EU scope visible. This is a provisional connection, not an outcome finding.</w:t>
      </w:r>
    </w:p>
    <w:p>
      <w:pPr>
        <w:pStyle w:val="SourceNote"/>
      </w:pPr>
      <w:r>
        <w:rPr>
          <w:b/>
        </w:rPr>
        <w:t>Available abstract (not full text):</w:t>
      </w:r>
      <w:r>
        <w:t xml:space="preserve"> Abstract : Purpose: This study examines the relationship between migration intensity, education-related integration mechanisms, and labor market outcomes of the foreign-born population in selected European countries over the period 2010–2024. It explores how migration flows and migrant education interact within different institutional contexts. Methodology: The analysis focuses on Germany, France, Italy, Austria, Sweden, and the United Kingdom and employs panel data techniques using two-way fixed and random effects models. Model selection is guided by the Hausman specification test, which strongly favors the fixed effects estimator, highlighting the role of country-specific institutional heterogeneity. Findings: The results indicate that migration intensity alone is not significantly associated with improved migrant employment outcomes once unobserved heterogeneity is controlled for. In contrast, migrant tertiary education shows a positive relationship with employment performance. Public education expenditure, measured as a share of GDP, does not exhibit a robust direct effect, suggesting that aggregate spending levels are insufficient to drive integration outcomes. Originality: By providing recent longitudinal cross-country evidence, the study contributes to the applied econometrics literature on migration and labor markets. It highlights the importance of institutional contex</w:t>
      </w:r>
    </w:p>
    <w:p>
      <w:pPr/>
      <w:r>
        <w:rPr>
          <w:b/>
        </w:rPr>
        <w:t>POSSIBLE 2026:</w:t>
      </w:r>
      <w:r>
        <w:t xml:space="preserve"> Prediction of Retired EV Batteries’ Usable Capacity for Repurposing in Second-Life Applications — https://doi.org/10.3390/technologies14020124</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Increasing electric vehicle (EV) adoption raises concerns about EV waste management and the impact on the environment. To improve energy efficiency and exploit their remaining usable capacity, the retired batteries may be repurposed in second-life applications. This paper predicts the usable second-life capacity of retired EV batteries, considering the European Union (EU) regulation regarding the mandatory recycled critical material quotas in newly manufactured batteries from 2031 onwards. Based on political influences and the market’s capacity to return to pre-pandemic values, four scenarios are proposed regarding future EV sales in the EU market. The algorithm implemented in Matlab R2025a indicates the batteries that must be recycled to meet the mandatory targets and the ones that can be repurposed as battery energy storage systems. Historical data and future predictions are used to determine the number of EV batteries sold, lifetime, the market’s chemistry share and the usable capacity for second life. The annual mandatory recycled critical material content is compared to the available recyclable mass from both retired batteries in the current year and those that are already active in their second life. The economic analysis reveals the scenario with the highest total revenue, including the cascade benefits and recycling value.</w:t>
      </w:r>
    </w:p>
    <w:p>
      <w:pPr/>
      <w:r>
        <w:rPr>
          <w:b/>
        </w:rPr>
        <w:t>POSSIBLE 2026:</w:t>
      </w:r>
      <w:r>
        <w:t xml:space="preserve"> Household Economic Status and Migration: Evidence from Central and Eastern European Countries — https://doi.org/10.54694/dem.0377</w:t>
      </w:r>
    </w:p>
    <w:p>
      <w:pPr/>
      <w:r>
        <w:rPr>
          <w:b/>
        </w:rPr>
        <w:t>Shared claim-specific concepts:</w:t>
      </w:r>
      <w:r>
        <w:t xml:space="preserve"> data, migration, between, countries; EU scope visible. This is a provisional connection, not an outcome finding.</w:t>
      </w:r>
    </w:p>
    <w:p>
      <w:pPr>
        <w:pStyle w:val="SourceNote"/>
      </w:pPr>
      <w:r>
        <w:rPr>
          <w:b/>
        </w:rPr>
        <w:t>Available abstract (not full text):</w:t>
      </w:r>
      <w:r>
        <w:t xml:space="preserve"> Migration has been a defining phenomenon in Eastern Europe since the fall of the Iron Curtain and has intensified with the free movement of people within the European Union. This paper examines the relationship between migration and household economic conditions, an area that has received limited empirical attention. Using panel data for 11 Central and Eastern European EU member states from 2013 to 2023, the study analyses how household financial indicators influence net migration balances. The empirical analysis applies panel regression techniques, including pooled OLS, random effects, and fixed effects models. The results show that household net financial assets and household investment rates are significant predictors of migration outcomes, while household savings and debt exhibit weaker or insignificant effects. These findings suggest that household-level economic resources and investment capacity play an important role in shaping migration dynamics in Eastern Europe. By connecting standardized household economic indicators to migration patterns, the paper provides new comparative evidence with relevant implications for migration and economic policy in the region.</w:t>
      </w:r>
    </w:p>
    <w:p>
      <w:pPr/>
      <w:r>
        <w:rPr>
          <w:b/>
        </w:rPr>
        <w:t>POSSIBLE 2026:</w:t>
      </w:r>
      <w:r>
        <w:t xml:space="preserve"> Gender, Power, and Law in European Digital Migration Systems — https://doi.org/10.61801/arsaequi.2026.30</w:t>
      </w:r>
    </w:p>
    <w:p>
      <w:pPr/>
      <w:r>
        <w:rPr>
          <w:b/>
        </w:rPr>
        <w:t>Shared claim-specific concepts:</w:t>
      </w:r>
      <w:r>
        <w:t xml:space="preserve"> data, migration, regarding; EU scope visible. This is a provisional connection, not an outcome finding.</w:t>
      </w:r>
    </w:p>
    <w:p>
      <w:pPr>
        <w:pStyle w:val="SourceNote"/>
      </w:pPr>
      <w:r>
        <w:rPr>
          <w:b/>
        </w:rPr>
        <w:t>Available abstract (not full text):</w:t>
      </w:r>
      <w:r>
        <w:t xml:space="preserve"> The digitalisation of migration governance has transformed the operation of European borders through the increasing use of biometric identification systems, interoperable databases, automated risk assessment, and data-driven administrative decision-making. While these technologies are promoted as enhancing the efficiency, consistency, and security of migration management, they raise important questions about whether existing European legal frameworks adequately protect fundamental rights and gender equality. This article examines whether the current EU legal framework can address the structural inequalities that digital migration systems may reproduce, particularly regarding migrant women and gender-diverse persons. The paper adopts a doctrinal legal methodology, analysing the EU Charter of Fundamental Rights, the General Data Protection Regulation (GDPR), and the Artificial Intelligence Act through the analytical lens of liberal feminist legal theory and a targeted review of empirical and institutional literature. It develops a framework based on accessibility, transparency and accountability, and institutional design, and applies it to selected examples of digital migration systems, including biometric identification and algorithmic risk assessment, to assess their implications for equality and procedural fairness. The paper argues that although existing European legal instru</w:t>
      </w:r>
    </w:p>
    <w:p>
      <w:pPr/>
      <w:r>
        <w:rPr>
          <w:b/>
        </w:rPr>
        <w:t>POSSIBLE 2026:</w:t>
      </w:r>
      <w:r>
        <w:t xml:space="preserve"> Flyway-scale migration phenology identifies mismatches between migration timing and European hunting regulations — https://doi.org/10.1016/j.jenvman.2026.131105</w:t>
      </w:r>
    </w:p>
    <w:p>
      <w:pPr/>
      <w:r>
        <w:rPr>
          <w:b/>
        </w:rPr>
        <w:t>Shared claim-specific concepts:</w:t>
      </w:r>
      <w:r>
        <w:t xml:space="preserve"> data, used, migration, between; EU scope visible. This is a provisional connection, not an outcome finding.</w:t>
      </w:r>
    </w:p>
    <w:p>
      <w:pPr>
        <w:pStyle w:val="SourceNote"/>
      </w:pPr>
      <w:r>
        <w:rPr>
          <w:b/>
        </w:rPr>
        <w:t>Available abstract (not full text):</w:t>
      </w:r>
      <w:r>
        <w:t xml:space="preserve"> The study of bird migration timing is pivotal for the identification of the onset of pre-breeding migration, when, according to the European regulatory framework, the hunting seasons should end following Article 7.4 of the EU Birds Directive. Member States may use different data sources, including citizen science platforms, to determine this onset. Here, we used data from eBird, a citizen science platform, to describe the timing of pre- and post-breeding migration of the Song Thrush (Turdus philomelos) across the Western Palearctic. For EU Member States, we compared the onset dates of pre-breeding migration we derived from eBird with those obtained from ringing data published in the Eurasian-African Bird Migration Atlas and with those reported in the EU Key Concepts Documents (KCD). We found high agreement between eBird and Atlas estimates, but substantial differences between KCD-defined onset dates and those identified in the Atlas and this study. This suggests that, in many EU Member States, hunting remains open after the onset of pre-breeding migration, with potential negative effects on breeding populations. This mismatch highlights the limitations of current country-specific definitions and the need for harmonized flyway-scale assessments of migration timing. As required by current EU legislation, hunting closure periods should rely on up-to-date scientific evidence and tr</w:t>
      </w:r>
    </w:p>
    <w:p>
      <w:pPr/>
      <w:r>
        <w:rPr>
          <w:b/>
        </w:rPr>
        <w:t>POSSIBLE 2026:</w:t>
      </w:r>
      <w:r>
        <w:t xml:space="preserve"> Racial logics of irregular migration in Europe — https://doi.org/10.5281/zenodo.18693464</w:t>
      </w:r>
    </w:p>
    <w:p>
      <w:pPr/>
      <w:r>
        <w:rPr>
          <w:b/>
        </w:rPr>
        <w:t>Shared claim-specific concepts:</w:t>
      </w:r>
      <w:r>
        <w:t xml:space="preserve"> migration, between, countries; EU scope visible. This is a provisional connection, not an outcome finding.</w:t>
      </w:r>
    </w:p>
    <w:p>
      <w:pPr>
        <w:pStyle w:val="SourceNote"/>
      </w:pPr>
      <w:r>
        <w:rPr>
          <w:b/>
        </w:rPr>
        <w:t>Available abstract (not full text):</w:t>
      </w:r>
      <w:r>
        <w:t xml:space="preserve"> This report examines how race and racism shape the production, governance, and lived experience of migrants’ irregularity across Europe. Drawing on comparative research in Finland, Germany, Italy, the Netherlands, Poland, and the United Kingdom, it analyses how racial logics operate within migration, labour, and welfare systems, and in the narratives and perceptions that sustain them. The study forms part of the Horizon Europe and UKRI-funded Improving the Living and Labour Conditions of Irregularised Migrant Households in Europe (I-CLAIM) project. Across these contexts, racism does not merely operate beneath the surface of law and policy: it structures how access to rights, belonging, and worth are organised. The report conceptualises racism as systemic: not as a set of individual prejudices, but as a structural logic embedded in legal frameworks, bureaucratic routines, everyday governance, as well as the daily practices and lived experiences of migrants. Visa systems, sponsorship mechanisms, welfare conditionality, and structural exclusion reproduce racial hierarchies despite formal commitments to equality. Bureaucratic discretion weaponise administrative procedures into mechanisms of control, while labour regimes transform dependency into economic value. These processes collectively reproduce a racialised governance of mobility. The analysis spans three interconnected domain</w:t>
      </w:r>
    </w:p>
    <w:p>
      <w:pPr>
        <w:pStyle w:val="Heading2"/>
      </w:pPr>
      <w:r>
        <w:t>753. A threat to climate-secure European futures? Exploring racial logics and climate-induced migration in US and EU climate security discourses</w:t>
      </w:r>
    </w:p>
    <w:p>
      <w:pPr>
        <w:pStyle w:val="SourceNote"/>
      </w:pPr>
      <w:r>
        <w:rPr>
          <w:b/>
        </w:rPr>
        <w:t>Original source (2018):</w:t>
      </w:r>
      <w:r>
        <w:t xml:space="preserve"> https://doi.org/10.1016/j.geoforum.2018.08.021</w:t>
      </w:r>
    </w:p>
    <w:p>
      <w:pPr/>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POSSIBLE 2026:</w:t>
      </w:r>
      <w:r>
        <w:t xml:space="preserve"> Discursive borders in EUrope — https://doi.org/10.82444/warw.33764785</w:t>
      </w:r>
    </w:p>
    <w:p>
      <w:pPr/>
      <w:r>
        <w:rPr>
          <w:b/>
        </w:rPr>
        <w:t>Shared claim-specific concepts:</w:t>
      </w:r>
      <w:r>
        <w:t xml:space="preserve"> discursive, construction, migrant; EU scope visible. This is a provisional connection, not an outcome finding.</w:t>
      </w:r>
    </w:p>
    <w:p>
      <w:pPr>
        <w:pStyle w:val="SourceNote"/>
      </w:pPr>
      <w:r>
        <w:rPr>
          <w:b/>
        </w:rPr>
        <w:t>Available abstract (not full text):</w:t>
      </w:r>
      <w:r>
        <w:t xml:space="preserve"> This PhD thesis develops a critical account of discursive practices of bordering in the EUropean migration regime. By articulating recent advances from the fields of Critical Migration and Border Studies and Discourse Studies, it develops a theoretical and methodological framework that enables grasping discursive borders in their heterogeneity. On a broader level, it is interested in re-approaching post-structuralist and materialist strands of theory and analysis by going back to their beginnings in structural Marxism and psychoanalysis. EUrope’s discursive borders are scrutinised through the lens of different contexts that allow emphasising the entangled nature of policy, academic, and activist discourse. First, the present research scrutinises a set of practices of discursive bordering with a relatively high stability over time. Adopting a post-colonial, macro-historical perspective, it shows how EUrope’s colonial history infuses the conceptual apparatus of the EU’s contemporary migration policy. This serves as a foundation for the following chapters, that examine practices of discursive bordering from a micro-enunciative and a situated perspective. While the second analysis focuses on the construction and supraversion of the labour / refugee divide in German discourses on EUropean migration, the third shows how discursive borders are turned into a political stake in a migran</w:t>
      </w:r>
    </w:p>
    <w:p>
      <w:pPr/>
      <w:r>
        <w:rPr>
          <w:b/>
        </w:rPr>
        <w:t>POSSIBLE 2026:</w:t>
      </w:r>
      <w:r>
        <w:t xml:space="preserve"> Reconceptualizing Historical Knowledge: Objectivity, Narrative, And Power In Modern Historiography — https://openalex.org/W7216689242</w:t>
      </w:r>
    </w:p>
    <w:p>
      <w:pPr/>
      <w:r>
        <w:rPr>
          <w:b/>
        </w:rPr>
        <w:t>Shared claim-specific concepts:</w:t>
      </w:r>
      <w:r>
        <w:t xml:space="preserve"> proposes, reconceptualization, form, construction, about, constructed; EU scope not established. This is a provisional connection, not an outcome finding.</w:t>
      </w:r>
    </w:p>
    <w:p>
      <w:pPr>
        <w:pStyle w:val="SourceNote"/>
      </w:pPr>
      <w:r>
        <w:rPr>
          <w:b/>
        </w:rPr>
        <w:t>Available abstract (not full text):</w:t>
      </w:r>
      <w:r>
        <w:t xml:space="preserve"> The question of what history is, how it is written, and whose voices it represents has been one of the most enduring and contested problems in modern intellectual life. From the nineteenth-century pursuit of scientific objectivity to the late twentieth-century challenges posed by postmodernism, historiography has continuously redefined its epistemological foundations, narrative strategies, and ethical responsibilities. This article undertakes a comprehensive theoretical examination of modern historiography through a sustained engagement with key works by E. H. Carr, Leopold von Ranke, Michel de Certeau, Hayden White, Peter Novick, Keith Jenkins, Georg G. Iggers, Richard J. Evans, Michel-Rolph Trouillot, and Perez Zagorin. Rather than offering a summary of these thinkers, the study reconstructs their arguments in depth, situating them within broader debates about historical truth, narrative form, objectivity, power, and silence. The article argues that modern historiography is best understood not as a linear progression from objectivity to relativism, but as a complex field of tension in which empirical rigor, narrative construction, and power relations are inseparably intertwined. By analyzing the methodological, philosophical, and ethical implications of these debates, the study demonstrates that historical knowledge remains both constrained by evidence and shaped by interpret</w:t>
      </w:r>
    </w:p>
    <w:p>
      <w:pPr/>
      <w:r>
        <w:rPr>
          <w:b/>
        </w:rPr>
        <w:t>POSSIBLE 2026:</w:t>
      </w:r>
      <w:r>
        <w:t xml:space="preserve"> Battlelines of Accountability: The Discursive Production of Digital Responsibility — https://doi.org/10.1007/s10551-026-06308-6</w:t>
      </w:r>
    </w:p>
    <w:p>
      <w:pPr/>
      <w:r>
        <w:rPr>
          <w:b/>
        </w:rPr>
        <w:t>Shared claim-specific concepts:</w:t>
      </w:r>
      <w:r>
        <w:t xml:space="preserve"> discursive, about, constructed; EU scope not established. This is a provisional connection, not an outcome finding.</w:t>
      </w:r>
    </w:p>
    <w:p>
      <w:pPr>
        <w:pStyle w:val="SourceNote"/>
      </w:pPr>
      <w:r>
        <w:rPr>
          <w:b/>
        </w:rPr>
        <w:t>Available abstract (not full text):</w:t>
      </w:r>
      <w:r>
        <w:t xml:space="preserve"> Abstract Public inquiries have become pivotal arenas in which the ethical responsibilities of digital platforms are publicly constructed and contested. Yet scholarship has paid limited attention to the linguistic mechanisms through which these contests unfold. This paper examines the 2024 Australian Joint Select Committee on Social Media and Australian Society as a high-stakes moral forum in which technology firms, regulators, and civil society actors engage in discursive struggles over adolescent harm and platform responsibility. Drawing on a qualitative analysis of more than 3000 pages of submissions and hearing transcripts, we show that accountability in this setting is not simply revealed but actively produced through language. Extending prior research on dialogic accountability, we incorporate Searle’s speech act theory to identify how presuppositions and indirect speech acts function as micro-level tools for shaping epistemic contests about what harms occur and responsibility contests about who ought to be held to account. Our findings demonstrate that corporate actors often deploy these linguistic devices to maintain ambiguity, diffuse blame, or perform symbolic responsibility, while legislators and advocates use them to assert duties, establish harms, and press for substantive accountability. We argue that “digital responsibility” emerges as a contingent discursive acco</w:t>
      </w:r>
    </w:p>
    <w:p>
      <w:pPr/>
      <w:r>
        <w:rPr>
          <w:b/>
        </w:rPr>
        <w:t>POSSIBLE 2026:</w:t>
      </w:r>
      <w:r>
        <w:t xml:space="preserve"> Learning as Governance: Discursive Constructions of Learning in the Postdigital Knowledge Economy — https://doi.org/10.1007/978-3-032-21956-5_2</w:t>
      </w:r>
    </w:p>
    <w:p>
      <w:pPr/>
      <w:r>
        <w:rPr>
          <w:b/>
        </w:rPr>
        <w:t>Shared claim-specific concepts:</w:t>
      </w:r>
      <w:r>
        <w:t xml:space="preserve"> logics, discursive, constructed; EU scope visible. This is a provisional connection, not an outcome finding.</w:t>
      </w:r>
    </w:p>
    <w:p>
      <w:pPr>
        <w:pStyle w:val="SourceNote"/>
      </w:pPr>
      <w:r>
        <w:rPr>
          <w:b/>
        </w:rPr>
        <w:t>Available abstract (not full text):</w:t>
      </w:r>
      <w:r>
        <w:t xml:space="preserve"> This chapter traces the reconfiguration of education from the ideal of the knowledge society to the imperatives of the knowledge economy, showing how human and social capital have become central categories of neoliberal governance. It argues that learning is increasingly constructed as an individualized project of adaptability, responsibilization, and self-optimization, mediated by digital infrastructures that intensify surveillance and inequality. Grounded in the post-socialist transformations of Central and Eastern Europe, and Poland in particular, the analysis reveals a hybrid landscape in which neoliberal, nationalist, and technocratic logics intersect. The chapter highlights how the postdigital condition redefines both the purposes of schooling and what it means to be a learner, turning education into a contested arena where the promise of emancipation is undercut by regulation and stratification.</w:t>
      </w:r>
    </w:p>
    <w:p>
      <w:pPr/>
      <w:r>
        <w:rPr>
          <w:b/>
        </w:rPr>
        <w:t>POSSIBLE 2026:</w:t>
      </w:r>
      <w:r>
        <w:t xml:space="preserve"> Inclusive leadership as a discursive-rhetorical practice: A conceptual framework of discourse, identity and power — https://doi.org/10.29107/rr2026.3.7</w:t>
      </w:r>
    </w:p>
    <w:p>
      <w:pPr/>
      <w:r>
        <w:rPr>
          <w:b/>
        </w:rPr>
        <w:t>Shared claim-specific concepts:</w:t>
      </w:r>
      <w:r>
        <w:t xml:space="preserve"> proposes, discursive, construction, conditions, climate; EU scope not established. This is a provisional connection, not an outcome finding.</w:t>
      </w:r>
    </w:p>
    <w:p>
      <w:pPr>
        <w:pStyle w:val="SourceNote"/>
      </w:pPr>
      <w:r>
        <w:rPr>
          <w:b/>
        </w:rPr>
        <w:t>Available abstract (not full text):</w:t>
      </w:r>
      <w:r>
        <w:t xml:space="preserve"> Inclusive leadership is most commonly conceptualized as a behavioral style, psychological climate or managerial practice that promotes participation, belongingness and recognition. While these approaches have generated important insights, they provide only limited explanation of how inclusion is communicatively sustained within organizations. This article develops a conceptual framework for understanding inclusive leadership as a discursive-rhetorical practice of power. Drawing on a critical narrative synthesis of rhetorical theory, discourse studies and leadership scholarship, the article argues that inclusion is not a stable organizational condition, but a communicative accomplishment. The study proposes a three-dimensional framework composed of discursive construction, identity formation and power mediation that explains how rhetorical mechanisms (particularly logos, ethos and pathos) shape the meanings of inclusion, legitimize organizational identities and regulate participation under different institutional conditions. By integrating classical rhetoric and contemporary leadership theory, the article contributes a more precise account of how inclusion is rhetorically enabled, constrained and contested.</w:t>
      </w:r>
    </w:p>
    <w:p>
      <w:pPr/>
      <w:r>
        <w:rPr>
          <w:b/>
        </w:rPr>
        <w:t>POSSIBLE 2026:</w:t>
      </w:r>
      <w:r>
        <w:t xml:space="preserve"> Expert knowledge dissemination online: Discursive choices, roles enacted and authorial voice constructed — https://doi.org/10.1177/14614456261477531</w:t>
      </w:r>
    </w:p>
    <w:p>
      <w:pPr/>
      <w:r>
        <w:rPr>
          <w:b/>
        </w:rPr>
        <w:t>Shared claim-specific concepts:</w:t>
      </w:r>
      <w:r>
        <w:t xml:space="preserve"> proposes, discursive, construction, constructed; EU scope not established. This is a provisional connection, not an outcome finding.</w:t>
      </w:r>
    </w:p>
    <w:p>
      <w:pPr>
        <w:pStyle w:val="SourceNote"/>
      </w:pPr>
      <w:r>
        <w:rPr>
          <w:b/>
        </w:rPr>
        <w:t>Available abstract (not full text):</w:t>
      </w:r>
      <w:r>
        <w:t xml:space="preserve"> A wide range of digital practices are currently employed to disseminate specialised knowledge beyond expert communities. Expert knowledge needs to be recontextualised so that it becomes accessible, understood an acceptable to diversified audiences with varying levels of expertise. How knowledge brokers construct and project their authorial voice plays a key role in this endeavour. This paper proposes a framework for analysing the construction of authorial voice in digital practices that recontextualise expert knowledge, based on the discursive choices made by knowledge brokers and the discursive roles enacted through them. The framework is applied to a corpus of 40 digital dissemination texts: 20 author-generated texts published in The Conversation and 20 writer-mediated research digests in two disciplines: Economy and Natural Sciences. Overall results show that Stance-taking and Comprehensibility roles are more prominent than Credibility and especially Engagement roles. Differences are observed in the Credibility roles enacted by knowledge producers versus mediators, and in Stance-taking across disciplines. The results offer insights into how expert knowledge is disseminated in trustworthy digital sources and can inform more critical consumption and production of such practices.</w:t>
      </w:r>
    </w:p>
    <w:p>
      <w:pPr/>
      <w:r>
        <w:rPr>
          <w:b/>
        </w:rPr>
        <w:t>POSSIBLE 2026:</w:t>
      </w:r>
      <w:r>
        <w:t xml:space="preserve"> Toward a conjunctural critique of racial capitalism — https://doi.org/10.1177/14748851261479207</w:t>
      </w:r>
    </w:p>
    <w:p>
      <w:pPr/>
      <w:r>
        <w:rPr>
          <w:b/>
        </w:rPr>
        <w:t>Shared claim-specific concepts:</w:t>
      </w:r>
      <w:r>
        <w:t xml:space="preserve"> racial, about, racialized; EU scope not established. This is a provisional connection, not an outcome finding.</w:t>
      </w:r>
    </w:p>
    <w:p>
      <w:pPr>
        <w:pStyle w:val="SourceNote"/>
      </w:pPr>
      <w:r>
        <w:rPr>
          <w:b/>
        </w:rPr>
        <w:t>Available abstract (not full text):</w:t>
      </w:r>
      <w:r>
        <w:t xml:space="preserve"> This article contributes to contemporary debates about racial capitalism by turning to Stuart Hall, a Jamaican cultural theorist active in the British New Left and the Birmingham Centre for Contemporary Cultural Studies. Hall made two moves to better diagnose the mediating role that “race” and racism played in the crises of post-war British capitalism. First, he adopted an imperial frame that situated Britain's industrialization in relation to its colonial sites of production. Second, Hall developed a “Marxism without final guarantees” that could explain how racialized difference becomes embedded within relations of production as a regulative norm. I argue his approach should be preferred to both formal and world-historical theories of racial capitalism, as the latter can fall back into an oversimplified economism. Hall's conjunctural analysis, by contrast, makes space for a more sustained consideration of both (a) the state and (b) a materialist account of popular culture.</w:t>
      </w:r>
    </w:p>
    <w:p>
      <w:pPr/>
      <w:r>
        <w:rPr>
          <w:b/>
        </w:rPr>
        <w:t>POSSIBLE 2025:</w:t>
      </w:r>
      <w:r>
        <w:t xml:space="preserve"> Reconceptualizing Divine Omnipotence: A Decolonial Interpretation of Process Theology — https://doi.org/10.46569/f4752s50f</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This thesis offers a decolonial interpretation of divine omnipotence based on AnibalQuijano's work on the coloniality of power.I intend to bridge the potential gaps between sociopolitical philosophy, the philosophy of religion, and decolonial theory, by drawing parallels between how we conceptualize the characteristics of God and the features of coloniality.I begin the paper by outlining Quijano's framework on the coloniality of power, the colonial matrix of power, and his decoloniality of power.I continue by problematizing the classical theistic conception of God and divine omnipotence as perpetuating colonial standards.Then, I encourage the need for a decolonial reconceptualization of divine omnipotence using historical examples of colonization and Christianization.The second half of the paper focuses on a direct application of Quijano's decolonial approach using process theology.I start with a summary of process metaphysics to describe God's relation to the world and follow with an explanation of the process theological conception of God and divine omnipotence.This section ends with an in-depth argument about how the conception of divine omnipotence within process theology can be interpreted as a decolonial reconceptualization.The paper concludes by reiterating the significance of this interpretation in the development of a decoloniality of power and broader form of decoloni</w:t>
      </w:r>
    </w:p>
    <w:p>
      <w:pPr/>
      <w:r>
        <w:rPr>
          <w:b/>
        </w:rPr>
        <w:t>POSSIBLE 2025:</w:t>
      </w:r>
      <w:r>
        <w:t xml:space="preserve"> Black Identity in Action: Examining Ethnic and Racial Identity, Racial Discrimination, and Collective Action Among Black Individuals — https://doi.org/10.1177/00957984251322390</w:t>
      </w:r>
    </w:p>
    <w:p>
      <w:pPr/>
      <w:r>
        <w:rPr>
          <w:b/>
        </w:rPr>
        <w:t>Shared claim-specific concepts:</w:t>
      </w:r>
      <w:r>
        <w:t xml:space="preserve"> racial, about, african; EU scope not established. This is a provisional connection, not an outcome finding.</w:t>
      </w:r>
    </w:p>
    <w:p>
      <w:pPr>
        <w:pStyle w:val="SourceNote"/>
      </w:pPr>
      <w:r>
        <w:rPr>
          <w:b/>
        </w:rPr>
        <w:t>Available abstract (not full text):</w:t>
      </w:r>
      <w:r>
        <w:t xml:space="preserve"> This paper examines the factors that contribute to Black participants’ use of collective action strategies (i.e., activism and active coping) to combat experiences of racial discrimination. Previously, researchers have examined racial discrimination, ethnic identity, and racial identity in separate models from one another. We propose that ethnic and racial identity both mediate the relationship between racial discrimination and collective action, such that both ethnic and racial identity explain Black individuals’ engagement in activism and active coping after discriminatory experiences. We surveyed 313 Black individuals about their experiences and conducted a parallel mediation analysis to test our hypotheses. The results indicate that, as predicted, ethnic and racial identity mediated the relationship between racial discrimination, activism, and active coping. Overall, the findings from this study have theoretical and practical implications for how ethnic and racial identity can be used to improve the well-being of individuals in the African diaspora.</w:t>
      </w:r>
    </w:p>
    <w:p>
      <w:pPr/>
      <w:r>
        <w:rPr>
          <w:b/>
        </w:rPr>
        <w:t>POSSIBLE 2025:</w:t>
      </w:r>
      <w:r>
        <w:t xml:space="preserve"> A Reconceptualization of Schooling and Teaching: A Renewed Interest in Bildung‐Oriented Didaktik and Transactional Realism — https://doi.org/10.1111/edth.12687</w:t>
      </w:r>
    </w:p>
    <w:p>
      <w:pPr/>
      <w:r>
        <w:rPr>
          <w:b/>
        </w:rPr>
        <w:t>Shared claim-specific concepts:</w:t>
      </w:r>
      <w:r>
        <w:t xml:space="preserve"> reconceptualization, about, outcomes; EU scope not established. This is a provisional connection, not an outcome finding.</w:t>
      </w:r>
    </w:p>
    <w:p>
      <w:pPr>
        <w:pStyle w:val="SourceNote"/>
      </w:pPr>
      <w:r>
        <w:rPr>
          <w:b/>
        </w:rPr>
        <w:t>Available abstract (not full text):</w:t>
      </w:r>
      <w:r>
        <w:t xml:space="preserve"> Abstract This study aims to contribute to the ongoing scholarly conversation about education through the lenses of the German philosophy of Bildung and the American philosophy of pragmatism. More concretely, in this article, the two philosophies are represented by the traditions of critical‐constructive Didaktik, based on Wolfgang Klafki's work, and transactional realism, based on John Dewey's. Against the background of the widespread outcomes‐based modes of education today, the authors seek to shed light on the necessary reconceptualization of schooling and teaching and to explore the possibilities for constructive routes forward for curriculum theorizing. They outline the aspects of knowledge and the learning concepts that the two philosophies share and those about which they differ. The authors also analyze the consequences that these similarities and differences have for the educational approaches of critical‐constructive Didaktik and transactional realism. Finally, the authors present an empirical example from a Swedish year‐eight classroom, drawing conclusions based on their findings and considering corresponding implications about the two traditions' potential to contribute to an understanding of teaching as a pedagogical responsibility.</w:t>
      </w:r>
    </w:p>
    <w:p>
      <w:pPr/>
      <w:r>
        <w:rPr>
          <w:b/>
        </w:rPr>
        <w:t>POSSIBLE 2025:</w:t>
      </w:r>
      <w:r>
        <w:t xml:space="preserve"> Migration and Racialization in Times of “Crisis” — https://doi.org/10.1353/book.136296</w:t>
      </w:r>
    </w:p>
    <w:p>
      <w:pPr/>
      <w:r>
        <w:rPr>
          <w:b/>
        </w:rPr>
        <w:t>Shared claim-specific concepts:</w:t>
      </w:r>
      <w:r>
        <w:t xml:space="preserve"> racial, logics, face; EU scope not established. This is a provisional connection, not an outcome finding.</w:t>
      </w:r>
    </w:p>
    <w:p>
      <w:pPr>
        <w:pStyle w:val="SourceNote"/>
      </w:pPr>
      <w:r>
        <w:rPr>
          <w:b/>
        </w:rPr>
        <w:t>Available abstract (not full text):</w:t>
      </w:r>
      <w:r>
        <w:t xml:space="preserve"> List of Figures and Tablesthis work are inscribed in the racial, gendered, and capitalist logics of this system we critique.Although we, as editors, do not all share the same racial positions, nor do we face the same oppressions or privileges, we are critically engaged through our profession in the neoliberal university.As much as the university constitutes a propitious space for the critique of racial capitalism, patriarchy, heteronormativity, and other systemic violence, we are aware that it also participates in such violence (Chatterjee &amp; Maira, 2014) and mobilizes the notion of crisis specific to neoliberal logic (see Pasipanodya &amp; Chowdhury, this volume) and academic capitalism (Boggs &amp; Mitchell</w:t>
      </w:r>
    </w:p>
    <w:p>
      <w:pPr/>
      <w:r>
        <w:rPr>
          <w:b/>
        </w:rPr>
        <w:t>POSSIBLE 2025:</w:t>
      </w:r>
      <w:r>
        <w:t xml:space="preserve"> Negotiating Opera : Discursive Representations, Democratic Accessibility and Social Media Branding — https://openalex.org/W7111780263</w:t>
      </w:r>
    </w:p>
    <w:p>
      <w:pPr/>
      <w:r>
        <w:rPr>
          <w:b/>
        </w:rPr>
        <w:t>Shared claim-specific concepts:</w:t>
      </w:r>
      <w:r>
        <w:t xml:space="preserve"> proposes, form, discursive, about, constructed; EU scope not established. This is a provisional connection, not an outcome finding.</w:t>
      </w:r>
    </w:p>
    <w:p>
      <w:pPr>
        <w:pStyle w:val="SourceNote"/>
      </w:pPr>
      <w:r>
        <w:rPr>
          <w:b/>
        </w:rPr>
        <w:t>Available abstract (not full text):</w:t>
      </w:r>
      <w:r>
        <w:t xml:space="preserve"> This thesis examines opera as a discursive cultural and social phenomenon, constructed not only within theatrical spaces but also in production practices and public discussions that extend beyond a music-theatrical performance. Focusing on discussions of opera in the media landscape of the early 21st century as related to the democratization challenges around an art form traditionally understood as high and elitist, this approach brings novel perspectives to the relationship between opera and society. More specifically, negotiating opera encompasses the idea that opera is a discursive construct that is subject to continuous negotiations in which meanings and values are produced and reproduced. The aim of this thesis is to (i) identify and examine perceptions of opera in contemporary society and (ii) understand how these perceptions are formed and how they relate to wider cultural trends. This aim leads to two main research questions: “What kind of perceptions of opera as a cultural phenomenon are construed on public discussion arenas, such as newspapers and social media, and in official public communications of opera institutions, in Nordic welfare societies?”, and “How do digitalization and changes in cultural production, including the media landscape, influence the perceived meaning and value of opera in contemporary society?”. These processes are studied in three sub-studies</w:t>
      </w:r>
    </w:p>
    <w:p>
      <w:pPr>
        <w:pStyle w:val="Heading2"/>
      </w:pPr>
      <w:r>
        <w:t>754. Abandonment landscapes: user attitudes, alternative futures and land management in Castro Laboreiro, Portugal</w:t>
      </w:r>
    </w:p>
    <w:p>
      <w:pPr>
        <w:pStyle w:val="SourceNote"/>
      </w:pPr>
      <w:r>
        <w:rPr>
          <w:b/>
        </w:rPr>
        <w:t>Original source (2018):</w:t>
      </w:r>
      <w:r>
        <w:t xml:space="preserve"> https://doi.org/10.1007/s10113-018-1294-x</w:t>
      </w:r>
    </w:p>
    <w:p>
      <w:pPr/>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POSSIBLE 2026:</w:t>
      </w:r>
      <w:r>
        <w:t xml:space="preserve"> Is there space for regional identities in a centralized unitary state? Northern Portugal as case study — https://doi.org/10.1080/1070289x.2026.2614229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pPr/>
      <w:r>
        <w:rPr>
          <w:b/>
        </w:rPr>
        <w:t>POSSIBLE 2026:</w:t>
      </w:r>
      <w:r>
        <w:t xml:space="preserve"> Social innovation in student residences in higher education: the case of students from the Portuguese-speaking African countries and Timor-Leste in Northern Portugal — https://openalex.org/W7164715549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 presente dissertação visa analisar o contributo da inovação social nas residências de estudantes do ensino superior para a promoção da integração de estudantes provenientes dos Países Africanos de Língua Oficial Portuguesa e Timor-Leste (PALOP &amp; TL). Partindo da premissa de que as residências são não apenas espaços de habitação, mas também contextos privilegiados de socialização, aprendizagem intercultural e desenvolvimento pessoal, a investigação procura compreender, a partir da perspetiva dos diretores/gestores, de que forma estas estruturas podem favorecer dinâmicas inclusivas, promover o bem-estar psicossocial e potenciar o sucesso académico destes estudantes. A metodologia adotada assenta uma abordagem qualitativa, baseada na realização de entrevistas semiestruturadas a diretores/gestores de residências localizadas na região Norte de Portugal. Os resultados demonstram que este processo é marcado por uma vulnerabilidade multidimensional, que inclui dificuldades económicas, burocráticas, académicas e sociais, assumindo as residências um papel central na estabilidade e no sucesso académico destes estudantes. As residências surgem, assim, como espaços privilegiados de acolhimento, integração e apoio. A análise revela um cenário heterogéneo, no qual coexistem respostas institucionais diferenciadas. As residências públicas tendem a operar com modelos mais padronizados, enquant</w:t>
      </w:r>
    </w:p>
    <w:p>
      <w:pPr/>
      <w:r>
        <w:rPr>
          <w:b/>
        </w:rPr>
        <w:t>POSSIBLE 2026:</w:t>
      </w:r>
      <w:r>
        <w:t xml:space="preserve"> Spatial and temporal patterns of aquatic fungi inside and outside protected areas in Northern Portugal — https://doi.org/10.5194/wbf2026-731</w:t>
      </w:r>
    </w:p>
    <w:p>
      <w:pPr/>
      <w:r>
        <w:rPr>
          <w:b/>
        </w:rPr>
        <w:t>Shared claim-specific concepts:</w:t>
      </w:r>
      <w:r>
        <w:t xml:space="preserve"> case, northern, portugal, assess, regarding; EU scope visible. This is a provisional connection, not an outcome finding.</w:t>
      </w:r>
    </w:p>
    <w:p>
      <w:pPr>
        <w:pStyle w:val="SourceNote"/>
      </w:pPr>
      <w:r>
        <w:rPr>
          <w:b/>
        </w:rPr>
        <w:t>Available abstract (not full text):</w:t>
      </w:r>
      <w:r>
        <w:t xml:space="preserve"> Aquatic fungi (AF) are key contributors to freshwater ecosystem health, functioning, and resilience. Yet, they have been almost entirely neglected in all major global conservation plans and policies. The FUNACTION project addresses this gap by building the first comprehensive knowledge base on the diversity of AF at a pan-European scale. This case study aimed to assess the effectiveness of protected areas (PA) in conserving AF and to explore the spatial and temporal patterns of AF diversity and distribution. Fifty-four sites located in two PA in northern Portugal were surveyed between November and December 2023: 24 sites in Peneda-Gerês National Park – PGNP (12 inside and 12 outside the PA) and 30 sites in Montesinho Nature Park - MNP (15 inside and 15 outside the PA). Additionally, a subset of 6 sites inside and outside PGNP were surveyed every season until October 2024. Water samples were filtrated to collect AF conidia and their morphological identification was performed. In a preliminary analysis, only about 30% of the morphotypes could be identified to species or genus level, underscoring a major knowledge gap in aquatic fungal taxonomy. Regarding the spatial patterns, AF richness was higher for MNP than PGNP, but there was no difference between sites inside or outside the PA. Forty-five taxa co-occurred in both PA, but 36 and 38 occurred only at PGNP and MNP, respectively</w:t>
      </w:r>
    </w:p>
    <w:p>
      <w:pPr/>
      <w:r>
        <w:rPr>
          <w:b/>
        </w:rPr>
        <w:t>POSSIBLE 2026:</w:t>
      </w:r>
      <w:r>
        <w:t xml:space="preserve"> Emerging typologies for sustainable urbanism in the 21st century: the case of high-density housing blocks with shared courtyards in Central and Northern Europe — https://openalex.org/W7217440646</w:t>
      </w:r>
    </w:p>
    <w:p>
      <w:pPr/>
      <w:r>
        <w:rPr>
          <w:b/>
        </w:rPr>
        <w:t>Shared claim-specific concepts:</w:t>
      </w:r>
      <w:r>
        <w:t xml:space="preserve"> case, northern, used, open, after; EU scope visible. This is a provisional connection, not an outcome finding.</w:t>
      </w:r>
    </w:p>
    <w:p>
      <w:pPr>
        <w:pStyle w:val="SourceNote"/>
      </w:pPr>
      <w:r>
        <w:rPr>
          <w:b/>
        </w:rPr>
        <w:t>Available abstract (not full text):</w:t>
      </w:r>
      <w:r>
        <w:t xml:space="preserve"> This doctoral thesis investigates high-density shared-courtyard housing as an emerging typology in Central and Northern Europe (2005–2025) and asks how evidence-based precedent analysis can inform sustainable urbanism. The aim is to convert built precedents into comparable design intelligence using a tri-lens framework—physical form, operational functioning, and environmental performance—so that early decisions balance density, daylight, and social sustainability. A sample of 46 delivered blocks is analysed with form, operational and performance metrics to: floor area ratio (FAR), courtyard share (CR), footprint coverage, height; access orientation, residents per entrance, and communal area per resident; configurational legibility and visual choice via Visibility Graph Analysis; and a conservative winter-solstice noon daylight screen. Cases are grouped by intensity bands (Open ≤200% Adaptive 200–270%, Compact ≥270% and by epochs (E1–E3). Quality controls include unit standardisation, cross-source triangulation, non-parametric statistics, and pre-specified robustness checks; a Courtyard Load Index is used diagnostically. Findings show a predictable enclosure gradient: as intensity rises, courtyard share declines while coverage and storeys increase; wing depth remains mid-range. Operationally, street-facing access and legibility persist, but visual choice and communal m² per resi</w:t>
      </w:r>
    </w:p>
    <w:p>
      <w:pPr/>
      <w:r>
        <w:rPr>
          <w:b/>
        </w:rPr>
        <w:t>POSSIBLE 2025:</w:t>
      </w:r>
      <w:r>
        <w:t xml:space="preserve"> CASE SERIES OF LATENT TUBERCULOSIS INFECTION IN HEALTH PROFESSIONALS IN A TERTIARY HOSPITAL IN NORTHERN PORTUGAL — https://doi.org/10.22533/at.ed.15952025240411</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Wood exploitation in northern Europe during the Early Neolithic: The case study of the Funnel Beaker site of Frydenlund, ca. 3600 BCE — https://doi.org/10.1016/j.jasrep.2025.105255</w:t>
      </w:r>
    </w:p>
    <w:p>
      <w:pPr/>
      <w:r>
        <w:rPr>
          <w:b/>
        </w:rPr>
        <w:t>Shared claim-specific concepts:</w:t>
      </w:r>
      <w:r>
        <w:t xml:space="preserve"> case, northern, different, possible; EU scope visible. This is a provisional connection, not an outcome finding.</w:t>
      </w:r>
    </w:p>
    <w:p>
      <w:pPr>
        <w:pStyle w:val="SourceNote"/>
      </w:pPr>
      <w:r>
        <w:rPr>
          <w:b/>
        </w:rPr>
        <w:t>Available abstract (not full text):</w:t>
      </w:r>
      <w:r>
        <w:t xml:space="preserve"> Understanding the interaction between people and their environment during the neolithization process in northern Europe requires detailed knowledge of wood exploitation by Funnel Beaker societies (4000–2800 BCE). However, although many sites from this culture are known, wood and/or charcoal analyses from such sites are scarcely available. Moreover, the focus of such analyses is often on the reconstruction of the former vegetation, while the possible selective use of wood for specific purposes is rarely investigated. Here, we present the results of a detailed charcoal analysis from the well-dated Early Neolithic site of Frydenlund in present-day Denmark. The charcoal assemblage from Frydenlund, complementing the available archaeobotanical and palynological data, indicates the presence and exploitation of deciduous woodland. Comparisons of the various samples and contexts indicate that the charcoal from all different types of archaeological contexts primarily represents secondarily deposited material. While the site only offers limited information about the possible selective use of wood, the outcomes offer a new, detailed insight into the site deposition processes at Frydenlund, highlighting the potential of archaeobotany, including wood analysis, that is of methodological relevance for the understanding of archaeological sites in any region and dating to any period. The assembl</w:t>
      </w:r>
    </w:p>
    <w:p>
      <w:pPr/>
      <w:r>
        <w:rPr>
          <w:b/>
        </w:rPr>
        <w:t>POSSIBLE 2025:</w:t>
      </w:r>
      <w:r>
        <w:t xml:space="preserve"> Suspected Sources of Infection and Transmission Factors Associated With Campylobacteriosis in Northern Portugal — https://doi.org/10.1111/zph.70015</w:t>
      </w:r>
    </w:p>
    <w:p>
      <w:pPr/>
      <w:r>
        <w:rPr>
          <w:b/>
        </w:rPr>
        <w:t>Shared claim-specific concepts:</w:t>
      </w:r>
      <w:r>
        <w:t xml:space="preserve"> northern, portugal, local, possible; EU scope visible. This is a provisional connection, not an outcome finding.</w:t>
      </w:r>
    </w:p>
    <w:p>
      <w:pPr>
        <w:pStyle w:val="SourceNote"/>
      </w:pPr>
      <w:r>
        <w:rPr>
          <w:b/>
        </w:rPr>
        <w:t>Available abstract (not full text):</w:t>
      </w:r>
      <w:r>
        <w:t xml:space="preserve"> INTRODUCTION: Campylobacteriosis is considered the most common bacterial cause of human gastroenteritis worldwide, with food being one of the main sources of infection. The occurrence of human campylobacteriosis, however, may differ between geographical areas and other factors. Our study aims to identify possible sources of Campylobacter infection in the Northern region of Portugal. METHODS: A cross-sectional study was conducted, including all laboratory-confirmed campylobacteriosis cases notified through the Portuguese epidemiological surveillance system (SINAVE) between 2015 and 2017. We analysed socio-demographic and exposure variables, including contact with other ill individuals, contact with animals, consumption of suspect food items, consumption of non-controlled water and travelling. RESULTS: A total of 683 confirmed campylobacteriosis cases were reported between 2015 and 2017 in the Northern region of Portugal, corresponding to a notification rate of 6.3 per 100,000 population. The median age was 2 years old (IQR 0.96-4.6); 58.3% were male. Close contact with animals was the most common exposure (50.2%), followed by consumption of non-controlled water (26.1%), suspect food consumption (13.8%) and contact with ill individuals (8.8%). Campylobacteriosis cases from the Tâmega e Sousa subregion were more frequently exposed to non-controlled water (46.0% vs. 26.1%) than in </w:t>
      </w:r>
    </w:p>
    <w:p>
      <w:pPr/>
      <w:r>
        <w:rPr>
          <w:b/>
        </w:rPr>
        <w:t>POSSIBLE 2024:</w:t>
      </w:r>
      <w:r>
        <w:t xml:space="preserve"> The Influence of Wildfire Climate on Wildfire Incidence: The Case of Portugal — https://doi.org/10.3390/fire7070234</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pPr/>
      <w:r>
        <w:rPr>
          <w:b/>
        </w:rPr>
        <w:t>POSSIBLE 2024:</w:t>
      </w:r>
      <w:r>
        <w:t xml:space="preserve"> Motivation and perception of farmers on the benefits and challenges of agroforestry in Sweden (Northern Europe) — https://doi.org/10.1007/s10457-024-00964-1</w:t>
      </w:r>
    </w:p>
    <w:p>
      <w:pPr/>
      <w:r>
        <w:rPr>
          <w:b/>
        </w:rPr>
        <w:t>Shared claim-specific concepts:</w:t>
      </w:r>
      <w:r>
        <w:t xml:space="preserve"> case, northern, used, land, different; EU scope visible. This is a provisional connection, not an outcome finding.</w:t>
      </w:r>
    </w:p>
    <w:p>
      <w:pPr>
        <w:pStyle w:val="SourceNote"/>
      </w:pPr>
      <w:r>
        <w:rPr>
          <w:b/>
        </w:rPr>
        <w:t>Available abstract (not full text):</w:t>
      </w:r>
      <w:r>
        <w:t xml:space="preserve"> Abstract Agroforestry systems provide multiple benefits for human wellbeing and biodiversity; however, their diversity and spatial distribution sharply decline across Europe. This study focuses on agroforestry farms in Sweden. The aim of the study was to explore farmers' motivations to start agroforestry, what benefits farmers attributed to their agroforestry farms and perceived challenges to practicing agroforestry in Sweden. In total, 13 farms that practice various agroforestry forms were selected as case studies. A focus group, semi-structured interviews and field observations were used for data collection. We identified four types of agroforestry systems such as silvopasture, silvoarable, forest farming and forest gardens established on different land such as forested or agricultural land. All studied agroforestry farms were small but had complex spatial and temporal arrangements of crops, trees and animals, which were crucial to generating multiple benefits. Our results show that the multifunctionality of agroforestry systems resulted from farmers' desire to design such systems. Farmers’ intentions to get foods and materials from their farms were always intentionally unified with multiple ecosystem services. We argue that agroforestry farmers are designers of multifunctional landscapes as they deliberately organized their farming activities to get a bundle of ecosystem ser</w:t>
      </w:r>
    </w:p>
    <w:p>
      <w:pPr/>
      <w:r>
        <w:rPr>
          <w:b/>
        </w:rPr>
        <w:t>POSSIBLE 2024:</w:t>
      </w:r>
      <w:r>
        <w:t xml:space="preserve"> Quantifying the role of saltmarsh as a vulnerable carbon sink: A case study from Northern Portugal — https://doi.org/10.1016/j.scitotenv.2024.171443</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Measles cluster in Northern Portugal: enhancing surveillance strengths — https://doi.org/10.1093/eurpub/ckae144.1476</w:t>
      </w:r>
    </w:p>
    <w:p>
      <w:pPr/>
      <w:r>
        <w:rPr>
          <w:b/>
        </w:rPr>
        <w:t>Shared claim-specific concepts:</w:t>
      </w:r>
      <w:r>
        <w:t xml:space="preserve"> case, northern, portugal, local; EU scope visible. This is a provisional connection, not an outcome finding.</w:t>
      </w:r>
    </w:p>
    <w:p>
      <w:pPr>
        <w:pStyle w:val="SourceNote"/>
      </w:pPr>
      <w:r>
        <w:rPr>
          <w:b/>
        </w:rPr>
        <w:t>Available abstract (not full text):</w:t>
      </w:r>
      <w:r>
        <w:t xml:space="preserve"> Abstract Although measles was declared eliminated in Portugal in 2015, outbreaks persist, despite high vaccination coverage. The last outbreak in the northern region was in 2017. Portugal has a Surveillance System implemented for mandatory communicable diseases (SINAVE) integrating clinical, epidemiological and laboratory data. In 2021, WHO expressed concern about the low sensitivity of measles surveillance and urged Portugal to strengthen its surveillance practices. Our study aims to describe a measles cluster in northern Portugal during the first trimester of 2024. Data from measles cases from the first trimester of 2024 were collected from SINAVE. Contact tracing and Public Health (PH) intervention data was sent by Local Public Health Authorities through a survey designed for that purpose. A total of 70 suspected cases were reported and investigated: 6 cases were laboratory confirmed and 64 were discarded. The confirmed cases had a mean age of 28 years (all adults), with 50% female. The mean notification time was 0,3 days. The index case was imported (Mauritania) and unvaccinated, leading to 2 secondary cases. Five cases had 2 doses of a measles vaccine, with 1 case being a health professional. Additionally, 1 case was imported from France. For 2 cases the source of infection could not be unequivocally identified and no travel history during incubation period. A total of 851</w:t>
      </w:r>
    </w:p>
    <w:p>
      <w:pPr/>
      <w:r>
        <w:rPr>
          <w:b/>
        </w:rPr>
        <w:t>POSSIBLE 2024:</w:t>
      </w:r>
      <w:r>
        <w:t xml:space="preserve"> A Combination of Human Activity and Climate Drives Forest Fire Occurrence in Central Europe: The Case of the Czech Republic — https://doi.org/10.3390/fire7040109</w:t>
      </w:r>
    </w:p>
    <w:p>
      <w:pPr/>
      <w:r>
        <w:rPr>
          <w:b/>
        </w:rPr>
        <w:t>Shared claim-specific concepts:</w:t>
      </w:r>
      <w:r>
        <w:t xml:space="preserve"> case, combination, land, possible; EU scope visible. This is a provisional connection, not an outcome finding.</w:t>
      </w:r>
    </w:p>
    <w:p>
      <w:pPr>
        <w:pStyle w:val="SourceNote"/>
      </w:pPr>
      <w:r>
        <w:rPr>
          <w:b/>
        </w:rPr>
        <w:t>Available abstract (not full text):</w:t>
      </w:r>
      <w:r>
        <w:t xml:space="preserve"> Central Europe is not a typical wildfire region; however, an increasingly warm and dry climate and model-based projections indicate that the number of forest fires are increasing. This study provides new insights into the drivers of forest fire occurrence in the Czech Republic, during the period 2006 to 2015, by focusing on climate, land cover, and human activity factors. The average annual number of forest fires during the study period was 728, with a median burned area of 0.01 ha. Forest fire incidence showed distinct spring (April) and summer (July to August) peaks, with median burned areas of 0.04 ha and 0.005 ha, respectively. Relationships between the predictors (climate data, forest-related data, socioeconomic data, and landscape-context data) and the number of forest fires in individual municipality districts were analyzed using Generalized Additive Models (GAM) on three time scales (annually, monthly, and during the summer season). The constructed GAMs explained 48.7 and 53.8% of forest fire variability when fire occurrence was analyzed on a monthly scale and during the summer season, respectively. On an annual scale, the models explained 71.4% of the observed forest fire variability. The number of forest fires was related to the number of residents and overnight tourists in the area. The effect of climate was manifested on monthly and summer season scales only, with w</w:t>
      </w:r>
    </w:p>
    <w:p>
      <w:pPr>
        <w:pStyle w:val="Heading2"/>
      </w:pPr>
      <w:r>
        <w:t>755. Analysing the potential of integrating wind and solar power in Europe using spatial optimisation under various scenarios</w:t>
      </w:r>
    </w:p>
    <w:p>
      <w:pPr>
        <w:pStyle w:val="SourceNote"/>
      </w:pPr>
      <w:r>
        <w:rPr>
          <w:b/>
        </w:rPr>
        <w:t>Original source (2018):</w:t>
      </w:r>
      <w:r>
        <w:t xml:space="preserve"> https://doi.org/10.1016/j.rser.2018.05.071</w:t>
      </w:r>
    </w:p>
    <w:p>
      <w:pPr/>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POSSIBLE 2026:</w:t>
      </w:r>
      <w:r>
        <w:t xml:space="preserve"> Exploring QRICH2 as a potential male contraceptive target — https://doi.org/10.1093/reprod/xaaf009</w:t>
      </w:r>
    </w:p>
    <w:p>
      <w:pPr/>
      <w:r>
        <w:rPr>
          <w:b/>
        </w:rPr>
        <w:t>Shared claim-specific concepts:</w:t>
      </w:r>
      <w:r>
        <w:t xml:space="preserve"> potential, exploring, alternative; EU scope not established. This is a provisional connection, not an outcome finding.</w:t>
      </w:r>
    </w:p>
    <w:p>
      <w:pPr>
        <w:pStyle w:val="SourceNote"/>
      </w:pPr>
      <w:r>
        <w:rPr>
          <w:b/>
        </w:rPr>
        <w:t>Available abstract (not full text):</w:t>
      </w:r>
      <w:r>
        <w:t xml:space="preserve"> Today, male contraceptive options remain limited to condoms and vasectomy, highlighting the urgent need for alternative methods. In this context, discovering and characterizing reproductive-tract-specific proteins that can be targeted by natural or chemical molecules is of particular interest. Recent studies on the sperm protein glutamine-rich protein 2 (QRICH2) show that it could represent a promising candidate. Indeed, it has been genetically confirmed to be essential for male fertility in mice, bulls, and humans, with gene knockout and loss-of-function mutations leading to defective sperm and complete infertility without evident accompanying symptoms. However, information on human QRICH2 remains limited. In this study, we aimed to better characterize human QRICH2 to assess its potential as a target for male contraceptive development. Using mass spectrometry, we assessed which of the QRICH2 isoforms described in databases might be expressed in human sperm. Through in silico analyses, we showed that QRICH2 has no paralogs in humans, and is conserved across mammals, particularly in a region containing two functional domains, suggesting their importance for QRICH2 function. Finally, using immunodetection methods and proteomic dataset analyses, we investigated the tissue specificity of QRICH2 by examining its protein expression across 12 human organs. Our results show that QRICH2</w:t>
      </w:r>
    </w:p>
    <w:p>
      <w:pPr/>
      <w:r>
        <w:rPr>
          <w:b/>
        </w:rPr>
        <w:t>POSSIBLE 2026:</w:t>
      </w:r>
      <w:r>
        <w:t xml:space="preserve"> From Innovation to Impact: Exploring the Economic Potential of Digital Twins in European and African Agriculture — https://openalex.org/W7125889396</w:t>
      </w:r>
    </w:p>
    <w:p>
      <w:pPr/>
      <w:r>
        <w:rPr>
          <w:b/>
        </w:rPr>
        <w:t>Shared claim-specific concepts:</w:t>
      </w:r>
      <w:r>
        <w:t xml:space="preserve"> potential, exploring, capacity; EU scope visible. This is a provisional connection, not an outcome finding.</w:t>
      </w:r>
    </w:p>
    <w:p>
      <w:pPr>
        <w:pStyle w:val="SourceNote"/>
      </w:pPr>
      <w:r>
        <w:rPr>
          <w:b/>
        </w:rPr>
        <w:t>Available abstract (not full text):</w:t>
      </w:r>
      <w:r>
        <w:t xml:space="preserve"> Established in 2006 under the Comprehensive Africa Agriculture Development Programme (CAADP), the Regional Strategic Analysis and Knowledge Support System (ReSAKSS) supports efforts to promote evidence-and outcome-based policy planning and implementation.In particular, ReSAKSS provides data and related analytical and knowledge products to facilitate CAADP benchmarking, review, and mutual learning processes.AKADEMIYA2063 leads the work of ReSAKSS in partnership with the African Union Commission, the African Union Development Agency-New Partnership for Africa's Development (AUDA-NEPAD), and leading regional economic communities (RECs).AKADEMIYA2063's mission is to provide data, policy analysis, and capacity strengthening support to enable African Union (AU) Member States to achieve economic transformation and shared prosperity in support of the AU's Agenda 2063.</w:t>
      </w:r>
    </w:p>
    <w:p>
      <w:pPr/>
      <w:r>
        <w:rPr>
          <w:b/>
        </w:rPr>
        <w:t>POSSIBLE 2026:</w:t>
      </w:r>
      <w:r>
        <w:t xml:space="preserve"> Effects of Climate Change on the Potential Distribution of Silverleaf Nightshade (Solanum elaeagnifolium Cav.) in Europe and Africa — https://doi.org/10.5281/zenodo.22787643</w:t>
      </w:r>
    </w:p>
    <w:p>
      <w:pPr/>
      <w:r>
        <w:rPr>
          <w:b/>
        </w:rPr>
        <w:t>Shared claim-specific concepts:</w:t>
      </w:r>
      <w:r>
        <w:t xml:space="preserve"> test, potential, method, modelling; EU scope visible. This is a provisional connection, not an outcome finding.</w:t>
      </w:r>
    </w:p>
    <w:p>
      <w:pPr>
        <w:pStyle w:val="SourceNote"/>
      </w:pPr>
      <w:r>
        <w:rPr>
          <w:b/>
        </w:rPr>
        <w:t>Available abstract (not full text):</w:t>
      </w:r>
      <w:r>
        <w:t xml:space="preserve"> Solanum elaeagnifolium Cav. (silverleaf nightshade), native to the Americas, is a high-risk alien weed invading agricultural areas and natural habitats worldwide. Here we modelled its current and future (2050, 2070, 2100) potential distribution across Europe and Africa using an ensemble species distribution modelling framework (BIOCLIM, MaxEnt, Random Forest) under three Shared Socioeconomic Pathway scenarios (SSP1-2.6, SSP2-4.5, SSP5-8.5) and the mean of three General Circulation Models. Alongside 1,041 spatially independent GBIF records and 19 bioclimatic variables, we incorporated a Growing Degree Day (GDD) variable derived from the species’ physiological base temperature (Tb = 10.8°C). Models performed well (ensemble AUC = 0.998, TSS = 0.976); spatial block cross-validation (5° × 5° blocks, n = 246) yielded results close to random train/test splitting, indicating minimal inflation from spatial autocorrelation. GDD ranked third in variable importance, and its response curve matched flowering thresholds reported independently in the literature. Model outputs were cross-validated against a second independent climate data source (CHELSA v2.1; r = 0.866) and six independent literature records excluded from training (mean 97.6th percentile). The species’ current distribution remains largely confined to the Mediterranean Basin, but net positive range changes (+24.5% to +52.8%) wer</w:t>
      </w:r>
    </w:p>
    <w:p>
      <w:pPr/>
      <w:r>
        <w:rPr>
          <w:b/>
        </w:rPr>
        <w:t>POSSIBLE 2026:</w:t>
      </w:r>
      <w:r>
        <w:t xml:space="preserve"> Fluorescence testing of European beech in the Northern Podillia National Nature Park — https://doi.org/10.33730/2310-4678.1.2026.359979</w:t>
      </w:r>
    </w:p>
    <w:p>
      <w:pPr/>
      <w:r>
        <w:rPr>
          <w:b/>
        </w:rPr>
        <w:t>Shared claim-specific concepts:</w:t>
      </w:r>
      <w:r>
        <w:t xml:space="preserve"> test, potential, method; EU scope visible. This is a provisional connection, not an outcome finding.</w:t>
      </w:r>
    </w:p>
    <w:p>
      <w:pPr>
        <w:pStyle w:val="SourceNote"/>
      </w:pPr>
      <w:r>
        <w:rPr>
          <w:b/>
        </w:rPr>
        <w:t>Available abstract (not full text):</w:t>
      </w:r>
      <w:r>
        <w:t xml:space="preserve"> The fluorescent parameters of European beech (Fagus sylvatica L.) were investigated in forest communities of the Northern Podillia National Nature Park. The scientific and practical significance of analyzing fluorescent parameters for integrated monitoring of forest ecosystem condition is substantiated. The relevance of monitoring studies of dendroflora lies in establishing a baseline of environmental data to assess the state and dynamics of the park’s ecosystems. Reconnaissance surveys of forest stands were conducted, and fluorescence intensity was measured in trees of different age classes growing under diverse forest ecological conditions. Based on the numerical characteristics of fluorescence intensity dynamics, a tree vitality index and indicator parameters reflecting the influence of exogenous and endogenous factors were calculated. The highest vitality index values were recorded for old-growth trees, attributed to optimal light conditions and site characteristics. In contrast, understory saplings exhibited reduced vitality index values due to decreased light availability, reflecting a decline in the potential activity of the photosynthetic apparatus. Variations in the tree vitality index were observed across different site conditions. The observed decrease in vitality index values is associated with relatively lower soil fertility and water availability, reflecting stres</w:t>
      </w:r>
    </w:p>
    <w:p>
      <w:pPr/>
      <w:r>
        <w:rPr>
          <w:b/>
        </w:rPr>
        <w:t>POSSIBLE 2025:</w:t>
      </w:r>
      <w:r>
        <w:t xml:space="preserve"> Selenium in cancer management: exploring the therapeutic potential — https://doi.org/10.3389/fonc.2024.1490740</w:t>
      </w:r>
    </w:p>
    <w:p>
      <w:pPr/>
      <w:r>
        <w:rPr>
          <w:b/>
        </w:rPr>
        <w:t>Shared claim-specific concepts:</w:t>
      </w:r>
      <w:r>
        <w:t xml:space="preserve"> potential, exploring; EU scope not established. This is a provisional connection, not an outcome finding.</w:t>
      </w:r>
    </w:p>
    <w:p>
      <w:pPr>
        <w:pStyle w:val="SourceNote"/>
      </w:pPr>
      <w:r>
        <w:rPr>
          <w:b/>
        </w:rPr>
        <w:t>Available abstract (not full text):</w:t>
      </w:r>
      <w:r>
        <w:t xml:space="preserve"> Selenium (Se) is important and plays significant roles in many biological processes or physiological activities. Prolonged selenium deficiency has been conclusively linked to an elevated risk of various diseases, including but not limited to cancer, cardiovascular disease, inflammatory bowel disease, Keshan disease, and acquired immunodeficiency syndrome. The intricate relationship between selenium status and health outcomes is believed to be characterized by a non-linear U-shaped dose-response curve. This review delves into the significance of maintaining optimal selenium levels and the detrimental effects that can arise from selenium deficiency. Of particular interest is the important role that selenium plays in both prevention and treatment of cancer. Finally, this review also explores the diverse classes of selenium entities, encompassing selenoproteins, selenium compounds and selenium nanoparticles, while examining the mechanisms and molecular targets of their anticancer efficacy.</w:t>
      </w:r>
    </w:p>
    <w:p>
      <w:pPr/>
      <w:r>
        <w:rPr>
          <w:b/>
        </w:rPr>
        <w:t>POSSIBLE 2025:</w:t>
      </w:r>
      <w:r>
        <w:t xml:space="preserve"> Exploring the potential of computer simulation models in drug testing and biomedical research: a systematic review — https://doi.org/10.3389/fphar.2025.1644907</w:t>
      </w:r>
    </w:p>
    <w:p>
      <w:pPr/>
      <w:r>
        <w:rPr>
          <w:b/>
        </w:rPr>
        <w:t>Shared claim-specific concepts:</w:t>
      </w:r>
      <w:r>
        <w:t xml:space="preserve"> potential, exploring, capacity; EU scope not established. This is a provisional connection, not an outcome finding.</w:t>
      </w:r>
    </w:p>
    <w:p>
      <w:pPr>
        <w:pStyle w:val="SourceNote"/>
      </w:pPr>
      <w:r>
        <w:rPr>
          <w:b/>
        </w:rPr>
        <w:t>Available abstract (not full text):</w:t>
      </w:r>
      <w:r>
        <w:t xml:space="preserve"> Introduction: The growing limitations of animal models in drug testing and biomedical research, including ethical concerns, high costs, and poor translational relevance to human biology, have driven increasing interest in computational simulation models. These models encompass in silico approaches, pharmacokinetic/pharmacodynamic frameworks, molecular simulations, and organ-on-chip technologies, offering greater precision in replicating human physiological and pathological processes. Methods: A systematic review was conducted to examine the role of computational simulation models as alternatives to traditional animal-based research. Relevant literature on their applications, predictive accuracy, translational value, and alignment with ethical research practices was analyzed. Results: Computational models were found to bridge critical gaps in predictive accuracy and translational relevance, supporting drug development pipelines, reducing late-stage failures, and enhancing opportunities for personalized medicine. Additionally, their capacity to reduce reliance on animal models aligns with global ethical initiatives promoting humane and sustainable research practices. Discussion: Simulation-based approaches represent a transformative opportunity for biomedical research. While their potential to reshape drug development and improve health outcomes is evident, challenges such as sta</w:t>
      </w:r>
    </w:p>
    <w:p>
      <w:pPr/>
      <w:r>
        <w:rPr>
          <w:b/>
        </w:rPr>
        <w:t>POSSIBLE 2025:</w:t>
      </w:r>
      <w:r>
        <w:t xml:space="preserve"> Awareness of genomic testing among patients with breast cancer in Europe — https://doi.org/10.1016/j.breast.2025.104436</w:t>
      </w:r>
    </w:p>
    <w:p>
      <w:pPr/>
      <w:r>
        <w:rPr>
          <w:b/>
        </w:rPr>
        <w:t>Shared claim-specific concepts:</w:t>
      </w:r>
      <w:r>
        <w:t xml:space="preserve"> test, access, find; EU scope visible. This is a provisional connection, not an outcome finding.</w:t>
      </w:r>
    </w:p>
    <w:p>
      <w:pPr>
        <w:pStyle w:val="SourceNote"/>
      </w:pPr>
      <w:r>
        <w:rPr>
          <w:b/>
        </w:rPr>
        <w:t>Available abstract (not full text):</w:t>
      </w:r>
      <w:r>
        <w:t xml:space="preserve"> PURPOSE: Genomic testing, involving expression profiling of tumour tissue, is a powerful tool for determining appropriate treatments for certain cancer patients. This study aimed to evaluate awareness of genomic testing in breast cancer patients in five European countries. METHODS: The survey was initiated by Cancer Patients Europe and developed with patient associations, oncologists, and a psycho-oncologist. Participants were recruited via email and social media and completed a 42-question internet survey. RESULTS: Of 1383 participants in eligible countries completing the survey, 566 women with current or previous HR+/HER2- breast cancer, potentially eligible for genomic testing, were analysed. 245 (43.3 %) were aged 50-59 years and 381 (67.3 %) had received higher education. 238 participants (42.1 %) had heard about genomic testing; 122 (21.6 %) were informed of their eligibility for testing, and 104 (18.4 %) were given reasons for the test. The majority (N = 479; 84.6 %) felt they lacked sufficient information to decide, and only 139 (24.6 %) opted for testing. Overall, 246 (43.5 %) wanted more information on additional testing and 234 (41.3 %) wanted more information on treatment options. The main information sources were medical professionals (N = 363; 64.1 %) and the internet (N = 351; 62.0 %). However, 398 participants (70.3 %) indicated that their healthcare professiona</w:t>
      </w:r>
    </w:p>
    <w:p>
      <w:pPr/>
      <w:r>
        <w:rPr>
          <w:b/>
        </w:rPr>
        <w:t>POSSIBLE 2025:</w:t>
      </w:r>
      <w:r>
        <w:t xml:space="preserve"> Evaluation of the unregulated online kratom market in two east-central European countries: test purchase and analysis of potential toxicological consequences — https://doi.org/10.1186/s12954-025-01363-0</w:t>
      </w:r>
    </w:p>
    <w:p>
      <w:pPr/>
      <w:r>
        <w:rPr>
          <w:b/>
        </w:rPr>
        <w:t>Shared claim-specific concepts:</w:t>
      </w:r>
      <w:r>
        <w:t xml:space="preserve"> test, potential; EU scope visible. This is a provisional connection, not an outcome finding.</w:t>
      </w:r>
    </w:p>
    <w:p>
      <w:pPr>
        <w:pStyle w:val="SourceNote"/>
      </w:pPr>
      <w:r>
        <w:rPr>
          <w:b/>
        </w:rPr>
        <w:t>Available abstract (not full text):</w:t>
      </w:r>
      <w:r>
        <w:t xml:space="preserve"> BACKGROUND: As interest in human enhancement continues to rise in Europe, kratom (Mitragyna speciosa) products have raised significant public health concerns. Kratom, which is used for its dose-dependent stimulant and sedative effects, has grown in popularity to enhance mood and self-manage pain or opioid withdrawal symptoms. This study aimed to assess the East-Central European online kratom market, evaluate product quality, and analyze potential toxicological risks to inform evidence-based harm reduction strategies. METHODS: A comprehensive approach was employed, including online market surveillance, detailed content analysis of vendor websites, test purchase of products, followed by chemical analysis. Google search engine results were used to identify vendors shipping to Hungary. A total of 59 web shops were identified, and 25 distributors were selected for further analysis. Eight online sellers were included in test purchases. Mitragynine content was analyzed using supercritical fluid chromatography coupled with tandem mass spectrometry (SFC-MS/MS) and high-performance liquid chromatography with diode-array detection (HPLC-DAD). Toxicovigilance data were extracted from the United States Food and Drug Administration Adverse Event Reporting System (FAERS) and the Center for Food Safety and Applied Nutrition Adverse Event Reporting System (CAERS). RESULTS: The online kratom mar</w:t>
      </w:r>
    </w:p>
    <w:p>
      <w:pPr/>
      <w:r>
        <w:rPr>
          <w:b/>
        </w:rPr>
        <w:t>POSSIBLE 2024:</w:t>
      </w:r>
      <w:r>
        <w:t xml:space="preserve"> The opportunities and potential of camelina in marginal land in Europe — https://doi.org/10.1016/j.indcrop.2024.118224</w:t>
      </w:r>
    </w:p>
    <w:p>
      <w:pPr/>
      <w:r>
        <w:rPr>
          <w:b/>
        </w:rPr>
        <w:t>Shared claim-specific concepts:</w:t>
      </w:r>
      <w:r>
        <w:t xml:space="preserve"> potential, sites, far, capacity;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test, potential, method, capacity;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Exploring the Potential of ChatGPT in Automated Code Refinement: An Empirical Study — https://doi.org/10.1145/3597503.3623306</w:t>
      </w:r>
    </w:p>
    <w:p>
      <w:pPr/>
      <w:r>
        <w:rPr>
          <w:b/>
        </w:rPr>
        <w:t>Shared claim-specific concepts:</w:t>
      </w:r>
      <w:r>
        <w:t xml:space="preserve"> potential, method, several, exploring; EU scope not established. This is a provisional connection, not an outcome finding.</w:t>
      </w:r>
    </w:p>
    <w:p>
      <w:pPr>
        <w:pStyle w:val="SourceNote"/>
      </w:pPr>
      <w:r>
        <w:rPr>
          <w:b/>
        </w:rPr>
        <w:t>Available abstract (not full text):</w:t>
      </w:r>
      <w:r>
        <w:t xml:space="preserve"> Code review is an essential activity for ensuring the quality and maintainability of software projects. However, it is a time-consuming and often error-prone task that can significantly impact the development process. Recently, ChatGPT, a cutting-edge language model, has demonstrated impressive performance in various natural language processing tasks, suggesting its potential to automate code review processes. However, it is still unclear how well ChatGPT performs in code review tasks. To fill this gap, in this paper, we conduct the first empirical study to understand the capabilities of ChatGPT in code review tasks, specifically focusing on automated code refinement based on given code reviews. To conduct the study, we select the existing benchmark CodeReview and construct a new code review dataset with high quality. We use CodeReviewer, a state-of-the-art code review tool, as a baseline for comparison with ChatGPT. Our results show that ChatGPT outperforms CodeReviewer in code refinement tasks. Specifically, our results show that ChatGPT achieves higher EM and BLEU scores of 22.78 and 76.44 respectively, while the state-of-the-art method achieves only 15.50 and 62.88 on a high-quality code review dataset. We further identify the root causes for ChatGPT's underperformance and propose several strategies to mitigate these challenges. Our study provides insights into the potentia</w:t>
      </w:r>
    </w:p>
    <w:p>
      <w:pPr/>
      <w:r>
        <w:rPr>
          <w:b/>
        </w:rPr>
        <w:t>POSSIBLE 2024:</w:t>
      </w:r>
      <w:r>
        <w:t xml:space="preserve"> Exploring the Potential of Large Language Models (LLMs)in Learning on Graphs — https://doi.org/10.1145/3655103.3655110</w:t>
      </w:r>
    </w:p>
    <w:p>
      <w:pPr/>
      <w:r>
        <w:rPr>
          <w:b/>
        </w:rPr>
        <w:t>Shared claim-specific concepts:</w:t>
      </w:r>
      <w:r>
        <w:t xml:space="preserve"> potential, exploring, find; EU scope not established. This is a provisional connection, not an outcome finding.</w:t>
      </w:r>
    </w:p>
    <w:p>
      <w:pPr>
        <w:pStyle w:val="SourceNote"/>
      </w:pPr>
      <w:r>
        <w:rPr>
          <w:b/>
        </w:rPr>
        <w:t>Available abstract (not full text):</w:t>
      </w:r>
      <w:r>
        <w:t xml:space="preserve"> Learning on Graphs has attracted immense attention due to its wide real-world applications. The most popular pipeline for learning on graphs with textual node attributes primarily relies on Graph Neural Networks (GNNs), and utilizes shallow text embedding as initial node representations, which has limitations in general knowledge and profound semantic understanding. In recent years, Large Language Models (LLMs) have been proven to possess extensive common knowledge and powerful semantic comprehension abilities that have revolutionized existing workflows to handle text data. In this paper, we aim to explore the potential of LLMs in graph machine learning, especially the node classification task, and investigate two possible pipelines: LLMs-as-Enhancers and LLMs-as-Predictors. The former leverages LLMs to enhance nodes' text attributes with their massive knowledge and then generate predictions through GNNs. The latter attempts to directly employ LLMs as standalone predictors. We conduct comprehensive and systematical studies on these two pipelines under various settings. From comprehensive empirical results, we make original observations and find new insights that open new possibilities and suggest promising directions to leverage LLMs for learning on graphs. Our codes and datasets are available at: https://github.com/CurryTang/Graph-LLM .</w:t>
      </w:r>
    </w:p>
    <w:p>
      <w:pPr>
        <w:pStyle w:val="Heading2"/>
      </w:pPr>
      <w:r>
        <w:t>756. Assessing the Future of Renewable Energy Consumption for United Kingdom, Turkey and Nigeria</w:t>
      </w:r>
    </w:p>
    <w:p>
      <w:pPr>
        <w:pStyle w:val="SourceNote"/>
      </w:pPr>
      <w:r>
        <w:rPr>
          <w:b/>
        </w:rPr>
        <w:t>Original source (2018):</w:t>
      </w:r>
      <w:r>
        <w:t xml:space="preserve"> https://doi.org/10.17323/2500-2597.2018.4.62.77</w:t>
      </w:r>
    </w:p>
    <w:p>
      <w:pPr/>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POSSIBLE 2026:</w:t>
      </w:r>
      <w:r>
        <w:t xml:space="preserve"> Explainable AI-Based Clinical Decision Support System for Early Prediction of Pathological Findings in Forensic Practice — https://doi.org/10.48175/ijarsct-37846</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Background: The number of cases, subjectivity of the examiner and difficulty of integrating the different modes of evidence are all increasing challenges in forensic pathology. Whilst identification of the cause of death is strongly provided for, and characterization of trauma is a critical unmet need, neither can be achieved early and accurately. Methods: We propose an Explainable Artificial Intelligence Clinical Decision Support System (XAI-CDSS) combining a hybrid ensemble of Random Forest, XGBoost and Long Short-Term Memory (LSTM) networks, three complementary explainability modules: SHapley Additive exPlanations (SHAP), Local Interpretable Model-Agnostic Explanations (LIME), and Gradient-weighted Class Activation Mapping (Grad-CAM). Model training and evaluation were carried out on a subset of a multimodal forensic database 4,872 post-mortem cases collected by five different regional forensic centres which includes clinical data, toxicological data, CT imaging indices and histopathological grades. The class imbalance was addressed by using Bayesian hyperparameter optimisation and Synthetic Minority Over-sampling Technique (SMOTE). Results: The proposed XAI-CDSS outperformed other benchmark models achieved an overall accuracy of 96.2%, AUC-ROC of 0.974, sensitivity of 95.8% and specificity of 96.7% as compared to stand-alone XGBoost (94.1%), Random Forest (93.2%), SVM (90.8</w:t>
      </w:r>
    </w:p>
    <w:p>
      <w:pPr/>
      <w:r>
        <w:rPr>
          <w:b/>
        </w:rPr>
        <w:t>POSSIBLE 2026:</w:t>
      </w:r>
      <w:r>
        <w:t xml:space="preserve"> Finding Minimum‐Cost Explanations for Predictions Made by Tree Ensembles — https://doi.org/10.1002/spe.70061</w:t>
      </w:r>
    </w:p>
    <w:p>
      <w:pPr/>
      <w:r>
        <w:rPr>
          <w:b/>
        </w:rPr>
        <w:t>Shared claim-specific concepts:</w:t>
      </w:r>
      <w:r>
        <w:t xml:space="preserve"> prediction, support, use, not, only, but; EU scope not established. This is a provisional connection, not an outcome finding.</w:t>
      </w:r>
    </w:p>
    <w:p>
      <w:pPr>
        <w:pStyle w:val="SourceNote"/>
      </w:pPr>
      <w:r>
        <w:rPr>
          <w:b/>
        </w:rPr>
        <w:t>Available abstract (not full text):</w:t>
      </w:r>
      <w:r>
        <w:t xml:space="preserve"> ABSTRACT The ability to reliably explain why a machine learning model arrives at a particular prediction is crucial when used as decision support by human operators of critical systems. The provided explanations must be provably correct, and preferably without redundant information, called minimal explanations. In this paper, we aim at finding explanations for predictions made by tree ensembles that are not only minimal, but also minimum with respect to a cost function. To this end, we first present a highly efficient oracle that can determine the correctness of explanations, surpassing the runtime performance of current state‐of‐the‐art alternatives by several orders of magnitude. Secondly, we adapt an algorithm called MARCO from the optimization field (calling the adaptation m‐MARCO) to compute a single minimum explanation per prediction, and demonstrate an overall speedup factor of 2.7 compared to a state‐of‐the‐art algorithm based on minimum hitting sets (MHS), and a speedup factor of 27 compared to the standard MARCO algorithm which enumerates all minimal explanations. Finally, we study the obtained explanations from a range of use cases, leading to further insights into their characteristics. In particular, we observe that in several cases, there are more than 500,000 minimal explanations to choose from for a single prediction. In these cases, we see that only a small por</w:t>
      </w:r>
    </w:p>
    <w:p>
      <w:pPr/>
      <w:r>
        <w:rPr>
          <w:b/>
        </w:rPr>
        <w:t>POSSIBLE 2026:</w:t>
      </w:r>
      <w:r>
        <w:t xml:space="preserve"> Artificial intelligence in sepsis-associated acute kidney injury: Applications in prediction and decision support - A scoping review — https://doi.org/10.1016/j.aiemed.2026.100032</w:t>
      </w:r>
    </w:p>
    <w:p>
      <w:pPr/>
      <w:r>
        <w:rPr>
          <w:b/>
        </w:rPr>
        <w:t>Shared claim-specific concepts:</w:t>
      </w:r>
      <w:r>
        <w:t xml:space="preserve"> prediction, findings, support, not; EU scope not established. This is a provisional connection, not an outcome finding.</w:t>
      </w:r>
    </w:p>
    <w:p>
      <w:pPr>
        <w:pStyle w:val="SourceNote"/>
      </w:pPr>
      <w:r>
        <w:rPr>
          <w:b/>
        </w:rPr>
        <w:t>Available abstract (not full text):</w:t>
      </w:r>
      <w:r>
        <w:t xml:space="preserve"> Background Sepsis-associated acute kidney injury (SA-AKI) is a common and severe complication of sepsis, associated with high mortality and poor long-term renal outcomes. Early identification and accurate risk stratification remain major clinical challenges. Recent advances in artificial intelligence (AI) offer new opportunities to improve prediction, prognosis assessment, and treatment decision-making in SA-AKI. Given the diversity of AI methodologies and clinical outcomes, a scoping review is appropriate to map existing evidence and identify research gaps. Methods We conducted a scoping review in accordance with the PRISMA-ScR reporting guideline. PubMed and Web of Science were systematically searched from database inception to February 2026 for studies investigating artificial intelligence applications in sepsis-associated acute kidney injury (SA-AKI). Eligible studies included adult patients with sepsis or SA-AKI and used machine-learning, deep-learning, trajectory-modeling, or other data-driven approaches to predict AKI-related outcomes. Studies were excluded if they focused on pediatric populations, non-AI interventions, or were non-predictive descriptive studies. Key methodological characteristics, including time-zero definition, feature extraction window, prediction horizon, model type, validation strategy, and interpretability approaches, were extracted using a standar</w:t>
      </w:r>
    </w:p>
    <w:p>
      <w:pPr/>
      <w:r>
        <w:rPr>
          <w:b/>
        </w:rPr>
        <w:t>POSSIBLE 2026:</w:t>
      </w:r>
      <w:r>
        <w:t xml:space="preserve"> A support vector regression-based prediction model for offshore broadcasting signal propagation — https://doi.org/10.3389/fmars.2026.1791191</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Broadcasting plays an important role in offshore information transmission because of its stability and long-distance propagation characteristics. To improve propagation prediction in the offshore environment of the South China Sea, this study proposes a path loss prediction model based on Support Vector Regression and verifies the performance with measurement data. Compared with ITU-R P.1546, the proposed model achieves an improvement in prediction accuracy of up to 55.50%. The findings of this research can help to give a clearer understanding of the path loss characteristics of the Frequency Modulation broadcasting signal in the offshore environment, which provides a more reliable foundation for radio wave transmission in offshore environments.</w:t>
      </w:r>
    </w:p>
    <w:p>
      <w:pPr/>
      <w:r>
        <w:rPr>
          <w:b/>
        </w:rPr>
        <w:t>POSSIBLE 2026:</w:t>
      </w:r>
      <w:r>
        <w:t xml:space="preserve"> Hybrid Machine Learning Approach for Diabetes Prediction and Healthcare Decision Support — https://doi.org/10.25258/ijddt.16.37s.58</w:t>
      </w:r>
    </w:p>
    <w:p>
      <w:pPr/>
      <w:r>
        <w:rPr>
          <w:b/>
        </w:rPr>
        <w:t>Shared claim-specific concepts:</w:t>
      </w:r>
      <w:r>
        <w:t xml:space="preserve"> prediction, findings, support, but; EU scope not established. This is a provisional connection, not an outcome finding.</w:t>
      </w:r>
    </w:p>
    <w:p>
      <w:pPr>
        <w:pStyle w:val="SourceNote"/>
      </w:pPr>
      <w:r>
        <w:rPr>
          <w:b/>
        </w:rPr>
        <w:t>Available abstract (not full text):</w:t>
      </w:r>
      <w:r>
        <w:t xml:space="preserve"> Elevated glucose levels in the blood can lead to diabetes, a condition characterized by symptoms such as frequent urination, excessive thirst, and increased hunger. Timely management of diabetes is essential to prevent serious complications affecting vital organs including the heart, kidneys, blood vessels, and eyes.Predictive analytics using large healthcare datasets presents challenges but offers valuable support for medical Predictive analytics using large healthcare datasets presents challenges but offers valuable support for medical informed and timely decisions about patient care. This study evaluates various machine learning classification techniques— such as Support Vector Machine (SVM), K-Nearest Neighbors (KNN), Logistic Regression, and Random Forest—for diabetes prediction. Key performance indicators, including Recall, F1Score, Precision, and Accuracy, were measured based on the confusion matrix. Experimental findings indicate that SVM and ontology-based classifiers achieve superior accuracy in predicting diabetes compared to other methods.</w:t>
      </w:r>
    </w:p>
    <w:p>
      <w:pPr/>
      <w:r>
        <w:rPr>
          <w:b/>
        </w:rPr>
        <w:t>POSSIBLE 2026:</w:t>
      </w:r>
      <w:r>
        <w:t xml:space="preserve"> Generative Artificial Intelligence for Diabetes Mellitus Prediction and Intelligent Clinical Decision Support — https://doi.org/10.47957/ijpda.v14i3.751</w:t>
      </w:r>
    </w:p>
    <w:p>
      <w:pPr/>
      <w:r>
        <w:rPr>
          <w:b/>
        </w:rPr>
        <w:t>Shared claim-specific concepts:</w:t>
      </w:r>
      <w:r>
        <w:t xml:space="preserve"> prediction, findings, support, only, but; EU scope not established. This is a provisional connection, not an outcome finding.</w:t>
      </w:r>
    </w:p>
    <w:p>
      <w:pPr>
        <w:pStyle w:val="SourceNote"/>
      </w:pPr>
      <w:r>
        <w:rPr>
          <w:b/>
        </w:rPr>
        <w:t>Available abstract (not full text):</w:t>
      </w:r>
      <w:r>
        <w:t xml:space="preserve"> Diabetes mellitus is a major chronic metabolic disorder characterized by persistent dysregulation of blood glucose and progressive cardiovascular, renal, neurological, and ophthalmic complications. The global prevalence of diabetes has increased substantially, reaching approximately 14% among adults in 2022, with nearly 830 million people living with the disease. The rapid expansion of electronic health records, continuous glucose monitoring, laboratory databases, medical imaging, wearable technologies, and patient-generated health data has created opportunities for artificial intelligence (AI)-based diabetes prediction and clinical decision support. Conventional machine learning models demonstrate potential for diabetes detection and complication prediction; however, challenges remain regarding heterogeneous datasets, external validation, calibration, dataset shift, interpretability, and clinical implementation. This study proposes a systematic framework integrating generative AI, particularly large language models (LLMs), with validated predictive models for diabetes risk assessment and intelligent clinical decision support. A secondary evidence-synthesis approach was used, integrating findings from systematic reviews, clinical trials, diabetes technology research, and recent LLM literature. Evidence indicates that only 36% of evaluated machine learning models for diabetes co</w:t>
      </w:r>
    </w:p>
    <w:p>
      <w:pPr/>
      <w:r>
        <w:rPr>
          <w:b/>
        </w:rPr>
        <w:t>POSSIBLE 2026:</w:t>
      </w:r>
      <w:r>
        <w:t xml:space="preserve"> Prediction Facilitates Perception Through Efficient Use of Predictable Information — https://doi.org/10.57760/sciencedb.014pv</w:t>
      </w:r>
    </w:p>
    <w:p>
      <w:pPr/>
      <w:r>
        <w:rPr>
          <w:b/>
        </w:rPr>
        <w:t>Shared claim-specific concepts:</w:t>
      </w:r>
      <w:r>
        <w:t xml:space="preserve"> prediction, findings, use, also; EU scope not established. This is a provisional connection, not an outcome finding.</w:t>
      </w:r>
    </w:p>
    <w:p>
      <w:pPr>
        <w:pStyle w:val="SourceNote"/>
      </w:pPr>
      <w:r>
        <w:rPr>
          <w:b/>
        </w:rPr>
        <w:t>Available abstract (not full text):</w:t>
      </w:r>
      <w:r>
        <w:t xml:space="preserve"> This repository contains the behavioral data and analysis code supporting the findings reported in the manuscript “Prediction Facilitates Perception Through Efficient Use of Predictable Information.” The dataset includes behavioral data from two preregistered experiments examining the effects of predictive category cues on orientation categorization, orientation reconstruction, and orientation discrimination. The repository also includes the code used to preprocess and analyze the behavioral data and generate the reported statistical results and figures.</w:t>
      </w:r>
    </w:p>
    <w:p>
      <w:pPr/>
      <w:r>
        <w:rPr>
          <w:b/>
        </w:rPr>
        <w:t>POSSIBLE 2025:</w:t>
      </w:r>
      <w:r>
        <w:t xml:space="preserve"> Breathalyzer as a Remote Monitoring and Support System for AUD: Early Findings on Dropout and Relapse Prediction Using Machine Learning — https://doi.org/10.1007/978-3-032-00656-1_14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Interpretable (“Explainable”) Machine Learning in Osteoporosis Case Finding: Using SHAP values in clinical decision-support for the FREM Fracture Prediction Algorithm — https://openalex.org/W7113059247</w:t>
      </w:r>
    </w:p>
    <w:p>
      <w:pPr/>
      <w:r>
        <w:rPr>
          <w:b/>
        </w:rPr>
        <w:t>Shared claim-specific concepts:</w:t>
      </w:r>
      <w:r>
        <w:t xml:space="preserve"> prediction, not, only, but, also; EU scope not established. This is a provisional connection, not an outcome finding.</w:t>
      </w:r>
    </w:p>
    <w:p>
      <w:pPr>
        <w:pStyle w:val="SourceNote"/>
      </w:pPr>
      <w:r>
        <w:rPr>
          <w:b/>
        </w:rPr>
        <w:t>Available abstract (not full text):</w:t>
      </w:r>
      <w:r>
        <w:t xml:space="preserve"> We propose to evaluate the FREM -based relative risk estimates to promote osteoporosis case-finding in general practice. Importantly this alerts practitioners not only to the level of risk but also to the personalized factors driving the risk assessment.</w:t>
      </w:r>
    </w:p>
    <w:p>
      <w:pPr/>
      <w:r>
        <w:rPr>
          <w:b/>
        </w:rPr>
        <w:t>POSSIBLE 2025:</w:t>
      </w:r>
      <w:r>
        <w:t xml:space="preserve"> On Support Samples of Next Word Prediction — https://doi.org/10.18653/v1/2025.acl-long.507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Language models excel in various tasks by making complex decisions, yet understanding the rationale behind these decisions remains a challenge.This paper investigates data-centric interpretability in language models, focusing on the next-word prediction task.Using representer theorem, we identify two types of support samples-those that either promote or deter specific predictions.Our findings reveal that being a support sample is an intrinsic property, predictable even before training begins.Additionally, while non-support samples are less influential in direct predictions, they play a critical role in preventing overfitting and shaping generalization and representation learning.Notably, the importance of non-support samples increases in deeper layers, suggesting their significant role in intermediate representation formation.These insights shed light on the interplay between data and model decisions, offering a new dimension to understanding language model behavior and interpretability. 1 * Equal contribution. 1 Our source code is publicly available at https://github.com/liyuqian44/ On-Support-Samples-of-Next-Word-Prediction.</w:t>
      </w:r>
    </w:p>
    <w:p>
      <w:pPr/>
      <w:r>
        <w:rPr>
          <w:b/>
        </w:rPr>
        <w:t>POSSIBLE 2025:</w:t>
      </w:r>
      <w:r>
        <w:t xml:space="preserve"> Support Vector Machines in Stock Price Prediction — https://doi.org/10.1002/9781394311682.ch22</w:t>
      </w:r>
    </w:p>
    <w:p>
      <w:pPr/>
      <w:r>
        <w:rPr>
          <w:b/>
        </w:rPr>
        <w:t>Shared claim-specific concepts:</w:t>
      </w:r>
      <w:r>
        <w:t xml:space="preserve"> prediction, findings, support, advantages; EU scope not established. This is a provisional connection, not an outcome finding.</w:t>
      </w:r>
    </w:p>
    <w:p>
      <w:pPr>
        <w:pStyle w:val="SourceNote"/>
      </w:pPr>
      <w:r>
        <w:rPr>
          <w:b/>
        </w:rPr>
        <w:t>Available abstract (not full text):</w:t>
      </w:r>
      <w:r>
        <w:t xml:space="preserve"> The current discussion about predicting the stock market demonstrates the vital significance of Support Vector Machines (SVMs) as a powerful analytical tool. Nevertheless, existing work has often overlooked the fundamental limitations of Support Vector Machines (SVMs), including their restricted effectiveness in dealing with skewed data distributions. The current study proposes to fill the gap in academic research by thoroughly evaluating previous findings and methodological methods of 25 papers in stock price prediction using Support Vector Machines (SVMs). This paper thoroughly analyzes previous research to present a new and highly anticipated model that effectively combines oversampling approaches with cost-sensitive learning mechanisms to improve the problem of unbalanced data. This suggested merger leverages the complementary advantages of both methodologies while reducing their limitations resulting in improvements in the accuracy and reliability of SVM-based models in stock market prediction. The study's empirical findings highlight the effectiveness of the suggested framework in providing more reliable forecasts regarding changes in stock prices. Moreover, the conversation includes an examination of the practical consequences, inherent difficulties, and potential directions for future research efforts. This work significantly contributes to the scholarly discourse and p</w:t>
      </w:r>
    </w:p>
    <w:p>
      <w:pPr/>
      <w:r>
        <w:rPr>
          <w:b/>
        </w:rPr>
        <w:t>POSSIBLE 2025:</w:t>
      </w:r>
      <w:r>
        <w:t xml:space="preserve"> Machine Learning in Spinal Surgery: Prediction Models for Outcome Prediction and Decision Support — https://doi.org/10.33540/2764</w:t>
      </w:r>
    </w:p>
    <w:p>
      <w:pPr/>
      <w:r>
        <w:rPr>
          <w:b/>
        </w:rPr>
        <w:t>Shared claim-specific concepts:</w:t>
      </w:r>
      <w:r>
        <w:t xml:space="preserve"> prediction, findings, support, policies, use, standards; EU scope not established. This is a provisional connection, not an outcome finding.</w:t>
      </w:r>
    </w:p>
    <w:p>
      <w:pPr>
        <w:pStyle w:val="SourceNote"/>
      </w:pPr>
      <w:r>
        <w:rPr>
          <w:b/>
        </w:rPr>
        <w:t>Available abstract (not full text):</w:t>
      </w:r>
      <w:r>
        <w:t xml:space="preserve"> This thesis explores the development, performance, and clinical application of machine learning (ML) prediction models in spinal surgery, focusing on outcome prediction and decision support. The research highlights both advancements and challenges in applying ML models to surgical outcomes. Part I: General Overview and Reporting Quality Chapter 1: The increasing use of ML prediction models in orthopedic surgery, specifically in spine surgery, has led to studies exploring their outcomes and methodologies. Although most models show fair to good discriminative ability, calibration is often underreported. Variations exist in sample size, ML algorithms, and outcome timing. Future research should emphasize multi-institutional, prospective studies and develop multiple models for comparison. Chapter 2: A systematic review evaluated adherence to the TRIPOD statement and risk of bias using PROBAST. Many studies suffered from incomplete reporting of study design, patient selection, and performance metrics. Poor reporting practices and high risk of bias were common. Future models must follow guidelines and address issues like incomplete performance measures and mishandling of missing data. Part II: Development of Specific ML Models for Spine Surgery Chapter 3: A nomogram predicted the failure of nonoperative management in spinal epidural abscess, identifying six predictors, including healt</w:t>
      </w:r>
    </w:p>
    <w:p>
      <w:pPr>
        <w:pStyle w:val="Heading2"/>
      </w:pPr>
      <w:r>
        <w:t>757. Baltic herring for food: Shades of grey in how backcasting recommendations work across exploratory scenarios</w:t>
      </w:r>
    </w:p>
    <w:p>
      <w:pPr>
        <w:pStyle w:val="SourceNote"/>
      </w:pPr>
      <w:r>
        <w:rPr>
          <w:b/>
        </w:rPr>
        <w:t>Original source (2018):</w:t>
      </w:r>
      <w:r>
        <w:t xml:space="preserve"> https://doi.org/10.1016/j.techfore.2018.11.001</w:t>
      </w:r>
    </w:p>
    <w:p>
      <w:pPr/>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POSSIBLE 2026:</w:t>
      </w:r>
      <w:r>
        <w:t xml:space="preserve"> Emission factors for motorcycles in developing countries: insights and recommendations from a Colombian case study — https://doi.org/10.3389/frsc.2026.1730395</w:t>
      </w:r>
    </w:p>
    <w:p>
      <w:pPr/>
      <w:r>
        <w:rPr>
          <w:b/>
        </w:rPr>
        <w:t>Shared claim-specific concepts:</w:t>
      </w:r>
      <w:r>
        <w:t xml:space="preserve"> case, recommendations, increased, identifies; EU scope not established. This is a provisional connection, not an outcome finding.</w:t>
      </w:r>
    </w:p>
    <w:p>
      <w:pPr>
        <w:pStyle w:val="SourceNote"/>
      </w:pPr>
      <w:r>
        <w:rPr>
          <w:b/>
        </w:rPr>
        <w:t>Available abstract (not full text):</w:t>
      </w:r>
      <w:r>
        <w:t xml:space="preserve">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pPr/>
      <w:r>
        <w:rPr>
          <w:b/>
        </w:rPr>
        <w:t>POSSIBLE 2026:</w:t>
      </w:r>
      <w:r>
        <w:t xml:space="preserve"> Adherence to dietary recommendations and the risk of developing giant cell arteritis: A nested Case-Control study — https://doi.org/10.1016/j.semarthrit.2026.153003</w:t>
      </w:r>
    </w:p>
    <w:p>
      <w:pPr/>
      <w:r>
        <w:rPr>
          <w:b/>
        </w:rPr>
        <w:t>Shared claim-specific concepts:</w:t>
      </w:r>
      <w:r>
        <w:t xml:space="preserve"> case, recommendations, increased, four, review; EU scope not established. This is a provisional connection, not an outcome finding.</w:t>
      </w:r>
    </w:p>
    <w:p>
      <w:pPr>
        <w:pStyle w:val="SourceNote"/>
      </w:pPr>
      <w:r>
        <w:rPr>
          <w:b/>
        </w:rPr>
        <w:t>Available abstract (not full text):</w:t>
      </w:r>
      <w:r>
        <w:t xml:space="preserve">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pPr/>
      <w:r>
        <w:rPr>
          <w:b/>
        </w:rPr>
        <w:t>POSSIBLE 2026:</w:t>
      </w:r>
      <w:r>
        <w:t xml:space="preserve"> Developing Recommendations to Improve Performance of Employees — https://openalex.org/W7162971626</w:t>
      </w:r>
    </w:p>
    <w:p>
      <w:pPr/>
      <w:r>
        <w:rPr>
          <w:b/>
        </w:rPr>
        <w:t>Shared claim-specific concepts:</w:t>
      </w:r>
      <w:r>
        <w:t xml:space="preserve"> case, recommendations, based, literature; EU scope not established. This is a provisional connection, not an outcome finding.</w:t>
      </w:r>
    </w:p>
    <w:p>
      <w:pPr>
        <w:pStyle w:val="SourceNote"/>
      </w:pPr>
      <w:r>
        <w:rPr>
          <w:b/>
        </w:rPr>
        <w:t>Available abstract (not full text):</w:t>
      </w:r>
      <w:r>
        <w:t xml:space="preserve"> The Nepalese banking sector is highly competitive For KBL to stay competitive. For KBL to stay competitive, among others, employee performance is critical. This is also the case for KBL operation department. To improve employee performance the case company is developing training programs. The objective of this thesis was to provide recommendations on how to improve the performance of employees in operation department of Kumari Bank Limited. This study is based on collecting data at different stages of this study. First, data was collected through a current state analysis (CSA), including interview with operation manager to find the key weaknesses of account opening process. The findings from the CSA then guided the selection of relevant literature, forming the basis of conceptual framework on developing employee training programs. The insights from these phases were utilized to create an initial proposal on developing training programs with operation manager interview through data 2. Finally, the proposed training program development was validated using data 3, gathered through interview with operation manager. The outcome of this thesis is recommendations for employee training programs that help to increase the performance of employees in the operation department of Kumari Bank Limited.</w:t>
      </w:r>
    </w:p>
    <w:p>
      <w:pPr/>
      <w:r>
        <w:rPr>
          <w:b/>
        </w:rPr>
        <w:t>POSSIBLE 2026:</w:t>
      </w:r>
      <w:r>
        <w:t xml:space="preserve"> Bayesian integrated population model of Baltic grey seals (Halichoerus grypus grypus) informs on population carrying capacity and the impact of Baltic herring (Clupea harengus membras) on reproduction — https://doi.org/10.1016/j.ecolmodel.2026.111666</w:t>
      </w:r>
    </w:p>
    <w:p>
      <w:pPr/>
      <w:r>
        <w:rPr>
          <w:b/>
        </w:rPr>
        <w:t>Shared claim-specific concepts:</w:t>
      </w:r>
      <w:r>
        <w:t xml:space="preserve"> baltic, herring, fisheries, alternative; EU scope not established. This is a provisional connection, not an outcome finding.</w:t>
      </w:r>
    </w:p>
    <w:p>
      <w:pPr>
        <w:pStyle w:val="SourceNote"/>
      </w:pPr>
      <w:r>
        <w:rPr>
          <w:b/>
        </w:rPr>
        <w:t>Available abstract (not full text):</w:t>
      </w:r>
      <w:r>
        <w:t xml:space="preserve"> Baltic grey seal ( Halichoerus grypus grypus ) is a top predator of the Baltic Sea ecosystem that has just recently recovered from near-extinction induced by historical bounty hunting and pesticides. However, increasing seal population has initiated a conflict between seal conservation and fisheries. We also lack understanding of the ecological constraints of grey seal population in the rapidly chancing Baltic Sea. To address these challenges, we developed a Bayesian integrated population model for the Baltic grey seals. We used our model to estimate their historical population development, demography, and life history parameters, and to assess their future prospects under alternative hunting and prey scenarios. Our results show that the grey seal population has recovered to approximately 57,000 seals in 2025, with an average yearly growth rate of 4.9% in the last two decades. The current carrying capacity of Baltic grey seals was estimated at 120,000 individuals, which is 30% larger than previous estimates from historical hunting statistics. The weight-at-age of Baltic herring ( Clupea harengus membras ) was found to have a strongly positive effect on grey seal reproduction. Scenario predictions suggest that the Baltic grey seal population can remain viable under the current hunting quota of 3050 individuals. However, with yearly hunting of 3600 individuals, probability of ext</w:t>
      </w:r>
    </w:p>
    <w:p>
      <w:pPr/>
      <w:r>
        <w:rPr>
          <w:b/>
        </w:rPr>
        <w:t>POSSIBLE 2026:</w:t>
      </w:r>
      <w:r>
        <w:t xml:space="preserve"> Reducing grey seal numbers will not help Baltic fish stocks — https://openalex.org/W7135163608</w:t>
      </w:r>
    </w:p>
    <w:p>
      <w:pPr/>
      <w:r>
        <w:rPr>
          <w:b/>
        </w:rPr>
        <w:t>Shared claim-specific concepts:</w:t>
      </w:r>
      <w:r>
        <w:t xml:space="preserve"> baltic, herring, food, increased; EU scope not established. This is a provisional connection, not an outcome finding.</w:t>
      </w:r>
    </w:p>
    <w:p>
      <w:pPr>
        <w:pStyle w:val="SourceNote"/>
      </w:pPr>
      <w:r>
        <w:rPr>
          <w:b/>
        </w:rPr>
        <w:t>Available abstract (not full text):</w:t>
      </w:r>
      <w:r>
        <w:t xml:space="preserve"> For a long time, stocks of herring, sprat and cod have been declining in the Baltic Sea. This is partly a result of long-term overfishing, partly related to human-induced changes, such as eutrophication, oxygen depletion and increased temperatures. Despite increased numbers over the past 20 years, grey seals have not caused this situation. On the contrary, grey seals have important ecological functions and contribute to biodiversity and stability in the food web. Hence increased hunting pressure of seals would not help the recovery of herring, sprat and cod. Local problems with weak coastal fish populations are best solved locally, with seal deterrence methods and targeted hunting.</w:t>
      </w:r>
    </w:p>
    <w:p>
      <w:pPr/>
      <w:r>
        <w:rPr>
          <w:b/>
        </w:rPr>
        <w:t>POSSIBLE 2026:</w:t>
      </w:r>
      <w:r>
        <w:t xml:space="preserve"> Recommendations to Improve Tool Uptime during Maintenance for the Case Company — https://openalex.org/W7162978520</w:t>
      </w:r>
    </w:p>
    <w:p>
      <w:pPr/>
      <w:r>
        <w:rPr>
          <w:b/>
        </w:rPr>
        <w:t>Shared claim-specific concepts:</w:t>
      </w:r>
      <w:r>
        <w:t xml:space="preserve"> case, recommendations, four; EU scope not established. This is a provisional connection, not an outcome finding.</w:t>
      </w:r>
    </w:p>
    <w:p>
      <w:pPr>
        <w:pStyle w:val="SourceNote"/>
      </w:pPr>
      <w:r>
        <w:rPr>
          <w:b/>
        </w:rPr>
        <w:t>Available abstract (not full text):</w:t>
      </w:r>
      <w:r>
        <w:t xml:space="preserve"> The case company of this thesis study manufactures equipment that are used for atomic layer deposition (ALD) coating on a given surface. The case company is suffering from recurring downtime during maintenance. Therefore, the objective of this thesis is to propose list of recommendations to improve tool uptime during maintenance. Applied research was chosen as the research approach because this study involved solving a real business problem in a specific business environment. The research was designed in four stages. The first stage was the current state analysis conducted to understand the current practices during the maintenance activities. literatures were reviewed in second stage to develop a conceptual framework. The third stage involved co-creating initial recommendations with the key stakeholder suggestions. These early recommendations were validated during the fourth stage through feedback of management people. The initial recommendations were developed through co-creation with key stakeholders. There were two areas of initial recommendation, the first was the spare parts classification and inventory policy. The second area of recommendation was the integration of spare parts of maintenance planning. The final recommendation of this thesis was completed after the validation of the initial recommendation. Implementing the recommendations can help the case company move fr</w:t>
      </w:r>
    </w:p>
    <w:p>
      <w:pPr/>
      <w:r>
        <w:rPr>
          <w:b/>
        </w:rPr>
        <w:t>POSSIBLE 2026:</w:t>
      </w:r>
      <w:r>
        <w:t xml:space="preserve"> Case Study: The BBC's Recommendations Team — https://doi.org/10.6084/m9.figshare.31869499</w:t>
      </w:r>
    </w:p>
    <w:p>
      <w:pPr/>
      <w:r>
        <w:rPr>
          <w:b/>
        </w:rPr>
        <w:t>Shared claim-specific concepts:</w:t>
      </w:r>
      <w:r>
        <w:t xml:space="preserve"> case, recommendations, work; EU scope not established. This is a provisional connection, not an outcome finding.</w:t>
      </w:r>
    </w:p>
    <w:p>
      <w:pPr>
        <w:pStyle w:val="SourceNote"/>
      </w:pPr>
      <w:r>
        <w:rPr>
          <w:b/>
        </w:rPr>
        <w:t>Available abstract (not full text):</w:t>
      </w:r>
      <w:r>
        <w:t xml:space="preserve"> This dataset pertains to research data collected at the BBC with the Recommendations Team from September 2023 to February 2024. The data includes fieldnotes from observations during the daily work of developing recommender systems, interviews (audio files and transcriptions) with members of the team, and notes from two workshops conducted with the team.</w:t>
      </w:r>
    </w:p>
    <w:p>
      <w:pPr/>
      <w:r>
        <w:rPr>
          <w:b/>
        </w:rPr>
        <w:t>POSSIBLE 2026:</w:t>
      </w:r>
      <w:r>
        <w:t xml:space="preserve"> Multi-agent Collaborative Framework for Audit Case Qualification and Regulation Recommendation — https://doi.org/10.3778/j.issn.1673-9418.2503038</w:t>
      </w:r>
    </w:p>
    <w:p>
      <w:pPr/>
      <w:r>
        <w:rPr>
          <w:b/>
        </w:rPr>
        <w:t>Shared claim-specific concepts:</w:t>
      </w:r>
      <w:r>
        <w:t xml:space="preserve"> case, develops, recommendations, based; EU scope not established. This is a provisional connection, not an outcome finding.</w:t>
      </w:r>
    </w:p>
    <w:p>
      <w:pPr>
        <w:pStyle w:val="SourceNote"/>
      </w:pPr>
      <w:r>
        <w:rPr>
          <w:b/>
        </w:rPr>
        <w:t>Available abstract (not full text):</w:t>
      </w:r>
      <w:r>
        <w:t xml:space="preserve"> Addressing the technical challenges of multidimensional feature analysis and dynamic regulation alignment in audit case qualification, this paper develops an audit regulation recommendation system based on multi-agent collaboration. Conventional large language models exhibit three limitations in regulatory recommendation tasks: semantic discrepancies between legal texts and audit problem representations, insufficient knowledge currency due to dynamic regulatory updates, and inadequate multi-level reasoning capabilities under single retrieval strategies. To resolve these issues, a collaborative architecture is proposed, integrating specialized agents for problem extraction, logical reasoning, and pseudo-case generation. The task decomposition mechanism parses complex audit cases into parallelizable subproblem spaces. Methodologically, the framework innovatively combines instruction fine-tuning with retrieval-augmented generation (RAG) technology, establishing a three-tier regulatory knowledge base covering national statutes, organizational policies, and internal control protocols. A dynamic agent-based retrieval strategy is incorporated to enhance precision. Experimental results demonstrate 30.56% direct clause matching accuracy in national regulation recommendations, outperforming ChatGPT-4 (13.89%) by 116%. Semantic evaluation metrics achieve 71.19% BERTScore and 20.20% Rouge-</w:t>
      </w:r>
    </w:p>
    <w:p>
      <w:pPr/>
      <w:r>
        <w:rPr>
          <w:b/>
        </w:rPr>
        <w:t>POSSIBLE 2026:</w:t>
      </w:r>
      <w:r>
        <w:t xml:space="preserve"> D3.4 Overall findings, recommendations and conclusions from the case studies — https://openalex.org/W7155453467</w:t>
      </w:r>
    </w:p>
    <w:p>
      <w:pPr/>
      <w:r>
        <w:rPr>
          <w:b/>
        </w:rPr>
        <w:t>Shared claim-specific concepts:</w:t>
      </w:r>
      <w:r>
        <w:t xml:space="preserve"> case, recommendations, based, work; EU scope visible. This is a provisional connection, not an outcome finding.</w:t>
      </w:r>
    </w:p>
    <w:p>
      <w:pPr>
        <w:pStyle w:val="SourceNote"/>
      </w:pPr>
      <w:r>
        <w:rPr>
          <w:b/>
        </w:rPr>
        <w:t>Available abstract (not full text):</w:t>
      </w:r>
      <w:r>
        <w:t xml:space="preserve"> The goal of achieving net-zero emissions by the European economy by 2050 demands a shift from linear, fossil-based systems to circular, bio-based systems. This transition is vital for meeting the United Nations Sustainable Development Goals and reconciling environmental protection with sustainable growth. However, the complexity of the transition relies on societal transformations, cutting-edge technologies, and multi-actor processes, requiring a new economic framework and policy priorities that align with the European Green Deal. This report presents the SUSTRACK task 3.4 overall findings, recommendations and conclusions from the case study assessments. In task 3.1, 10 case studies were selected; later, an additional case study was included. In task 2.1, the SUSTRACK – Circular Bioeconomy Monitoring System was developed. In task 3.2, validation of this monitoring system was carried out, and guidelines for the implementation of the case study assessment were prepared. For this, the monitoring system was tested, and the most relevant and suitable indicators were identified for each case study. Additionally, guidelines were made for mapping stakeholders and policy instruments, and for the collection of information and data for the case study analysis. Task 3.3 builds on the work carried out in task 3.2. The guidance and methodology for case study analysis, as set out in deliverab</w:t>
      </w:r>
    </w:p>
    <w:p>
      <w:pPr/>
      <w:r>
        <w:rPr>
          <w:b/>
        </w:rPr>
        <w:t>POSSIBLE 2025:</w:t>
      </w:r>
      <w:r>
        <w:t xml:space="preserve"> Mixed Methods Research in the Field of Clinical Practice Guidelines: The Case of Developing a Methodological Model for Good Practice Recommendation — https://doi.org/10.1177/15586898251362907</w:t>
      </w:r>
    </w:p>
    <w:p>
      <w:pPr/>
      <w:r>
        <w:rPr>
          <w:b/>
        </w:rPr>
        <w:t>Shared claim-specific concepts:</w:t>
      </w:r>
      <w:r>
        <w:t xml:space="preserve"> case, use, exploratory; EU scope not established. This is a provisional connection, not an outcome finding.</w:t>
      </w:r>
    </w:p>
    <w:p>
      <w:pPr>
        <w:pStyle w:val="SourceNote"/>
      </w:pPr>
      <w:r>
        <w:rPr>
          <w:b/>
        </w:rPr>
        <w:t>Available abstract (not full text):</w:t>
      </w:r>
      <w:r>
        <w:t xml:space="preserve">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pPr/>
      <w:r>
        <w:rPr>
          <w:b/>
        </w:rPr>
        <w:t>POSSIBLE 2025:</w:t>
      </w:r>
      <w:r>
        <w:t xml:space="preserve"> DEVELOPING CONFERENCE INTERPRETER TRAINING IN UKRAINE WITHIN THE EU INTEGRATION FRAMEWORK: CASE STUDIES, RESEARCH, AND STRATEGIC RECOMMENDATIONS — https://doi.org/10.34079/2415-3168-2025-18-33-101-106</w:t>
      </w:r>
    </w:p>
    <w:p>
      <w:pPr/>
      <w:r>
        <w:rPr>
          <w:b/>
        </w:rPr>
        <w:t>Shared claim-specific concepts:</w:t>
      </w:r>
      <w:r>
        <w:t xml:space="preserve"> case, recommendations, identifies; EU scope visible. This is a provisional connection, not an outcome finding.</w:t>
      </w:r>
    </w:p>
    <w:p>
      <w:pPr>
        <w:pStyle w:val="SourceNote"/>
      </w:pPr>
      <w:r>
        <w:rPr>
          <w:b/>
        </w:rPr>
        <w:t>Available abstract (not full text):</w:t>
      </w:r>
      <w:r>
        <w:t xml:space="preserve">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pPr/>
      <w:r>
        <w:rPr>
          <w:b/>
        </w:rPr>
        <w:t>POSSIBLE 2025:</w:t>
      </w:r>
      <w:r>
        <w:t xml:space="preserve"> Adaptive introgression from Pacific herring to Atlantic herring in the brackish Baltic Sea — https://doi.org/10.1101/2025.11.02.685776</w:t>
      </w:r>
    </w:p>
    <w:p>
      <w:pPr/>
      <w:r>
        <w:rPr>
          <w:b/>
        </w:rPr>
        <w:t>Shared claim-specific concepts:</w:t>
      </w:r>
      <w:r>
        <w:t xml:space="preserve"> case, baltic, herring; EU scope not established. This is a provisional connection, not an outcome finding.</w:t>
      </w:r>
    </w:p>
    <w:p>
      <w:pPr>
        <w:pStyle w:val="SourceNote"/>
      </w:pPr>
      <w:r>
        <w:rPr>
          <w:b/>
        </w:rPr>
        <w:t>Available abstract (not full text):</w:t>
      </w:r>
      <w:r>
        <w:t xml:space="preserve"> Abstract The genomic era has revealed that interspecific gene flow can play an important role in adaptive evolution. Here, we report a striking case of adaptive introgression from Pacific into Atlantic herring following the colonization of the brackish Baltic Sea. Gene flow likely occurred in the Arctic, where the distributions of the two species overlap. Although introgression affected only 0.29% of the genome, these regions encompass about 10% of the loci showing strong differentiation between Atlantic and Baltic herring, indicating that natural selection has favored introgressed alleles in functionally important parts of the genome. Adaptive introgression may have been facilitated by shared spawning depths and salinity preferences between Pacific and Baltic herring, in contrast to Atlantic herring, which spawn in deeper, fully marine waters. Introgressed genes such as THRB and SEC16B may have enhanced visual acuity and lipid metabolism, respectively, promoting adaptation to the brackish Baltic environment.</w:t>
      </w:r>
    </w:p>
    <w:p>
      <w:pPr>
        <w:pStyle w:val="Heading2"/>
      </w:pPr>
      <w:r>
        <w:t>758. Beyond Futures: Designing Futures by Educating Future Designers</w:t>
      </w:r>
    </w:p>
    <w:p>
      <w:pPr>
        <w:pStyle w:val="SourceNote"/>
      </w:pPr>
      <w:r>
        <w:rPr>
          <w:b/>
        </w:rPr>
        <w:t>Original source (2018):</w:t>
      </w:r>
      <w:r>
        <w:t xml:space="preserve"> https://doi.org/10.1177/1946756718790758</w:t>
      </w:r>
    </w:p>
    <w:p>
      <w:pPr/>
      <w:r>
        <w:t>Original wording (abstract; indexed_source_text_not_full_document_verified): It may increase designers’ sensitivity of the impact their work may have in the future and push their creativity by broadening their view looking at different future scenarios.</w:t>
      </w:r>
    </w:p>
    <w:p>
      <w:pPr/>
      <w:r>
        <w:rPr>
          <w:b/>
        </w:rPr>
        <w:t>POSSIBLE 2026:</w:t>
      </w:r>
      <w:r>
        <w:t xml:space="preserve"> Manifestos and manifestations: The role of a solar designer — https://doi.org/10.1016/j.yjoc.2026.100131</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What does it mean to be a solar designer? The article builds upon earlier work encompassing a 4-year study on the role of a solar designer, and offers further artistic and methodological explorations to re-define what it means to be a solar designer today. I autoethnographically explore what it means to be a solar designer through artistic material making at the world’s first Solar Biennale, conduct 10 micro-phenomenological interviews with solar experts from different fields of expertise, as well as conduct a workshop with 15 high school students as part of an Agenda 2030 exhibition at [anonymised]. These designerly explorations, synthesised through an overarching framework of Relational Design, offer an updated perspective on what it means to be a solar designer – a necessary endeavour as part of an ongoing and evolving sustainable societal transformation. The updated visual taxonomy is offered as a guide to future solar designers and solar design researchers who are interested in a design-as-relationship-building approach, consisting of three key layers: The Embodied Self, Space &amp; Technology, and Embedded &amp; Ecological Relations . The article culminates in a discussion that expands and challenges these three key layers vis-à-vis discourses on sustainability, ethics, and relationality.</w:t>
      </w:r>
    </w:p>
    <w:p>
      <w:pPr/>
      <w:r>
        <w:rPr>
          <w:b/>
        </w:rPr>
        <w:t>POSSIBLE 2025:</w:t>
      </w:r>
      <w:r>
        <w:t xml:space="preserve"> Sensitivity analysis of the hydraulic fluid filtration model — https://doi.org/10.5604/01.3001.0055.0605</w:t>
      </w:r>
    </w:p>
    <w:p>
      <w:pPr/>
      <w:r>
        <w:rPr>
          <w:b/>
        </w:rPr>
        <w:t>Shared claim-specific concepts:</w:t>
      </w:r>
      <w:r>
        <w:t xml:space="preserve"> designers, sensitivity; EU scope not established. This is a provisional connection, not an outcome finding.</w:t>
      </w:r>
    </w:p>
    <w:p>
      <w:pPr>
        <w:pStyle w:val="SourceNote"/>
      </w:pPr>
      <w:r>
        <w:rPr>
          <w:b/>
        </w:rPr>
        <w:t>Available abstract (not full text):</w:t>
      </w:r>
      <w:r>
        <w:t xml:space="preserve"> In article, authors tried to fill the research gap, which is the lack of a filtration numerical model, based on the filtration efficiency coefficient (Beta Ratio) of hydraulic filters. Developed model allows determining the influence of selected parameters of filtration systems on the separation of contaminants by hydraulic filters. In publication also included a sensitivity analysis aimed at determining the influence of selected parameters of filtration systems on improving cleanliness class of hydraulic fluids. The results of the conducted numerical analyzes quantitatively indicate which parameters of filtration systems have the largest impact on the removal of contaminants from the hydraulic fluid. Despite popular opinion, increasing the Beta coefficient of filter s above the minimum recommended value of βx=75 does not significantly improve the cleanless of the medium. The developed mathematical model and the performed numerical analyzes are intended to help designers, constructors and users of hydrostatic drives and controls in the selection or modification of the filtration system.</w:t>
      </w:r>
    </w:p>
    <w:p>
      <w:pPr/>
      <w:r>
        <w:rPr>
          <w:b/>
        </w:rPr>
        <w:t>POSSIBLE 2024:</w:t>
      </w:r>
      <w:r>
        <w:t xml:space="preserve"> The Designers’ Perspective on Autonomous Mining Systems and Sociotechnology — https://doi.org/10.1007/s42461-024-00952-0</w:t>
      </w:r>
    </w:p>
    <w:p>
      <w:pPr/>
      <w:r>
        <w:rPr>
          <w:b/>
        </w:rPr>
        <w:t>Shared claim-specific concepts:</w:t>
      </w:r>
      <w:r>
        <w:t xml:space="preserve"> increase, designers, work; EU scope visible. This is a provisional connection, not an outcome finding.</w:t>
      </w:r>
    </w:p>
    <w:p>
      <w:pPr>
        <w:pStyle w:val="SourceNote"/>
      </w:pPr>
      <w:r>
        <w:rPr>
          <w:b/>
        </w:rPr>
        <w:t>Available abstract (not full text):</w:t>
      </w:r>
      <w:r>
        <w:t xml:space="preserve"> Abstract Digitalization and automation technology offer new possibilities to increase productivity and obtain higher levels of autonomy in mining operations. Introducing autonomous systems into mining is not only a technical problem in terms of effectiveness and efficiency, nor a problem of safety in human-automation interactions. The systems also need to be designed and developed so that they foster healthy and attractive working environments. The design and development phase of new mining technology has not been extensively studied previously. To fill this knowledge gap, we investigated technology developers’ basic assumptions about humans and their interactions with the technology they develop. We conducted five semi-structured workshops within an EU funded project concerned with developing digitalization and automation solutions for the mining industry. The data suggests that many critical functions will still be under human control in future mining systems. The results also indicate increased complexity in the interaction between autonomous systems and humans as the technology becomes more advanced. As a result, we suggest that a human perspective, based on sociotechnical principles, should not only be considered in implementing the technology at mines but also in the early conceptual phases of developing and designing the technology. This will ensure healthy and attractiv</w:t>
      </w:r>
    </w:p>
    <w:p>
      <w:pPr/>
      <w:r>
        <w:rPr>
          <w:b/>
        </w:rPr>
        <w:t>POSSIBLE 2023:</w:t>
      </w:r>
      <w:r>
        <w:t xml:space="preserve"> Recent findings and advancements in the detection of designer benzodiazepines: a brief review — https://doi.org/10.2478/aiht-2023-74-3771</w:t>
      </w:r>
    </w:p>
    <w:p>
      <w:pPr/>
      <w:r>
        <w:rPr>
          <w:b/>
        </w:rPr>
        <w:t>Shared claim-specific concepts:</w:t>
      </w:r>
      <w:r>
        <w:t xml:space="preserve"> increase, sensitivity, view; EU scope not established. This is a provisional connection, not an outcome finding.</w:t>
      </w:r>
    </w:p>
    <w:p>
      <w:pPr>
        <w:pStyle w:val="SourceNote"/>
      </w:pPr>
      <w:r>
        <w:rPr>
          <w:b/>
        </w:rPr>
        <w:t>Available abstract (not full text):</w:t>
      </w:r>
      <w:r>
        <w:t xml:space="preserve"> This review article takes a closer look at a new class of psychoactive substances called designer benzodiazepines (DBZs) and the challenges of their detection. These are adinazolam, clonazolam, deschloroetizolam, diclazepam, etizolam, flualprazolam, flubromazepam, flubromazolam, phenazepam, and pyrazolam. They are central nervous system depressants and sedatives that can cause psychomotor impairment and increase the overdose risk when combined with other sedatives. DBZs undergo phase I and II metabolism similar to traditional benzodiazepines, but their specific metabolic pathways and the influence of genetic polymorphisms are yet to be clarified. Advances in liquid chromatography-tandem mass spectrometry (LC-MS/MS) have enhanced the method's sensitivity for DBZs and their metabolites in biological samples and coupled with improved blood sampling methods require less blood for drug monitoring. Further research should focus on elucidating their pharmacokinetic properties and metabolism in humans, especially in view of genetic polymorphisms and drug interactions that could inform clinical treatment choices. Even though we have witnessed important advances in DBZ detection and measurement, further refinements are needed to expand the scope of detectable DBZs and their metabolites. All this should help toxicological research to better identify and characterise the risks of chronic a</w:t>
      </w:r>
    </w:p>
    <w:p>
      <w:pPr/>
      <w:r>
        <w:rPr>
          <w:b/>
        </w:rPr>
        <w:t>POSSIBLE 2023:</w:t>
      </w:r>
      <w:r>
        <w:t xml:space="preserve"> Creating meaningful work in the age of AI: explainable AI, explainability, and why it matters to organizational designers — https://doi.org/10.1007/s00146-023-01633-0</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Abstract In this paper, we contribute to research on enterprise artificial intelligence (AI), specifically to organizations improving the customer experiences and their internal processes through using the type of AI called machine learning (ML). Many organizations are struggling to get enough value from their AI efforts, and part of this is related to the area of explainability. The need for explainability is especially high in what is called black-box ML models, where decisions are made without anyone understanding how an AI reached a particular decision. This opaqueness creates a user need for explanations. Therefore, researchers and designers create different versions of so-called eXplainable AI (XAI). However, the demands for XAI can reduce the accuracy of the predictions the AI makes, which can reduce the perceived usefulness of the AI solution, which, in turn, reduces the interest in designing the organizational task structure to benefit from the AI solution. Therefore, it is important to ensure that the need for XAI is as low as possible. In this paper, we demonstrate how to achieve this by optimizing the task structure according to sociotechnical systems design principles. Our theoretical contribution is to the underexplored field of the intersection of AI design and organizational design. We find that explainability goals can be divided into two groups, pattern goals </w:t>
      </w:r>
    </w:p>
    <w:p>
      <w:pPr/>
      <w:r>
        <w:rPr>
          <w:b/>
        </w:rPr>
        <w:t>POSSIBLE 2023:</w:t>
      </w:r>
      <w:r>
        <w:t xml:space="preserve"> Understanding Design Collaboration Between Designers and Artificial Intelligence: A Systematic Literature Review — https://doi.org/10.1145/3610217</w:t>
      </w:r>
    </w:p>
    <w:p>
      <w:pPr/>
      <w:r>
        <w:rPr>
          <w:b/>
        </w:rPr>
        <w:t>Shared claim-specific concepts:</w:t>
      </w:r>
      <w:r>
        <w:t xml:space="preserve"> designers, work, creativity, view; EU scope not established. This is a provisional connection, not an outcome finding.</w:t>
      </w:r>
    </w:p>
    <w:p>
      <w:pPr>
        <w:pStyle w:val="SourceNote"/>
      </w:pPr>
      <w:r>
        <w:rPr>
          <w:b/>
        </w:rPr>
        <w:t>Available abstract (not full text):</w:t>
      </w:r>
      <w:r>
        <w:t xml:space="preserve"> Recent interest in design through the artificial intelligence (AI) lens is rapidly increasing. Designers, as a special user group interacting with AI, have received more attention in the Human-Computer Interaction community. Prior work has discussed emerging challenges that persist in designing for AI. However, few systematic reviews focus on AI for design to understand how designers and AI can augment each other's complementary strengths in design collaboration. In this work, we conducted a landscape analysis of AI for design, via a systematic literature review of 93 papers. The analysis first provides a bird's eye view of overall patterns in this area. The analysis also reveals three themes interpreted from the paper corpus associated with AI for design, including AI assisting designers, designers assisting AI, and characterizing designer-AI collaboration. We discuss the implications of our findings and suggested methodological proposals to guide HCI toward research and practices that center on collaborative creativity.</w:t>
      </w:r>
    </w:p>
    <w:p>
      <w:pPr/>
      <w:r>
        <w:rPr>
          <w:b/>
        </w:rPr>
        <w:t>POSSIBLE 2023:</w:t>
      </w:r>
      <w:r>
        <w:t xml:space="preserve"> Analysis and Validation of Sensitivity in Torque-Sensitive Actuators — https://doi.org/10.3390/act12020080</w:t>
      </w:r>
    </w:p>
    <w:p>
      <w:pPr/>
      <w:r>
        <w:rPr>
          <w:b/>
        </w:rPr>
        <w:t>Shared claim-specific concepts:</w:t>
      </w:r>
      <w:r>
        <w:t xml:space="preserve"> designers, sensitivity, different; EU scope not established. This is a provisional connection, not an outcome finding.</w:t>
      </w:r>
    </w:p>
    <w:p>
      <w:pPr>
        <w:pStyle w:val="SourceNote"/>
      </w:pPr>
      <w:r>
        <w:rPr>
          <w:b/>
        </w:rPr>
        <w:t>Available abstract (not full text):</w:t>
      </w:r>
      <w:r>
        <w:t xml:space="preserve"> Across different fields within robotics, there is a great need for lightweight, efficient actuators with human-like performance. Linkage-based passive variable transmissions and torque-sensitive transmissions have emerged as promising solutions to meet this need by significantly increasing actuator efficiency and power density, but their modeling and analysis remain an open research topic. In this paper, we introduce the sensitivity between input displacement and output torque as a key metric to analyze the performance of these complex mechanisms in dynamic tasks. We present the analytical model of sensitivity in the context of two different torque-sensitive transmission designs, and used this sensitivity metric to analyze the differences in their performance. Experiments with these designs implemented within a powered knee prosthesis were conducted, and results validated the sensitivity model as well as its role in predicting actuators' dynamic performance. Together with other design methods, sensitivity analysis is a valuable tool for designers to systematically analyze and create transmission systems capable of human-like physical behavior.</w:t>
      </w:r>
    </w:p>
    <w:p>
      <w:pPr/>
      <w:r>
        <w:rPr>
          <w:b/>
        </w:rPr>
        <w:t>POSSIBLE 2023:</w:t>
      </w:r>
      <w:r>
        <w:t xml:space="preserve"> DIFFERENCES IN ANALOGICAL SOURCE SELECTIONS BETWEEN DESIGNERS AND NON-DESIGNERS DURING THE COLLABORATIVE ANALOGICAL DESIGN PROCESS — https://doi.org/10.1017/pds.2023.149</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Abstract The selection of an analogical source is a critical step in the design-by-analogy process. Previous researchers have explored the reasons and preferences of individual designers or design teams in selecting analogical sources. Non-designers, who instead have more knowledge of other fields, may offer new possibilities for retrieving novel analogical sources. This study focuses on differences in the selection of analogical sources between collaborative design teams composed of designers and nondesigners. There are indeed significant differences in the selection of the source type, the reasons for selecting the source, the level of abstraction in inspiration stimuli, and the novelty of design ideas between designers and non-designers. This work may provide theoretical guidance for the development of collaborative design tools and methods for teams composed of designers and non-designers with different knowledge bases.</w:t>
      </w:r>
    </w:p>
    <w:p>
      <w:pPr/>
      <w:r>
        <w:rPr>
          <w:b/>
        </w:rPr>
        <w:t>POSSIBLE 2022:</w:t>
      </w:r>
      <w:r>
        <w:t xml:space="preserve"> Increasing gender sensitivity with codesign — https://doi.org/10.34190/icgr.5.1.177</w:t>
      </w:r>
    </w:p>
    <w:p>
      <w:pPr/>
      <w:r>
        <w:rPr>
          <w:b/>
        </w:rPr>
        <w:t>Shared claim-specific concepts:</w:t>
      </w:r>
      <w:r>
        <w:t xml:space="preserve"> designers, sensitivity, work, different; EU scope visible. This is a provisional connection, not an outcome finding.</w:t>
      </w:r>
    </w:p>
    <w:p>
      <w:pPr>
        <w:pStyle w:val="SourceNote"/>
      </w:pPr>
      <w:r>
        <w:rPr>
          <w:b/>
        </w:rPr>
        <w:t>Available abstract (not full text):</w:t>
      </w:r>
      <w:r>
        <w:t xml:space="preserve"> The Horizon Europe 2020 TInnGO (Transport Innovation Gender Observatory) project1 aimed to facilitate and empower the inclusion of underrepresented and diverse groups in smart mobility. Women are still considered to be an underrepresented group across the transport sector, forming less than 30% of all employees in the sector. Significantly women’s travel needs are not met by current transport provision, despite widespread evidence that they make different types of journeys and have different mobility concerns. It may hypothesised that even less is known about other minority groups (such as those from the BAME (Black, Asian, Minority and Ethnic community and those with disabilities). The design of future transport services and products is further skewed by the predominance of male undergraduate transport designers and engineers. While there are many noteworthy attempts to attract young women into STEM (Science, Technology, Engineering and Mathematics) careers and provide support for them in the male dominated sector, the work conducted by TInnGO’s Coventry team focussed on developing gender and diversity sensitive smart mobility solutions to highlight everyday mobility issues for women. These have been termed ‘Design provocations,’ 50 such designs were produced over 18 months in conjunction with 4 undergraduate design interns and are available for comment on our Open Innovation </w:t>
      </w:r>
    </w:p>
    <w:p>
      <w:pPr/>
      <w:r>
        <w:rPr>
          <w:b/>
        </w:rPr>
        <w:t>POSSIBLE 2022:</w:t>
      </w:r>
      <w:r>
        <w:t xml:space="preserve"> Knowledge: the good, the bad, and the ways for designer creativity — https://doi.org/10.1080/09544828.2022.2161300</w:t>
      </w:r>
    </w:p>
    <w:p>
      <w:pPr/>
      <w:r>
        <w:rPr>
          <w:b/>
        </w:rPr>
        <w:t>Shared claim-specific concepts:</w:t>
      </w:r>
      <w:r>
        <w:t xml:space="preserve"> designers, creativity, different; EU scope not established. This is a provisional connection, not an outcome finding.</w:t>
      </w:r>
    </w:p>
    <w:p>
      <w:pPr>
        <w:pStyle w:val="SourceNote"/>
      </w:pPr>
      <w:r>
        <w:rPr>
          <w:b/>
        </w:rPr>
        <w:t>Available abstract (not full text):</w:t>
      </w:r>
      <w:r>
        <w:t xml:space="preserve"> Design is a highly nonlinear chaotic dynamic process with many possible solutions, some of which can be creative. The chaotic nonlinearity of design dynamics triggers mental stresses in designers, whose creativity happens only when their mental stresses are at an optimal level. Following a deductive approach, this paper investigates how knowledge can contribute to designer creativity by uncovering knowledge's (good and bad) roles in the design process, based on which three ways are recommended to use knowledge properly in design. The assumption is that all designs follow one governing equation, which is a recursive integration of three basic design activities: formulation, evaluation and synthesis. The difference between designs of various fields and different kinds (routine, innovative and creative) lies in the range, content, size and nature of the design space in which the design governing equation works. The design governing equation implies a nonlinear chaotic design dynamics, whose solutions are sensitive to its initial conditions and can be routine, innovative or creative. The design governing equation is solved and reformulated by the designer's creativity capability. Therefore, design researchers, practitioners and educators should cohesively look at both designer's knowledge/experience and the designer's creative thinking process.</w:t>
      </w:r>
    </w:p>
    <w:p>
      <w:pPr/>
      <w:r>
        <w:rPr>
          <w:b/>
        </w:rPr>
        <w:t>POSSIBLE 2022:</w:t>
      </w:r>
      <w:r>
        <w:t xml:space="preserve"> A designerly approach to the sonification of electric vehicles — https://doi.org/10.21606/drs.2022.499</w:t>
      </w:r>
    </w:p>
    <w:p>
      <w:pPr/>
      <w:r>
        <w:rPr>
          <w:b/>
        </w:rPr>
        <w:t>Shared claim-specific concepts:</w:t>
      </w:r>
      <w:r>
        <w:t xml:space="preserve"> increase, designers; EU scope not established. This is a provisional connection, not an outcome finding.</w:t>
      </w:r>
    </w:p>
    <w:p>
      <w:pPr>
        <w:pStyle w:val="SourceNote"/>
      </w:pPr>
      <w:r>
        <w:rPr>
          <w:b/>
        </w:rPr>
        <w:t>Available abstract (not full text):</w:t>
      </w:r>
      <w:r>
        <w:t xml:space="preserve"> In recent years, efforts to frame sound-related areas of research such as sonification, sonic interaction design and product sound design in terms of design methodologies became more common. Sound designers seem to be willing to structure a field traditionally characterised by tacit knowledge in terms of explicit design processes, tools and methods, to increase the reach and impact of the field. In this paper, we describe the first two stages of a commercial sonification project for the design of sounds for Electric Vehicles. The project was developed applying a design methodology that integrates a specific tool (the sonification canvas), which we describe in detail. We approach the creation of sounds for Electric Vehicles as a designerly endeavour with the goal of contributing to the transition of sound design from a heterogenous, practice-based field to a structured discipline that can enrich the creation of fulfilling experiences.</w:t>
      </w:r>
    </w:p>
    <w:p>
      <w:pPr/>
      <w:r>
        <w:rPr>
          <w:b/>
        </w:rPr>
        <w:t>POSSIBLE 2022:</w:t>
      </w:r>
      <w:r>
        <w:t xml:space="preserve"> Sensitivity-based Geometric Parameterization for Aerodynamic Shape Optimization — https://doi.org/10.2514/6.2022-3931</w:t>
      </w:r>
    </w:p>
    <w:p>
      <w:pPr/>
      <w:r>
        <w:rPr>
          <w:b/>
        </w:rPr>
        <w:t>Shared claim-specific concepts:</w:t>
      </w:r>
      <w:r>
        <w:t xml:space="preserve"> designers, work, view; EU scope not established. This is a provisional connection, not an outcome finding.</w:t>
      </w:r>
    </w:p>
    <w:p>
      <w:pPr>
        <w:pStyle w:val="SourceNote"/>
      </w:pPr>
      <w:r>
        <w:rPr>
          <w:b/>
        </w:rPr>
        <w:t>Available abstract (not full text):</w:t>
      </w:r>
      <w:r>
        <w:t xml:space="preserve"> View Video Presentation: https://doi.org/10.2514/6.2022-3931.vid Aerodynamic shape optimization has become a well-established process, with designers routinely performing wing and full aircraft optimizations with hundreds of geometric design variables. However, with increased geometric design freedom comes increased optimization difficulty. These optimizations tend to converge very slowly, often taking many hundreds of design iterations. In addition, designers have to manually obtain suitable design variable scaling through trial and error in order to have a well-behaved optimization problem, which is a tedious and time-consuming task. In this work, we propose a sensitivity-based geometric parameterization approach that, while keeping the same optimization problem, maps the design space onto one which is better suited for gradient-based optimization. At the same time, we can automatically determine appropriate design variable scaling such that the new optimization problem can be solved more rapidly. We demonstrate the approach on aerodynamic optimizations, and show improved convergence behaviour compared to the traditional approach.</w:t>
      </w:r>
    </w:p>
    <w:p>
      <w:pPr>
        <w:pStyle w:val="Heading2"/>
      </w:pPr>
      <w:r>
        <w:t>759. Central-East European employees on the labour market of London</w:t>
      </w:r>
    </w:p>
    <w:p>
      <w:pPr>
        <w:pStyle w:val="SourceNote"/>
      </w:pPr>
      <w:r>
        <w:rPr>
          <w:b/>
        </w:rPr>
        <w:t>Original source (2018):</w:t>
      </w:r>
      <w:r>
        <w:t xml:space="preserve"> https://doi.org/10.33605/croma-012018-004</w:t>
      </w:r>
    </w:p>
    <w:p>
      <w:pPr/>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pPr/>
      <w:r>
        <w:rPr>
          <w:b/>
        </w:rPr>
        <w:t>POSSIBLE 2026:</w:t>
      </w:r>
      <w:r>
        <w:t xml:space="preserve"> Public–Private Collaboration in the European Framework — https://doi.org/10.61801/ouaess.2025.2.29</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Digital Nomadism in Europe: A Scoping Review of Prevalence, Spatial Patterns, and Policy Implications — https://doi.org/10.47941/ijhss.3661</w:t>
      </w:r>
    </w:p>
    <w:p>
      <w:pPr/>
      <w:r>
        <w:rPr>
          <w:b/>
        </w:rPr>
        <w:t>Shared claim-specific concepts:</w:t>
      </w:r>
      <w:r>
        <w:t xml:space="preserve"> implications, provide; EU scope visible. This is a provisional connection, not an outcome finding.</w:t>
      </w:r>
    </w:p>
    <w:p>
      <w:pPr>
        <w:pStyle w:val="SourceNote"/>
      </w:pPr>
      <w:r>
        <w:rPr>
          <w:b/>
        </w:rPr>
        <w:t>Available abstract (not full text):</w:t>
      </w:r>
      <w:r>
        <w:t xml:space="preserve"> Purpose: To examine the prevalence, geographical distribution and key determinants of digital nomadism across Europe in order to clarify its socio-economic implications. Methodology: This study adopts a scoping review methodology using PRISMA Extension for Scoping Reviews (PRISMA-ScR) guidelines to systematically map the extent, nature, and characteristics of research on digital nomadism in Europe, highlighting prevalence patterns, demographic and socio-economic profiles, motivations, and urban and economic implications. Findings: Final synthesis show that 12 studies published between 2016 and 2024 were included from major electronic databases and relevant grey literature. Findings indicate that digital nomads are concentrated in European cities like Portugal, Malta, Spain and the Netherlands that offer robust digital infrastructure, international accessibility, and high quality of life, with Southern European destinations increasingly positioning themselves as attractive hubs. Motivations for adopting a digital nomad lifestyle centre around autonomy, flexibility, and the integration of work and leisure, while coworking spaces and digital platforms facilitate sustained mobility and professional networking. Potential challenges to digital nomadism identified by not limited to housing pressures, urban transformation, and socio-economic inequalities in host destinations Unique Con</w:t>
      </w:r>
    </w:p>
    <w:p>
      <w:pPr/>
      <w:r>
        <w:rPr>
          <w:b/>
        </w:rPr>
        <w:t>POSSIBLE 2026:</w:t>
      </w:r>
      <w:r>
        <w:t xml:space="preserve"> Draghi Plan and Implications for the European Legislative Framework — https://doi.org/10.24818/eblj/2025/4/1.06</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Diversity-in-a-dish: A practical framework for hiPSC model development — https://doi.org/10.1016/j.stemcr.2026.102858</w:t>
      </w:r>
    </w:p>
    <w:p>
      <w:pPr/>
      <w:r>
        <w:rPr>
          <w:b/>
        </w:rPr>
        <w:t>Shared claim-specific concepts:</w:t>
      </w:r>
      <w:r>
        <w:t xml:space="preserve"> practical, implications, framework, basis; EU scope not established. This is a provisional connection, not an outcome finding.</w:t>
      </w:r>
    </w:p>
    <w:p>
      <w:pPr>
        <w:pStyle w:val="SourceNote"/>
      </w:pPr>
      <w:r>
        <w:rPr>
          <w:b/>
        </w:rPr>
        <w:t>Available abstract (not full text):</w:t>
      </w:r>
      <w:r>
        <w:t xml:space="preserve"> Human induced pluripotent stem cell (hiPSC) models inherit genetic and phenotypic variation from their donors that can influence differentiation, function, and disease phenotypes, with implications for model validity and generalizability. While diversity is widely discussed in biomedical research and extensively theorized in fields like genomics, comparable guidance remains limited in hiPSC research. Effectively, diversity-related decisions are often made implicitly without clear criteria for when inclusion is methodologically warranted. We address this by (1) analyzing how diversity is defined and operationalized in (pre)clinical research, (2) extending genomics frameworks to outline stem cell-specific recommendations for describing and reporting diversity, and (3) introducing a decision framework based on four criteria (experimental purpose, biological plausibility, platform readiness, and statistical power) to determine when and how diversity should be incorporated. The overall goal is to establish a shared basis for transparent and reproducible diversity-related design and reporting.</w:t>
      </w:r>
    </w:p>
    <w:p>
      <w:pPr/>
      <w:r>
        <w:rPr>
          <w:b/>
        </w:rPr>
        <w:t>POSSIBLE 2026:</w:t>
      </w:r>
      <w:r>
        <w:t xml:space="preserve"> Cyprus’ Approach to the Digital Services Act: Harmonisation, Enforcement, and Practical Implications — https://doi.org/10.3390/laws15020030</w:t>
      </w:r>
    </w:p>
    <w:p>
      <w:pPr/>
      <w:r>
        <w:rPr>
          <w:b/>
        </w:rPr>
        <w:t>Shared claim-specific concepts:</w:t>
      </w:r>
      <w:r>
        <w:t xml:space="preserve"> practical, implications, framework; EU scope visible. This is a provisional connection, not an outcome finding.</w:t>
      </w:r>
    </w:p>
    <w:p>
      <w:pPr>
        <w:pStyle w:val="SourceNote"/>
      </w:pPr>
      <w:r>
        <w:rPr>
          <w:b/>
        </w:rPr>
        <w:t>Available abstract (not full text):</w:t>
      </w:r>
      <w:r>
        <w:t xml:space="preserve"> The Digital Services Act (DSA) represents a landmark regulatory context aiming to secure a safer, trusted and more transparent digital environment. While the DSA establishes a harmonised regulatory framework for intermediary services across the EU, it significantly relies on national regulatory authorities for effective implementation. This article examines the implementation of the DSA in Cyprus and discusses the national legal framework adopted through primary and secondary legislation. It analyses the powers, legally mandated tasks, rights, and obligations of the digital services coordinator in Cyprus including its supervisory, investigatory, and enforcement competences as well as the sanctioning mechanisms. This article provides a comprehensive legal analysis of the coordinator’s operation and contributes to the academic debate on the national implementation of the DSA as a horizontal legal tool of intermediary services and digital platforms accessed by European citizens.</w:t>
      </w:r>
    </w:p>
    <w:p>
      <w:pPr/>
      <w:r>
        <w:rPr>
          <w:b/>
        </w:rPr>
        <w:t>POSSIBLE 2026:</w:t>
      </w:r>
      <w:r>
        <w:t xml:space="preserve"> A regulatory framework for art trade in the European union — https://openalex.org/W7161219836</w:t>
      </w:r>
    </w:p>
    <w:p>
      <w:pPr/>
      <w:r>
        <w:rPr>
          <w:b/>
        </w:rPr>
        <w:t>Shared claim-specific concepts:</w:t>
      </w:r>
      <w:r>
        <w:t xml:space="preserve"> adequate, framework; EU scope visible. This is a provisional connection, not an outcome finding.</w:t>
      </w:r>
    </w:p>
    <w:p>
      <w:pPr>
        <w:pStyle w:val="SourceNote"/>
      </w:pPr>
      <w:r>
        <w:rPr>
          <w:b/>
        </w:rPr>
        <w:t>Available abstract (not full text):</w:t>
      </w:r>
      <w:r>
        <w:t xml:space="preserve"> This thesis examines the regulatory framework applied to sales and acquisitions of cultural goods, especially artworks, within the European Union. The study is motivated by the growing economic significance of the art market and its increasing exposure to criminal misuse, including money laundering, illicit trafficking and terrorist financing. Special emphasis is placed on recently adopted EU legislation, the Fifth Anti-Money Laundering Directive and Regulation 2019/880 on the import of cultural goods, which mark a transition to a more coherent and preventative regulatory regime. The research addresses four central questions: how the art market is regulated in the EU, to which crimes it is particularly vulnerable, whether the current regulatory framework is effective, and how it could be further developed. Using a non-doctrinal approach, the thesis systemises the applicable EU legislative framework and demonstrates that the art market’s structural characteristics, including the portability of artworks, ambiguous valuation practices and historically fragmented oversight, create vulnerabilities to criminal exploitation. The thesis concludes that while the Union framework is now more comprehensive and better suited to identify risks, the regulatory effectiveness remains dependent on consistent implementation across Member States, adequate enforcement capacity and meaningful cooper</w:t>
      </w:r>
    </w:p>
    <w:p>
      <w:pPr/>
      <w:r>
        <w:rPr>
          <w:b/>
        </w:rPr>
        <w:t>POSSIBLE 2026:</w:t>
      </w:r>
      <w:r>
        <w:t xml:space="preserve"> On prenatal attachment – theory, empirical verification and practical implications — https://doi.org/10.71358/pw.1834</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Pregnancy is a complex and special time in the life of a woman and parents-to-be. The changes that occur in a woman's body are evident not only at the biological level, but also affect her social life and have important psychological implications. The process of adapting the attachment theory pioneered by John Bowlby to the framework of prenatal psychology has been underway for many years, resulting in the development of theories on prenatal attachment. Prenatal attachment is described as an emotional bond between a prospective parent and the developing fetus, which is formed during pregnancy and can find its manifestations in a wide range of behavior on the part of the parents. Prenatal attachment theory takes into account both affective and behavioral aspects and can thus play a key role in preparing future parents for their role. Studies have shown that the level of prenatal attachment can be influenced by factors such as the quality of the parental relationship, previous experiences and social support. The purpose of this article is to systematize the current state of scientific knowledge on the construct of prenatal attachment in terms of both theoretical context, empirical verification, its practical implications and the prospects for future research, which can thus provide a starting point for further research, as well as planning appropriate interventions that can stren</w:t>
      </w:r>
    </w:p>
    <w:p>
      <w:pPr/>
      <w:r>
        <w:rPr>
          <w:b/>
        </w:rPr>
        <w:t>POSSIBLE 2026:</w:t>
      </w:r>
      <w:r>
        <w:t xml:space="preserve"> Risk management in the insurance sector: theory and practical implications — https://doi.org/10.1007/s11573-026-01273-y</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Abstract This paper provides an overview of risk management in the insurance sector, combining theoretical principles with practical and regulatory perspectives. Starting with a simplified model of risk pooling, we demonstrate how diversification creates benefits for risk-averse policyholders. In a next step, we present a simple model to illustrate the main goal of quantitative risk management: The optimization of performance subject to a variety of constraints rather than a pure minimization of risks. We continue by reviewing the main fields of application of risk management and elaborate on the rationality of risk management due to market frictions. Finally, our discussion of solvency regulation and alternative policyholder protection mechanisms highlights the trade-offs between financial resilience, costs, and market efficiency. Overall, the paper demonstrates that, in addition to being a regulatory requirement, risk management in insurance is a strategic instrument for balancing policyholder protection, economic efficiency, and long-term sustainability.</w:t>
      </w:r>
    </w:p>
    <w:p>
      <w:pPr/>
      <w:r>
        <w:rPr>
          <w:b/>
        </w:rPr>
        <w:t>POSSIBLE 2025:</w:t>
      </w:r>
      <w:r>
        <w:t xml:space="preserve"> Integrating ESG Factors into Institutional Investment Decision-Making: Theoretical Frameworks and Practical Implications — https://doi.org/10.55248/gengpi.6.0725.2410</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This paper explores the integration of Environmental, Social, and Governance (ESG) factors into institutional investment decision-making by critically examining the theoretical frameworks that underpin such integration, focusing on how traditional financial theories, such as Modern Portfolio Theory (MPT), Stakeholder Theory, and Agency Theory, can be adapted or expanded to accommodate the increasing relevance of non-financial factors in investment strategies; it also delves into the emerging field of sustainable finance, investigating how ESG considerations challenge the risk-return trade-off and fiduciary duty principles traditionally guiding institutional investments, and argues that the application of these frameworks must evolve to address the growing pressure from regulators, market participants, and stakeholders for more responsible and transparent investment practices, which has led to the development of new models, such as impact investing and socially responsible investing (SRI), that integrate both financial and non-financial objectives in portfolio management.The paper identifies significant gaps in the current theoretical models regarding ESG integration, particularly in areas like data standardization, measurement of long-term social and environmental impacts, and the practical difficulties institutional investors face when aligning their strategies with ESG criter</w:t>
      </w:r>
    </w:p>
    <w:p>
      <w:pPr/>
      <w:r>
        <w:rPr>
          <w:b/>
        </w:rPr>
        <w:t>POSSIBLE 2025:</w:t>
      </w:r>
      <w:r>
        <w:t xml:space="preserve"> THE HUMAN RIGHTS CRISIS IN AI DEVELOPMENT AND USE: DOES THE EUROPEAN FRAMEWORK PROVIDE AN ADEQUATE PROTECTION? — https://doi.org/10.70382/caijlphr.v9i6.038</w:t>
      </w:r>
    </w:p>
    <w:p>
      <w:pPr/>
      <w:r>
        <w:rPr>
          <w:b/>
        </w:rPr>
        <w:t>Shared claim-specific concepts:</w:t>
      </w:r>
      <w:r>
        <w:t xml:space="preserve"> provide, adequate, framework; EU scope visible. This is a provisional connection, not an outcome finding.</w:t>
      </w:r>
    </w:p>
    <w:p>
      <w:pPr>
        <w:pStyle w:val="SourceNote"/>
      </w:pPr>
      <w:r>
        <w:rPr>
          <w:b/>
        </w:rPr>
        <w:t>Available abstract (not full text):</w:t>
      </w:r>
      <w:r>
        <w:t xml:space="preserve"> The rapid advancement and pervasive integration of Artificial Intelligence (AI) are fundamentally reshaping economies and societies, yet this technological revolution is creating a global human rights crisis built upon systemic, present-day harms that risk "supercharging" global inequalities. This paper examines the unaddressed human costs embedded throughout the AI lifecycle, arguing that the abstract promises of future benefits are being overshadowed by tangible rights violations. Key issues detailed include labor exploitation in the global supply chain, where a hidden workforce, often in the Global South, performs "psychologically taxing labor" under exploitative conditions such as content moderators paid less than $2 per hour to review traumatic imagery violating fundamental International Labour Organization (ILO) norms. Pervasive privacy infringements occur through the mass scraping of personal data without explicit consent, fueling AI powered mass surveillance systems like integrated facial recognition networks that chill freedom of expression and assembly. Furthermore, AI systems reflect and amplify societal prejudices, leading to systematic algorithmic bias in critical domains like criminal justice (e.g., the COMPAS algorithm) and hiring, which violates the right to equality before the law. The immense computational demands of training large AI models also lead to signi</w:t>
      </w:r>
    </w:p>
    <w:p>
      <w:pPr/>
      <w:r>
        <w:rPr>
          <w:b/>
        </w:rPr>
        <w:t>POSSIBLE 2025:</w:t>
      </w:r>
      <w:r>
        <w:t xml:space="preserve"> Effectiveness of Adjudication Mechanism under the Companies Act 2013: Legal Framework and Practical Implications — https://openalex.org/W7217786929</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The Companies Act of 2013 set up a full adjudication system to deal with companies and their officers who don't follow the rules in a timely, efficient, and fair way. This mechanism, mainly based on Section 454 of the Act and the Companies (Adjudication of Penalties) Rules, 2014, is a change from the old way of doing things in court to an administrative process that aims to make minor crimes less serious. The current study analyses the legal framework, practical application, and effectiveness of this adjudication mechanism in fostering corporate compliance and good governance. The study underscores the benefits of adjudication, including diminished litigation, expedited case resolution, and increased transparency, while also recognising obstacles such as procedural delays, discrepancies in penalty orders, and insufficient standardisation across jurisdictions. A comparative analysis of international frameworks from the United Kingdom, Singapore, and Australia yields insights into best practices that can be implemented to improve India's system. The study concludes that although the adjudication mechanism has greatly enhanced corporate compliance, additional reforms in procedural uniformity, technological integration, and penalty standardisation are essential to realise its full potential.</w:t>
      </w:r>
    </w:p>
    <w:p>
      <w:pPr/>
      <w:r>
        <w:rPr>
          <w:b/>
        </w:rPr>
        <w:t>POSSIBLE 2025:</w:t>
      </w:r>
      <w:r>
        <w:t xml:space="preserve"> Developing a Systemic Framework to Reduce the Bullwhip Effect in the Construction Industry: Empirical Insights and Practical Implications — https://doi.org/10.12688/f1000research.171946.1</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Background The construction industry faces systemic inefficiencies and cost overrun. Many of these issues result from demand amplification, known as the Bullwhip Effect (BWE), within supply chains. Aim To investigate the root causes and impacts of the Bullwhip Effect during construction. Establish a foundation for mitigation strategies using a conceptual framework. This framework was validated using a real-world case study to support effective mitigation. Methods This study systematically identified and analyzed twenty-one underlying causes of the Bullwhip Effect in the supply chain. The effect was calculated for the selected construction materials using data from Mostashar United Company-Kuwait. Results The Bullwhip Effect in the construction industry emerges not from a single cause but from a complex interaction of factors that significantly influence the phenomenon and are deeply embedded within the industry’s structural and operational practices. These causes are grouped into three main dimensions: informational, operational, and behavioral factors. BWE can be quantitatively measured and directly escalates production costs and intensifies over time if mitigating strategies are not implemented. Research has identified several strategies that can effectively prevent the occurrence or reduce the bullwhip effect in the construction industry, such as collaboration and teamwork e</w:t>
      </w:r>
    </w:p>
    <w:p>
      <w:pPr>
        <w:pStyle w:val="Heading2"/>
      </w:pPr>
      <w:r>
        <w:t>760. Climate change mitigation: evidences from the European scenario</w:t>
      </w:r>
    </w:p>
    <w:p>
      <w:pPr>
        <w:pStyle w:val="SourceNote"/>
      </w:pPr>
      <w:r>
        <w:rPr>
          <w:b/>
        </w:rPr>
        <w:t>Original source (2018):</w:t>
      </w:r>
      <w:r>
        <w:t xml:space="preserve"> https://doi.org/10.1504/ijmne.2018.095079</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2026:</w:t>
      </w:r>
      <w:r>
        <w:t xml:space="preserve"> Carbon emissions of a public engagement event: The case of Sharper European researchers' night — https://doi.org/10.1016/j.cesys.2026.100429</w:t>
      </w:r>
    </w:p>
    <w:p>
      <w:pPr/>
      <w:r>
        <w:rPr>
          <w:b/>
        </w:rPr>
        <w:t>Shared claim-specific concepts:</w:t>
      </w:r>
      <w:r>
        <w:t xml:space="preserve"> reduce, greenhouse, gas, emissions, compared, energy; EU scope visible. This is a provisional connection, not an outcome finding.</w:t>
      </w:r>
    </w:p>
    <w:p>
      <w:pPr>
        <w:pStyle w:val="SourceNote"/>
      </w:pPr>
      <w:r>
        <w:rPr>
          <w:b/>
        </w:rPr>
        <w:t>Available abstract (not full text):</w:t>
      </w:r>
      <w:r>
        <w:t xml:space="preserve"> Aiming to set sustainability benchmarks for university events, this research assesses the carbon footprint of an annual academic initiative in Italy, quantifying the impact of connecting science and society through Life Cycle Assessment. Primary data were collected on organization management, participant travel, and waste from the "European Researchers’ Night - Sharper" in Perugia. Transportation accounted for 85% of total greenhouse gas emissions, primarily due to individual displacement, while energy and materials contributed minimally. The Sharper has a low-carbon-emissions profile compared to events explored in literature. Findings highlight the importance of travel management in a context where infrastructure and cultural habits impacts on local mobility, possible benefits of centralized or hybrid formats, although energy use for large-scale digital participation remains a consideration. Recommendations include integrating better policies for public transportation and sharing mobility to reduce impacts and using energy-efficient digital tools. This work contributes to sustainable event management and encourages academic institutions to adopt green practices in their public engagement activities, advancing beyond sustainable campus initiatives, supporting a transition towards low-carbon events.</w:t>
      </w:r>
    </w:p>
    <w:p>
      <w:pPr/>
      <w:r>
        <w:rPr>
          <w:b/>
        </w:rPr>
        <w:t>POSSIBLE 2026:</w:t>
      </w:r>
      <w:r>
        <w:t xml:space="preserve"> The Determinants of Greenhouse Gas Emissions (GHE) in European Economies — https://doi.org/10.2478/picbe-2026-0132</w:t>
      </w:r>
    </w:p>
    <w:p>
      <w:pPr/>
      <w:r>
        <w:rPr>
          <w:b/>
        </w:rPr>
        <w:t>Shared claim-specific concepts:</w:t>
      </w:r>
      <w:r>
        <w:t xml:space="preserve"> aims, greenhouse, gas, emissions, reduction, increase;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pStyle w:val="Heading2"/>
      </w:pPr>
      <w:r>
        <w:t>761. Climate change mitigation: evidences from the European scenario</w:t>
      </w:r>
    </w:p>
    <w:p>
      <w:pPr>
        <w:pStyle w:val="SourceNote"/>
      </w:pPr>
      <w:r>
        <w:rPr>
          <w:b/>
        </w:rPr>
        <w:t>Original source (2018):</w:t>
      </w:r>
      <w:r>
        <w:t xml:space="preserve"> https://doi.org/10.1504/ijmne.2018.10016474</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2026:</w:t>
      </w:r>
      <w:r>
        <w:t xml:space="preserve"> Carbon emissions of a public engagement event: The case of Sharper European researchers' night — https://doi.org/10.1016/j.cesys.2026.100429</w:t>
      </w:r>
    </w:p>
    <w:p>
      <w:pPr/>
      <w:r>
        <w:rPr>
          <w:b/>
        </w:rPr>
        <w:t>Shared claim-specific concepts:</w:t>
      </w:r>
      <w:r>
        <w:t xml:space="preserve"> reduce, greenhouse, gas, emissions, compared, energy; EU scope visible. This is a provisional connection, not an outcome finding.</w:t>
      </w:r>
    </w:p>
    <w:p>
      <w:pPr>
        <w:pStyle w:val="SourceNote"/>
      </w:pPr>
      <w:r>
        <w:rPr>
          <w:b/>
        </w:rPr>
        <w:t>Available abstract (not full text):</w:t>
      </w:r>
      <w:r>
        <w:t xml:space="preserve"> Aiming to set sustainability benchmarks for university events, this research assesses the carbon footprint of an annual academic initiative in Italy, quantifying the impact of connecting science and society through Life Cycle Assessment. Primary data were collected on organization management, participant travel, and waste from the "European Researchers’ Night - Sharper" in Perugia. Transportation accounted for 85% of total greenhouse gas emissions, primarily due to individual displacement, while energy and materials contributed minimally. The Sharper has a low-carbon-emissions profile compared to events explored in literature. Findings highlight the importance of travel management in a context where infrastructure and cultural habits impacts on local mobility, possible benefits of centralized or hybrid formats, although energy use for large-scale digital participation remains a consideration. Recommendations include integrating better policies for public transportation and sharing mobility to reduce impacts and using energy-efficient digital tools. This work contributes to sustainable event management and encourages academic institutions to adopt green practices in their public engagement activities, advancing beyond sustainable campus initiatives, supporting a transition towards low-carbon events.</w:t>
      </w:r>
    </w:p>
    <w:p>
      <w:pPr/>
      <w:r>
        <w:rPr>
          <w:b/>
        </w:rPr>
        <w:t>POSSIBLE 2026:</w:t>
      </w:r>
      <w:r>
        <w:t xml:space="preserve"> The Determinants of Greenhouse Gas Emissions (GHE) in European Economies — https://doi.org/10.2478/picbe-2026-0132</w:t>
      </w:r>
    </w:p>
    <w:p>
      <w:pPr/>
      <w:r>
        <w:rPr>
          <w:b/>
        </w:rPr>
        <w:t>Shared claim-specific concepts:</w:t>
      </w:r>
      <w:r>
        <w:t xml:space="preserve"> aims, greenhouse, gas, emissions, reduction, increase;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pStyle w:val="Heading2"/>
      </w:pPr>
      <w:r>
        <w:t>762. Current situation and future prospects for beef production in Europe — A review</w:t>
      </w:r>
    </w:p>
    <w:p>
      <w:pPr>
        <w:pStyle w:val="SourceNote"/>
      </w:pPr>
      <w:r>
        <w:rPr>
          <w:b/>
        </w:rPr>
        <w:t>Original source (2018):</w:t>
      </w:r>
      <w:r>
        <w:t xml:space="preserve"> https://doi.org/10.5713/ajas.18.0196</w:t>
      </w:r>
    </w:p>
    <w:p>
      <w:pPr/>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POSSIBLE 2026:</w:t>
      </w:r>
      <w:r>
        <w:t xml:space="preserve"> Industry 5.0 in the European Union — https://doi.org/10.1201/9781003785590</w:t>
      </w:r>
    </w:p>
    <w:p>
      <w:pPr/>
      <w:r>
        <w:rPr>
          <w:b/>
        </w:rPr>
        <w:t>Shared claim-specific concepts:</w:t>
      </w:r>
      <w:r>
        <w:t xml:space="preserve"> industry, climate, environmental; EU scope visible. This is a provisional connection, not an outcome finding.</w:t>
      </w:r>
    </w:p>
    <w:p>
      <w:pPr>
        <w:pStyle w:val="SourceNote"/>
      </w:pPr>
      <w:r>
        <w:rPr>
          <w:b/>
        </w:rPr>
        <w:t>Available abstract (not full text):</w:t>
      </w:r>
      <w:r>
        <w:t xml:space="preserve">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pPr/>
      <w:r>
        <w:rPr>
          <w:b/>
        </w:rPr>
        <w:t>POSSIBLE 2026:</w:t>
      </w:r>
      <w:r>
        <w:t xml:space="preserve"> The economic sustainability of farmers’ markets in Europe — https://doi.org/10.1007/s43621-026-04012-z</w:t>
      </w:r>
    </w:p>
    <w:p>
      <w:pPr/>
      <w:r>
        <w:rPr>
          <w:b/>
        </w:rPr>
        <w:t>Shared claim-specific concepts:</w:t>
      </w:r>
      <w:r>
        <w:t xml:space="preserve"> especially, farmers;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2026:</w:t>
      </w:r>
      <w:r>
        <w:t xml:space="preserve"> Accounting for the systemic effects of anaerobic digestion on the practices of farmers — https://doi.org/10.1007/s13593-026-01128-4</w:t>
      </w:r>
    </w:p>
    <w:p>
      <w:pPr/>
      <w:r>
        <w:rPr>
          <w:b/>
        </w:rPr>
        <w:t>Shared claim-specific concepts:</w:t>
      </w:r>
      <w:r>
        <w:t xml:space="preserve"> affect, whole, farmers, different, policies; EU scope visible. This is a provisional connection, not an outcome finding.</w:t>
      </w:r>
    </w:p>
    <w:p>
      <w:pPr>
        <w:pStyle w:val="SourceNote"/>
      </w:pPr>
      <w:r>
        <w:rPr>
          <w:b/>
        </w:rPr>
        <w:t>Available abstract (not full text):</w:t>
      </w:r>
      <w:r>
        <w:t xml:space="preserve"> Abstract The rate of on-farm biogas production by anaerobic digestion has increased in Europe since the beginning of the twenty-first century, largely due to policies supporting low-carbon energy production. Anaerobic digestion farms are farms where farmers invest in biogas production mainly from agricultural feedstock, and remain the main investors. Biogas production brings new challenges to agriculture, and current scientific literature does not provide clear conclusions on its agri-environmental effects. Current studies focus on one or more of the agri-environmental effects of on-farm biogas development (mainly greenhouse gas balance, carbon storage, and nitrogen losses), assuming that the farming system as a whole remains unchanged. However, they rarely investigate how biogas production performance relates to indirect changes in farm practices and activities. To better understand the changes in farm practices linked to biogas production, we surveyed 23 biogas farmers operating 19 different on-farm biogas units in two areas of northeast France. We aimed to cover various configurations (e.g., farm activities, digester capacity, number of farmers involved, and energy recovery methods) to capture a diversity of farm functioning. We analyzed these qualitative data by identifying recurring examples of practice changes (or lack thereof). Our results show that biogas development le</w:t>
      </w:r>
    </w:p>
    <w:p>
      <w:pPr/>
      <w:r>
        <w:rPr>
          <w:b/>
        </w:rPr>
        <w:t>POSSIBLE 2026:</w:t>
      </w:r>
      <w:r>
        <w:t xml:space="preserve"> Crescine State of European Film : an overview of key industry trends, insights, and policy recommendations for the European Film and Audiovisual industry — https://openalex.org/W7211966877</w:t>
      </w:r>
    </w:p>
    <w:p>
      <w:pPr/>
      <w:r>
        <w:rPr>
          <w:b/>
        </w:rPr>
        <w:t>Shared claim-specific concepts:</w:t>
      </w:r>
      <w:r>
        <w:t xml:space="preserve"> industry, especially, chain; EU scope visible. This is a provisional connection, not an outcome finding.</w:t>
      </w:r>
    </w:p>
    <w:p>
      <w:pPr>
        <w:pStyle w:val="SourceNote"/>
      </w:pPr>
      <w:r>
        <w:rPr>
          <w:b/>
        </w:rPr>
        <w:t>Available abstract (not full text):</w:t>
      </w:r>
      <w:r>
        <w:t xml:space="preserve"> Three years ago, when CresCine - a Horizon Europe funded academia to industry project - commenced, the notion of arming the European film industry with deep, data-backed insights emerging from the intersection of academia and business seemed an unfathomable goal. Encounters between researchers, practitioners, and creators were scarce; engagement with decision-makers and policymakers across sectors was equally sparse with a few Admittedly, the times have changed radically within these 36 months: the value chain, particularly for independent and small-country films, has disintegrated with no long-term blueprint in place. The streaming landscape has consolidated further alongside the superstreamers and global platforms. The disparity between market leaders and independents has only widened alongside the digital - physical distribution gap,, and AI and virtual production´- once theoretical novelties - are now regular companions to EU filmmakers. Paradoxically, research and data-driven insights, once accessible only to well-resourced policy, business, and ecosystem actors, are now called for and needed more than ever. So, what has CresCine managed to achieve? Our biggest gain within these 36 months was to bridge the gap between academia and industry collaboration, taking the resulting deep knowledge directly to the stakeholders. Whether through our 10+ in-depth dossiers and policy g</w:t>
      </w:r>
    </w:p>
    <w:p>
      <w:pPr/>
      <w:r>
        <w:rPr>
          <w:b/>
        </w:rPr>
        <w:t>POSSIBLE 2026:</w:t>
      </w:r>
      <w:r>
        <w:t xml:space="preserve"> The Energy Crisis in Europe and Its Impact on the Economy of the European Union — https://openalex.org/W7219345159</w:t>
      </w:r>
    </w:p>
    <w:p>
      <w:pPr/>
      <w:r>
        <w:rPr>
          <w:b/>
        </w:rPr>
        <w:t>Shared claim-specific concepts:</w:t>
      </w:r>
      <w:r>
        <w:t xml:space="preserve"> affect, whole, industry, different, environmental, policies; EU scope visible. This is a provisional connection, not an outcome finding.</w:t>
      </w:r>
    </w:p>
    <w:p>
      <w:pPr>
        <w:pStyle w:val="SourceNote"/>
      </w:pPr>
      <w:r>
        <w:rPr>
          <w:b/>
        </w:rPr>
        <w:t>Available abstract (not full text):</w:t>
      </w:r>
      <w:r>
        <w:t xml:space="preserve"> In recent years, the European economy has undergone profound transformations in the energy sector as a result of the interaction of several geopolitical, economic, and environmental factors that have directly affected the stability of energy markets and the ability of European economies to secure their needs for oil, gas, and electricity. The energy crisis in Europe has emerged as one of the most important economic challenges facing the European Union, given the central role of energy in various productive and service sectors, the competitiveness of firms, price levels, investment, employment, and economic growth. The energy crisis is not limited to the problem of rising oil and gas prices or difficulties in securing supplies. Rather, its effects extend to the structure of the European economy as a whole. Higher energy prices increase production costs, particularly in energy-intensive industries, and are also reflected in the prices of goods and services and in households' purchasing power. At the same time, instability in energy markets increases uncertainty for firms and investors, which may affect investment and expansion decisions as well as production activities. The study of the European energy crisis is particularly important given the historical dependence of a number of European countries on energy imports to meet a significant part of their needs. This dependence has </w:t>
      </w:r>
    </w:p>
    <w:p>
      <w:pPr/>
      <w:r>
        <w:rPr>
          <w:b/>
        </w:rPr>
        <w:t>POSSIBLE 2026:</w:t>
      </w:r>
      <w:r>
        <w:t xml:space="preserve"> The impact of geopolitical events on European SMEs in the forestry industry — https://openalex.org/W7159737581</w:t>
      </w:r>
    </w:p>
    <w:p>
      <w:pPr/>
      <w:r>
        <w:rPr>
          <w:b/>
        </w:rPr>
        <w:t>Shared claim-specific concepts:</w:t>
      </w:r>
      <w:r>
        <w:t xml:space="preserve"> industry, chain; EU scope visible. This is a provisional connection, not an outcome finding.</w:t>
      </w:r>
    </w:p>
    <w:p>
      <w:pPr>
        <w:pStyle w:val="SourceNote"/>
      </w:pPr>
      <w:r>
        <w:rPr>
          <w:b/>
        </w:rPr>
        <w:t>Available abstract (not full text):</w:t>
      </w:r>
      <w:r>
        <w:t xml:space="preserve"> This thesis explores how Russia’s full-scale invasion of Ukraine has affected European small- and medium-sized enterprises (SMEs) in the forestry industry. The focus is on how firms respond to geopolitical disruptions, particularly in terms of managerial decision-making, supply chain adaptation and overall resilience. The study is based on qualitative research, using semi-structured interviews with industry professionals alongside supporting literature. This approach provides insight into how SMEs experience and manage disruptions caused by geopolitical shocks. The findings show that SMEs were forced to rapidly adjust their sourcing strategies after losing access to key suppliers. Many firms shifted towards alternative markets such as Southeast Asia and other parts of Europe, while dealing with increased costs and uncertainty. The results also highlight the importance of organisational flexibility and international networks. Managerial decision-making played a central role, with managers relying on practical experience and short-term adaptability in uncertain conditions. Overall, the study demonstrates that SME resilience in this context depends on both structural factors and decisions made by managers. The findings contribute to existing research on geopolitical risk and offer practical insights for firms operating in volatile international environments.</w:t>
      </w:r>
    </w:p>
    <w:p>
      <w:pPr/>
      <w:r>
        <w:rPr>
          <w:b/>
        </w:rPr>
        <w:t>POSSIBLE 2025:</w:t>
      </w:r>
      <w:r>
        <w:t xml:space="preserve"> AGGLOMERATION, NETWORKS &amp; INSTITUTIONAL SUPPORT IN THE INNOVATIVE EUROPEAN AEROSPACE INDUSTRY — https://doi.org/10.31732/2663-2209-2025-80-225-234</w:t>
      </w:r>
    </w:p>
    <w:p>
      <w:pPr/>
      <w:r>
        <w:rPr>
          <w:b/>
        </w:rPr>
        <w:t>Shared claim-specific concepts:</w:t>
      </w:r>
      <w:r>
        <w:t xml:space="preserve"> affect, whole, industry, policies; EU scope visible. This is a provisional connection, not an outcome finding.</w:t>
      </w:r>
    </w:p>
    <w:p>
      <w:pPr>
        <w:pStyle w:val="SourceNote"/>
      </w:pPr>
      <w:r>
        <w:rPr>
          <w:b/>
        </w:rPr>
        <w:t>Available abstract (not full text):</w:t>
      </w:r>
      <w:r>
        <w:t xml:space="preserve">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pPr/>
      <w:r>
        <w:rPr>
          <w:b/>
        </w:rPr>
        <w:t>POSSIBLE 2025:</w:t>
      </w:r>
      <w:r>
        <w:t xml:space="preserve"> The European Union’s role in European defence industry policy — https://doi.org/10.1080/14702436.2025.2472694</w:t>
      </w:r>
    </w:p>
    <w:p>
      <w:pPr/>
      <w:r>
        <w:rPr>
          <w:b/>
        </w:rPr>
        <w:t>Shared claim-specific concepts:</w:t>
      </w:r>
      <w:r>
        <w:t xml:space="preserve"> industry, different;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The importance of public funding for the European film industry — https://openalex.org/W7115611300</w:t>
      </w:r>
    </w:p>
    <w:p>
      <w:pPr/>
      <w:r>
        <w:rPr>
          <w:b/>
        </w:rPr>
        <w:t>Shared claim-specific concepts:</w:t>
      </w:r>
      <w:r>
        <w:t xml:space="preserve"> affect, industry, especially, different; EU scope visible. This is a provisional connection, not an outcome finding.</w:t>
      </w:r>
    </w:p>
    <w:p>
      <w:pPr>
        <w:pStyle w:val="SourceNote"/>
      </w:pPr>
      <w:r>
        <w:rPr>
          <w:b/>
        </w:rPr>
        <w:t>Available abstract (not full text):</w:t>
      </w:r>
      <w:r>
        <w:t xml:space="preserve"> The creative and cultural industries are continuously facing budget cuts around Europe. In light of these country-level cuts, public funding from institutions like the European Union are becoming more and more valuable. This thesis explores how different EU public funding projects have affected and will continue to affect the European film industry and its success. The study is conducted as a literature review and focuses on economic theoretical literature and academic studies on public funding, EU funding projects and countryspecific examples of film success. The findings show various links between EU based funding and the growing success of European film. Especially economically there is a clear positive correlation between EU public funding and economic growth of the industry. Cultural benefits are also explored while using a critical lense to evaluate potential improvements as well. Based on the evaluation of past country-specific examples, this thesis draws conclusions regarding future outlooks. It explores future trends and initiatives to show that the EU will continue to have a crucial role in the European film industry’s success. This thesis contributes to a deeper understanding of the value of public funding for the film sector. It discusses important and relevant aspects of public funding and reflects on current changes in the industry and their effects. This thesis c</w:t>
      </w:r>
    </w:p>
    <w:p>
      <w:pPr/>
      <w:r>
        <w:rPr>
          <w:b/>
        </w:rPr>
        <w:t>POSSIBLE 2025:</w:t>
      </w:r>
      <w:r>
        <w:t xml:space="preserve"> The Whole Economy: Work and Gender in Early Modern Europe — https://doi.org/10.1215/15476715-11609909</w:t>
      </w:r>
    </w:p>
    <w:p>
      <w:pPr/>
      <w:r>
        <w:rPr>
          <w:b/>
        </w:rPr>
        <w:t>Shared claim-specific concepts:</w:t>
      </w:r>
      <w:r>
        <w:t xml:space="preserve"> whole, consumption, chain; EU scope visible. This is a provisional connection, not an outcome finding.</w:t>
      </w:r>
    </w:p>
    <w:p>
      <w:pPr>
        <w:pStyle w:val="SourceNote"/>
      </w:pPr>
      <w:r>
        <w:rPr>
          <w:b/>
        </w:rPr>
        <w:t>Available abstract (not full text):</w:t>
      </w:r>
      <w:r>
        <w:t xml:space="preserve"> The Whole Economy: Work and Gender in Early Modern Europe, a collection of essays edited by Catriona Macleod, Alexandra Shepard, and Maria Ågren, is a much-needed corrective to male-centered histories of the early modern economy. The book makes no claim that this quest is entirely new. Since the early twentieth century, women’s role in the early modern economy has been reiterated time and again. Alice Clark and Ivy Pinchbeck pioneered studies of women’s work in Britain, and the mantle was later taken up by second-wave feminist scholars. As conversations around gender wage gaps, the value of unpaid work, and female labor opportunities have become regular features in contemporary public discourse, historians of gender and work have turned to parallel issues in the past.The book’s distinctiveness lies in the word whole in its title. The authors systematically challenge assumptions made by early modern economic historians about women’s contribution, placing the labor patterns of all members of early modern European society under the microscope. A recent history of Britain’s economic development between 1270 and 1870 claims that women could only have undertaken about 30 percent of paid work, while men contributed 70 percent. This proportion is based not only on the assumption that women must have done unpaid housework and childcare but also on the equally unfounded belief that this </w:t>
      </w:r>
    </w:p>
    <w:p>
      <w:pPr/>
      <w:r>
        <w:rPr>
          <w:b/>
        </w:rPr>
        <w:t>POSSIBLE 2025:</w:t>
      </w:r>
      <w:r>
        <w:t xml:space="preserve"> Drivers and Preferences of European Farmers for Agri-Environmental Public Goods Schemes: A Two-Stage Analysis — https://doi.org/10.1016/j.jnc.2025.126912</w:t>
      </w:r>
    </w:p>
    <w:p>
      <w:pPr/>
      <w:r>
        <w:rPr>
          <w:b/>
        </w:rPr>
        <w:t>Shared claim-specific concepts:</w:t>
      </w:r>
      <w:r>
        <w:t xml:space="preserve"> farmers, different, climate; EU scope visible. This is a provisional connection, not an outcome finding.</w:t>
      </w:r>
    </w:p>
    <w:p>
      <w:pPr>
        <w:pStyle w:val="SourceNote"/>
      </w:pPr>
      <w:r>
        <w:rPr>
          <w:b/>
        </w:rPr>
        <w:t>Available abstract (not full text):</w:t>
      </w:r>
      <w:r>
        <w:t xml:space="preserve"> • Shorter AES contracts are preferred, with aversion to long-term commitments. • High administrative burdens reduce land enrolled in agri-environment schemes. • Farmers with a successor commit more land to AES, reducing enrolment uncertainty. • Past AES experience affects contract choice and land allocation decisions. • Position ordering weakly influences preferences for contract duration and admin burden. The new Common Agriculture Policy (CAP) intends to give more freedom to countries to manage their budget while increasing funding for income support and provisioning of climate public goods from agriculture and farming. For the past 20 years this has been operationalised through incentivising farmers’ contract participation in agri-environmental schemes (AES). In this paper we examine through a two-stage approach, farmer preferences for contract characteristics in a multi-European country Discrete Choice Experiment (DCE) and the determinants of land enrolment in contracts. Overall, we find that longer contracts and high administrative burden decrease the probability of enrolling in a contract over the base levels while shorter contract length and provisioning of advisory support are desirable. Amongst all available contract options, converting arable to grassland options was by far the one that participants asked the most compensation for, across countries. We also find that </w:t>
      </w:r>
    </w:p>
    <w:p>
      <w:pPr/>
      <w:r>
        <w:rPr>
          <w:b/>
        </w:rPr>
        <w:t>POSSIBLE 2025:</w:t>
      </w:r>
      <w:r>
        <w:t xml:space="preserve"> Engineers 4 Europe Skills Strategy — https://openalex.org/W7112469904</w:t>
      </w:r>
    </w:p>
    <w:p>
      <w:pPr/>
      <w:r>
        <w:rPr>
          <w:b/>
        </w:rPr>
        <w:t>Shared claim-specific concepts:</w:t>
      </w:r>
      <w:r>
        <w:t xml:space="preserve"> affect, whole, industry; EU scope visible. This is a provisional connection, not an outcome finding.</w:t>
      </w:r>
    </w:p>
    <w:p>
      <w:pPr>
        <w:pStyle w:val="SourceNote"/>
      </w:pPr>
      <w:r>
        <w:rPr>
          <w:b/>
        </w:rPr>
        <w:t>Available abstract (not full text):</w:t>
      </w:r>
      <w:r>
        <w:t xml:space="preserve"> This document contributes to the overall objective and vision of the Engineers for Europe (E4E) ERASMUS+ project, which has been outlined as follows in the project application: The objective of E4E is - geared by the new requirements of the world of work - to prepare better equipped engineers through the acquisition of new competences, covering new knowledge, attitudes and leadership skills while focusing on digital, green, resilient and innovative entrepreneurship. E4E will bridge the gap between education and industry while operationalising EU competence frameworks (Dig Comp, Life Comp, EntreComp, Green Comp) for engineers. The Engineers for Europe (E4E) project is not an academic endeavour but an operational answer to the many challenges of the engineering profession in Europe. As a European project for the engineering profession "at large", the methodology we used in the research was not too granular and specific, precisely to identify trends that affect the profession across industries, functions and countries. Unlike thorough literature reviews - required for academic papers or publications - the goal of this document is to describe the challenges of the engineering profession from an operational perspective. The E4E project includes a variety of partners and as such they provides common ground to gauge the dynamics, challenges and opportunities of the engineering profess</w:t>
      </w:r>
    </w:p>
    <w:p>
      <w:pPr>
        <w:pStyle w:val="Heading2"/>
      </w:pPr>
      <w:r>
        <w:t>763. Delphi Prospection on Additive Manufacturing in 2030: Implications for Education and Employment in Spain</w:t>
      </w:r>
    </w:p>
    <w:p>
      <w:pPr>
        <w:pStyle w:val="SourceNote"/>
      </w:pPr>
      <w:r>
        <w:rPr>
          <w:b/>
        </w:rPr>
        <w:t>Original source (2018):</w:t>
      </w:r>
      <w:r>
        <w:t xml:space="preserve"> https://doi.org/10.3390/ma11091500</w:t>
      </w:r>
    </w:p>
    <w:p>
      <w:pPr/>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POSSIBLE 2026:</w:t>
      </w:r>
      <w:r>
        <w:t xml:space="preserve"> Assessment of the competitiveness of PJSC "Zaporizhstal" in the conditions of European integration — https://doi.org/10.37634/efp.2026.6.4e</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Introduction. The paper considers the assessment of the competitiveness of PJSC "Zaporizhstal". The purpose of the paper is to assess the competitiveness of PJSC "Zaporizhstal". Results. PJSC "Zaporizhstal" occupies a stable position in the metallurgy market, but management should pay attention to the level of advertising activities. The following can be selected as comparable areas of activity of the enterprise and its main competitors: the image of the company; quality, which is expressed in the product's compliance with the high level of goods of market leaders and is revealed during field marketing research: market price, taking into account possible discounts or mark-ups; finances - both own and easily mobilized: trade from the point of view of commercial methods and means; after-sales service, which allows the enterprise to secure a clientele, external policy, which represents the ability of the enterprise to positively manage its relations with the press and public opinion; pre-sales preparation, which characterizes the enterprise's ability not only to anticipate the requests of future buyers, but also to convince them of the exceptional possibilities of satisfying these needs. The list of questions can be detailed and supplemented by questions on the competitiveness of services and the effectiveness of marketing activities. Conclusions. The possibilities of effective ac</w:t>
      </w:r>
    </w:p>
    <w:p>
      <w:pPr/>
      <w:r>
        <w:rPr>
          <w:b/>
        </w:rPr>
        <w:t>POSSIBLE 2025:</w:t>
      </w:r>
      <w:r>
        <w:t xml:space="preserve"> History of sustainable finance regulation: the European Odyssey — https://doi.org/10.1108/jfrc-11-2024-0226</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Purpose This paper provides a comprehensive overview of the concept of sustainable finance in the European framework to contribute to the clarification of the term, to promote the understanding of the evolution of the phenomenon by presenting the main milestones in chronological sense and to present a matrix of regulatory interrelation to locate patterns of convergence, regulatory gaps and show feedback between actors. Although the origins of the concept date back to the 1960s, the term has become topical with the emergence of environmental, social and governance (ESG) responsibilities in the business world. Design/methodology/approach This study is framed in the field of legal historiography to understand the contemporary phenomenon of sustainability. To this end, in line with the approach of authors such as Paradisi (1973) or de Diego (1974), the evolution of European regulations and their documentation in the field of sustainable finance regulation since the 1960s is studied, to know the influence of standards in corporate contexts and vice versa, and to contribute to the promotion of reflective criticism of legal thought. Findings The complexity of the concept of financial sustainability is highlighted from a legal point of view with the growing and complex regulations issued by different European bodies and commissions. This paper aims to clarify the concept, for its prope</w:t>
      </w:r>
    </w:p>
    <w:p>
      <w:pPr/>
      <w:r>
        <w:rPr>
          <w:b/>
        </w:rPr>
        <w:t>POSSIBLE 2025:</w:t>
      </w:r>
      <w:r>
        <w:t xml:space="preserve"> Culture policy at a crossroads. 40 years of European Capitals of Culture and the strategy forward — https://doi.org/10.1446/118115</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In 2025, the European Capitals of Culture (ECoC) initiative, launched in 1985, celebrates its 40th anniversary. To mark this milestone and shape the process that will lead the EU institutions to the adoption of the new legal basis for ECoC hosts post-2033, the city of Chemnitz with the support of Nova Gorica, as the entitled ECoC cities for 2025, initiated an independent research project. This undertaking culminated in the White Paper ‘40 Recommendations from 40 Years of European Capitals of Culture’, an online open-source document presenting 40 proposals for the EU policymakers to redesign the ECoC action. This initiative emerges from a growing concern: despite the initiative’s proven appeal – more than 240 cities have applied and an estimated 52 million European citizens have engaged with the cultural programmes stemming from the title – the future of the ECoC remains uncertain within a geopolitical context where culture is increasingly sidelined in public budgets. Drawing on the research project promoted by the two ECoC 2025 and the resulting novel dataset of over 580 recommendations – gathered through semi-structured interviews with the ECoC managers of 64 out 82 cities that have been awarded the title since 1985 – this article proposes strategic recommendations for the future development of the ECoC’s conceptual and governance model. These proposals are organised into five</w:t>
      </w:r>
    </w:p>
    <w:p>
      <w:pPr/>
      <w:r>
        <w:rPr>
          <w:b/>
        </w:rPr>
        <w:t>POSSIBLE 2024:</w:t>
      </w:r>
      <w:r>
        <w:t xml:space="preserve"> The Path to a Sustainable Energy Europe: An Analysis of the Transition from Fossil Fuels to Renewable Energy — https://doi.org/10.37075/bjiep.2023.2.01</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The main purpose of this study is to investigate the application of predictive analytics techniques in the energy field and to identify strategies to stimulate renewable energy production. The analysis begins by examining four key indicators: renewable energy, gas price, gas consumption and renewable energy consumption through a detailed descriptive analysis. Visual graphs are built to get an overview of the evolution of the energy sector in the period 2011-2020 with the help of Tableau software. The analysis is supported by the use of the Random Forest algorithm as a prediction model, considering critical indicators such as gas price, gas consumption and renewable energy consumption. The prediction results provide insight into anticipating changes in renewable energy production in the European countries studied. At the same time, the study highlights the current situation of renewable energy in Europe and identifies the necessary measures for its sustainable development through the analysis of specialized literature. It also examines the way in which big data management, facilitated by technologies such as smart meters and drone sensors, can help improve the energy sector. This research offers valuable results, providing insights into the evolution of renewable and fossil energy, as well as a detailed comparison of renewable energy, gas prices, gas consumption and trends in re</w:t>
      </w:r>
    </w:p>
    <w:p>
      <w:pPr/>
      <w:r>
        <w:rPr>
          <w:b/>
        </w:rPr>
        <w:t>POSSIBLE 2023:</w:t>
      </w:r>
      <w:r>
        <w:t xml:space="preserve"> Hryhorii Skovoroda and Western European Philosophy: Between the Banks of Mysticism and Rationalism — https://doi.org/10.18523/2617-1678.2022.9-10.3-22</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The main purpose of this article is to establish links between the teachings of Hryhorii Skovoroda and the leading trends in Western philosophy of his time. Since the anticipated influences, similarities and parallels are mostly implicit, the main purpose of the study is to identify common motives for thinking, rather than direct dependence. Nevertheless, the biggest difficulty of this analysis is that it is not easy to enroll a Ukrainian philosopher in any modern intellectual movement. That is why his place in philosophy is somewhere at the crossroads between mystical and rationalist backgrounds. Initially, the author compares the views of German mystics with the concepts of Skovoroda. But the way of thinking of Skovoroda and the teachings of Meister Eckhart and Jacob Böhme – two prominent agents of this kind of mysticism – are analyzed in more detail. Mystics influenced the emergence of European Freemasonry, and this movement was established in Ukraine at Skovoroda’s period. However, it is not clear whether Skovoroda himself accepted these ideas. Further focus of the inquiry is on the Enlightenment. The question is: can Skovoroda’s philosophy be considered as Enlightenment thought? To find an answer to this question, two dissimilar Western representatives of this era, Immanuel Kant, and Jean-Jacques Rousseau, were chosen for comparison with Skovoroda. Finally, the philosophy </w:t>
      </w:r>
    </w:p>
    <w:p>
      <w:pPr/>
      <w:r>
        <w:rPr>
          <w:b/>
        </w:rPr>
        <w:t>POSSIBLE 2023:</w:t>
      </w:r>
      <w:r>
        <w:t xml:space="preserve"> Anticipating food price crises by reservoir computing — https://doi.org/10.1016/j.chaos.2023.113854</w:t>
      </w:r>
    </w:p>
    <w:p>
      <w:pPr/>
      <w:r>
        <w:rPr>
          <w:b/>
        </w:rPr>
        <w:t>Shared claim-specific concepts:</w:t>
      </w:r>
      <w:r>
        <w:t xml:space="preserve"> purpose, anticipate, trends; EU scope not established. This is a provisional connection, not an outcome finding.</w:t>
      </w:r>
    </w:p>
    <w:p>
      <w:pPr>
        <w:pStyle w:val="SourceNote"/>
      </w:pPr>
      <w:r>
        <w:rPr>
          <w:b/>
        </w:rPr>
        <w:t>Available abstract (not full text):</w:t>
      </w:r>
      <w:r>
        <w:t xml:space="preserve"> Anticipating price crises in the market of agri-commodities is critical to guarantee both the sustainability of the food system and to ensure food security. However, this is not an easy task, since the problem implies analyzing small and very volatile time series, which are highly influenced by external factors. In this paper, we show that suitable reservoir computing algorithms can be developed that outperform traditional approaches, by reducing the Mean Absolute Error and, more importantly, increasing the Market Direction Accuracy. For this purpose, the applicability of five variants of such method to forecast this market is explored, and their performance evaluated by comparing the results with those obtained with the standard LSTM and SARIMA benchmarks. We conclude that decomposing the time series and modeling each component with a separate RCis essential to successfully anticipate price trends, and that this method works even in the complex changing temporal scenario of the Covid-19 pandemic, when part of the data were collected.</w:t>
      </w:r>
    </w:p>
    <w:p>
      <w:pPr/>
      <w:r>
        <w:rPr>
          <w:b/>
        </w:rPr>
        <w:t>POSSIBLE 2022:</w:t>
      </w:r>
      <w:r>
        <w:t xml:space="preserve"> Data Driven Predictive Models Based on Artificial Intelligence to Anticipate the Presence of Plasmopara Viticola and Uncinula Necator in Southern European Winegrowing Regions — https://doi.org/10.3233/faia220333</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Downy and powdery mildews are two of the main diseases threatening grapevine cultivation worldwide caused by the phytopathogens Plasmopara viticola and Uncinula necator, respectively. These diseases may cause severe damage to grapevines by inducing wilting of plant organs, including bunches, especially when vines are untreated. This fact, together with the widespread of these pathogens due to the large extensions of land dedicated to grapevine monoculture, makes necessary to develop new predictive modeling tools that allow anticipating disease appearance in the vineyard, minimizing the losses in fruit yield and quality, and helping farmers in defining appropriate and more sustainable disease management strategies (fungicides applied at the right time and dose). For this purpose, farms located in three countries (Portugal, Spain, and Italy) were selected to study the relationship between the microclimatic characteristics of the plots, the phenological stage of the plants throughout the annual cycle, and the presence of both pathogens using different Machine and Deep Learning classification algorithms: Logistic Regression, Decision Trees, Random Forest, Gradient Boosting, K-Nearest Neighbors, Naïve Bayes, Support Vector Machines, and Deep Neural Networks. The results showed that, after an entire annual grapevine cycle, the best performing models were Support Vector Machines for d</w:t>
      </w:r>
    </w:p>
    <w:p>
      <w:pPr/>
      <w:r>
        <w:rPr>
          <w:b/>
        </w:rPr>
        <w:t>POSSIBLE 2022:</w:t>
      </w:r>
      <w:r>
        <w:t xml:space="preserve"> Potential impact of four invasive alien plants on the provision of ecosystem services in Europe under present and future climatic scenarios — https://doi.org/10.1016/j.ecoser.2022.101459</w:t>
      </w:r>
    </w:p>
    <w:p>
      <w:pPr/>
      <w:r>
        <w:rPr>
          <w:b/>
        </w:rPr>
        <w:t>Shared claim-specific concepts:</w:t>
      </w:r>
      <w:r>
        <w:t xml:space="preserve"> anticipate, main, trends; EU scope visible. This is a provisional connection, not an outcome finding.</w:t>
      </w:r>
    </w:p>
    <w:p>
      <w:pPr>
        <w:pStyle w:val="SourceNote"/>
      </w:pPr>
      <w:r>
        <w:rPr>
          <w:b/>
        </w:rPr>
        <w:t>Available abstract (not full text):</w:t>
      </w:r>
      <w:r>
        <w:t xml:space="preserve"> Invasive alien species (IAS) are one of the main threats to biodiversity conservation, with significant socio-economic and ecological impacts as they disrupt ecosystem services and compromise human well-being. Global change may exacerbate the impacts of IAS, since rising temperatures and human activities favour their introduction and range expansion. Therefore, anticipating the impacts of biological invasions is crucial to support decision-making for their management. In this work, the potential impacts of four invasive alien plant species: Ailanthus altissima, Baccharis halimifolia, Impatiens glandulifera and Pueraria montana, on the provision of three ecosystem services in Europe were evaluated under current and future climate change scenarios. Using a risk analysis protocol, we determined that the most affected services are food provisioning, soil erosion regulation and the maintenance of biological diversity. To evaluate future impacts, species distribution models were calibrated using bioclimatic, environmental and human impact variables. We found that most of continental Europe is suitable for the establishment of A. altissima, B. halimifolia and I. glandulifera, while the potential distribution of P. montana is more limited. Models anticipate a shift in the distribution range for the species towards the north and east of Europe under future scenarios. Bivariate analysis </w:t>
      </w:r>
    </w:p>
    <w:p>
      <w:pPr/>
      <w:r>
        <w:rPr>
          <w:b/>
        </w:rPr>
        <w:t>POSSIBLE 2021:</w:t>
      </w:r>
      <w:r>
        <w:t xml:space="preserve"> Review: Anticipating alternative trajectories for responsible Agriculture 4.0 innovation in livestock systems — https://doi.org/10.1016/j.animal.2021.100296</w:t>
      </w:r>
    </w:p>
    <w:p>
      <w:pPr/>
      <w:r>
        <w:rPr>
          <w:b/>
        </w:rPr>
        <w:t>Shared claim-specific concepts:</w:t>
      </w:r>
      <w:r>
        <w:t xml:space="preserve"> anticipate, main, enable, trends; EU scope not established. This is a provisional connection, not an outcome finding.</w:t>
      </w:r>
    </w:p>
    <w:p>
      <w:pPr>
        <w:pStyle w:val="SourceNote"/>
      </w:pPr>
      <w:r>
        <w:rPr>
          <w:b/>
        </w:rPr>
        <w:t>Available abstract (not full text):</w:t>
      </w:r>
      <w:r>
        <w:t xml:space="preserve"> Technological change has been a constant feature of livestock systems leading to the third agricultural 'green' revolution of the mid-20th century. Digital technologies are now leading us into the fourth agricultural revolution, where sustainable food production is supported by technologies that collect data useful for farm and supply chain performance improvement, along with task automation and compliance. However, the potential benefits of digital agricultural futures are uncertain and plagued by unrealized expectations of previous innovations. The aims of this paper are to articulate current trends in technology and livestock systems and anticipate future trajectories for Agriculture 4.0 in relation to meeting sustainability and animal welfare outcomes for livestock systems. We use a 'Futures Triangle' approach to review the role of technology in livestock systems. The main findings are that previous work envisioning technological livestock futures have favoured pull of the future factors (techno-optimists) or weight of the past (techno-pessimists), rather than a balance of pull, push and weighting factors. Responsible Agriculture 4.0 innovation requires public-private collaboration of innovation system stakeholders, including policy makers, farmers, consumers, as well as technology developers, to enable development of transition pathways from a systems perspective. The use </w:t>
      </w:r>
    </w:p>
    <w:p>
      <w:pPr/>
      <w:r>
        <w:rPr>
          <w:b/>
        </w:rPr>
        <w:t>POSSIBLE 2020:</w:t>
      </w:r>
      <w:r>
        <w:t xml:space="preserve"> Reservoir Governance in World's Water Towers Needs to Anticipate Multi‐purpose Use — https://doi.org/10.1029/2020ef001643</w:t>
      </w:r>
    </w:p>
    <w:p>
      <w:pPr/>
      <w:r>
        <w:rPr>
          <w:b/>
        </w:rPr>
        <w:t>Shared claim-specific concepts:</w:t>
      </w:r>
      <w:r>
        <w:t xml:space="preserve"> purpose, anticipate; EU scope visible. This is a provisional connection, not an outcome finding.</w:t>
      </w:r>
    </w:p>
    <w:p>
      <w:pPr>
        <w:pStyle w:val="SourceNote"/>
      </w:pPr>
      <w:r>
        <w:rPr>
          <w:b/>
        </w:rPr>
        <w:t>Available abstract (not full text):</w:t>
      </w:r>
      <w:r>
        <w:t xml:space="preserve">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r>
        <w:rPr>
          <w:b/>
        </w:rPr>
        <w:t>POSSIBLE 2020:</w:t>
      </w:r>
      <w:r>
        <w:t xml:space="preserve"> EUROPEAN LONGITUDE PRIZES. I: LONGITUDE DETERMINATION IN THE SPANISH EMPIRE — https://doi.org/10.3724/sp.j.1440-2807.2020.03.03</w:t>
      </w:r>
    </w:p>
    <w:p>
      <w:pPr/>
      <w:r>
        <w:rPr>
          <w:b/>
        </w:rPr>
        <w:t>Shared claim-specific concepts:</w:t>
      </w:r>
      <w:r>
        <w:t xml:space="preserve"> spanish, performed, enable; EU scope visible. This is a provisional connection, not an outcome finding.</w:t>
      </w:r>
    </w:p>
    <w:p>
      <w:pPr>
        <w:pStyle w:val="SourceNote"/>
      </w:pPr>
      <w:r>
        <w:rPr>
          <w:b/>
        </w:rPr>
        <w:t>Available abstract (not full text):</w:t>
      </w:r>
      <w:r>
        <w:t xml:space="preserve"> Following Columbus' voyages to the Americas, Castilian (Spanish) and Portuguese rulers engaged in heated geopolitical competition, which was eventually reconciled through a number of treaties that divided the world into two unequal hemispheres. However, the early-sixteenth-century papal demarcation line was poorly defined. Expressed in degrees with respect to a vague reference location, determination of longitude at sea became crucial in the nations' quest for expanding spheres of influence. In Spain, King Philip II and his son, Philip III, announced generous rewards for those whose solutions to the longitude problem performed well in sea trials and which were suitable for practical implementation. The potential reward generated significant interest from scientist-scholars and opportunists alike. The solutions proposed and the subset taken to sea provided important physical insights that still resonate today. None of the numerous approaches based on compass readings ('magnetic declination') passed the exacting sea trials, but the brightest sixteenth-century minds already anticipated that lunar distances and the use of marine timepieces would eventually enable more precise navigation. With most emphasis in the English-language literature focused on longitude solutions developed in Britain, France and the Low Countries, the earlier yet ground-breaking Spanish efforts have, undese</w:t>
      </w:r>
    </w:p>
    <w:p>
      <w:pPr/>
      <w:r>
        <w:rPr>
          <w:b/>
        </w:rPr>
        <w:t>POSSIBLE 2020:</w:t>
      </w:r>
      <w:r>
        <w:t xml:space="preserve"> Spain — https://doi.org/10.4324/9780429263736-8</w:t>
      </w:r>
    </w:p>
    <w:p>
      <w:pPr/>
      <w:r>
        <w:rPr>
          <w:b/>
        </w:rPr>
        <w:t>Shared claim-specific concepts:</w:t>
      </w:r>
      <w:r>
        <w:t xml:space="preserve"> purpose, main, spanish; EU scope visible. This is a provisional connection, not an outcome finding.</w:t>
      </w:r>
    </w:p>
    <w:p>
      <w:pPr>
        <w:pStyle w:val="SourceNote"/>
      </w:pPr>
      <w:r>
        <w:rPr>
          <w:b/>
        </w:rPr>
        <w:t>Available abstract (not full text):</w:t>
      </w:r>
      <w:r>
        <w:t xml:space="preserve"> The main purpose of this chapter is to map the principle structural and policy frameworks governing the integration of immigrants in Spain. This case study is a clear example of a practical approach and ‘multiple diversity’, where two frameworks interact: an old, unresolved one, arising from democratic transition and based on what Kymlicka described as plurinational, and a new one due to immigration, described as polyethnic. Spain’s specific geographical location is at the border of Europe. This entrance to the Schengen space has faced important flows of migration from the south. The multilevel governance of integration impacts on the distribution of competences on integration and the fact that multiple integration policy approaches can coexist, with their own intergovernmental tensions. We argue that the volume and intensity of international migratory flows in Spain – which experienced an extraordinary migratory boom at the beginning of the twenty-first century and a severe economic recession from 2008 – together with the construction of European Union architecture, determined a reactive type of migration and integration policy, with notable contrasts according to the different administrative levels contemplated. As we show, the Spanish case makes explicit the multilevel argument that it is at the level of the territorial distribution of competences that most governance tensio</w:t>
      </w:r>
    </w:p>
    <w:p>
      <w:pPr>
        <w:pStyle w:val="Heading2"/>
      </w:pPr>
      <w:r>
        <w:t>764. Drivers, trends and scenarios for the future of health in Europe. Impressions from the FRESHER project</w:t>
      </w:r>
    </w:p>
    <w:p>
      <w:pPr>
        <w:pStyle w:val="SourceNote"/>
      </w:pPr>
      <w:r>
        <w:rPr>
          <w:b/>
        </w:rPr>
        <w:t>Original source (2018):</w:t>
      </w:r>
      <w:r>
        <w:t xml:space="preserve"> https://doi.org/10.1007/s40309-017-0118-4</w:t>
      </w:r>
    </w:p>
    <w:p>
      <w:pPr/>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POSSIBLE 2026:</w:t>
      </w:r>
      <w:r>
        <w:t xml:space="preserve"> A systematic review of foresight methods used in the formulation of futures scenarios: evidence from articles indexed in scopus and web of science (2014–2023) — https://doi.org/10.1186/s40309-026-00298-4</w:t>
      </w:r>
    </w:p>
    <w:p>
      <w:pPr/>
      <w:r>
        <w:rPr>
          <w:b/>
        </w:rPr>
        <w:t>Shared claim-specific concepts:</w:t>
      </w:r>
      <w:r>
        <w:t xml:space="preserve"> foresight, health, beyond; EU scope not established. This is a provisional connection, not an outcome finding.</w:t>
      </w:r>
    </w:p>
    <w:p>
      <w:pPr>
        <w:pStyle w:val="SourceNote"/>
      </w:pPr>
      <w:r>
        <w:rPr>
          <w:b/>
        </w:rPr>
        <w:t>Available abstract (not full text):</w:t>
      </w:r>
      <w:r>
        <w:t xml:space="preserve">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health;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beyond;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project;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2025:</w:t>
      </w:r>
      <w:r>
        <w:t xml:space="preserve"> Territorialising Resilience: Transforming Europe for an Age of Crisis (TERRES) Case studies Annex 1 of the Final Report — https://openalex.org/W7217109416</w:t>
      </w:r>
    </w:p>
    <w:p>
      <w:pPr/>
      <w:r>
        <w:rPr>
          <w:b/>
        </w:rPr>
        <w:t>Shared claim-specific concepts:</w:t>
      </w:r>
      <w:r>
        <w:t xml:space="preserve"> project, beyond; EU scope visible. This is a provisional connection, not an outcome finding.</w:t>
      </w:r>
    </w:p>
    <w:p>
      <w:pPr>
        <w:pStyle w:val="SourceNote"/>
      </w:pPr>
      <w:r>
        <w:rPr>
          <w:b/>
        </w:rPr>
        <w:t>Available abstract (not full text):</w:t>
      </w:r>
      <w:r>
        <w:t xml:space="preserve">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health, care, affect;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For Digital Health 2030: Scenarios, Barriers, And Enablers for A Sustainable Future — https://doi.org/10.47191/ijsshr/v8-i2-11</w:t>
      </w:r>
    </w:p>
    <w:p>
      <w:pPr/>
      <w:r>
        <w:rPr>
          <w:b/>
        </w:rPr>
        <w:t>Shared claim-specific concepts:</w:t>
      </w:r>
      <w:r>
        <w:t xml:space="preserve"> foresight, project, health, regulation, stakeholders, patient; EU scope visible. This is a provisional connection, not an outcome finding.</w:t>
      </w:r>
    </w:p>
    <w:p>
      <w:pPr>
        <w:pStyle w:val="SourceNote"/>
      </w:pPr>
      <w:r>
        <w:rPr>
          <w:b/>
        </w:rPr>
        <w:t>Available abstract (not full text):</w:t>
      </w:r>
      <w:r>
        <w:t xml:space="preserve"> Digital health is rapidly transforming European healthcare systems, offering opportunities to improve patient outcomes, enhance service delivery, and drive innovation. However, its future is shaped by numerous uncertainties related to regulation, technological advancements, and societal acceptance. The CONNECTINGHEALTH project conducted a structured foresight exercise to explore these dynamics through a series of thematic workshops engaging key stakeholders from across the sector. Four future scenarios were developed, each reflecting different potential directions for digital health in Europe by 2030. These scenarios highlight the critical role of policy development and public empowerment in determining the pace and scope of digital health adoption. This paper presents the methodology, findings, and recommendations derived from the workshops, providing a roadmap for decision-makers aiming to navigate the evolving digital health landscape.</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project, stakeholders,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A scoping review of horizon scanning approaches used to identify emerging research methods — https://doi.org/10.3310/nihropenres.13981.1</w:t>
      </w:r>
    </w:p>
    <w:p>
      <w:pPr/>
      <w:r>
        <w:rPr>
          <w:b/>
        </w:rPr>
        <w:t>Shared claim-specific concepts:</w:t>
      </w:r>
      <w:r>
        <w:t xml:space="preserve"> health, care, trends; EU scope not established. This is a provisional connection, not an outcome finding.</w:t>
      </w:r>
    </w:p>
    <w:p>
      <w:pPr>
        <w:pStyle w:val="SourceNote"/>
      </w:pPr>
      <w:r>
        <w:rPr>
          <w:b/>
        </w:rPr>
        <w:t>Available abstract (not full text):</w:t>
      </w:r>
      <w:r>
        <w:t xml:space="preserve"> Background Horizon scanning is an exploratory research method used to identify, select, and analyse information to detect signals and trends related to new and emerging innovations using pre-defined and explicit methods. It has the potential to play a role in anticipating methodological research trends and innovations, helping to deliver therapies to patients faster. However, the extent to which horizon scanning has been applied to identify emerging research methods is unclear. Objectives This scoping review explores if and how horizon scanning has been used to identify research methods in any field, setting or location. Methods Eligibility was based on the Population, Concept and Context framework: Any information source that used horizon scanning to identify research methods was eligible for inclusion. Two reviewers independently screened titles/abstracts and then full texts. Following a pilot phase, one reviewer extracted data, and three others performed data accuracy checks. Results Five studies published between 2017 and 2024 met the eligibility criteria, and a further 13 partially met the eligibility criteria and are summarised separately. The five fully included studies belonged to the environmental, ecological, and earth science disciplines. Using the horizon scanning system defined by the EuroScan network, the most reported was signal detection. A literature review was</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policy-making;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2025:</w:t>
      </w:r>
      <w:r>
        <w:t xml:space="preserve"> The NIHR Public Health Research Review Programme (2019–2025) — https://doi.org/10.3310/gdjr8546</w:t>
      </w:r>
    </w:p>
    <w:p>
      <w:pPr/>
      <w:r>
        <w:rPr>
          <w:b/>
        </w:rPr>
        <w:t>Shared claim-specific concepts:</w:t>
      </w:r>
      <w:r>
        <w:t xml:space="preserve"> project, health, stakeholders, care; EU scope not established. This is a provisional connection, not an outcome finding.</w:t>
      </w:r>
    </w:p>
    <w:p>
      <w:pPr>
        <w:pStyle w:val="SourceNote"/>
      </w:pPr>
      <w:r>
        <w:rPr>
          <w:b/>
        </w:rPr>
        <w:t>Available abstract (not full text):</w:t>
      </w:r>
      <w:r>
        <w:t xml:space="preserve"> Background: The Public Health Review Team, University of Sheffield, was commissioned to deliver a programme of public health evidence synthesis projects. The review programme (2019-25) provided a unique opportunity to develop effective and efficient processes to maximise the value and impact of evidence synthesis for public health practitioners, policy-makers, commissioners and research funders. Objectives: The overall purpose of the programme was to deliver evidence reviews that could inform the commissioning of further primary research and directly inform public health policy and practice. This synopsis summarises the programme content and reflects on lessons learnt. Methods: Diverse appropriate methods were used for individual reviews to ensure the timely and efficient production of evidence synthesis products that were as useful as possible to the relevant stakeholders and decision-makers. These included an umbrella review (review of reviews), mapping reviews, systematic reviews, rapid reviews and evidence briefings. The majority of reviews were informed by both public and practitioner involvement, from defining the review questions and identification of relevant evidence to interpreting and disseminating the findings. Both established public panels and topic-specific groups with relevant lived experience recruited for individual projects were involved in the review process</w:t>
      </w:r>
    </w:p>
    <w:p>
      <w:pPr/>
      <w:r>
        <w:rPr>
          <w:b/>
        </w:rPr>
        <w:t>POSSIBLE 2025:</w:t>
      </w:r>
      <w:r>
        <w:t xml:space="preserve"> The Importance Foresight Internet of Things, Virtual Reality and Telemedicine in Health Care — https://doi.org/10.11648/j.ijdst.20251101.12</w:t>
      </w:r>
    </w:p>
    <w:p>
      <w:pPr/>
      <w:r>
        <w:rPr>
          <w:b/>
        </w:rPr>
        <w:t>Shared claim-specific concepts:</w:t>
      </w:r>
      <w:r>
        <w:t xml:space="preserve"> foresight, health, care, patient, successful, trends; EU scope not established. This is a provisional connection, not an outcome finding.</w:t>
      </w:r>
    </w:p>
    <w:p>
      <w:pPr>
        <w:pStyle w:val="SourceNote"/>
      </w:pPr>
      <w:r>
        <w:rPr>
          <w:b/>
        </w:rPr>
        <w:t>Available abstract (not full text):</w:t>
      </w:r>
      <w:r>
        <w:t xml:space="preserve"> Background: Future studies are the science of shaping the future, in a conscious, scientific, and future-thinking way that protects people from surprises from a storm of dramatic changes and developments. Foresight is a systematic way of looking at the long-term future and making appropriate decisions. This knowledge is a type of study method that strives to unite and integrate the talents and abilities of individuals to create a desirable and ideal future for themselves. Researchers with different research methods emphasize the study of various technological solutions to increase the quantity and quality of healthcare delivery. We need deeper research to get a good understanding of these technologies. The development of health technologies can improve health levels, living standards, and economic growth, and some of these technologies such as telemedicine, the Internet of things, the 3D virtual world, etc. Have reduced medical costs and medical malpractice. Nevertheless, new technologies related to diagnosis, prevention, and rehabilitation will lead to changes in the methods of healthcare delivery. So various technologies create new and different demands and due to widespread changes in health technologies, foresight, and future thinking in health technologies are of great importance. Objective: These studies provide valuable insights into the future trends and potential impac</w:t>
      </w:r>
    </w:p>
    <w:p>
      <w:pPr>
        <w:pStyle w:val="Heading2"/>
      </w:pPr>
      <w:r>
        <w:t>765. EUHFORIA: European heliospheric forecasting information asset</w:t>
      </w:r>
    </w:p>
    <w:p>
      <w:pPr>
        <w:pStyle w:val="SourceNote"/>
      </w:pPr>
      <w:r>
        <w:rPr>
          <w:b/>
        </w:rPr>
        <w:t>Original source (2018):</w:t>
      </w:r>
      <w:r>
        <w:t xml:space="preserve"> https://doi.org/10.1051/swsc/2018020</w:t>
      </w:r>
    </w:p>
    <w:p>
      <w:pPr/>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implementation, agreement;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M$^2$Weather: A Benchmark for Joint Multi-Station and Multi-Variable Weather Forecasting — https://doi.org/10.48550/arxiv.2610.00370</w:t>
      </w:r>
    </w:p>
    <w:p>
      <w:pPr/>
      <w:r>
        <w:rPr>
          <w:b/>
        </w:rPr>
        <w:t>Shared claim-specific concepts:</w:t>
      </w:r>
      <w:r>
        <w:t xml:space="preserve"> weather, information; EU scope visible. This is a provisional connection, not an outcome finding.</w:t>
      </w:r>
    </w:p>
    <w:p>
      <w:pPr>
        <w:pStyle w:val="SourceNote"/>
      </w:pPr>
      <w:r>
        <w:rPr>
          <w:b/>
        </w:rPr>
        <w:t>Available abstract (not full text):</w:t>
      </w:r>
      <w:r>
        <w:t xml:space="preserve"> Station weather forecasting is fundamentally shaped by both complex spatial dependencies across stations and strong physical coupling among weather variables. However, existing studies often consider these relationships separately and use different datasets and experimental settings, hindering systematic assessment of their individual and joint contributions. In this paper, we introduce $M^2$Weather, a benchmark for joint multi-station and multi-variable weather forecasting. Through multi-criteria quality control and station stratification, we collect 2,809 high-quality stations with 5 physically coupled weather variables across three spatial scales: France, Europe, and Global. This multi-scale design lets us examine whether conclusions persist from national to global station networks. We also introduce unified training and evaluation protocols to enable fair comparison of different station-variable modeling paradigms. To further examine the benefits of modeling station-variable relationships, we design a lightweight, plug-and-play adapter. With a trained weather forecasting model, this adapter can introduce missing station or variable relationships without retraining the model. This enables fair and efficient investigation of station-variable relationships. Systematic evaluation of 16 representative models shows the benefits of jointly modeling station and variable relationshi</w:t>
      </w:r>
    </w:p>
    <w:p>
      <w:pPr/>
      <w:r>
        <w:rPr>
          <w:b/>
        </w:rPr>
        <w:t>POSSIBLE 2026:</w:t>
      </w:r>
      <w:r>
        <w:t xml:space="preserve"> Fourier Geometric Wind Power Forecasting with Numerical Weather Prediction — https://openalex.org/W7170111850</w:t>
      </w:r>
    </w:p>
    <w:p>
      <w:pPr/>
      <w:r>
        <w:rPr>
          <w:b/>
        </w:rPr>
        <w:t>Shared claim-specific concepts:</w:t>
      </w:r>
      <w:r>
        <w:t xml:space="preserve"> implementation, first, weather, capture; EU scope not established. This is a provisional connection, not an outcome finding.</w:t>
      </w:r>
    </w:p>
    <w:p>
      <w:pPr>
        <w:pStyle w:val="SourceNote"/>
      </w:pPr>
      <w:r>
        <w:rPr>
          <w:b/>
        </w:rPr>
        <w:t>Available abstract (not full text):</w:t>
      </w:r>
      <w:r>
        <w:t xml:space="preserve"> Accurate short-term wind power forecasting is essential for grid stability and operational planning, yet remains challenging due to the complex interactions between atmospheric conditions and turbine dynamics. However, existing methods fail to effectively incorporate weather forecasting with wind turbine data (i.e., SCADA), leading to suboptimal solutions. To address this, we introduce a multimodal framework that integrates historical point-based SCADA data with grid-based Numerical Weather Prediction (NWP) forecasts, which is challenging due to heterogeneous input and the complex physical wind-turbine interactions. Our approach first explicitly decomposes inputs into scalar and vector features to better capture both site-specific and geometric dependencies and then incorporates a geometric encoder to extract rotation-invariant features from wind vectors. We further leverages a Fourier Neural Operator (FNO) architecture, which performs global convolutions in the frequency domain to efficiently model long-range spatiotemporal relationships. Extensive experiments on three real-world wind farms, with weather forecasting data, demonstrate that our model consistently outperforms state-of-the-art baselines, highlighting the effectiveness of its physically-informed design. The core implementation of our method is publicly available at: https://github.com/shawn-sypiao/GWPF.</w:t>
      </w:r>
    </w:p>
    <w:p>
      <w:pPr/>
      <w:r>
        <w:rPr>
          <w:b/>
        </w:rPr>
        <w:t>POSSIBLE 2025:</w:t>
      </w:r>
      <w:r>
        <w:t xml:space="preserve"> An Implementation of European Green Deal into the European Union law — https://openalex.org/W7164873981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2025:</w:t>
      </w:r>
      <w:r>
        <w:t xml:space="preserve"> New Policy in Doctoral Education in Poland. First Conclusions of Implementing Doctoral Schools — https://doi.org/10.1111/hequ.70074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pPr/>
      <w:r>
        <w:rPr>
          <w:b/>
        </w:rPr>
        <w:t>POSSIBLE 2025:</w:t>
      </w:r>
      <w:r>
        <w:t xml:space="preserve"> Towards implementing workflows for essential biodiversity variables at a European scale — https://doi.org/10.1016/j.gecco.2025.e03699</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Biodiversity is declining, prompting new multilateral treaties and environmental legislation. To track the progress of these efforts, a comprehensive monitoring network is essential. For the European Union (EU), the EuropaBON network has proposed a biodiversity observation network (BON) based on 84 Essential Biodiversity Variables (EBVs). These encompass species and habitats in the freshwater, marine, and terrestrial realms. Generating EBVs will require implementing workflows, including data collection, integration, and modelling. Here, we present the first conceptual representation of EBV workflows for guiding the future implementation of EBVs in a European BON based on insights from an EU-wide stakeholder consultation that engaged hundreds of experts in science, policy, and practice. Results suggest that implementing EBV workflows requires to incorporate advanced monitoring methods, enhance geographic, taxonomic, and temporal coverage, harmonize heterogeneous data, apply metadata standards, and develop new spatial models and quantitative indicators. Recommendations include enhancing monitoring techniques such as digital sensors, DNA-based methods and citizen science for species-focused EBVs, as well as satellite and aerial remote sensing for ecosystem-focused EBVs. For operationalizing a European BON, species-focused EBVs require better national, regional, and European data i</w:t>
      </w:r>
    </w:p>
    <w:p>
      <w:pPr/>
      <w:r>
        <w:rPr>
          <w:b/>
        </w:rPr>
        <w:t>POSSIBLE 2025:</w:t>
      </w:r>
      <w:r>
        <w:t xml:space="preserve"> Using codesign to support the implementation of a midwifery unit in Europe — https://doi.org/10.1016/j.midw.2025.104503</w:t>
      </w:r>
    </w:p>
    <w:p>
      <w:pPr/>
      <w:r>
        <w:rPr>
          <w:b/>
        </w:rPr>
        <w:t>Shared claim-specific concepts:</w:t>
      </w:r>
      <w:r>
        <w:t xml:space="preserve"> implementation, first, information;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Tailor a comprehensive design of OneArgo for its European implementation — https://doi.org/10.5194/egusphere-egu25-19623</w:t>
      </w:r>
    </w:p>
    <w:p>
      <w:pPr/>
      <w:r>
        <w:rPr>
          <w:b/>
        </w:rPr>
        <w:t>Shared claim-specific concepts:</w:t>
      </w:r>
      <w:r>
        <w:t xml:space="preserve"> implementation, first, weather, information, presented, situ; EU scope visible. This is a provisional connection, not an outcome finding.</w:t>
      </w:r>
    </w:p>
    <w:p>
      <w:pPr>
        <w:pStyle w:val="SourceNote"/>
      </w:pPr>
      <w:r>
        <w:rPr>
          <w:b/>
        </w:rPr>
        <w:t>Available abstract (not full text):</w:t>
      </w:r>
      <w:r>
        <w:t xml:space="preserve"> The ocean plays a key role in the climate system, and therefore in the climate change threat. About 90% of the heat excess absorbed since the 1970’s is stored in the ocean and changes in the hydrological cycle related to climate change are also strongly manifested in the ocean. In addition, the ocean acts as a net anthropogenic carbon sink, presently assessed as one fourth of the global uptake, and a moderator of climate change. It is therefore of paramount importance to monitor key ocean properties over long periods, with a global coverage.Argo has transformed the way of ocean observing in the last decades and is the most important source of in situ marine data. As a major component of both the Global Ocean Observing System and the Global Climate Observing System, it provides near-real time data for forecasting and reanalysis services and high-quality data for climate research. Its implementation began in 1999, reaching a global coverage since 2007 (Roemmich et al. 2009). Originally designed to provide temperature and salinity profiles in the upper 2 000 m of the ice-free ocean (Core-Argo mission), the array has been expanded into seasonal ice zones (Polar-Argo mission), as well as in marginal seas. Successful pilot studies have shown the scientific added-value and the technology readiness to extend its mission towards greater depths (Deep-Argo mission) and biogeochemistry (BG</w:t>
      </w:r>
    </w:p>
    <w:p>
      <w:pPr/>
      <w:r>
        <w:rPr>
          <w:b/>
        </w:rPr>
        <w:t>POSSIBLE 2025:</w:t>
      </w:r>
      <w:r>
        <w:t xml:space="preserve"> Arctic Weather Satellite, A Microsatellite Constellation for Improved Weather Forecasting in Arctic and Globally — https://doi.org/10.26077/hjh7-ax68</w:t>
      </w:r>
    </w:p>
    <w:p>
      <w:pPr/>
      <w:r>
        <w:rPr>
          <w:b/>
        </w:rPr>
        <w:t>Shared claim-specific concepts:</w:t>
      </w:r>
      <w:r>
        <w:t xml:space="preserve"> implementation, weather, information, highly; EU scope visible. This is a provisional connection, not an outcome finding.</w:t>
      </w:r>
    </w:p>
    <w:p>
      <w:pPr>
        <w:pStyle w:val="SourceNote"/>
      </w:pPr>
      <w:r>
        <w:rPr>
          <w:b/>
        </w:rPr>
        <w:t>Available abstract (not full text):</w:t>
      </w:r>
      <w:r>
        <w:t xml:space="preserve"> A consortium led by OHB Sweden has started the implementation of a prototype satellite for a possible constellation mission called Arctic Weather Satellite (AWS). This constellation of small satellites in low polar orbits would provide frequent coverage of the polar regions to support improved nowcasting and Numerical Weather Prediction (NWP) of the Arctic and Antarctic regions. The AWS mission is designed to be complementary to the existing polar-orbiting, meteorological satellites (e.g. MetOp and MetOp Second Generation (SG)), providing additional atmospheric sounding information to improve NWP on a global scale. The 120 kg AWS prototype satellite will fly in a ~600km sun-synchronous orbit and is based on OHB Sweden’s InnoSat platform. The payload is across-track scanning, passive microwave radiometer from Omnisys Instruments with 4 frequency bands to provide atmospheric sounding information complementary to the microwave radiometers on MetOp-SG. Global data will be stored onboard the satellite for data dumps over specific regions as well as broadcasted worldwide in real time. The ground segment contains a highly innovative Digital Beam Forming Network (DBFN) ground station from Thales allowing tracking of multiple satellites simultaneously. The final constellation is foreseen to provide data with less than 30-minute latency over the entire Arctic region.</w:t>
      </w:r>
    </w:p>
    <w:p>
      <w:pPr/>
      <w:r>
        <w:rPr>
          <w:b/>
        </w:rPr>
        <w:t>POSSIBLE 2025:</w:t>
      </w:r>
      <w:r>
        <w:t xml:space="preserve"> CLLMate: A Multimodal Benchmark for Weather and Climate Events Forecasting — https://doi.org/10.18653/v1/2025.emnlp-main.886</w:t>
      </w:r>
    </w:p>
    <w:p>
      <w:pPr/>
      <w:r>
        <w:rPr>
          <w:b/>
        </w:rPr>
        <w:t>Shared claim-specific concepts:</w:t>
      </w:r>
      <w:r>
        <w:t xml:space="preserve"> first, weather; EU scope not established. This is a provisional connection, not an outcome finding.</w:t>
      </w:r>
    </w:p>
    <w:p>
      <w:pPr>
        <w:pStyle w:val="SourceNote"/>
      </w:pPr>
      <w:r>
        <w:rPr>
          <w:b/>
        </w:rPr>
        <w:t>Available abstract (not full text):</w:t>
      </w:r>
      <w:r>
        <w:t xml:space="preserve"> Forecasting weather and climate events is crucial for making appropriate measures to mitigate environmental hazards and minimize losses.However, existing environmental forecasting research focuses narrowly on predicting numerical meteorological variables (e.g., temperature), neglecting the translation of these variables into actionable textual narratives of events and their consequences.To bridge this gap, we proposed Weather and Climate Event Forecasting (WCEF), a new task that leverages numerical meteorological raster data and textual event data to predict weather and climate events.This task is challenging to accomplish due to difficulties in aligning multimodal data and the lack of supervised datasets.To address these challenges, we present CLLMate, the first multimodal dataset for WCEF, using 26,156 environmental news articles aligned with ERA5 reanalysis data.We systematically benchmark 32 existing models on CLLMate, including closed-source, open-source, and our fine-tuned models.Our experiments reveal the advantages and limitations of existing MLLMs and the value of CLLMate for the training and benchmarking of the WCEF task.The dataset is available at https://github.com/hobolee/ CLLMate.</w:t>
      </w:r>
    </w:p>
    <w:p>
      <w:pPr/>
      <w:r>
        <w:rPr>
          <w:b/>
        </w:rPr>
        <w:t>POSSIBLE 2025:</w:t>
      </w:r>
      <w:r>
        <w:t xml:space="preserve"> Multivariate Tests for Point and Probabilistic Forecasts, with an Application to Spatio-temporal Weather Forecast Evaluation — https://doi.org/10.1145/3748777.3748789</w:t>
      </w:r>
    </w:p>
    <w:p>
      <w:pPr/>
      <w:r>
        <w:rPr>
          <w:b/>
        </w:rPr>
        <w:t>Shared claim-specific concepts:</w:t>
      </w:r>
      <w:r>
        <w:t xml:space="preserve"> first, space, weather; EU scope not established. This is a provisional connection, not an outcome finding.</w:t>
      </w:r>
    </w:p>
    <w:p>
      <w:pPr>
        <w:pStyle w:val="SourceNote"/>
      </w:pPr>
      <w:r>
        <w:rPr>
          <w:b/>
        </w:rPr>
        <w:t>Available abstract (not full text):</w:t>
      </w:r>
      <w:r>
        <w:t xml:space="preserve"> Spatio-temporal forecasting has become increasingly important across a wide range of applications, from weather prediction to transportation and energy systems.These forecasting tasks naturally involve multiple interdependent variables observed over space and time, making them inherently multivariate in nature.However, evaluation techniques for multivariate forecasts often rely on simple averages of univariate metrics, potentially overlooking joint forecast quality across multiple variables.Such naive comparisons also cannot reliably distinguish whether the observed improvements are genuine or simply due to random variation.Furthermore, despite growing interest in probabilistic forecasting, there remains a lack of formal evaluation methods tailored to assessing the joint distributional accuracy of multiple time series forecasts.To address this gap, we propose multivariate extensions to two popular forecast evaluation hypothesis tests.First, we introduce one-sided multivariate Diebold-Mariano tests [14,21,29] to assess whether the point forecast of one model outperforms another for one or more target variables.Second, we develop a test for correct specification of joint distributions by expanding upon the probability integral transformbased approach originally proposed for univariate densities [37].Both tests are validated through theoretical analysis as well as simulation studi</w:t>
      </w:r>
    </w:p>
    <w:p>
      <w:pPr/>
      <w:r>
        <w:rPr>
          <w:b/>
        </w:rPr>
        <w:t>POSSIBLE 2024:</w:t>
      </w:r>
      <w:r>
        <w:t xml:space="preserve"> “New” Militarization of Europe? — https://doi.org/10.20542/0131-2227-2024-68-12-14-25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pPr>
        <w:pStyle w:val="Heading2"/>
      </w:pPr>
      <w:r>
        <w:t>766. Estimation and Forecasts for the Share of Renewable Energy Consumption in Final Energy Consumption by 2020 in the European Union</w:t>
      </w:r>
    </w:p>
    <w:p>
      <w:pPr>
        <w:pStyle w:val="SourceNote"/>
      </w:pPr>
      <w:r>
        <w:rPr>
          <w:b/>
        </w:rPr>
        <w:t>Original source (2018):</w:t>
      </w:r>
      <w:r>
        <w:t xml:space="preserve"> https://doi.org/10.3390/su10051515</w:t>
      </w:r>
    </w:p>
    <w:p>
      <w:pPr/>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POSSIBLE 2026:</w:t>
      </w:r>
      <w:r>
        <w:t xml:space="preserve"> Horizon-constrained Rashomon sets for chaotic forecasting — https://doi.org/10.1063/5.0325059</w:t>
      </w:r>
    </w:p>
    <w:p>
      <w:pPr/>
      <w:r>
        <w:rPr>
          <w:b/>
        </w:rPr>
        <w:t>Shared claim-specific concepts:</w:t>
      </w:r>
      <w:r>
        <w:t xml:space="preserve"> horizon, providing; EU scope not established. This is a provisional connection, not an outcome finding.</w:t>
      </w:r>
    </w:p>
    <w:p>
      <w:pPr>
        <w:pStyle w:val="SourceNote"/>
      </w:pPr>
      <w:r>
        <w:rPr>
          <w:b/>
        </w:rPr>
        <w:t>Available abstract (not full text):</w:t>
      </w:r>
      <w:r>
        <w:t xml:space="preserve">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pPr/>
      <w:r>
        <w:rPr>
          <w:b/>
        </w:rPr>
        <w:t>POSSIBLE 2026:</w:t>
      </w:r>
      <w:r>
        <w:t xml:space="preserve"> European Economic Forecast — https://doi.org/10.2765/0071034</w:t>
      </w:r>
    </w:p>
    <w:p>
      <w:pPr/>
      <w:r>
        <w:rPr>
          <w:b/>
        </w:rPr>
        <w:t>Shared claim-specific concepts:</w:t>
      </w:r>
      <w:r>
        <w:t xml:space="preserve"> energy, final, consumption; EU scope visible. This is a provisional connection, not an outcome finding.</w:t>
      </w:r>
    </w:p>
    <w:p>
      <w:pPr>
        <w:pStyle w:val="SourceNote"/>
      </w:pPr>
      <w:r>
        <w:rPr>
          <w:b/>
        </w:rPr>
        <w:t>Available abstract (not full text):</w:t>
      </w:r>
      <w:r>
        <w:t xml:space="preserve">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pPr/>
      <w:r>
        <w:rPr>
          <w:b/>
        </w:rPr>
        <w:t>POSSIBLE 2026:</w:t>
      </w:r>
      <w:r>
        <w:t xml:space="preserve"> Explaining Time Series Forecasting with Horizon-Resolved Attribution — https://doi.org/10.48550/arxiv.2609.12639</w:t>
      </w:r>
    </w:p>
    <w:p>
      <w:pPr/>
      <w:r>
        <w:rPr>
          <w:b/>
        </w:rPr>
        <w:t>Shared claim-specific concepts:</w:t>
      </w:r>
      <w:r>
        <w:t xml:space="preserve"> horizon, all, yet, different; EU scope not established. This is a provisional connection, not an outcome finding.</w:t>
      </w:r>
    </w:p>
    <w:p>
      <w:pPr>
        <w:pStyle w:val="SourceNote"/>
      </w:pPr>
      <w:r>
        <w:rPr>
          <w:b/>
        </w:rPr>
        <w:t>Available abstract (not full text):</w:t>
      </w:r>
      <w:r>
        <w:t xml:space="preserve">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share, all,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Forecasting the Nigerian Exchange Group's All Share Index: application of ARIMA-GARCH hybrid models — https://doi.org/10.33003/fujafr-2026.v4i2.335.21-39</w:t>
      </w:r>
    </w:p>
    <w:p>
      <w:pPr/>
      <w:r>
        <w:rPr>
          <w:b/>
        </w:rPr>
        <w:t>Shared claim-specific concepts:</w:t>
      </w:r>
      <w:r>
        <w:t xml:space="preserve"> share, all, empirical, estimations; EU scope not established. This is a provisional connection, not an outcome finding.</w:t>
      </w:r>
    </w:p>
    <w:p>
      <w:pPr>
        <w:pStyle w:val="SourceNote"/>
      </w:pPr>
      <w:r>
        <w:rPr>
          <w:b/>
        </w:rPr>
        <w:t>Available abstract (not full text):</w:t>
      </w:r>
      <w:r>
        <w:t xml:space="preserve"> Purpose: This study evaluates the predictive accuracy of various econometric models in forecasting stock market returns within the Nigerian Exchange Group (NGX). Given the high volatility and structural breaks inherent in emerging African markets, the research investigates whether linear (ARIMA), volatility-sensitive (GARCH), or hybrid rolling-window frameworks provide the most robust tools for financial forecasting. Methodology: Employing a quantitative design, the study analyses daily All-Share Index (ASI) closing prices (sourced from the NGX official database) from January 1, 2021, to August 30, 2025. The approach utilizes Box-Jenkins formalization for ARIMA parameters and GARCH (1,1) to account for volatility clustering, optimized via a 180-day rolling window. Stationarity was verified via ADF tests, with selection guided by the Akaike Information Criterion (AIC). Results and conclusion: Empirical findings indicate that hybrid ARIMA-GARCH models significantly outperform standalone ARIMA and GARCH models in forecasting the NGX ASI. While linear models fail to account for significant ARCH effects, the hybrid configuration markedly reduces forecast errors, as confirmed by superior MAPE and RMSE metrics. The NGX exhibits high volatility persistence, rendering traditional linear models insufficient. Findings suggest the NGX deviates from the Weak-Form Efficient Market Hypothesis</w:t>
      </w:r>
    </w:p>
    <w:p>
      <w:pPr/>
      <w:r>
        <w:rPr>
          <w:b/>
        </w:rPr>
        <w:t>POSSIBLE 2026:</w:t>
      </w:r>
      <w:r>
        <w:t xml:space="preserve"> Multi-Day Forecasting of Day-Ahead Electricity Prices under Input Forecast Uncertainty — https://doi.org/10.24406/publica-9834</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Multi-Day Forecasting of Day-Ahead Electricity Prices under Input Forecast Uncertainty — https://doi.org/10.1109/eem68581.2026.11589786</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forecasts, all, empirical;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Progress toward the EU’s 2030 Renewable Energy Target: Gap Analysis and Forecast — https://doi.org/10.2478/picbe-2026-0334</w:t>
      </w:r>
    </w:p>
    <w:p>
      <w:pPr/>
      <w:r>
        <w:rPr>
          <w:b/>
        </w:rPr>
        <w:t>Shared claim-specific concepts:</w:t>
      </w:r>
      <w:r>
        <w:t xml:space="preserve"> share, all, showing, target, renewable, energy; EU scope visible. This is a provisional connection, not an outcome finding.</w:t>
      </w:r>
    </w:p>
    <w:p>
      <w:pPr>
        <w:pStyle w:val="SourceNote"/>
      </w:pPr>
      <w:r>
        <w:rPr>
          <w:b/>
        </w:rPr>
        <w:t>Available abstract (not full text):</w:t>
      </w:r>
      <w:r>
        <w:t xml:space="preserve"> Abstract An important objective of the European Union climate and energy policy is the transition to renewable energy, but the distance to the 2030 target is still considerable and the progress is still uneven across Member States. This paper analyzes the progress of European Union Member States in order to achieve in 2030 the 42.5% renewable energy target proposed by EU. The study is based only on two Eurostat indicators, the share of energy from renewable sources in gross final energy consumption and total energy supply expressed in thousand tonnes of oil equivalent, taking into consideration 2010-2024 period. Combining historical analysis, growth measurement and forecasting, we could estimate the gap in relative and absolute terms. All the calculations and the visualizations were made using Power BI Desktop with Power Querry in order to format the tables, make connections between data, add measures with DAX formulas. The results show that the renewable energy share of the European Union increased from 14.41% in 2010 to 25.24% in 2024, but the projected value for 2029 reaches only 34.47% and 401,160.67 thousand tonnes of oil equivalent, which remains below the 42.5% target, and only 494,613.54 thousand tonnes of oil equivalent which means a gap of 93,452.86 thousand tonnes of oil equivalent. The paper contributes by forecasting the renewable energy in absolute and relative te</w:t>
      </w:r>
    </w:p>
    <w:p>
      <w:pPr/>
      <w:r>
        <w:rPr>
          <w:b/>
        </w:rPr>
        <w:t>POSSIBLE 2026:</w:t>
      </w:r>
      <w:r>
        <w:t xml:space="preserve"> Adaptive spatiotemporal graph learning for multi-horizon probabilistic wind power forecasting — https://doi.org/10.1038/s41598-026-53844-2</w:t>
      </w:r>
    </w:p>
    <w:p>
      <w:pPr/>
      <w:r>
        <w:rPr>
          <w:b/>
        </w:rPr>
        <w:t>Shared claim-specific concepts:</w:t>
      </w:r>
      <w:r>
        <w:t xml:space="preserve"> empirical, renewable, different; EU scope not established. This is a provisional connection, not an outcome finding.</w:t>
      </w:r>
    </w:p>
    <w:p>
      <w:pPr>
        <w:pStyle w:val="SourceNote"/>
      </w:pPr>
      <w:r>
        <w:rPr>
          <w:b/>
        </w:rPr>
        <w:t>Available abstract (not full text):</w:t>
      </w:r>
      <w:r>
        <w:t xml:space="preserve"> Accurate and reliable forecasting of wind power generation is a cornerstone for ensuring the operational flexibility, economic efficiency, and grid stability of modern power systems with high renewable penetration. While recent advances in deep learning have improved point and probabilistic forecasting, most existing methods still emphasize error minimization at isolated horizons or locations, neglecting the spatiotemporal dependencies, uncertainty calibration, and temporal coherence that are critical in real-world decision-making contexts. In this study, we propose a novel adaptive spatiotemporal graph neural network (ST-GNN) framework for multi-horizon probabilistic wind power forecasting, designed to jointly optimize deterministic accuracy, distributional sharpness, and temporal stability. The framework integrates site-specific meteorological inputs and SCADA data into a dynamically evolving graph structure, where edges are adaptively reweighted to capture changing inter-site correlations driven by wind climatology. A unified multi-objective loss function is formulated, combining mean error minimization with probabilistic metrics such as the Continuous Ranked Probability Score (CRPS) and a temporal smoothness regularizer that mitigates spurious fluctuations across consecutive horizons. Comprehensive case studies are conducted using two years of high-resolution data from a wi</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share, renewable, energy, consumption, increasing;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2026:</w:t>
      </w:r>
      <w:r>
        <w:t xml:space="preserve"> Econometric Analysis and Forecasts on Exports of Emerging Economies from Central and Eastern Europe — https://doi.org/10.3390/econometrics14010009</w:t>
      </w:r>
    </w:p>
    <w:p>
      <w:pPr/>
      <w:r>
        <w:rPr>
          <w:b/>
        </w:rPr>
        <w:t>Shared claim-specific concepts:</w:t>
      </w:r>
      <w:r>
        <w:t xml:space="preserve"> forecasts, share, all, trend; EU scope visible. This is a provisional connection, not an outcome finding.</w:t>
      </w:r>
    </w:p>
    <w:p>
      <w:pPr>
        <w:pStyle w:val="SourceNote"/>
      </w:pPr>
      <w:r>
        <w:rPr>
          <w:b/>
        </w:rPr>
        <w:t>Available abstract (not full text):</w:t>
      </w:r>
      <w:r>
        <w:t xml:space="preserve"> This study examines the evolution, heterogeneity, and short-term prospects of export performance in seven Central and Eastern European (CEE) economies—Croatia, Czech Republic, Hungary, Poland, Romania, Bulgaria, and Slovakia—over the period 1995–2024. Using annual World Bank data, exports are modeled as a share of GDP to ensure cross-country comparability and to capture differences in trade dependence. The analysis combines descriptive and inferential statistics with Augmented Dickey–Fuller tests, non-parametric comparisons, Granger causality analysis, and country-specific ARIMA models to investigate export dynamics, the role of foreign direct investment (FDI), and future export trajectories. The results reveal a common long-term upward trend in export intensity across all countries, driven by European integration and structural transformation, but with pronounced cross-country differences in export dependence and volatility. Highly open economies such as Slovakia, Hungary, and the Czech Republic exhibit strong export performance alongside greater exposure to external shocks, while larger domestic markets such as Poland and Romania display lower export intensity and greater stabilization. Granger causality tests indicate that FDI contributes to export growth in several economies, often with multi-year lags, highlighting the importance of absorptive capacity and institutional qu</w:t>
      </w:r>
    </w:p>
    <w:p>
      <w:pPr>
        <w:pStyle w:val="Heading2"/>
      </w:pPr>
      <w:r>
        <w:t>767. European Road Safety Policy 2016-2020: A Forecast on Topics and Activities</w:t>
      </w:r>
    </w:p>
    <w:p>
      <w:pPr>
        <w:pStyle w:val="SourceNote"/>
      </w:pPr>
      <w:r>
        <w:rPr>
          <w:b/>
        </w:rPr>
        <w:t>Original source (2018):</w:t>
      </w:r>
      <w:r>
        <w:t xml:space="preserve"> https://doi.org/10.21625/archive.v2i1.237</w:t>
      </w:r>
    </w:p>
    <w:p>
      <w:pPr/>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POSSIBLE 2026:</w:t>
      </w:r>
      <w:r>
        <w:t xml:space="preserve"> THE LEGISLATIVE POWER IN THE EUROPEAN UNION — https://doi.org/10.56238/sevened2026.035-019</w:t>
      </w:r>
    </w:p>
    <w:p>
      <w:pPr/>
      <w:r>
        <w:rPr>
          <w:b/>
        </w:rPr>
        <w:t>Shared claim-specific concepts:</w:t>
      </w:r>
      <w:r>
        <w:t xml:space="preserve"> legislative, council, union, full; EU scope visible. This is a provisional connection, not an outcome finding.</w:t>
      </w:r>
    </w:p>
    <w:p>
      <w:pPr>
        <w:pStyle w:val="SourceNote"/>
      </w:pPr>
      <w:r>
        <w:rPr>
          <w:b/>
        </w:rPr>
        <w:t>Available abstract (not full text):</w:t>
      </w:r>
      <w:r>
        <w:t xml:space="preserve">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pPr/>
      <w:r>
        <w:rPr>
          <w:b/>
        </w:rPr>
        <w:t>POSSIBLE 2026:</w:t>
      </w:r>
      <w:r>
        <w:t xml:space="preserve"> Draghi Plan and Implications for the European Legislative Framework — https://doi.org/10.24818/eblj/2025/4/1.06</w:t>
      </w:r>
    </w:p>
    <w:p>
      <w:pPr/>
      <w:r>
        <w:rPr>
          <w:b/>
        </w:rPr>
        <w:t>Shared claim-specific concepts:</w:t>
      </w:r>
      <w:r>
        <w:t xml:space="preserve"> legislative, proposals, council, union, period, agenda;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Common fisheries policy and bycatch: European legislative context and strategies for the valorization of underutilized fish species — https://doi.org/10.4081/ijfs.2026.15141</w:t>
      </w:r>
    </w:p>
    <w:p>
      <w:pPr/>
      <w:r>
        <w:rPr>
          <w:b/>
        </w:rPr>
        <w:t>Shared claim-specific concepts:</w:t>
      </w:r>
      <w:r>
        <w:t xml:space="preserve"> however, legislative, reducing, number, objective; EU scope visible. This is a provisional connection, not an outcome finding.</w:t>
      </w:r>
    </w:p>
    <w:p>
      <w:pPr>
        <w:pStyle w:val="SourceNote"/>
      </w:pPr>
      <w:r>
        <w:rPr>
          <w:b/>
        </w:rPr>
        <w:t>Available abstract (not full text):</w:t>
      </w:r>
      <w:r>
        <w:t xml:space="preserve"> Despite modern fishing being focused on a limited number of fish that are highly valuable on the market, other species, including those of limited commercial value and damaged or undersized specimens, are accidentally caught. These fish, generally identified as "unwanted catches", have significant nutritional potential for human nutrition but are often discarded due to their limited commercial interest or used as category 3 by-products, as specified in Regulation (EC) No 1069/2009. The Common Fisheries Policy (CFP) promotes sustainable fishing and preservation of fish stocks; to this end, unwanted catches should be managed more efficiently. The objective of this review was to analyze the characteristics and critical elements of the European regulatory framework on fisheries, as well as the potential opportunities for valorizing neglected fish species. The main EU legislative reference is Regulation (EU) No 1380/2013, which focuses on the sustainability of fisheries and the prevention of overfishing in marine stocks. By imposing the obligation to land all fish caught, the regulation aims to eliminate discards and minimize unwanted catches. However, de minimis exemptions from the landing obligation for small pelagic and demersal fisheries in the Mediterranean Sea are established by Delegated Regulations (EU) 2023/2460 and 2023/2918. The EU legislative framework is supplemented by</w:t>
      </w:r>
    </w:p>
    <w:p>
      <w:pPr/>
      <w:r>
        <w:rPr>
          <w:b/>
        </w:rPr>
        <w:t>POSSIBLE 2026:</w:t>
      </w:r>
      <w:r>
        <w:t xml:space="preserve"> LEGISLATIVE DEVELOPMENTS AND THE EUROPEAN GREEN DEAL: LESSONS LEARNED — https://doi.org/10.36007/5383.2026.289</w:t>
      </w:r>
    </w:p>
    <w:p>
      <w:pPr/>
      <w:r>
        <w:rPr>
          <w:b/>
        </w:rPr>
        <w:t>Shared claim-specific concepts:</w:t>
      </w:r>
      <w:r>
        <w:t xml:space="preserve"> legislative, union, developments;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LEGAL REGULATION OF THE STATUS OF STATELESS PERSONS IN UKRAINE: EUROPEAN STANDARDS AND THE NEED FOR LEGISLATIVE REFORM — https://doi.org/10.26565/2075-1834-2026-41-14</w:t>
      </w:r>
    </w:p>
    <w:p>
      <w:pPr/>
      <w:r>
        <w:rPr>
          <w:b/>
        </w:rPr>
        <w:t>Shared claim-specific concepts:</w:t>
      </w:r>
      <w:r>
        <w:t xml:space="preserve"> however, legislative, proposals, number, reduction, council; EU scope visible. This is a provisional connection, not an outcome finding.</w:t>
      </w:r>
    </w:p>
    <w:p>
      <w:pPr>
        <w:pStyle w:val="SourceNote"/>
      </w:pPr>
      <w:r>
        <w:rPr>
          <w:b/>
        </w:rPr>
        <w:t>Available abstract (not full text):</w:t>
      </w:r>
      <w:r>
        <w:t xml:space="preserve"> Introduction. The legal status of stateless persons represents one of the most acute gaps in Ukrainian migration law. As a successor state to the Soviet Union, Ukraine inherited a combination of competing nationality laws, administrative gaps, and large-scale population displacement that left thousands of people without legal identity. According to official data of the State Migration Service (SMS), as of 30 April 2024, 5,394 stateless persons were registered as permanent residents of Ukraine and 964 as temporary residents. UNHCR, however, estimates the total number of stateless and persons of undetermined nationality at approximately 35,000, indicating the scale of those who remain entirely outside official registration. Summary of the main results of the study. The article examines Ukraine's legal framework for stateless persons against the benchmarks of the 1954 Convention Relating to the Status of Stateless Persons, the 1961 Convention on the Reduction of Statelessness, the European Convention on Nationality, and EU member state practice. Five systemic gaps are identified: a critically low practical recognition rate despite the operationalisation of the Statelessness Determination Procedure (SDP) in 2021; burdensome consular certificate requirements imposed through administrative practice rather than legislative mandate; absence of a dedicated statelessness identity documen</w:t>
      </w:r>
    </w:p>
    <w:p>
      <w:pPr/>
      <w:r>
        <w:rPr>
          <w:b/>
        </w:rPr>
        <w:t>POSSIBLE 2026:</w:t>
      </w:r>
      <w:r>
        <w:t xml:space="preserve"> A LEGISLATIVE REFORM PROPOSAL ON THE USE OF ARTIFICIAL INTELLIGENCE IN INTERNATIONAL COMMERCIAL TRANSACTIONS — https://doi.org/10.5281/zenodo.20807624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Artificial intelligence (AI) systems are increasingly used in international trade to automate the formation, performance, pricing, and risk assessment of cross-border contracts. In November 2025, the Senate of the Republic of Uzbekistan approved a law establishing a legal definition of AI and general rules for its use, while a parallel initiative created a tax-free zone for AI and data-centre projects in the Republic of Karakalpakstan. However, the country’s private-law framework – the Civil Code and the 2022 Law “On Electronic Commerce” – still lacks clear rules on AI-mediated transactions, the legal effect of autonomous digital agents, and the allocation of liability for AI-caused harm. This project proposes a targeted package of amendments: (1) introducing into the Civil Code the category of “transactions concluded with the use of artificial intelligence” and recognising autonomous digital expressions of will under defined conditions; (2) establishing proportionate, distributed liability among the developer, operator, and user of an AI system; and (3) amending the Law “On Electronic Commerce” to require transparency and the logging of AI-driven decisions. The proposals draw on international practice – the EU Artificial Intelligence Act, the UNCITRAL Model Law on Electronic Commerce, and OECD/WTO assessments of AI’s effect on trade – and are intended to reduce legal uncertain</w:t>
      </w:r>
    </w:p>
    <w:p>
      <w:pPr/>
      <w:r>
        <w:rPr>
          <w:b/>
        </w:rPr>
        <w:t>POSSIBLE 2026:</w:t>
      </w:r>
      <w:r>
        <w:t xml:space="preserve"> Germany's Path to a National Kidney Exchange Program: An Assessment of the 2024 Legislative Proposal — https://doi.org/10.1016/j.healthpol.2026.105578</w:t>
      </w:r>
    </w:p>
    <w:p>
      <w:pPr/>
      <w:r>
        <w:rPr>
          <w:b/>
        </w:rPr>
        <w:t>Shared claim-specific concepts:</w:t>
      </w:r>
      <w:r>
        <w:t xml:space="preserve"> however, legislative, expected, goal, full; EU scope visible. This is a provisional connection, not an outcome finding.</w:t>
      </w:r>
    </w:p>
    <w:p>
      <w:pPr>
        <w:pStyle w:val="SourceNote"/>
      </w:pPr>
      <w:r>
        <w:rPr>
          <w:b/>
        </w:rPr>
        <w:t>Available abstract (not full text):</w:t>
      </w:r>
      <w:r>
        <w:t xml:space="preserve"> • The German Federal Parliament plans to amend the Transplantation Act (1997). • The main goal of the reform is to establish a national kidney exchange program. • The draft law follows European best practices in many respects. • However, the law prohibits the participation of compatible donor–recipient pairs, contrary to international evidence. • Germany may join cross-border kidney exchange programs in the future. Kidney exchange programs (KEPs) facilitate organ exchanges among multiple donor–recipient pairs, enabling recipients to obtain immunologically well-matched kidneys through coordinated donor swapping. Despite the demonstrated benefits of such programs, Germany remains the only highly populated EU country in which kidney exchange is permitted only under very restrictive conditions. In July 2024, the German Federal Cabinet approved draft legislation to amend the 1997 Transplantation Act, with the establishment of a national kidney exchange program (KEP) as one of its primary objectives. The Federal Parliament is expected to deliberate on the draft and consider potential revisions in 2026. The proposal is expected to alleviate the shortage of donor organs by mandating full nationwide participation from all transplant centers and by allowing longer exchange cycles as well as chains initiated by non-directed donors. In this paper, we present several international case stud</w:t>
      </w:r>
    </w:p>
    <w:p>
      <w:pPr/>
      <w:r>
        <w:rPr>
          <w:b/>
        </w:rPr>
        <w:t>POSSIBLE 2026:</w:t>
      </w:r>
      <w:r>
        <w:t xml:space="preserve"> Comparative Legal Analysis of Legislative Initiatives in the Field of Assisted Reproductive Technologies in Ukraine through the Prism of ECHR Case Law — https://doi.org/10.15330/apiclu.70.2.14-2.24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The article provides a concise comparative legal analysis of the governmental draft law No. 13683 and the alternative legislative proposal No. 13683-1, both aimed at creating a coherent regulatory framework for assisted reproductive technologies (ART) in Ukraine. In the context of a deep demographic crisis and the fragmented nature of existing regulation, which largely depends on subordinate legislation, the study substantiates the urgent need for a unified statutory act to eliminate legal uncertainty and ensure proper protection of the rights of patients and children. The research is grounded in the case law of the European Court of Human Rights and emphasizes the evolution of reproductive rights as fourth-generation human rights, linked to personal autonomy, gender equality, and informed decision-making.The comparative assessment reveals different conceptual approaches underlying the two drafts. The governmental bill is characterized as more progressive in terms of non-discrimination, as it provides access to ART for single individuals and introduces clear ethical safeguards against the commercialization of human embryos. At the same time, the alternative initiative offers more efficient legal and technical mechanisms for birth registration, including the implementation of DNA verification and detailed contractual arrangements, which correspond to the requirement of procedura</w:t>
      </w:r>
    </w:p>
    <w:p>
      <w:pPr/>
      <w:r>
        <w:rPr>
          <w:b/>
        </w:rPr>
        <w:t>POSSIBLE 2026:</w:t>
      </w:r>
      <w:r>
        <w:t xml:space="preserve"> A Dataset on Legislative Decision‐Making in the European Parliament: The DEU‐IV Dataset — https://doi.org/10.1002/epa2.70054</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This article introduces the DEU IV dataset , the latest iteration of the Decision‐making in the European Union project. While previous versions focused on the Council of the EU, DEU IV systematically applies the framework to the European Parliament (EP) for the 2019–2024 term. The dataset employs the spatial model of politics to map the latent preferences of political groups, the Commission, and the Council across 113 controversial policy issues. The dataset is constructed using triangulated semi‐structured interviews with 119 policy experts, supplemented by document coding and amendment analysis. By capturing the pre‐negotiation ideal points and the final legislative outcomes, DEU IV reveals the internal mechanics of supranational bargaining and the influence of legislative committees. This paper details the selection criteria for the 31 legislative dossiers analysed, demonstrates the dataset's empirical robustness, and discusses its potential to advance our understanding of how preferences transform into policy within the world's most complex transnational parliament.</w:t>
      </w:r>
    </w:p>
    <w:p>
      <w:pPr/>
      <w:r>
        <w:rPr>
          <w:b/>
        </w:rPr>
        <w:t>POSSIBLE 2026:</w:t>
      </w:r>
      <w:r>
        <w:t xml:space="preserve"> European integration and transformed parliamentary opposition: Evidence from five decades of legislative politics — https://doi.org/10.1017/s1475676526100711</w:t>
      </w:r>
    </w:p>
    <w:p>
      <w:pPr/>
      <w:r>
        <w:rPr>
          <w:b/>
        </w:rPr>
        <w:t>Shared claim-specific concepts:</w:t>
      </w:r>
      <w:r>
        <w:t xml:space="preserve"> legislative, proposals, reducing, union, show; EU scope visible. This is a provisional connection, not an outcome finding.</w:t>
      </w:r>
    </w:p>
    <w:p>
      <w:pPr>
        <w:pStyle w:val="SourceNote"/>
      </w:pPr>
      <w:r>
        <w:rPr>
          <w:b/>
        </w:rPr>
        <w:t>Available abstract (not full text):</w:t>
      </w:r>
      <w:r>
        <w:t xml:space="preserve"> Abstract While European integration has transformed national parliaments, its long-term impact on conflicts between governments and opposition parties remains insufficiently understood. This study addresses that gap by analysing how Sweden’s accession to the European Union (EU) in 1995 altered the patterns of parliamentary opposition. Using longitudinal data on government proposals in the Swedish parliament, 1970–2022, we apply a difference-in-differences design to compare opposition intensity before and after accession. Our findings reveal two major transformations. First, we identify a sustained decline in opposition in internationally embedded economic and tax policies, supporting the view that the EU political system structurally depoliticises economic governance. Second, we observe a gradual but pronounced politicisation in policy areas tied to national identity and social welfare, where EU competences are limited and domestic discretion remains. We thus find that European integration reshapes parliamentary conflict by dampening opposition in economic policymaking while intensifying contestation in policy areas related to national identity and social protection. Rather than reducing opposition overall, EU membership redirects it across issue areas. Taken together, the results show that the distribution of national and supranational competences conditions parliamentary oppo</w:t>
      </w:r>
    </w:p>
    <w:p>
      <w:pPr/>
      <w:r>
        <w:rPr>
          <w:b/>
        </w:rPr>
        <w:t>POSSIBLE 2026:</w:t>
      </w:r>
      <w:r>
        <w:t xml:space="preserve"> Do Legislative Agenda-Setters Constrain Judicial Decision-Making? Evidence from the European Union — https://doi.org/10.1017/jlc.2026.10032</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Judicial review allows courts to serve as a powerful check on policymakers. Nonetheless, courts face the possibility of the legislature overriding unwanted decisions when adjudicating cases in which legislators have an interest. I argue that this threat heightens when courts’ decisions affect legislative agenda-setters that can prioritize bills favoring override, prompting courts to act strategically in response. Leveraging exogenous variation in agenda-setting power from the six-month rotating terms of the Presidency of the Council of the European Union, I provide evidence that the Court of Justice of the European Union strategically delays deciding a case when the member state holding the Presidency expresses interest in the case’s outcome. A difference-in-differences design demonstrates that this effect disappears with the introduction of the Trio Presidency in 2007, which reduced each individual Presidency’s agenda-setting power.</w:t>
      </w:r>
    </w:p>
    <w:p>
      <w:pPr/>
      <w:r>
        <w:rPr>
          <w:b/>
        </w:rPr>
        <w:t>POSSIBLE 2026:</w:t>
      </w:r>
      <w:r>
        <w:t xml:space="preserve"> Civil Law Regulation of Prosuming Activity in the Republic of Uzbekistan through Comparative Legal Analysis and Legislative Reform Proposals — https://doi.org/10.59022/ujldp.631</w:t>
      </w:r>
    </w:p>
    <w:p>
      <w:pPr/>
      <w:r>
        <w:rPr>
          <w:b/>
        </w:rPr>
        <w:t>Shared claim-specific concepts:</w:t>
      </w:r>
      <w:r>
        <w:t xml:space="preserve"> legislative, proposals, union; EU scope visible. This is a provisional connection, not an outcome finding.</w:t>
      </w:r>
    </w:p>
    <w:p>
      <w:pPr>
        <w:pStyle w:val="SourceNote"/>
      </w:pPr>
      <w:r>
        <w:rPr>
          <w:b/>
        </w:rPr>
        <w:t>Available abstract (not full text):</w:t>
      </w:r>
      <w:r>
        <w:t xml:space="preserve"> This study examines the civil law regulation of prosuming activity, the combined production and consumption of electricity by households and small businesses in the Republic of Uzbekistan. Using doctrinal and functional comparative methods, the study analyses Uzbek civil and energy legislation alongside the regulatory models of the European Union, Germany, the United States, and the Commonwealth of Independent States. The research finds that Uzbek law enables the sale of surplus electricity by individuals but does not define the prosumer as a legal category, leaves the civil law nature of surplus-sale contracts uncertain, and creates risks of qualifying household generation as entrepreneurial activity. The article proposes legislative amendments, including a statutory definition of the prosumer, a presumption of non-entrepreneurial character within capacity limits, a public model contract for the purchase of surplus electricity, extended consumer protection, and a framework for jointly acting prosumers, aligning Uzbek legislation with international best practice</w:t>
      </w:r>
    </w:p>
    <w:p>
      <w:pPr>
        <w:pStyle w:val="Heading2"/>
      </w:pPr>
      <w:r>
        <w:t>768. Focused Futures from Finland</w:t>
      </w:r>
    </w:p>
    <w:p>
      <w:pPr>
        <w:pStyle w:val="SourceNote"/>
      </w:pPr>
      <w:r>
        <w:rPr>
          <w:b/>
        </w:rPr>
        <w:t>Original source (2018):</w:t>
      </w:r>
      <w:r>
        <w:t xml:space="preserve"> https://doi.org/10.1177/1946756718754847</w:t>
      </w:r>
    </w:p>
    <w:p>
      <w:pPr/>
      <w:r>
        <w:t>Original wording (abstract; indexed_source_text_not_full_document_verified): At the end of the article, we present four scenarios of the future of the FFRC jointly made by the staff.</w:t>
      </w:r>
    </w:p>
    <w:p>
      <w:pPr/>
      <w:r>
        <w:rPr>
          <w:b/>
        </w:rPr>
        <w:t>POSSIBLE 2026:</w:t>
      </w:r>
      <w:r>
        <w:t xml:space="preserve"> The European Security System after the End of the Russian–Ukrainian War in the Political Conceptions of Law and Justice and Civic Platform — https://doi.org/10.17951/we.2025.11.2.11-37</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aim of this article is to present the political conceptions of Law and Justice (PiS) and Civic Platform (PO) regarding ways to bring the Russian–Ukrainian war to an end as quickly as possible and to outline a new European security system following the cessation of hostilities. Two research hypotheses are formulated: 1) both parties agree on the need to defeat Russia as swiftly as possible and to establish an international security system capable of protecting European states from further armed aggression; 2) the parties differ in certain respects regarding specific solutions related to the structure of this system. The following research questions are posed: 1) How do the two parties assess the armed conflict? 2) What options do they propose for ending it as quickly as possible? 3) What measures should be taken to prevent further aggression in Europe? 4) What role should Poland play in the future security system? The study employs the analysis of political thought as the primary research method, complemented by sys temic analysis, which reconstructs the European security system proposed by both parties, and compa rative analysis, which identifies similarities and differences between the political concepts of PiS and PO. According to both Law and Justice and Civic Platform, the new European security system established after the end of the Russian–Ukrainian war should guarant</w:t>
      </w:r>
    </w:p>
    <w:p>
      <w:pPr/>
      <w:r>
        <w:rPr>
          <w:b/>
        </w:rPr>
        <w:t>POSSIBLE 2023:</w:t>
      </w:r>
      <w:r>
        <w:t xml:space="preserve"> Quo Vadis Europe? — https://doi.org/10.1080/04353684.2023.2193346</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present article offers a trenchant criticism of the imaginative geographies of ‘Europe’ using a Pred inspired methodology. The essay strikes at the mythos of Europa as the vanguard of humanity, and enumerates many of the ‘dirty tricks’ that project the singular as confirmation of the universal. It aligns with the critique of the present in the manner of Allan Pred’s critical takes on Europe and deconstruction of the mythos of Europe. With Nietzsche’s takes on ‘philosophical laughter’ as a cue, the essay offers playful parodies on the narcissistic discourses of Europe’s historical mission or purpose, its essence/identity, and its place in history. My critique is thus an instance of postcolonial laughter. Critique of historicism and ‘European reason’ are recurrent themes in Pred’s work. Historicism places European humanity as history’s prime (favourite) subject, culminating in the infamous yet pompous ‘end of history’ thesis popularized by Fukuyama, of which Pred was highly critical of. In my reading, Pred’s playful takes on Fukuyama’s folly, are inspired by postcolonial laughter. Postcolonial laughter is deployed here as an affirmative response to the European negation of the other’s being. I use by turn satire and irony, by turn parody and the grotesque to strike at the heart of the mythos of Europe and its ‘dirty tricks’. Postcolonial laughter unsettles the hubris and narc</w:t>
      </w:r>
    </w:p>
    <w:p>
      <w:pPr/>
      <w:r>
        <w:rPr>
          <w:b/>
        </w:rPr>
        <w:t>POSSIBLE 2023:</w:t>
      </w:r>
      <w:r>
        <w:t xml:space="preserve"> Long-term economic impacts of coastal floods in Europe: a probabilistic analysis — https://doi.org/10.3934/environsci.2023033</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In this article we quantify the long-term economic impacts of coastal flooding in Europe. In particular, how the direct coastal damages generate long-term economic losses that propagate and compound throughout the century. A set of probabilistic projections of inundation-related direct damages (to residential buildings, firms' physical assets and agriculture production) is used as an exogenous shock to a dynamic stochastic economic model. The article considers explicitly the uncertainty related to the economic agents' behaviour and other relevant macroeconomic assumptions, i.e., how would consumers finance the repairing of their homes, how long does it take for a firm to reconstruct, whether firms decide to build-back-better after the inundation and possibly compensate the losses with a productivity gain. Our findings indicate that the long-term impacts of coastal floods could be larger than the direct damages. Under a high emission scenario (RCP8.5) the EU27 plus UK could lose every year between 0.25% and 0.91% of output by 2100, twice as much as the direct damages. The welfare losses present a strong regional variation, with the South (Bulgaria, Greece, Italy, Malta, Portugal and Spain), and United Kingdom (UK) plus Ireland regions showing the highest damages and a significant part of the population that could suffer significant welfare losses by the end of the century.</w:t>
      </w:r>
    </w:p>
    <w:p>
      <w:pPr/>
      <w:r>
        <w:rPr>
          <w:b/>
        </w:rPr>
        <w:t>POSSIBLE 2022:</w:t>
      </w:r>
      <w:r>
        <w:t xml:space="preserve"> European Union Litigation — https://doi.org/10.1515/ercl-2022-2038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June 2021 and the end of December 2021. Out of a total of 329 judgments decided in this period, 55 had a contract law dimension.</w:t>
      </w:r>
    </w:p>
    <w:p>
      <w:pPr/>
      <w:r>
        <w:rPr>
          <w:b/>
        </w:rPr>
        <w:t>POSSIBLE 2022:</w:t>
      </w:r>
      <w:r>
        <w:t xml:space="preserve"> European Union Litigation — https://doi.org/10.1515/ercl-2022-2049</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January 2022 and the end of June 2022. Out of a total of 270 judgments decided in this period, 52 had a contract law dimension.</w:t>
      </w:r>
    </w:p>
    <w:p>
      <w:pPr/>
      <w:r>
        <w:rPr>
          <w:b/>
        </w:rPr>
        <w:t>POSSIBLE 2022:</w:t>
      </w:r>
      <w:r>
        <w:t xml:space="preserve"> Slavonic and East European Review, 1922–2022 — https://doi.org/10.1353/see.2022.0000</w:t>
      </w:r>
    </w:p>
    <w:p>
      <w:pPr/>
      <w:r>
        <w:rPr>
          <w:b/>
        </w:rPr>
        <w:t>Shared claim-specific concepts:</w:t>
      </w:r>
      <w:r>
        <w:t xml:space="preserve"> end, article, staff;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2022:</w:t>
      </w:r>
      <w:r>
        <w:t xml:space="preserve"> Tenses of the Present — https://doi.org/10.1080/14409917.2022.2081413</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David Roberts’ History of the Present asks what comes after the grand narratives of European modernity. Progress is over, but without a past and with no assured future, the present remains in conceptual limbo. For Roberts, we are entering a new stage of a global cultural modernity marked by the end of European modernism. Taking a fresh look at the contested endings of the modern, Roberts suggests that an extended concept of contemporaneity might replace the problematic dualism of past and present, modernity and post-modernity at the end of the twentieth century. This review article discusses Roberts’ argument with reference to the work of Budapest School members, Ágnes Heller and György Markus, with reference more broadly to seminal theorists such as Georg Lukács, Walter Benjamin, Theodor Adorno, Alain Touraine and Guy Debord, and to writers including Marcel Proust, Heinrich Mann, Aldous Huxley and Michel Houellebecq, in relation to the questions of cultural modernity.</w:t>
      </w:r>
    </w:p>
    <w:p>
      <w:pPr/>
      <w:r>
        <w:rPr>
          <w:b/>
        </w:rPr>
        <w:t>POSSIBLE 2022:</w:t>
      </w:r>
      <w:r>
        <w:t xml:space="preserve"> Strategic Litigation against European Migration Control Policies: The Legal Battleground of the Central Mediterranean Migration Route — https://doi.org/10.1163/15718166-12340135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Migration control policies at Europe’s borders that lead to human rights violations are widespread. As a result, NGO s, law clinics and individual lawyers mobilise the law against different actors in an attempt to seek accountability for these violations and end the policies that cause them. Accordingly, the aim of this article is to present an overview of and initial reflection on strategic litigation concerning the Central Mediterranean migration route. The article first depicts European migration control policies in the Central Mediterranean and their human rights consequences. It then provides an overview of recent strategic litigation before various domestic, regional and international forums. Finally, the article discusses the potential of these litigation efforts to overcome the accountability challenges caused by European migration control policies in the Central Mediterranean.</w:t>
      </w:r>
    </w:p>
    <w:p>
      <w:pPr/>
      <w:r>
        <w:rPr>
          <w:b/>
        </w:rPr>
        <w:t>POSSIBLE 2022:</w:t>
      </w:r>
      <w:r>
        <w:t xml:space="preserve"> Exploring the Geography of Subjective Happiness in Europe During the Years of the Economic Crisis: A Multilevel Modelling Approach — https://doi.org/10.1007/s11205-021-02874-6</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builds on the efforts by geographers and regional scientists aimed at adding a geographical dimension to the analysis and understanding of happiness and well-being. In particular, the article explores the changes in observed subjective wellbeing measures of residents in countries and regions that were mostly hit by the severe economic crisis and austerity measures. To that end, we present a multilevel modelling approach to the analysis of suitable secondary data derived from the European Social Survey (ESS), as well as relevant contextual regional-level data from Eurostat. The article first presents a brief overview of the state of the art in happiness and well-being research, with particular emphasis on the relatively limited but rapidly growing geographical studies, as well as studies by economists regarding the impact of austerity and inequality upon happiness and well-being. We then present key findings from a comprehensive analysis of European Social Survey data combined with austerity related data at the regional level in order to explore the geography of happiness and well-being in Europe amid times of economic gloom and severe austerity measures. The research presented in this article involves analysis of data before, during and after (or in towards the end of) the crisis and it is aimed at identifying geographical as well as individual socio-econo</w:t>
      </w:r>
    </w:p>
    <w:p>
      <w:pPr/>
      <w:r>
        <w:rPr>
          <w:b/>
        </w:rPr>
        <w:t>POSSIBLE 2022:</w:t>
      </w:r>
      <w:r>
        <w:t xml:space="preserve"> European rules in the field of competition guarantee for the effective functioning of the internal market in the European Union — https://doi.org/10.33919/ljnbu.21.2.3</w:t>
      </w:r>
    </w:p>
    <w:p>
      <w:pPr/>
      <w:r>
        <w:rPr>
          <w:b/>
        </w:rPr>
        <w:t>Shared claim-specific concepts:</w:t>
      </w:r>
      <w:r>
        <w:t xml:space="preserve"> end, article, present, made; EU scope visible. This is a provisional connection, not an outcome finding.</w:t>
      </w:r>
    </w:p>
    <w:p>
      <w:pPr>
        <w:pStyle w:val="SourceNote"/>
      </w:pPr>
      <w:r>
        <w:rPr>
          <w:b/>
        </w:rPr>
        <w:t>Available abstract (not full text):</w:t>
      </w:r>
      <w:r>
        <w:t xml:space="preserve"> For decades, the European Union has made great efforts to achieve one of its main objectives, namely to build a single internal market in which to ensure the free movement of goods, services, capital and people. To this end, the Union has adopted a number of primary and secondary acts setting out the rules governing the functioning of the internal market and has established various mechanisms to monitor their proper application. Undoubtedly, the completion of the single internal market is one of the most valuable achievements of the European Union, which has led to a number of positive consequences. The main ones are the economic growth and stability of the European Union, the better competitiveness on the international markets, the provision of higher consumer protection, the creation of a more favorable environment for the activities of the enterprises, the liberalization of the different types of services. The basic principles and rules in the field of competition are important for the proper functioning of the internal market, for the development of the economy of the European Union and for the protection of legal entities. These rules constitute antitrust and anti-cartel legislation, merger control, state aid and public enterprises and services. These rules are set out in the founding treaties, in the Charter of Fundamental Rights of the European Union, and in a number of </w:t>
      </w:r>
    </w:p>
    <w:p>
      <w:pPr/>
      <w:r>
        <w:rPr>
          <w:b/>
        </w:rPr>
        <w:t>POSSIBLE 2021:</w:t>
      </w:r>
      <w:r>
        <w:t xml:space="preserve"> European Union Litigation — https://doi.org/10.1515/ercl-2021-2028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European Union Litigation — https://doi.org/10.1515/ercl-2021-0005/html</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pStyle w:val="Heading2"/>
      </w:pPr>
      <w:r>
        <w:t>769. Forecasting turbulence in the Asian and European stock market using regime-switching models</w:t>
      </w:r>
    </w:p>
    <w:p>
      <w:pPr>
        <w:pStyle w:val="SourceNote"/>
      </w:pPr>
      <w:r>
        <w:rPr>
          <w:b/>
        </w:rPr>
        <w:t>Original source (2018):</w:t>
      </w:r>
      <w:r>
        <w:t xml:space="preserve"> https://doi.org/10.3934/qfe.2018.2.388</w:t>
      </w:r>
    </w:p>
    <w:p>
      <w:pPr/>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pPr/>
      <w:r>
        <w:rPr>
          <w:b/>
        </w:rPr>
        <w:t>POSSIBLE 2026:</w:t>
      </w:r>
      <w:r>
        <w:t xml:space="preserve"> Predicting Healthcare System Stress in the European Union: An Early Warning System Using Panel Data — https://openalex.org/W7221839855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Sentiment as Early Warning: A Systemic Risk Index for the Philippines — https://doi.org/10.3390/jrfm19050302</w:t>
      </w:r>
    </w:p>
    <w:p>
      <w:pPr/>
      <w:r>
        <w:rPr>
          <w:b/>
        </w:rPr>
        <w:t>Shared claim-specific concepts:</w:t>
      </w:r>
      <w:r>
        <w:t xml:space="preserve"> early, warning, system; EU scope not established. This is a provisional connection, not an outcome finding.</w:t>
      </w:r>
    </w:p>
    <w:p>
      <w:pPr>
        <w:pStyle w:val="SourceNote"/>
      </w:pPr>
      <w:r>
        <w:rPr>
          <w:b/>
        </w:rPr>
        <w:t>Available abstract (not full text):</w:t>
      </w:r>
      <w:r>
        <w:t xml:space="preserve"> Systemic risk remains a key concern for financial authorities, especially in emerging economies where traditional, low-frequency balance sheet indicators often lag rapidly changing market conditions. This study develops a high-frequency Systemic Risk Sentiment Index (SRSI) for the Philippines using news headlines from 2011 to 2025 and an ensemble of domain-specific financial sentiment models. Results show that negative sentiment is mainly driven by external-sector developments, market volatility, and equity-related news, with surges aligning with global and domestic stress episodes. Event study analysis demonstrates that the SRSI captures sharp deteriorations in sentiment several weeks before major financial stress events, while Granger causality results indicate modest predictive power for domestic equity market movements. Overall, the SRSI is best viewed as a responsive, real-time barometer that complements conventional systemic risk measures. This study represents one of the initial efforts to construct a sentiment-based systemic risk indicator tailored to the Philippine financial system and offers a scalable, low-cost framework that other central banks may adopt to enhance real-time macro-financial surveillance.</w:t>
      </w:r>
    </w:p>
    <w:p>
      <w:pPr/>
      <w:r>
        <w:rPr>
          <w:b/>
        </w:rPr>
        <w:t>POSSIBLE 2026:</w:t>
      </w:r>
      <w:r>
        <w:t xml:space="preserve"> An eXplainable early warning system to predict systemic financial crises — https://doi.org/10.1016/j.ribaf.2026.103591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paper develops an interpretable Early Warning System (EWS) to detect early signals of systemic financial crises one year in advance, combining deep learning techniques with an eXplainable Artificial Intelligence (XAI) framework. Using data from 18 European countries over 2001–2020, we compare multiple Machine Learning models and identify the Long Short-Term Memory (LSTM) neural network as the most effective architecture for capturing cross-country and temporal dependencies. The model is designed to capture temporal dependencies in macro-financial indicators, while interpretability is enhanced through Shapley value analysis, which allows us to identify the variables contributing most to the predicted crisis signals. The results suggest that the inclusion of global market variables improves the model’s forecasting performance and contributes to reducing false alarms. In particular, gold prices, sovereign bond spreads, and treasury rates emerge as the most influential early-warning indicators. These findings provide useful insights for policymakers and financial intermediaries by linking predicted crisis signals to economically interpretable drivers of systemic vulnerability, thereby supporting macroprudential monitoring and preventive policy assessment.</w:t>
      </w:r>
    </w:p>
    <w:p>
      <w:pPr/>
      <w:r>
        <w:rPr>
          <w:b/>
        </w:rPr>
        <w:t>POSSIBLE 2026:</w:t>
      </w:r>
      <w:r>
        <w:t xml:space="preserve"> A review of hydrological monitoring and early warning technologies and equipment for geological hazards — https://doi.org/10.1007/s12665-026-13106-w</w:t>
      </w:r>
    </w:p>
    <w:p>
      <w:pPr/>
      <w:r>
        <w:rPr>
          <w:b/>
        </w:rPr>
        <w:t>Shared claim-specific concepts:</w:t>
      </w:r>
      <w:r>
        <w:t xml:space="preserve"> early, warning, system, factors; EU scope not established. This is a provisional connection, not an outcome finding.</w:t>
      </w:r>
    </w:p>
    <w:p>
      <w:pPr>
        <w:pStyle w:val="SourceNote"/>
      </w:pPr>
      <w:r>
        <w:rPr>
          <w:b/>
        </w:rPr>
        <w:t>Available abstract (not full text):</w:t>
      </w:r>
      <w:r>
        <w:t xml:space="preserve"> Geological hazards are frequent and highly destructive, with hydrological factors acting as the primary triggers. Constructing an efficient and precise hydrological monitoring and early warning system is crucial for active hazard prevention and control. Breaking away from the traditional review model based on technology types, this paper innovatively takes the "equipment development timeline" as the main thread, dividing the evolution of monitoring and early warning technologies into four core stages for in-depth analysis. The germination stage relied on manual inspections and empirical thresholds, suffering from monitoring blind spots and a lack of mechanistic understanding. The development stage achieved electronic automated data collection but was limited by point-based observation and "black box" models. The integration stage relied on "Space-Air-Ground" integration to achieve three-dimensional monitoring, yet faced conflicts between multi-source data fusion and spatiotemporal resolution. The current intelligent stage is evolving towards smart systems driven by the Internet of Things (IoT) and artificial intelligence (AI), but still faces challenges in hardware maintenance, data quality, and model interpretability. Based on the above diachronic analysis, this paper reveals the internal logic of technological iteration and innovatively proposes a next-generation technologica</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National and European Cyber Fragility Index (NCFI / ECFI): From National Predictive Surveillance to a European Early Warning System — https://doi.org/10.5281/zenodo.20665602</w:t>
      </w:r>
    </w:p>
    <w:p>
      <w:pPr/>
      <w:r>
        <w:rPr>
          <w:b/>
        </w:rPr>
        <w:t>Shared claim-specific concepts:</w:t>
      </w:r>
      <w:r>
        <w:t xml:space="preserve"> early, warning, system, proposed; EU scope visible. This is a provisional connection, not an outcome finding.</w:t>
      </w:r>
    </w:p>
    <w:p>
      <w:pPr>
        <w:pStyle w:val="SourceNote"/>
      </w:pPr>
      <w:r>
        <w:rPr>
          <w:b/>
        </w:rPr>
        <w:t>Available abstract (not full text):</w:t>
      </w:r>
      <w:r>
        <w:t xml:space="preserve"> The Cyber Fragility Index (CFI), introduced by the authors as a synthetic indicator for predictive governance at the organisational level, can be extended to two higher scales. At the level of a Member State, National Cyber Authorities (NCAs) could aggregate the individual CFIs of NIS2 entities into a National Cyber Fragility Index (NCFI): a predictive surveillance instrument for the national cyberspace, capable of detecting sectors converging towards instability before incidents occur. At the European level, ENISA could aggregate the NCFIs of Member States into a European Cyber Fragility Index (ECFI): the first synthetic indicator of the Union's cyber fragility, comparable across countries and over time. This article introduces the three-tier architecture CFI → NCFI → ECFI, discusses the fundamental distinction between CFI-Local and CFI-National, and proposes a structural analogy with meteorological and civil protection alert systems. The proposed system is not a compliance tool: it is a strategic early warning system — the cyber equivalent of seismic and hydrogeological monitoring networks.</w:t>
      </w:r>
    </w:p>
    <w:p>
      <w:pPr/>
      <w:r>
        <w:rPr>
          <w:b/>
        </w:rPr>
        <w:t>POSSIBLE 2026:</w:t>
      </w:r>
      <w:r>
        <w:t xml:space="preserve"> Mapping the multi-hazard early warning gap: AI-based susceptibility analysis reveals hotspots where Europe needs integrated warning systems — https://doi.org/10.5194/egusphere-egu26-9898</w:t>
      </w:r>
    </w:p>
    <w:p>
      <w:pPr/>
      <w:r>
        <w:rPr>
          <w:b/>
        </w:rPr>
        <w:t>Shared claim-specific concepts:</w:t>
      </w:r>
      <w:r>
        <w:t xml:space="preserve"> early, warning; EU scope visible. This is a provisional connection, not an outcome finding.</w:t>
      </w:r>
    </w:p>
    <w:p>
      <w:pPr>
        <w:pStyle w:val="SourceNote"/>
      </w:pPr>
      <w:r>
        <w:rPr>
          <w:b/>
        </w:rPr>
        <w:t>Available abstract (not full text):</w:t>
      </w:r>
      <w:r>
        <w:t xml:space="preserve"> Across Europe, multiple natural hazards increasingly converge as climate change intensifies the frequency and severity natural hazards, yet early warning systems (EWS) remain organised around single hazards. This institutional and technical fragmentation leaves exposed populations without integrated warnings for compound threats that define contemporary disaster risk. Identifying where multiple hazards converge with high societal exposure is essential for prioritising investments in integrated multi-hazard early warning systems (MHEWS). Here, we present an AI-driven approach combining deep learning-based susceptibility mapping with comprehensive exposure analysis to reveal priority regions where Europe's early warning infrastructure falls short. We address this research gap by adapting a convolutional neural network architecture to European susceptibility mapping of a range of hazards including flood, wildfire, landslide, tsunami, drought, heatwave, extreme wind, volcanic eruption and earthquake. We introduce spatial partitioning to prevent data leakage, generate probabilistic susceptibility outputs, and employ Shapley additive explanations values to interpret model drivers. Our analysis reveals that a quarter of Europeans live in regions susceptible to three or more hazards, with critical exposure hotspots concentrated in coastal and Southern Europe and major river basins wher</w:t>
      </w:r>
    </w:p>
    <w:p>
      <w:pPr/>
      <w:r>
        <w:rPr>
          <w:b/>
        </w:rPr>
        <w:t>POSSIBLE 2026:</w:t>
      </w:r>
      <w:r>
        <w:t xml:space="preserve"> Early warning systems for chemical risks in Europe: methodological components for signal detection, prioritization, uncertainty management and follow-up — https://doi.org/10.1186/s12302-026-01427-3</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Early warning systems for chemical risks in Europe: methodological components for signal detection, prioritization, uncertainty management and follow-up — https://doi.org/10.60810/openumwelt-8751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Vision-Based Water Level Tracking: Integrating YOLOv8 and ByteTrack for Early Flood Warning — https://doi.org/10.68184/rdppvh33</w:t>
      </w:r>
    </w:p>
    <w:p>
      <w:pPr/>
      <w:r>
        <w:rPr>
          <w:b/>
        </w:rPr>
        <w:t>Shared claim-specific concepts:</w:t>
      </w:r>
      <w:r>
        <w:t xml:space="preserve"> early, warning, system, timely, proposed; EU scope not established. This is a provisional connection, not an outcome finding.</w:t>
      </w:r>
    </w:p>
    <w:p>
      <w:pPr>
        <w:pStyle w:val="SourceNote"/>
      </w:pPr>
      <w:r>
        <w:rPr>
          <w:b/>
        </w:rPr>
        <w:t>Available abstract (not full text):</w:t>
      </w:r>
      <w:r>
        <w:t xml:space="preserve"> Floods rank among the most devastating natural disasters worldwide, demanding robust monitoring systems capable of delivering timely, low-latency warnings. Conventional approaches relying on manual observation and physical sensor networks suffer from high deployment costs, limited spatial coverage, and response times too slow to support effective early warning. This work describes a vision-based flood monitoring system that uses YOLOv8, trained on two custom-annotated video datasets, Python, OpenCV, and the ByteTrack tracking algorithm to identify rising water levels in real time. When water levels exceed a predetermined threshold, the system automatically sends out on-screen alerts and email notifications using SMTP. In a comparative test, YOLOv8's anchor-free design surpasses YOLOv5 in real-time frame processing, particularly for dynamic water bodies. The proposed system offers a scalable, cost-effective solution suitable for deployment at rivers, dams, and glacial melt zones, with the potential to significantly reduce flood-related fatalities in under-resourced regions.</w:t>
      </w:r>
    </w:p>
    <w:p>
      <w:pPr/>
      <w:r>
        <w:rPr>
          <w:b/>
        </w:rPr>
        <w:t>POSSIBLE 2026:</w:t>
      </w:r>
      <w:r>
        <w:t xml:space="preserve"> Interpretable Neural Network-Based Early Warning of Proxy-Based Supply Chain Disruption Vulnerability: Evidence from Cross-Border Equipment Manufacturing Enterprises in Shandong, China — https://doi.org/10.3390/su18083821</w:t>
      </w:r>
    </w:p>
    <w:p>
      <w:pPr/>
      <w:r>
        <w:rPr>
          <w:b/>
        </w:rPr>
        <w:t>Shared claim-specific concepts:</w:t>
      </w:r>
      <w:r>
        <w:t xml:space="preserve"> early, warning, logistic, regression, selected; EU scope not established. This is a provisional connection, not an outcome finding.</w:t>
      </w:r>
    </w:p>
    <w:p>
      <w:pPr>
        <w:pStyle w:val="SourceNote"/>
      </w:pPr>
      <w:r>
        <w:rPr>
          <w:b/>
        </w:rPr>
        <w:t>Available abstract (not full text):</w:t>
      </w:r>
      <w:r>
        <w:t xml:space="preserve"> Cross-border equipment manufacturers in Shandong are under growing pressure to maintain supply chain continuity and long-term sustainability amid geopolitical uncertainty and industrial restructuring. Using quarterly data for 149 listed firms from 2001Q1 to 2024Q3, this study develops an interpretable early-warning model for firms’ relative vulnerability. Because firm-level disruption events are not consistently observable, vulnerability is proxied by return-on-assets underperformance relative to the industry median. We compare a multilayer perceptron (MLP) with logistic regression, decision tree, random forest, XGBoost, and LightGBM, and then use Shapley additive explanations (SHAP) to interpret the selected model. Under the study’s F1-oriented early-warning objective, the multilayer perceptron achieves the highest observed F1 score (the harmonic mean of precision and recall) in our evaluation setting, whereas XGBoost performs slightly better on threshold-independent ranking metrics. The interpretation results show that stronger profitability is associated with lower predicted vulnerability, policy-backed export demand with greater stability, and India-related geopolitical risk with higher predicted vulnerability. These findings suggest that interpretable early-warning tools may help support continuity-oriented operations, resilience investment, and sustainability-oriented ind</w:t>
      </w:r>
    </w:p>
    <w:p>
      <w:pPr>
        <w:pStyle w:val="Heading2"/>
      </w:pPr>
      <w:r>
        <w:t>770. Foresight in Public Administration: Methods and Perspectives of Implementation in Ukraine</w:t>
      </w:r>
    </w:p>
    <w:p>
      <w:pPr>
        <w:pStyle w:val="SourceNote"/>
      </w:pPr>
      <w:r>
        <w:rPr>
          <w:b/>
        </w:rPr>
        <w:t>Original source (2018):</w:t>
      </w:r>
      <w:r>
        <w:t xml:space="preserve"> https://doi.org/10.15421/151847</w:t>
      </w:r>
    </w:p>
    <w:p>
      <w:pPr/>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POSSIBLE 2026:</w:t>
      </w:r>
      <w:r>
        <w:t xml:space="preserve"> Operational Difference: A Practical Guide to the Methodology — https://doi.org/10.5281/zenodo.22108155</w:t>
      </w:r>
    </w:p>
    <w:p>
      <w:pPr/>
      <w:r>
        <w:rPr>
          <w:b/>
        </w:rPr>
        <w:t>Shared claim-specific concepts:</w:t>
      </w:r>
      <w:r>
        <w:t xml:space="preserve"> examples, practical, methodology, individual, must; EU scope not established. This is a provisional connection, not an outcome finding.</w:t>
      </w:r>
    </w:p>
    <w:p>
      <w:pPr>
        <w:pStyle w:val="SourceNote"/>
      </w:pPr>
      <w:r>
        <w:rPr>
          <w:b/>
        </w:rPr>
        <w:t>Available abstract (not full text):</w:t>
      </w:r>
      <w:r>
        <w:t xml:space="preserve"> Operational Difference: A Practical Guide to the Methodology is a concise teaching companion to the formal mathematical framework developed in Needham (2026), Operational Difference: Quotient Refinement, Structured Residuals, and Holonomic Retention: A Mathematical Theory of Consequence, Reconfiguration, and Achieved Closure (Zenodo DOI: 10.5281/zenodo.21629920). The guide presents Operational Difference as a practical methodology for determining when a distinction must be retained in a scientific representation and when it may safely be discarded. Its central criterion is simple: if a representation identifies two cases that a declared outcome still distinguishes, the representation is too coarse. Mathematically, operational difference appears as an obstruction to factorisation. The methodology proceeds by declaring a domain, operative outcome and observational resolution; identifying the distinctions compressed by a proposed representation; testing whether any discarded distinction remains consequential; interrogating residuals for reproducible structure against matched controls; distinguishing detection, association, recovery, stability and identifiability as separate evidential levels; and, where path dependence is relevant, determining whether retained history or invariants carry additional consequence. The guide also introduces withdrawal and release of operational distin</w:t>
      </w:r>
    </w:p>
    <w:p>
      <w:pPr/>
      <w:r>
        <w:rPr>
          <w:b/>
        </w:rPr>
        <w:t>POSSIBLE 2026:</w:t>
      </w:r>
      <w:r>
        <w:t xml:space="preserve"> Methodological guidelines for practical works in the "System software" academic discipline — https://openalex.org/W7199565614</w:t>
      </w:r>
    </w:p>
    <w:p>
      <w:pPr/>
      <w:r>
        <w:rPr>
          <w:b/>
        </w:rPr>
        <w:t>Shared claim-specific concepts:</w:t>
      </w:r>
      <w:r>
        <w:t xml:space="preserve"> examples, practical, individual, given, attention, must; EU scope not established. This is a provisional connection, not an outcome finding.</w:t>
      </w:r>
    </w:p>
    <w:p>
      <w:pPr>
        <w:pStyle w:val="SourceNote"/>
      </w:pPr>
      <w:r>
        <w:rPr>
          <w:b/>
        </w:rPr>
        <w:t>Available abstract (not full text):</w:t>
      </w:r>
      <w:r>
        <w:t xml:space="preserve"> These methodological guidelines cover basic theoretical concepts regarding system software development for the Windows operating system (OS). Each topic is illustrated with source code examples. The C++ programming language and the Microsoft Visual Studio development environment were chosen as the primary tools for this course. (The code examples for topics 1 –13 were developed and tested using Microsoft Visual Studio 2019 version 16.9 on Windows 1 0). The text covers key mechanisms for process management, GUI creation, synchronization, inter-process communication, and operations with the file system and registry. Significant attention is also given to program optimization. The mechanisms discussed in these topics allow students to acquire practical skills in Windows system programming and serve to reinforce the material taught in the "System Software" course. Review questions are provided after each topic to consolidate theoretical knowledge. A general list of recommended reading is also included. Additionally, the Windows API Index (https://learn.microsoft.com/enus/windows/win32/api/) will be an essential resource for studying the material and developing programs. These topics form the basis of the practical classes for the "System Software" course. A set of individual practical tasks has been designed for each topic to ensure mastery of the material. Reports must be formatte</w:t>
      </w:r>
    </w:p>
    <w:p>
      <w:pPr/>
      <w:r>
        <w:rPr>
          <w:b/>
        </w:rPr>
        <w:t>POSSIBLE 2026:</w:t>
      </w:r>
      <w:r>
        <w:t xml:space="preserve"> Methodology for the formation and practical tools of educational and methodological complexes for training personnel for enterprises of the petrochemical complex — https://doi.org/10.47813/2782-5280-2026-5-1-5039-5046</w:t>
      </w:r>
    </w:p>
    <w:p>
      <w:pPr/>
      <w:r>
        <w:rPr>
          <w:b/>
        </w:rPr>
        <w:t>Shared claim-specific concepts:</w:t>
      </w:r>
      <w:r>
        <w:t xml:space="preserve"> examples, practical, methodology, individual, attention; EU scope not established. This is a provisional connection, not an outcome finding.</w:t>
      </w:r>
    </w:p>
    <w:p>
      <w:pPr>
        <w:pStyle w:val="SourceNote"/>
      </w:pPr>
      <w:r>
        <w:rPr>
          <w:b/>
        </w:rPr>
        <w:t>Available abstract (not full text):</w:t>
      </w:r>
      <w:r>
        <w:t xml:space="preserve"> The article is devoted to a comprehensive analysis of the design process of educational and methodological complexes (EMC) for personnel employed at hazardous petrochemical production facilities. The paper examines the psychological and pedagogical features of adult education for those working under high-risk conditions and their influence on the selection of forms and methods of educational work. Based on a synthesis of theoretical principles of andragogy and an extensive bank of practical developments, a classification and detailed characterization of interactive teaching methods are presented: frontal, individual, pair, and group work. Special attention is paid to the case study method as a tool for forming professional thinking and decision-making skills in emergency situations. A structured approach to the development of EMCs is proposed, including a template for a scenario plan, ensuring the manufacturability and reproducibility of the educational process. The material is illustrated with specific examples of tasks adapted to real technological processes and production situations.</w:t>
      </w:r>
    </w:p>
    <w:p>
      <w:pPr/>
      <w:r>
        <w:rPr>
          <w:b/>
        </w:rPr>
        <w:t>POSSIBLE 2026:</w:t>
      </w:r>
      <w:r>
        <w:t xml:space="preserve"> Rethinking Practical Methodologies — https://doi.org/10.31265/hd16c224</w:t>
      </w:r>
    </w:p>
    <w:p>
      <w:pPr/>
      <w:r>
        <w:rPr>
          <w:b/>
        </w:rPr>
        <w:t>Shared claim-specific concepts:</w:t>
      </w:r>
      <w:r>
        <w:t xml:space="preserve"> practical, application, technologies, given, attention; EU scope not established. This is a provisional connection, not an outcome finding.</w:t>
      </w:r>
    </w:p>
    <w:p>
      <w:pPr>
        <w:pStyle w:val="SourceNote"/>
      </w:pPr>
      <w:r>
        <w:rPr>
          <w:b/>
        </w:rPr>
        <w:t>Available abstract (not full text):</w:t>
      </w:r>
      <w:r>
        <w:t xml:space="preserve"> The implementation of Botswana’s Inclusive Education Policy has encountered numerous inefficiencies and limitations. One of the limitations is the accessibility of vocational institutions to learners with diverse disabilities. In 2012, following the introduction of the Inclusive Education Policy of 2011, the Department of Technical and Vocational Education designated certain brigades (community vocational training centers) and technical colleges to admit learners with different types of disabilities. However, of the 39 vocational institutions, only two enrolled learners with disabilities. While this gesture was significant, existing scholarship in Botswana has primarily focused on policy implementation challenges, with limited attention given to the role of effective methodological strategies in bridging the gap between policy and practice. This study explored practical Afrocentric methodologies that can close the gaps between policy and practice in technical and vocational education. The paper is a secondary analysis of the empirical findings from a study—A Capabilities Approach to an African Inclusive Education in Technical Vocational Education Training in Botswana (2020), which was conducted in two vocational institutions that admitted students with mild intellectual disabilities and hearing impairments. Nineteen one-on-one interviews were conducted from the technical colleg</w:t>
      </w:r>
    </w:p>
    <w:p>
      <w:pPr/>
      <w:r>
        <w:rPr>
          <w:b/>
        </w:rPr>
        <w:t>POSSIBLE 2026:</w:t>
      </w:r>
      <w:r>
        <w:t xml:space="preserve"> HUMANE Research: A Practical Methodology Guide for Applying an Ethical AI Framework in Social Science Research — https://doi.org/10.2139/ssrn.6837958</w:t>
      </w:r>
    </w:p>
    <w:p>
      <w:pPr/>
      <w:r>
        <w:rPr>
          <w:b/>
        </w:rPr>
        <w:t>Shared claim-specific concepts:</w:t>
      </w:r>
      <w:r>
        <w:t xml:space="preserve"> practical, methodology;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METHODOLOGICAL POSSIBILITIES OF AN INDIVIDUAL APPROACH IN ORGANIZING INCLUSIVE MATHEMATICS LESSONS IN PRIMARY GRADES — https://openalex.org/W7221386353</w:t>
      </w:r>
    </w:p>
    <w:p>
      <w:pPr/>
      <w:r>
        <w:rPr>
          <w:b/>
        </w:rPr>
        <w:t>Shared claim-specific concepts:</w:t>
      </w:r>
      <w:r>
        <w:t xml:space="preserve"> examples, practical, individual, given, attention, knowledge; EU scope not established. This is a provisional connection, not an outcome finding.</w:t>
      </w:r>
    </w:p>
    <w:p>
      <w:pPr>
        <w:pStyle w:val="SourceNote"/>
      </w:pPr>
      <w:r>
        <w:rPr>
          <w:b/>
        </w:rPr>
        <w:t>Available abstract (not full text):</w:t>
      </w:r>
      <w:r>
        <w:t xml:space="preserve"> This article examines the methodological possibilities of an individual approach in organising inclusive mathematics lessons in primary grades. It proposes practical arrangements for identifying learning needs, adapting task presentation, providing graduated assistance, and assessing mathematical understanding through accessible response formats. Particular attention is given to maintaining clear learning objectives while addressing differences in language, communication, processing time, and prior knowledge. Examples demonstrate how concrete materials, visual representations, flexible grouping, and contextualised problems can support participation. The discussion addresses primary education in Uzbekistan and the professional preparation of future teachers at pedagogical universities. The article is conceptual and methodological; it reports no intervention or measured learning outcomes. Its contribution is an adaptable framework for lesson planning and subsequent classroom evaluation.</w:t>
      </w:r>
    </w:p>
    <w:p>
      <w:pPr/>
      <w:r>
        <w:rPr>
          <w:b/>
        </w:rPr>
        <w:t>POSSIBLE 2026:</w:t>
      </w:r>
      <w:r>
        <w:t xml:space="preserve"> Choosing Exploratory, Predictive, or Causal Multivariable Models in Biomedical Research: A Practical Methodological Guide — https://doi.org/10.6000/1929-6029.2026.15.16</w:t>
      </w:r>
    </w:p>
    <w:p>
      <w:pPr/>
      <w:r>
        <w:rPr>
          <w:b/>
        </w:rPr>
        <w:t>Shared claim-specific concepts:</w:t>
      </w:r>
      <w:r>
        <w:t xml:space="preserve"> examples, practical, individual, prediction, attention, knowledge; EU scope not established. This is a provisional connection, not an outcome finding.</w:t>
      </w:r>
    </w:p>
    <w:p>
      <w:pPr>
        <w:pStyle w:val="SourceNote"/>
      </w:pPr>
      <w:r>
        <w:rPr>
          <w:b/>
        </w:rPr>
        <w:t>Available abstract (not full text):</w:t>
      </w:r>
      <w:r>
        <w:t xml:space="preserve"> Background: Multivariable regression is widely used in biomedical research, but models built for different purposes are often treated as if they were interchangeable. This confuses variable handling, covariate adjustment, model evaluation, and interpretation. Objective: To provide a practical guide for clinicians, biomedical researchers, and collaborating statisticians on how to choose and report multivariable models according to whether the aim is exploratory, predictive, or causal. Methods: We prepared a narrative methodological tutorial using a targeted search of PubMed, Scopus, and Google Scholar, together with key textbooks and reporting guidance (STROBE, TRIPOD+AI, and PROBAST+AI). We prioritized seminal papers and recent methodological references (2021-2025) on variable prespecification, continuous predictors, validation, calibration, and causal diagrams. Illustrative examples are simulated and are used only for didactic purposes. Results: The first step is to state the analytic objective explicitly. Exploratory models are used to describe adjusted associations and generate hypotheses; predictive models aim to estimate individual risk and therefore require attention to discrimination, calibration, and internal/external validation; causal models aim to estimate an effect and should rely on temporality, substantive knowledge, and directed acyclic graphs (DAGs) to define ad</w:t>
      </w:r>
    </w:p>
    <w:p>
      <w:pPr/>
      <w:r>
        <w:rPr>
          <w:b/>
        </w:rPr>
        <w:t>POSSIBLE 2026:</w:t>
      </w:r>
      <w:r>
        <w:t xml:space="preserve"> Innovative aspect of the essence of digital transformation: theoretical and methodological analysis and practical implementation (on the example of the banking sector) — https://doi.org/10.36871/ek.up.p.r.2026.06.07.027</w:t>
      </w:r>
    </w:p>
    <w:p>
      <w:pPr/>
      <w:r>
        <w:rPr>
          <w:b/>
        </w:rPr>
        <w:t>Shared claim-specific concepts:</w:t>
      </w:r>
      <w:r>
        <w:t xml:space="preserve"> practical, individual, technologies, author, basis; EU scope not established. This is a provisional connection, not an outcome finding.</w:t>
      </w:r>
    </w:p>
    <w:p>
      <w:pPr>
        <w:pStyle w:val="SourceNote"/>
      </w:pPr>
      <w:r>
        <w:rPr>
          <w:b/>
        </w:rPr>
        <w:t>Available abstract (not full text):</w:t>
      </w:r>
      <w:r>
        <w:t xml:space="preserve"> In the context of global economic turbulence and technological change, the phenomenon of digital transformation (DT) is becoming more than just a tool for improving efficiency; it is a fundamental requirement for the survival and development of economic entities. This article explores the conceptual nature of digital transformation, with the central hypothesis being that its essential characteristics are determined not so much by the implementation of individual digital technologies as by a comprehensive innovative impact that fundamentally changes business models, organizational structures, and management paradigms. The paper analyzes the evolution of the conceptual framework and systematizes the key attributes and innovative components of digital transformation. Synthesizing process, structural, and value approaches, the author formulates a definition of the essence of digital transformation. The practical significance of the study is illustrated using the example of the banking sector, which serves as the most illustrative “testing ground” for observing profound shifts in the economy. The results of the analysis can serve as a theoretical basis for developing digital development strategies for enterprises.</w:t>
      </w:r>
    </w:p>
    <w:p>
      <w:pPr/>
      <w:r>
        <w:rPr>
          <w:b/>
        </w:rPr>
        <w:t>POSSIBLE 2026:</w:t>
      </w:r>
      <w:r>
        <w:t xml:space="preserve"> Surveys in clinical research: methodological aspects and practical guidance — https://doi.org/10.62675/2965-2774.20260322</w:t>
      </w:r>
    </w:p>
    <w:p>
      <w:pPr/>
      <w:r>
        <w:rPr>
          <w:b/>
        </w:rPr>
        <w:t>Shared claim-specific concepts:</w:t>
      </w:r>
      <w:r>
        <w:t xml:space="preserve"> practical, administration, decisions, must, knowledge; EU scope not established. This is a provisional connection, not an outcome finding.</w:t>
      </w:r>
    </w:p>
    <w:p>
      <w:pPr>
        <w:pStyle w:val="SourceNote"/>
      </w:pPr>
      <w:r>
        <w:rPr>
          <w:b/>
        </w:rPr>
        <w:t>Available abstract (not full text):</w:t>
      </w:r>
      <w:r>
        <w:t xml:space="preserve"> Use of surveys in clinical research allows investigators to explore stakeholders' perspectives, measure implementation of interventions, and inform future decision-making. Surveys are versatile and accessible, but they require methodological rigor to yield adequate results. Their development involves a sequence of decisions that influence both data quality and interpretability - from defining objectives and selecting a sample to designing the questionnaire and choosing the method of administration. Questionnaires must balance clarity with precision, capturing relevant constructs without overburdening respondents. In many cases, frameworks such as Knowledge, Attitude, and Practice questionnaires are employed to structure questions and explore relationships between what individuals know, believe, and do. Online platforms increase the ability to disseminate surveys to a broader, more diverse target population and to improve data-collection workflows. Beyond the technical aspects, using surveys for clinical research faces practical challenges, such as low response rates and variability in engagement across formats. Addressing these issues requires planning and the use of strategies to encourage participation without compromising data quality. This review offers a practical overview intended to guide researchers in designing and conducting survey studies in clinical research.</w:t>
      </w:r>
    </w:p>
    <w:p>
      <w:pPr/>
      <w:r>
        <w:rPr>
          <w:b/>
        </w:rPr>
        <w:t>POSSIBLE 2026:</w:t>
      </w:r>
      <w:r>
        <w:t xml:space="preserve"> Grounded theory methodology and practical application in environmental sustainability research: A methodological review — https://doi.org/10.51867/aqssr.3.3.96</w:t>
      </w:r>
    </w:p>
    <w:p>
      <w:pPr/>
      <w:r>
        <w:rPr>
          <w:b/>
        </w:rPr>
        <w:t>Shared claim-specific concepts:</w:t>
      </w:r>
      <w:r>
        <w:t xml:space="preserve"> practical, application, methodology, must; EU scope not established. This is a provisional connection, not an outcome finding.</w:t>
      </w:r>
    </w:p>
    <w:p>
      <w:pPr>
        <w:pStyle w:val="SourceNote"/>
      </w:pPr>
      <w:r>
        <w:rPr>
          <w:b/>
        </w:rPr>
        <w:t>Available abstract (not full text):</w:t>
      </w:r>
      <w:r>
        <w:t xml:space="preserve"> Grounded Theory (GT) remains one of the most influential qualitative research methodologies for generating theory from empirical data. Since its introduction by Glaser and Strauss in 1967, Grounded Theory has undergone significant philosophical and methodological developments resulting in multiple variants of schools of thoughts including Classical Grounded Theory, Straussian Grounded Theory, and Constructivist Grounded Theory. Despite its widespread application across various disciplines such as health, education and business, Grounded Theory is often misunderstood and inconsistently applied, especially in the areas of theoretical sampling, data collection, constant comparative analysis, coding procedures, and memo writing. This paper reviews the historical evolution, fundamental principles, data collection procedures, analytical processes, and contributions of Grounded Theory to qualitative research. Using a methodological literature review of scholarly publications discussing Grounded Theory from 1967 to 2025 were examined. The review demonstrates that while Grounded Theory has evolved from a largely positivist orientation to more interpretive and constructivist perspectives, its core objective of generating theory grounded in empirical data remains unchanged. The paper further highlights the relevance of Grounded Theory in contemporary research and provides guidance for res</w:t>
      </w:r>
    </w:p>
    <w:p>
      <w:pPr/>
      <w:r>
        <w:rPr>
          <w:b/>
        </w:rPr>
        <w:t>POSSIBLE 2026:</w:t>
      </w:r>
      <w:r>
        <w:t xml:space="preserve"> Can AI‐Based Surrogate Models Offer Added Value for Process Optimization?—Investigations Into Practical Application Examples in the C4 Verbund — https://doi.org/10.1002/ceat.70291</w:t>
      </w:r>
    </w:p>
    <w:p>
      <w:pPr/>
      <w:r>
        <w:rPr>
          <w:b/>
        </w:rPr>
        <w:t>Shared claim-specific concepts:</w:t>
      </w:r>
      <w:r>
        <w:t xml:space="preserve"> examples, practical, application, field; EU scope not established. This is a provisional connection, not an outcome finding.</w:t>
      </w:r>
    </w:p>
    <w:p>
      <w:pPr>
        <w:pStyle w:val="SourceNote"/>
      </w:pPr>
      <w:r>
        <w:rPr>
          <w:b/>
        </w:rPr>
        <w:t>Available abstract (not full text):</w:t>
      </w:r>
      <w:r>
        <w:t xml:space="preserve"> ABSTRACT On‐stream optimizing the performance of chemical processes requires accurate modeling and real‐time problem‐solving. Exploiting artificial neural networks as surrogate models offers a promising solution due to their capability of capturing complex correlations efficiently. Although artificial intelligence (AI)‐based surrogate models are theoretically well‐established and have been the subject of extensive research, practical applications in industrial settings are still rarely reported in the literature. This article therefore demonstrates the effectiveness of AI surrogate‐based optimization through two real‐world case studies in the field of C4 chemistry.</w:t>
      </w:r>
    </w:p>
    <w:p>
      <w:pPr/>
      <w:r>
        <w:rPr>
          <w:b/>
        </w:rPr>
        <w:t>POSSIBLE 2025:</w:t>
      </w:r>
      <w:r>
        <w:t xml:space="preserve"> Practical application and examples of using the developed approximation methods — https://doi.org/10.1016/b978-0-443-29141-8.00003-2</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pStyle w:val="Heading2"/>
      </w:pPr>
      <w:r>
        <w:t>771. From Kyoto to Paris: the European Union's contribution to a new world climate order</w:t>
      </w:r>
    </w:p>
    <w:p>
      <w:pPr>
        <w:pStyle w:val="SourceNote"/>
      </w:pPr>
      <w:r>
        <w:rPr>
          <w:b/>
        </w:rPr>
        <w:t>Original source (2018):</w:t>
      </w:r>
      <w:r>
        <w:t xml:space="preserve"> https://doi.org/10.17345/rcda1935</w:t>
      </w:r>
    </w:p>
    <w:p>
      <w:pPr/>
      <w:r>
        <w:t>Original wording (abstract; indexed_source_text_not_full_document_verified): While implementing this binding framework, the EU is giving legal contents to the 2030 climate-energy package as a major contribution to the new international climate regime under the Paris Agreement, in whose design and adoption the Union also played a key role. Recent policies and other proposals now in prospect are intended to transform the EU into a competitive and sustainable economy by 2050.</w:t>
      </w:r>
    </w:p>
    <w:p>
      <w:pPr/>
      <w:r>
        <w:rPr>
          <w:b/>
        </w:rPr>
        <w:t>POSSIBLE 2026:</w:t>
      </w:r>
      <w:r>
        <w:t xml:space="preserve"> The European media Freedom Act: Regulatory development and implementation challenges — https://doi.org/10.5937/zrpfno-64210</w:t>
      </w:r>
    </w:p>
    <w:p>
      <w:pPr/>
      <w:r>
        <w:rPr>
          <w:b/>
        </w:rPr>
        <w:t>Shared claim-specific concepts:</w:t>
      </w:r>
      <w:r>
        <w:t xml:space="preserve"> binding, framework, legal, package, adoption, union; EU scope visible. This is a provisional connection, not an outcome finding.</w:t>
      </w:r>
    </w:p>
    <w:p>
      <w:pPr>
        <w:pStyle w:val="SourceNote"/>
      </w:pPr>
      <w:r>
        <w:rPr>
          <w:b/>
        </w:rPr>
        <w:t>Available abstract (not full text):</w:t>
      </w:r>
      <w:r>
        <w:t xml:space="preserve"> Media regulation plays an essential role in safeguarding democracy and ensuring the proper functioning of the European Union's internal market, as it secures the free flow of information, strengthens pluralism, and reduces risks of political and economic influence. These objectives lie at the core of the European Media Freedom Act (EMFA), the first binding EU legal framework dedicated to media freedom and pluralism. The paper examines the development of the EU media law framework and the context leading to the adoption of the EMFA, as well as the challenges arising in its early implementation. It also traces the development of EU media law, starting from the Television Without Frontiers Directive, through the Audiovisual Media Services Directive (AVMSD), to the DSA/DMA package, which illustrates the rationale behind adopting a single regulation. The analysis provides an overview of the key regulatory aspects of the EMFA and assesses the challenges accompanying its implementation in the EU Member States.</w:t>
      </w:r>
    </w:p>
    <w:p>
      <w:pPr/>
      <w:r>
        <w:rPr>
          <w:b/>
        </w:rPr>
        <w:t>POSSIBLE 2026:</w:t>
      </w:r>
      <w:r>
        <w:t xml:space="preserve"> Protecting Wildlife in Europe: A Comprehensive Analysis of Legislative Frameworks and Their Shortcomings — https://doi.org/10.1080/13880292.2025.2619363</w:t>
      </w:r>
    </w:p>
    <w:p>
      <w:pPr/>
      <w:r>
        <w:rPr>
          <w:b/>
        </w:rPr>
        <w:t>Shared claim-specific concepts:</w:t>
      </w:r>
      <w:r>
        <w:t xml:space="preserve"> binding, also, key, recent; EU scope visible. This is a provisional connection, not an outcome finding.</w:t>
      </w:r>
    </w:p>
    <w:p>
      <w:pPr>
        <w:pStyle w:val="SourceNote"/>
      </w:pPr>
      <w:r>
        <w:rPr>
          <w:b/>
        </w:rPr>
        <w:t>Available abstract (not full text):</w:t>
      </w:r>
      <w:r>
        <w:t xml:space="preserve"> This article provides a critical and comprehensive analysis of the legislative frameworks governing wildlife protection in Britain and Europe, highlighting both their strengths and persistent shortcomings. At the European level, the analysis considers the Habitats Directive and the recently adopted EU Nature Restoration Law, which imposes legally binding restoration targets for ecosystems and aims to address the ongoing biodiversity crisis. The article also explores the regulatory environment surrounding wildlife trade, including the implementation of CITES through EU regulations and the challenges posed by illegal trafficking and moves on to examine the foundational statutes in Britain, notably the Wildlife and Countryside Act 1981, which serves as the principal mechanism for the protection of wild species and habitats, and its integration of key European directives such as the Birds and Habitats Directives. Despite the existence of robust legislative instruments and the establishment of the Natura 2000 network—the largest coordinated protected area network globally—significant gaps remain. These include inconsistent implementation at the domestic level, enforcement challenges, and the dilution of original European standards during national transposition. The analysis reveals that the effectiveness of these frameworks is often undermined by political, economic, and social pres</w:t>
      </w:r>
    </w:p>
    <w:p>
      <w:pPr/>
      <w:r>
        <w:rPr>
          <w:b/>
        </w:rPr>
        <w:t>POSSIBLE 2026:</w:t>
      </w:r>
      <w:r>
        <w:t xml:space="preserve"> European Banking Authority: A Study of the EBA’s Legitimacy and Accountability Framework — https://openalex.org/W7164236776</w:t>
      </w:r>
    </w:p>
    <w:p>
      <w:pPr/>
      <w:r>
        <w:rPr>
          <w:b/>
        </w:rPr>
        <w:t>Shared claim-specific concepts:</w:t>
      </w:r>
      <w:r>
        <w:t xml:space="preserve"> implementing, binding, framework, legal, regime, union; EU scope visible. This is a provisional connection, not an outcome finding.</w:t>
      </w:r>
    </w:p>
    <w:p>
      <w:pPr>
        <w:pStyle w:val="SourceNote"/>
      </w:pPr>
      <w:r>
        <w:rPr>
          <w:b/>
        </w:rPr>
        <w:t>Available abstract (not full text):</w:t>
      </w:r>
      <w:r>
        <w:t xml:space="preserve"> In this thesis I will examine the European Banking Authority and to some extent, the European Securities and Markets Authority, that were created as successors to the advisory committees (or level three committees) that existed before the financial crisis of 2008. Created in 2011, the European System of Financial Supervision was given a greater role and more powers in regulating and supervising the financial markets of the EU. The EBA has no power on its own to adopt measures with binding legal effects, or hard law. What it does have is a mandate to create draft regulatory and implementing technical standards that are to be adopted by the Commission. Furthermore, the EBA has a more far-reaching mandate in adopting soft law measures. Soft law measures in the field of financial sector have a guiding and clarifying position when it comes to EU hard law provisions. A prime example of these soft law measures are the guidelines. They guidelines are addressed either to the national competent authorities or the financial actors. These guidelines are not binding but the national competent authorities generally follow them. They are amended by an enforcement mechanism, known as the comply-orexplain mechanism where peer pressure is used for compliance. In the recent EBA Guidelines case the Court of Justice got a preliminary reference procedure request from the French Supreme Administrativ</w:t>
      </w:r>
    </w:p>
    <w:p>
      <w:pPr/>
      <w:r>
        <w:rPr>
          <w:b/>
        </w:rPr>
        <w:t>POSSIBLE 2025:</w:t>
      </w:r>
      <w:r>
        <w:t xml:space="preserve"> The implementation of Digital Rights in the Work Environment in Selected EU Countries. The Implementation of The European Declaration on Digital Rights and Principles and the European Social Partners Framework Agreement in Germany, Italy, Luxembourg, Polan, Spain and Sweden — https://openalex.org/W7133584359</w:t>
      </w:r>
    </w:p>
    <w:p>
      <w:pPr/>
      <w:r>
        <w:rPr>
          <w:b/>
        </w:rPr>
        <w:t>Shared claim-specific concepts:</w:t>
      </w:r>
      <w:r>
        <w:t xml:space="preserve"> binding, framework, agreement, union, also, role; EU scope visible. This is a provisional connection, not an outcome finding.</w:t>
      </w:r>
    </w:p>
    <w:p>
      <w:pPr>
        <w:pStyle w:val="SourceNote"/>
      </w:pPr>
      <w:r>
        <w:rPr>
          <w:b/>
        </w:rPr>
        <w:t>Available abstract (not full text):</w:t>
      </w:r>
      <w:r>
        <w:t xml:space="preserve"> The report examines how digital rights in the workplace are being implemented across selected EU Member States. It maps national actions, regulations, and strategies adopted to give effect to the European Union’s European Declaration on Digital Rights and Principles for the Digital Decade and the European social partners’ framework agreement on Digitalisation. Although the Declaration is not legally binding, it serves as a guiding framework for ensuring that Europe’s digital transformation aligns with fundamental rights, democratic values, and fair working conditions. The study focuses particularly on the “Fair and just working conditions” chapter of the Declaration, which is most relevant to workers. It analyzes six case studies—Germany, Italy, Luxembourg, Poland, Spain, and Sweden—selected for their diverse industrial relations systems and approaches to workplace digitalisation. Each national report assesses measures related to occupational health and safety, the right to disconnect, the role of social partners, protection of fundamental rights in digital environments, and the use of artificial intelligence at work. It also highlights selected good practices at grassroots level. Rather than offering a fully systematic comparative study, the report aims to identify emerging trends and differences in national implementation. Overall, it contributes to understanding how digital </w:t>
      </w:r>
    </w:p>
    <w:p>
      <w:pPr/>
      <w:r>
        <w:rPr>
          <w:b/>
        </w:rPr>
        <w:t>POSSIBLE 2025:</w:t>
      </w:r>
      <w:r>
        <w:t xml:space="preserve"> A Framework for Blockchain Alignment for Implementing Public Business Registers: A European Perspective — https://doi.org/10.3390/info16020105</w:t>
      </w:r>
    </w:p>
    <w:p>
      <w:pPr/>
      <w:r>
        <w:rPr>
          <w:b/>
        </w:rPr>
        <w:t>Shared claim-specific concepts:</w:t>
      </w:r>
      <w:r>
        <w:t xml:space="preserve"> implementing, framework, legal, adoption, also; EU scope visible. This is a provisional connection, not an outcome finding.</w:t>
      </w:r>
    </w:p>
    <w:p>
      <w:pPr>
        <w:pStyle w:val="SourceNote"/>
      </w:pPr>
      <w:r>
        <w:rPr>
          <w:b/>
        </w:rPr>
        <w:t>Available abstract (not full text):</w:t>
      </w:r>
      <w:r>
        <w:t xml:space="preserve"> This paper examines the alignment of blockchain architecture with the specific requirements of public business registers in Europe. Through a comprehensive literature review, categorization of blockchain models, and analysis of European public business registry cases, this study develops a framework to guide blockchain adoption in public registries. A distributed ledger taxonomy tailored for business registers is presented. This article also introduces a registry mapping procedure and addresses security concerns essential for the transition to blockchain-based architectures. Blockchain technology, popularized in 2009, has evolved into a versatile tool with applications across various domains, including the public sector, where its potential for decentralized solutions is especially promising. In particular, strategic systems that constitute the backbone of the legal and economic order require special considerations providing superior quality and the appropriate level of security. This study proposes a categorization method, outlines a registry mapping procedure, and discusses security concerns integral to blockchain implementation in public registries. The potential of blockchain technology to change the architecture of public business registries is also discussed.</w:t>
      </w:r>
    </w:p>
    <w:p>
      <w:pPr/>
      <w:r>
        <w:rPr>
          <w:b/>
        </w:rPr>
        <w:t>POSSIBLE 2024:</w:t>
      </w:r>
      <w:r>
        <w:t xml:space="preserve"> Mapping the regulatory landscape for artificial intelligence in health within the European Union — https://doi.org/10.1038/s41746-024-01221-6</w:t>
      </w:r>
    </w:p>
    <w:p>
      <w:pPr/>
      <w:r>
        <w:rPr>
          <w:b/>
        </w:rPr>
        <w:t>Shared claim-specific concepts:</w:t>
      </w:r>
      <w:r>
        <w:t xml:space="preserve"> binding, framework, union; EU scope visible. This is a provisional connection, not an outcome finding.</w:t>
      </w:r>
    </w:p>
    <w:p>
      <w:pPr>
        <w:pStyle w:val="SourceNote"/>
      </w:pPr>
      <w:r>
        <w:rPr>
          <w:b/>
        </w:rPr>
        <w:t>Available abstract (not full text):</w:t>
      </w:r>
      <w:r>
        <w:t xml:space="preserve"> Regulatory frameworks for artificial intelligence (AI) are needed to mitigate risks while ensuring the ethical, secure, and effective implementation of AI technology in healthcare and population health. In this article, we present a synthesis of 141 binding policies applicable to AI in healthcare and population health in the EU and 10 European countries. The EU AI Act sets the overall regulatory framework for AI, while other legislations set social, health, and human rights standards, address the safety of technologies and the implementation of innovation, and ensure the protection and safe use of data. Regulation specifically pertaining to AI is still nascent and scarce, though a combination of data, technology, innovation, and health and human rights policy has already formed a baseline regulatory framework for AI in health. Future work should explore specific regulatory challenges, especially with respect to AI medical devices, data protection, and data enablement.</w:t>
      </w:r>
    </w:p>
    <w:p>
      <w:pPr/>
      <w:r>
        <w:rPr>
          <w:b/>
        </w:rPr>
        <w:t>POSSIBLE 2023:</w:t>
      </w:r>
      <w:r>
        <w:t xml:space="preserve"> Implementation of the European Union Legal Framework for Electric Vehicles in Montenegro — https://doi.org/10.59497/jee.v29i1.249</w:t>
      </w:r>
    </w:p>
    <w:p>
      <w:pPr/>
      <w:r>
        <w:rPr>
          <w:b/>
        </w:rPr>
        <w:t>Shared claim-specific concepts:</w:t>
      </w:r>
      <w:r>
        <w:t xml:space="preserve"> framework, legal, adoption, union; EU scope visible. This is a provisional connection, not an outcome finding.</w:t>
      </w:r>
    </w:p>
    <w:p>
      <w:pPr>
        <w:pStyle w:val="SourceNote"/>
      </w:pPr>
      <w:r>
        <w:rPr>
          <w:b/>
        </w:rPr>
        <w:t>Available abstract (not full text):</w:t>
      </w:r>
      <w:r>
        <w:t xml:space="preserve"> Transitioning to electric drive and using energy from renewable sources can help in the decarbonisation process globally. Wider usage of electric vehicles and charging infrastructure development depend on the legislative and regulatory framework. In this paper, we have analyzed the legal and regulatory framework for electromobility in the European Union. This analysis is conducted to propose adequate measures which should be implemented in Montenegro to accelerate electric vehicle adoption. Proposed measures must be in accordance with the current legislative and regulatory framework in the European Union. Additionally, a brief overview of current state in this area in Southeast Europe countries is conducted. We would like to initiate changes in Southeast European countries to make progress in this area.</w:t>
      </w:r>
    </w:p>
    <w:p>
      <w:pPr/>
      <w:r>
        <w:rPr>
          <w:b/>
        </w:rPr>
        <w:t>POSSIBLE 2023:</w:t>
      </w:r>
      <w:r>
        <w:t xml:space="preserve"> Customs binding information decisions: ways of further approximation to the European standards — https://doi.org/10.24144/2307-3322.2023.78.2.16</w:t>
      </w:r>
    </w:p>
    <w:p>
      <w:pPr/>
      <w:r>
        <w:rPr>
          <w:b/>
        </w:rPr>
        <w:t>Shared claim-specific concepts:</w:t>
      </w:r>
      <w:r>
        <w:t xml:space="preserve"> binding, framework, legal, union; EU scope visible. This is a provisional connection, not an outcome finding.</w:t>
      </w:r>
    </w:p>
    <w:p>
      <w:pPr>
        <w:pStyle w:val="SourceNote"/>
      </w:pPr>
      <w:r>
        <w:rPr>
          <w:b/>
        </w:rPr>
        <w:t>Available abstract (not full text):</w:t>
      </w:r>
      <w:r>
        <w:t xml:space="preserve"> Having studied the ways of implementation of the provisions of the Customs Code of the European Union by European institutions, the author notes that at the judicial and administrative level they consistently recognize the importance of customs binding information decisions for ensuring uniformity in the implementation of customs policy and encourage declarants to indicate in the documents submitted to the customs authorities even those binding information decisions that were issued not at their request, but those relating to identical and/or similar (analogous) goods to those declared in customs declarations of such economic operators. In addition, this fact is evidenced by the rapid progress of the European Union to the expansion of the scope of the binding information decisions within the framework of the customs administration system. The decision on binding information on customs value, which can determine the method or criteria of customs valuation and their application to determine the customs value goods under certain circumstances, is proposed to be introduced. Not less important is believed to be proper information technology support for the circulation of binding information decisions, which includes, in particular, ensuring the general public’s access to the relevant legislation and the practice of its application by courts on the issues on which these decisions are</w:t>
      </w:r>
    </w:p>
    <w:p>
      <w:pPr/>
      <w:r>
        <w:rPr>
          <w:b/>
        </w:rPr>
        <w:t>POSSIBLE 2023:</w:t>
      </w:r>
      <w:r>
        <w:t xml:space="preserve"> The United States and the European Union Begin Implementation of the European Union-U.S. Data Privacy Framework — https://doi.org/10.1017/ajil.2023.17</w:t>
      </w:r>
    </w:p>
    <w:p>
      <w:pPr/>
      <w:r>
        <w:rPr>
          <w:b/>
        </w:rPr>
        <w:t>Shared claim-specific concepts:</w:t>
      </w:r>
      <w:r>
        <w:t xml:space="preserve"> framework, union, also, key, role; EU scope visible. This is a provisional connection, not an outcome finding.</w:t>
      </w:r>
    </w:p>
    <w:p>
      <w:pPr>
        <w:pStyle w:val="SourceNote"/>
      </w:pPr>
      <w:r>
        <w:rPr>
          <w:b/>
        </w:rPr>
        <w:t>Available abstract (not full text):</w:t>
      </w:r>
      <w:r>
        <w:t xml:space="preserve"> The executive order, Secretary of the Treasury Janet L. Yellen, chair of CFIUS, noted, "highlights CFIUS's increasing attention to national security risks in several key areas and sharpens the Committee's focus on protecting America's national security, while maintaining the U.S. open investment policy."48 Together with the new enforcement and penalty guidelines, the order, according to the White House, "send[s] a very clear message, a public message, to the private sector . . .about what are some factors that we as an administration are very focused on."49 It also sends a message to "the public as a whole, as well as foreign governments, allies, and partners around the world."50 Part of a broader set of actions, the order "explicitly ties CFIUS's role, actions, and capabilities with the Administration's overall national security priorities."51 It is a part, as well, of a transnational proliferation of heightened investment screening.52</w:t>
      </w:r>
    </w:p>
    <w:p>
      <w:pPr/>
      <w:r>
        <w:rPr>
          <w:b/>
        </w:rPr>
        <w:t>POSSIBLE 2023:</w:t>
      </w:r>
      <w:r>
        <w:t xml:space="preserve"> Differentiated policy implementation in the European Union — https://doi.org/10.1080/01402382.2023.2257963</w:t>
      </w:r>
    </w:p>
    <w:p>
      <w:pPr/>
      <w:r>
        <w:rPr>
          <w:b/>
        </w:rPr>
        <w:t>Shared claim-specific concepts:</w:t>
      </w:r>
      <w:r>
        <w:t xml:space="preserve"> legal, union, role; EU scope visible. This is a provisional connection, not an outcome finding.</w:t>
      </w:r>
    </w:p>
    <w:p>
      <w:pPr>
        <w:pStyle w:val="SourceNote"/>
      </w:pPr>
      <w:r>
        <w:rPr>
          <w:b/>
        </w:rPr>
        <w:t>Available abstract (not full text):</w:t>
      </w:r>
      <w:r>
        <w:t xml:space="preserve"> This special issue analyses the patterns, causes and consequences of Differentiated Policy Implementation (DPI) in the European Union (EU). DPI is an umbrella term for the diversity in the presence and use of discretion during legal and practical policy implementation processes and outcomes in the EU. The emergent DPI research agenda emphasises differentiation in EU policy implementation beyond mere legal compliance, which is more widespread, and its role in the broader political and policy processes of EU multilevel governance. The contributions highlight anticipated implementation as one dimension of DPI, as well as legal and practical implementation. DPI serves as an alternative to differentiated integration (DI), accommodating heterogeneous national preferences, capacities and conditions, and feeding back into EU policy-making. The impact of DPI on the EU’s output legitimacy and effectiveness depends on scope conditions that require more scholarly attention.</w:t>
      </w:r>
    </w:p>
    <w:p>
      <w:pPr/>
      <w:r>
        <w:rPr>
          <w:b/>
        </w:rPr>
        <w:t>POSSIBLE 2022:</w:t>
      </w:r>
      <w:r>
        <w:t xml:space="preserve"> De-radicalisation and Integration Legal &amp; Policy Framework in United Nations, Council of Europe, European Union — https://doi.org/10.5281/zenodo.6385328</w:t>
      </w:r>
    </w:p>
    <w:p>
      <w:pPr/>
      <w:r>
        <w:rPr>
          <w:b/>
        </w:rPr>
        <w:t>Shared claim-specific concepts:</w:t>
      </w:r>
      <w:r>
        <w:t xml:space="preserve"> binding, framework, legal, international, whose, union; EU scope visible. This is a provisional connection, not an outcome finding.</w:t>
      </w:r>
    </w:p>
    <w:p>
      <w:pPr>
        <w:pStyle w:val="SourceNote"/>
      </w:pPr>
      <w:r>
        <w:rPr>
          <w:b/>
        </w:rPr>
        <w:t>Available abstract (not full text):</w:t>
      </w:r>
      <w:r>
        <w:t xml:space="preserve"> This report provides an overview of the acts regarding deradicalisation that have been adopted in the framework of the United Nations (UN), the Council of Europe (CoE), and the European Union (EU) as well as the case law developed in the field by the European Court of Human Rights (ECtHR) and the European Court of Justice (ECJ). It is highlighted that all three of these organisations have tackled deradicalisation in non-binding acts, whose implementation is left to the discretion of the states, which retain sovereign powers in the field. No binding acts deal directly with the issue. As a consequence, it might be said that international organisations have only played a supportive role in promoting deradicalisation, because of the limited powers they have been given in the field. As far as binding acts are concerned, the focus of the UN, CoE, and EU has been on topics that may be indirectly related to deradicalisation, such as hate crime and hate speech. The same holds true regarding the ECtHR’s and ECJ’s case law. In fact, there are no judgments where the legal reasoning revolves around the concepts of radicalisation and deradicalisation. However, both courts have dealt with issues that are related to it, which may provide guidance with regard to the relevant principles in the field.</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implementing, climate, design, adoption, union, key;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pStyle w:val="Heading2"/>
      </w:pPr>
      <w:r>
        <w:t>772. Future Scenarios of European Forests</w:t>
      </w:r>
    </w:p>
    <w:p>
      <w:pPr>
        <w:pStyle w:val="SourceNote"/>
      </w:pPr>
      <w:r>
        <w:rPr>
          <w:b/>
        </w:rPr>
        <w:t>Original source (2018):</w:t>
      </w:r>
      <w:r>
        <w:t xml:space="preserve"> https://doi.org/10.2478/jlecol-2018-0020</w:t>
      </w:r>
    </w:p>
    <w:p>
      <w:pPr/>
      <w:r>
        <w:t>Original wording (abstract; indexed_source_text_not_full_document_verified):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POSSIBLE 2026:</w:t>
      </w:r>
      <w:r>
        <w:t xml:space="preserve"> Contrasting mechanisms driving the northward expansion of African raptors in Europe — https://doi.org/10.1111/jzo.70124</w:t>
      </w:r>
    </w:p>
    <w:p>
      <w:pPr/>
      <w:r>
        <w:rPr>
          <w:b/>
        </w:rPr>
        <w:t>Shared claim-specific concepts:</w:t>
      </w:r>
      <w:r>
        <w:t xml:space="preserve"> abstract, based, contrasting, explore, different, few; EU scope visible. This is a provisional connection, not an outcome finding.</w:t>
      </w:r>
    </w:p>
    <w:p>
      <w:pPr>
        <w:pStyle w:val="SourceNote"/>
      </w:pPr>
      <w:r>
        <w:rPr>
          <w:b/>
        </w:rPr>
        <w:t>Available abstract (not full text):</w:t>
      </w:r>
      <w:r>
        <w:t xml:space="preserve">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pPr/>
      <w:r>
        <w:rPr>
          <w:b/>
        </w:rPr>
        <w:t>POSSIBLE 2026:</w:t>
      </w:r>
      <w:r>
        <w:t xml:space="preserve"> Heatwaves in a 15 °C World: Exploring remote drivers’ influence on Northern Italy with a storyline-based approach — https://doi.org/10.1016/j.wace.2026.100949</w:t>
      </w:r>
    </w:p>
    <w:p>
      <w:pPr/>
      <w:r>
        <w:rPr>
          <w:b/>
        </w:rPr>
        <w:t>Shared claim-specific concepts:</w:t>
      </w:r>
      <w:r>
        <w:t xml:space="preserve"> storylines, used, different, here; EU scope visible. This is a provisional connection, not an outcome finding.</w:t>
      </w:r>
    </w:p>
    <w:p>
      <w:pPr>
        <w:pStyle w:val="SourceNote"/>
      </w:pPr>
      <w:r>
        <w:rPr>
          <w:b/>
        </w:rPr>
        <w:t>Available abstract (not full text):</w:t>
      </w:r>
      <w:r>
        <w:t xml:space="preserve"> Heatwaves (HW) heavily affect several sectors of the economy and society in the European and Mediterranean regions, and particularly in the Po Valley area. Their frequency and intensity are projected to increase, and a thorough understanding of how this occurs in relation to rising global temperatures and to the projected changes in other weather and climate variables is fundamental for developing effective adaptation plans. In this study, developed within the Climate Intelligence (CLINT) project, we propose an application of the storylines technique, empowered by the definition of shared global thermodynamical conditions across the simulations (Common Temperature States, CTS) and by the implementation of an ML-based driver-oriented validation for the used CMIP6 models. This allows us to produce a set of physically sound storylines, where the increase of heatwave-related indices is inspected under specific conditions in the evolution of other drivers, researching proximate drivers and teleconnections. Our results highlight relevant contributions coming from precipitation depletion over three different Euro-Mediterranean domains (Northern Africa, Western and Eastern Europe), which is associated with enhanced sensible heat fluxes and co-occurs with the largest increases in the HW Magnitude Index and the number of HW days. Furthermore, the increase of these indices is found to be </w:t>
      </w:r>
    </w:p>
    <w:p>
      <w:pPr/>
      <w:r>
        <w:rPr>
          <w:b/>
        </w:rPr>
        <w:t>POSSIBLE 2026:</w:t>
      </w:r>
      <w:r>
        <w:t xml:space="preserve"> Worst-case European heat storylines generated using ensemble boosting — https://doi.org/10.1038/s43247-026-03699-2</w:t>
      </w:r>
    </w:p>
    <w:p>
      <w:pPr/>
      <w:r>
        <w:rPr>
          <w:b/>
        </w:rPr>
        <w:t>Shared claim-specific concepts:</w:t>
      </w:r>
      <w:r>
        <w:t xml:space="preserve"> storylines, impacts, large, scale; EU scope visible. This is a provisional connection, not an outcome finding.</w:t>
      </w:r>
    </w:p>
    <w:p>
      <w:pPr>
        <w:pStyle w:val="SourceNote"/>
      </w:pPr>
      <w:r>
        <w:rPr>
          <w:b/>
        </w:rPr>
        <w:t>Available abstract (not full text):</w:t>
      </w:r>
      <w:r>
        <w:t xml:space="preserve"> Abstract Extreme heat poses escalating socio-economic and ecological risks, yet the most severe high-impact heat extremes that would be possible today remain poorly understood. Using thousands of ensemble-boosting storylines, all plausible under current-climate conditions at least within the model world, we reveal the risk of far more intense and unprecedented heatwaves, which surpass historical extremes in both intensity and particularly in persistence by large margins, and greatly exceed levels considered extreme in a 3 °C warmer world. The most extreme heatwaves are preceded by severe soil moisture depletion, both locally and upstream of the region of extreme heat, as well as by strong ocean temperature gradients, with extremely warm anomalies in the nearby basins and cold anomalies in the subpolar North Atlantic region. Furthermore, our storyline simulations reveal an additional risk: worst-case heatwaves occur predominantly after another extreme heatwave. This highlights the potential for aggravated impacts due to decreased recovery times and intensified heat stress on humans, ecosystems and infrastructure made more vulnerable by the first event. Given the scale, intensity, and unprecedented successive and compounding nature of these worst-case heat storylines, we underscore the urgent need for well-informed adaptation strategies that sufficiently reflect these risks.</w:t>
      </w:r>
    </w:p>
    <w:p>
      <w:pPr/>
      <w:r>
        <w:rPr>
          <w:b/>
        </w:rPr>
        <w:t>POSSIBLE 2026:</w:t>
      </w:r>
      <w:r>
        <w:t xml:space="preserve"> Determinants of vaccine hesitancy and interventions aimed at contrasting this issue in Europe: an overview of systematic reviews. — https://doi.org/10.4415/ann_26_01_10</w:t>
      </w:r>
    </w:p>
    <w:p>
      <w:pPr/>
      <w:r>
        <w:rPr>
          <w:b/>
        </w:rPr>
        <w:t>Shared claim-specific concepts:</w:t>
      </w:r>
      <w:r>
        <w:t xml:space="preserve"> contrasting, general, recent; EU scope visible. This is a provisional connection, not an outcome finding.</w:t>
      </w:r>
    </w:p>
    <w:p>
      <w:pPr>
        <w:pStyle w:val="SourceNote"/>
      </w:pPr>
      <w:r>
        <w:rPr>
          <w:b/>
        </w:rPr>
        <w:t>Available abstract (not full text):</w:t>
      </w:r>
      <w:r>
        <w:t xml:space="preserve"> INTRODUCTION: Vaccine hesitancy remains a major public health challenge in Europe, with declining confidence in vaccine safety and efficacy despite high overall acceptance. Evidence on its determinants and effective interventions is fragmented, underscoring the need for a comprehensive synthesis. This overview of systematic reviews aimed to describe the most recent determinants of vaccine acceptance, barriers to vaccination, and effective interventions to reduce hesitancy or increase uptake in Europe. METHODS: The search was conducted in PubMed, Embase, Epistemonikos. Reviews were eligible if they included European data. RESULTS: Of 3,363 papers, 88 reviews were included, classified into children, adolescents, and parents (n=29); pregnant women (n=11); healthcare workers (HCWs) (n=12); and the general population (n=36) reviews. Determinants of vaccine acceptance included high education, socioeconomic status, gender, trust in government/health authorities, and HCW recommendations, with associations that varied across populations, vaccines, and contexts. Emerging determinants such as health engagement and social media were reported. Main barriers included fear of side effects, safety concerns, preference for natural immunity, and logistical challenges. Interventions included educational campaigns, reminders, organizational changes, school-based programs, and digital tools. Active</w:t>
      </w:r>
    </w:p>
    <w:p>
      <w:pPr/>
      <w:r>
        <w:rPr>
          <w:b/>
        </w:rPr>
        <w:t>POSSIBLE 2026:</w:t>
      </w:r>
      <w:r>
        <w:t xml:space="preserve"> Demonstrating the plausibility of worst-case month-long heatwave storylines in Western Europe — https://doi.org/10.5194/egusphere-egu26-3456</w:t>
      </w:r>
    </w:p>
    <w:p>
      <w:pPr/>
      <w:r>
        <w:rPr>
          <w:b/>
        </w:rPr>
        <w:t>Shared claim-specific concepts:</w:t>
      </w:r>
      <w:r>
        <w:t xml:space="preserve"> storylines, different, here, characteristics, focus; EU scope visible. This is a provisional connection, not an outcome finding.</w:t>
      </w:r>
    </w:p>
    <w:p>
      <w:pPr>
        <w:pStyle w:val="SourceNote"/>
      </w:pPr>
      <w:r>
        <w:rPr>
          <w:b/>
        </w:rPr>
        <w:t>Available abstract (not full text):</w:t>
      </w:r>
      <w:r>
        <w:t xml:space="preserve"> What are the worst-case heatwaves that are plausible in the present or near-future climate? Model-based experiments using ensemble boosting, a computationally efficient method to simulate unprecedented extremes, suggest that month-long heatwaves that break previous records by more than 5 K across Germany and France are possible in the near future. But how can we assess the plausibility of these heatwaves unprecedented in the observational record? We here test whether the most extreme simulated month-long heatwaves in Germany and France are consistent with current process understanding and with historical heatwaves.We show that despite their extreme record-breaking characteristics both events cannot be ruled out as implausible. To demonstrate this, we compare these two worst-case events with historical heatwaves in the reanalysis record. To this end, we calculate standardized anomalies relative to a time-evolving climatology of relevant physical variables such as temperature, 500 hPa geopotential, surface solar radiation, and soil moisture. We focus on two different worst-case events — one in Germany and one in France — which exhibit distinct characteristics and physical drivers. The event in Germany features extreme anomalies in most physical drivers, particularly those associated with land-atmosphere feedbacks, and features three short heatwaves in quick succession. In contras</w:t>
      </w:r>
    </w:p>
    <w:p>
      <w:pPr/>
      <w:r>
        <w:rPr>
          <w:b/>
        </w:rPr>
        <w:t>POSSIBLE 2026:</w:t>
      </w:r>
      <w:r>
        <w:t xml:space="preserve"> Probabilistic storyline attribution using machine learning — https://doi.org/10.1088/3049-4753/aea4b7</w:t>
      </w:r>
    </w:p>
    <w:p>
      <w:pPr/>
      <w:r>
        <w:rPr>
          <w:b/>
        </w:rPr>
        <w:t>Shared claim-specific concepts:</w:t>
      </w:r>
      <w:r>
        <w:t xml:space="preserve"> storylines, different, impacts, here;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Flow-Dependent Pathways to European Drought: A Storyline Assessment in Wind-Constrained Simulations of the Last Decade — https://doi.org/10.22541/essoar.15009285/v1</w:t>
      </w:r>
    </w:p>
    <w:p>
      <w:pPr/>
      <w:r>
        <w:rPr>
          <w:b/>
        </w:rPr>
        <w:t>Shared claim-specific concepts:</w:t>
      </w:r>
      <w:r>
        <w:t xml:space="preserve"> explore, impacts, trends; EU scope visible. This is a provisional connection, not an outcome finding.</w:t>
      </w:r>
    </w:p>
    <w:p>
      <w:pPr>
        <w:pStyle w:val="SourceNote"/>
      </w:pPr>
      <w:r>
        <w:rPr>
          <w:b/>
        </w:rPr>
        <w:t>Available abstract (not full text):</w:t>
      </w:r>
      <w:r>
        <w:t xml:space="preserve"> Droughts are projected to increase in severity, frequency, and spatial extent in a warming world, yet attributing prolonged drought events remains a major challenge for traditional probabilistic or flow-analogue methods. In this study, we apply an event-based storyline approach, using a coupled climate model with observed atmospheric flow imposed. We explore how European hydrometeorology over the past decade—including the record-breaking droughts of 2018 and 2022—would have unfolded under pre-industrial, present-day, and future +4K climates, conditional on the constrained atmospheric flow. We find a robust drying signal across most of Europe, with the greatest changes in summer and autumn in Southern Europe. Trends are much stronger when accounting for potential evapotranspiration rather than considering only precipitation. Notably, changes from present-day to +4K are disproportionately larger than from pre-industrial to present-day, with the affected areas extending far into higher latitudes under stronger warming. More detailed analysis of the 2018 and 2022 droughts highlights event-specific amplifications of the drought intensity beyond the climatological drying. This suggests that drought-related impacts could surpass those projected by mean-state climate trends. Comparing wind-constrained and unconstrained simulations, we find that thermodynamic changes are the dominant dr</w:t>
      </w:r>
    </w:p>
    <w:p>
      <w:pPr/>
      <w:r>
        <w:rPr>
          <w:b/>
        </w:rPr>
        <w:t>POSSIBLE 2026:</w:t>
      </w:r>
      <w:r>
        <w:t xml:space="preserve"> Comparative analysis of digital learning tools’ impact on STEM education outcomes in Asian and European classrooms — https://doi.org/10.32674/jdgvhq96</w:t>
      </w:r>
    </w:p>
    <w:p>
      <w:pPr/>
      <w:r>
        <w:rPr>
          <w:b/>
        </w:rPr>
        <w:t>Shared claim-specific concepts:</w:t>
      </w:r>
      <w:r>
        <w:t xml:space="preserve"> used, explore; EU scope visible. This is a provisional connection, not an outcome finding.</w:t>
      </w:r>
    </w:p>
    <w:p>
      <w:pPr>
        <w:pStyle w:val="SourceNote"/>
      </w:pPr>
      <w:r>
        <w:rPr>
          <w:b/>
        </w:rPr>
        <w:t>Available abstract (not full text):</w:t>
      </w:r>
      <w:r>
        <w:t xml:space="preserve"> The study used a mixed method, combining quantitative data from student test scores and participation surveys with qualitative insights from interviews with educators and students, to explore the impact of digital learning tools on STEM education outcomes in Asian and European classrooms, focusing on their effectiveness in enhancing student engagement and academic performance. The findings reveal that the integration of digital tools significantly improves both engagement and learning outcomes. Specifically, students demonstrated a over 4.3% increase in test scores across various STEM subjects, and engagement levels rose by over 26%. However, the study also finds that the effective implementation of digital learning tools faces the challenges of regional differences in access to digital infrastructure and the lack of continuous teacher training and technical support.</w:t>
      </w:r>
    </w:p>
    <w:p>
      <w:pPr/>
      <w:r>
        <w:rPr>
          <w:b/>
        </w:rPr>
        <w:t>POSSIBLE 2026:</w:t>
      </w:r>
      <w:r>
        <w:t xml:space="preserve"> Constructing extreme heatwave storylines with differentiable climate models — https://doi.org/10.5194/wcd-7-393-2026</w:t>
      </w:r>
    </w:p>
    <w:p>
      <w:pPr/>
      <w:r>
        <w:rPr>
          <w:b/>
        </w:rPr>
        <w:t>Shared claim-specific concepts:</w:t>
      </w:r>
      <w:r>
        <w:t xml:space="preserve"> based, storylines, explore, here, large; EU scope not established. This is a provisional connection, not an outcome finding.</w:t>
      </w:r>
    </w:p>
    <w:p>
      <w:pPr>
        <w:pStyle w:val="SourceNote"/>
      </w:pPr>
      <w:r>
        <w:rPr>
          <w:b/>
        </w:rPr>
        <w:t>Available abstract (not full text):</w:t>
      </w:r>
      <w:r>
        <w:t xml:space="preserve"> Understanding the plausible upper bounds of extreme weather events is essential for risk assessment in a warming climate. Existing methods, based on large ensembles of physics-based models, are often computationally expensive or lack the fidelity needed to simulate rare, high-impact extremes. Here, we present a novel framework that leverages a differentiable hybrid climate model, NeuralGCM, to optimize initial conditions and generate physically consistent worst-case heatwave trajectories. Applied to the 2021 Pacific Northwest heatwave, our method produces heatwave intensity up to 3.7 °C above the most extreme member of a 75-member ensemble. These trajectories feature intensified atmospheric blocking and amplified Rossby wave patterns—hallmarks of severe heat events. Our results demonstrate that differentiable climate models can efficiently explore the upper tails of event likelihoods, providing a powerful new approach for constructing targeted storylines of extreme weather under climate change.</w:t>
      </w:r>
    </w:p>
    <w:p>
      <w:pPr/>
      <w:r>
        <w:rPr>
          <w:b/>
        </w:rPr>
        <w:t>POSSIBLE 2026:</w:t>
      </w:r>
      <w:r>
        <w:t xml:space="preserve"> Storylines of extreme summer temperatures in southern South America — https://doi.org/10.5194/wcd-7-149-2026</w:t>
      </w:r>
    </w:p>
    <w:p>
      <w:pPr/>
      <w:r>
        <w:rPr>
          <w:b/>
        </w:rPr>
        <w:t>Shared claim-specific concepts:</w:t>
      </w:r>
      <w:r>
        <w:t xml:space="preserve"> based, storylines, explore, different, characteristics; EU scope not established. This is a provisional connection, not an outcome finding.</w:t>
      </w:r>
    </w:p>
    <w:p>
      <w:pPr>
        <w:pStyle w:val="SourceNote"/>
      </w:pPr>
      <w:r>
        <w:rPr>
          <w:b/>
        </w:rPr>
        <w:t>Available abstract (not full text):</w:t>
      </w:r>
      <w:r>
        <w:t xml:space="preserve"> Abstract. Understanding the sources of uncertainty in future climate extremes is crucial for developing effective regional adaptation strategies. This study examines projections of summer absolute maximum temperature (TXx) over four regions of southern South America: northern, central-eastern, central Argentina, and southern areas. We analyse simulations from 26 global climate models and apply a storyline approach to explore how different climate drivers combine to shape future changes in TXx for the late 21st century (2070–2099). The storylines are based on changes in key physical drivers, including mid-tropospheric circulation, regional soil moisture, sea surface temperature in Niño 3.4 region, and the intensity of the South Atlantic Convergence Zone. A multi-linear regression framework reveals that the dominant drivers of the projected warming in TXx vary substantially across regions. In northern areas, warming is primarily influenced by remote drivers such as tropical sea surface temperatures and changes in the South Atlantic Convergence Zone. Central-eastern and central Argentina exhibit mixed local and remote influences, while southern regions are predominantly affected by local drivers (soil drying and atmospheric circulation changes). Together, these drivers explain up to 56 % of the inter-model spread in future projections of TXx. However, their ability to account for </w:t>
      </w:r>
    </w:p>
    <w:p>
      <w:pPr/>
      <w:r>
        <w:rPr>
          <w:b/>
        </w:rPr>
        <w:t>POSSIBLE 2026:</w:t>
      </w:r>
      <w:r>
        <w:t xml:space="preserve"> Development of a digital numeracy assessment instrument based on Articulate Storyline for pre-service elementary teachers — https://doi.org/10.30762/f_m.v9i1.8206</w:t>
      </w:r>
    </w:p>
    <w:p>
      <w:pPr/>
      <w:r>
        <w:rPr>
          <w:b/>
        </w:rPr>
        <w:t>Shared claim-specific concepts:</w:t>
      </w:r>
      <w:r>
        <w:t xml:space="preserve"> based, tool, develop; EU scope not established. This is a provisional connection, not an outcome finding.</w:t>
      </w:r>
    </w:p>
    <w:p>
      <w:pPr>
        <w:pStyle w:val="SourceNote"/>
      </w:pPr>
      <w:r>
        <w:rPr>
          <w:b/>
        </w:rPr>
        <w:t>Available abstract (not full text):</w:t>
      </w:r>
      <w:r>
        <w:t xml:space="preserve"> Digital numeracy literacy is an essential competence for prospective elementary school teachers because it supports contextual problem-solving, data interpretation, and mathematical reasoning in 21st-century learning. However, contextual and technology-based assessment instruments capable of authentically measuring these competencies remain limited in teacher education. This study aimed to develop an interactive digital numeracy assessment instrument using Articulate Storyline, which supports multimedia-based and contextual assessment activities for prospective teachers in Madrasah Ibtidaiyah Teacher Education (PGMI) and Primary School Teacher Education (PGSD) programs. This research adopted a 4D Research and Development framework that included the stages of defining, designing, developing, and disseminating the instrument. The instrument was developed through needs analysis, expert validation, pilot, and field testing involving prospective teachers from three universities. The instrument contained contextual numeracy tasks of varying difficulty, covering geometry, measurement, equations, functions, ratios, and data representation. It was based on three digital numeracy indicators: mathematical symbol use, information analysis, and interpretation for decision-making. Validity was assessed through expert judgment, practicality through lecturer and student questionnaires, and eff</w:t>
      </w:r>
    </w:p>
    <w:p>
      <w:pPr/>
      <w:r>
        <w:rPr>
          <w:b/>
        </w:rPr>
        <w:t>POSSIBLE 2025:</w:t>
      </w:r>
      <w:r>
        <w:t xml:space="preserve"> A value-based tradeoff to explore AI Tools in the Twin Transition : The case of the Horizon Europe DaCapo project — https://openalex.org/W7131918820</w:t>
      </w:r>
    </w:p>
    <w:p>
      <w:pPr/>
      <w:r>
        <w:rPr>
          <w:b/>
        </w:rPr>
        <w:t>Shared claim-specific concepts:</w:t>
      </w:r>
      <w:r>
        <w:t xml:space="preserve"> tool, explore, ways, develop, sustainability, recent; EU scope visible. This is a provisional connection, not an outcome finding.</w:t>
      </w:r>
    </w:p>
    <w:p>
      <w:pPr>
        <w:pStyle w:val="SourceNote"/>
      </w:pPr>
      <w:r>
        <w:rPr>
          <w:b/>
        </w:rPr>
        <w:t>Available abstract (not full text):</w:t>
      </w:r>
      <w:r>
        <w:t xml:space="preserve"> “While AI could change the world in many unforeseen ways, it’s already having one massive impact: a voracious consumption of energy.” Times Magazine, 2024. (1)Popular AI tools such as ChatGPT, Copilot, and Claude are promising to address sustainability challenges and support Europe’s Twin Transition (i.e. the transition to more digitalization and sustainability at the same time). With the leap in innovation and productivity these tools afford, a topic that is currently receiving increasing attention is the short term impact these tools may have in terms of sustainability (Khowaja et al., 2024; De Vries, 2023). Their innovation &amp; productivity gains versus their requirements in terms of energy and water seem to present a paradox that requires attention: using these tools may help us up the Twin Transition in the long run, but at the same time may harm that very same transition in the short term. At TNO our vision is that “Our economy needs to foster innovation and competitiveness, while embracing sustainability, including circular practices.”(2) In a recent Horizon Europe Project we encountered this seeming contradiction when developing a Digital Circularity Consultant with Popular AI Tools. In this article we reflect on our experiences on how to cope with these developments and provide initial considerations and suggestions on how to navigate this trade off. As new tools and use</w:t>
      </w:r>
    </w:p>
    <w:p>
      <w:pPr>
        <w:pStyle w:val="Heading2"/>
      </w:pPr>
      <w:r>
        <w:t>773. Future Trajectories of Renewable Energy Consumption in the European Union</w:t>
      </w:r>
    </w:p>
    <w:p>
      <w:pPr>
        <w:pStyle w:val="SourceNote"/>
      </w:pPr>
      <w:r>
        <w:rPr>
          <w:b/>
        </w:rPr>
        <w:t>Original source (2018):</w:t>
      </w:r>
      <w:r>
        <w:t xml:space="preserve"> https://doi.org/10.3390/resources7010010</w:t>
      </w:r>
    </w:p>
    <w:p>
      <w:pPr/>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historical, data;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A geospatial database of coastal characteristics for erosion assessment of Europe's coastal floodplains — https://doi.org/10.5194/nhess-26-1685-2026</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Coastal erosion and flooding are known to be linked, with erosion potentially exacerbating flood extents and risk, but analysis of the combined hazards is limited. This paper describes the CoasTER geographic database designed as a first step in integrating existing information on erosion and other relevant characteristics for Europe’s coastal floodplains to support flood assessment and climate services. The CoasTER database updates and builds on earlier erosion research and data sources. It also includes a coastal geomorphological typology which incorporates human modification in the form of hard engineering and infrastructure. Almost 80 % (25,000 km) of shorelines associated with coastal floodplains are composed of erodible sediments, with coastal wetlands being the most prevalent geomorphological type. While accretion is the dominant historical trend for these shorelines, approximately 27 % are currently classed as eroding over the last 40 years. The majority of floodplain shorelines are associated with either developed or agricultural areas and human structures are visible along almost 8,000 km of shoreline, restricting morphodynamic response to sea level rise. If the erosive trend continues for developed areas, over 2,500 km of shoreline will require further management to maintain current protection levels and nearly 1,000 km will require new management. The CoasT</w:t>
      </w:r>
    </w:p>
    <w:p>
      <w:pPr/>
      <w:r>
        <w:rPr>
          <w:b/>
        </w:rPr>
        <w:t>POSSIBLE 2026:</w:t>
      </w:r>
      <w:r>
        <w:t xml:space="preserve"> Intra-EU Trade Share Dynamics under Sequential Shocks: Evidence from Eurostat Data — https://doi.org/10.2478/picbe-2026-0290</w:t>
      </w:r>
    </w:p>
    <w:p>
      <w:pPr/>
      <w:r>
        <w:rPr>
          <w:b/>
        </w:rPr>
        <w:t>Shared claim-specific concepts:</w:t>
      </w:r>
      <w:r>
        <w:t xml:space="preserve"> data, eurostat, share, energy; EU scope visible. This is a provisional connection, not an outcome finding.</w:t>
      </w:r>
    </w:p>
    <w:p>
      <w:pPr>
        <w:pStyle w:val="SourceNote"/>
      </w:pPr>
      <w:r>
        <w:rPr>
          <w:b/>
        </w:rPr>
        <w:t>Available abstract (not full text):</w:t>
      </w:r>
      <w:r>
        <w:t xml:space="preserve"> Abstract Countries in the European Union (EU) trade with each other constantly, but big crises can cause financial trouble to spread easily across borders. This study looked at EU trade data from 2013 to 2024 to see how the system handled the COVID-19 pandemic and the war/energy crisis. Surprisingly, these major events didn’t break the trading system or cause sudden disruptions. Instead, trade slowly became more spread out among different countries over time rather than just being controlled by a few wealthy ones. Most countries kept their usual trading positions—with Romania showing great resilience by keeping steady exports and making minor import gains after 2022. Ultimately, the study shows that while the EU trade network is highly stable, sequential crises still slowly shift who relies on whom, meaning leaders must monitor these connections closely to manage future financial risks.</w:t>
      </w:r>
    </w:p>
    <w:p>
      <w:pPr/>
      <w:r>
        <w:rPr>
          <w:b/>
        </w:rPr>
        <w:t>POSSIBLE 2025:</w:t>
      </w:r>
      <w:r>
        <w:t xml:space="preserve"> Claims inflation estimation: a practical guide for historical data — https://doi.org/10.1017/s1357321725100275</w:t>
      </w:r>
    </w:p>
    <w:p>
      <w:pPr/>
      <w:r>
        <w:rPr>
          <w:b/>
        </w:rPr>
        <w:t>Shared claim-specific concepts:</w:t>
      </w:r>
      <w:r>
        <w:t xml:space="preserve"> historical, data, work; EU scope visible. This is a provisional connection, not an outcome finding.</w:t>
      </w:r>
    </w:p>
    <w:p>
      <w:pPr>
        <w:pStyle w:val="SourceNote"/>
      </w:pPr>
      <w:r>
        <w:rPr>
          <w:b/>
        </w:rPr>
        <w:t>Available abstract (not full text):</w:t>
      </w:r>
      <w:r>
        <w:t xml:space="preserve"> Impetus and MotivationClaims inflation is one of the key assumptions used by non-life actuaries.It is relevant to virtually every aspect of their work, whether reserving, pricing, planning or capital modelling.In some instances, an appreciation of past inflation is needed, whereas in other cases, it is the estimation of future inflation rates that is key.Unfortunately, claims inflation is notoriously difficult to measure with any degree of certainty (Sheaf et al., 2005) Over the past three decades, central banks in Western economies have sought to maintain a low and stable level of inflation, as measured by relevant price indices.By and large, this aspiration was successful until the year following the outbreak of the COVID-19 pandemic in 2020.From roughly the second half of 2021, price inflation in Europe, the US, the UK and most other nations exhibited a sharp increase.Although price inflation reached its peak in 2022 (and has since reduced significantly), it remains highly elevated in many economies, vis à vis their central bank targets; as of the time of writing this paper (Q1 2024).With certain exceptions (e.g.general or punitive damages), the aim of a general insurance claim is to rectify a financial loss.As such, general economic or price inflation can be expected to have a significant impact on the level of claim pay outs.This impact, however, can vary markedly between </w:t>
      </w:r>
    </w:p>
    <w:p>
      <w:pPr/>
      <w:r>
        <w:rPr>
          <w:b/>
        </w:rPr>
        <w:t>POSSIBLE 2025:</w:t>
      </w:r>
      <w:r>
        <w:t xml:space="preserve"> Survey of historical databases with longitudinal micro-data: The second questionnaire — https://doi.org/10.34894/wucato</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In 2015, the HSNDB sent out surveys to multiple data centers to document their databases on historical persons. The surveys were an upgrade and extension of an earlier effort in 2009, available at https://hdl.handle.net/10622/VUJHAG. The goal was to start a European Historical Population Samples Network (EHPS-Net). EHPS-Net ran from 2011 to 2019 and brought together scholars to create a common format for databases containing non-aggregated information on persons, families and households. The results from the 2015 survey were shown on the EHPS-Net website, which was archived in December 2024. This database contains the original questionnaires, as well as screenshots from the EHPS-Net website to get an impression of the intended functionality.</w:t>
      </w:r>
    </w:p>
    <w:p>
      <w:pPr/>
      <w:r>
        <w:rPr>
          <w:b/>
        </w:rPr>
        <w:t>POSSIBLE 2025:</w:t>
      </w:r>
      <w:r>
        <w:t xml:space="preserve"> HISTORECO: Historical Spanish transition database on climate, geography and economics of the 20th-21st century — https://doi.org/10.1038/s41597-025-05055-z</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One of the major difficulties in the social sciences is obtaining comparable data from different sources. Especially, for small-scale data, such as municipalities within a country, and even more when the variables belong to different fields of knowledge. To avoid these problems, we present a database containing 45 geographic, climatic, hydrological and demo-economic variables (64 columns) that covers the 20th and 21st centuries for all municipalities in Spain. To achieve this, we merged seventeen databases/sources, using several methods, software and programming languages (QGIS, R, Python) to homogenize and downscale the variables for Spanish municipalities. Technical validation results are included with aggregation and alternative sources checks. This database is a valuable resource for researchers from different fields of research, as there is no other resource with this temporal breadth and spatial disaggregation in the current literature. The dataset can contribute to comprehensive analyses with temporal and spatial comparisons around several current debates in the literature and policy (local effects of global and climate change, adaptation, demography, land use change, etc.).</w:t>
      </w:r>
    </w:p>
    <w:p>
      <w:pPr/>
      <w:r>
        <w:rPr>
          <w:b/>
        </w:rPr>
        <w:t>POSSIBLE 2025:</w:t>
      </w:r>
      <w:r>
        <w:t xml:space="preserve"> Historical Roots of Contemporary Worries About Immigrant Crime in European Societies — https://doi.org/10.1007/s43576-025-00169-1</w:t>
      </w:r>
    </w:p>
    <w:p>
      <w:pPr/>
      <w:r>
        <w:rPr>
          <w:b/>
        </w:rPr>
        <w:t>Shared claim-specific concepts:</w:t>
      </w:r>
      <w:r>
        <w:t xml:space="preserve"> historical, data, terms; EU scope visible. This is a provisional connection, not an outcome finding.</w:t>
      </w:r>
    </w:p>
    <w:p>
      <w:pPr>
        <w:pStyle w:val="SourceNote"/>
      </w:pPr>
      <w:r>
        <w:rPr>
          <w:b/>
        </w:rPr>
        <w:t>Available abstract (not full text):</w:t>
      </w:r>
      <w:r>
        <w:t xml:space="preserve"> Abstract Previous cross-national comparison research has mainly considered contemporary forces to explain current public views about immigrants’ impact on crime. We argue that a historically informed perspective can improve our understanding of such views. In our study, we explore how two macro-historical explanatory factors—countries’ varied histories of crimmigration and past geopolitical threat—are related to the perception of immigrants’ impact on crime in European societies today. A country is considered to have a pronounced history of crimmigration when immigration law and criminal law have become increasingly intertwined over time (1980–2014). When a country faces the loss of or a threat to its national sovereignty or territory during or after nation-state formation (nineteenth and twentieth centuries), it is deemed to have been geopolitically threatened. Multilevel regression analyses based on the 2002 and 2014 European Social Survey (ESS) data from 21 countries, controlling for individual- and other country-level factors, indicate that current worries about immigrant crime in European societies have historical roots. Current public views about immigrants’ impact on crime are more evident in countries with more severe past geopolitical threat rather than being affected by a country’s history of crimmigration. The findings are discussed in terms of their relevance to res</w:t>
      </w:r>
    </w:p>
    <w:p>
      <w:pPr/>
      <w:r>
        <w:rPr>
          <w:b/>
        </w:rPr>
        <w:t>POSSIBLE 2025:</w:t>
      </w:r>
      <w:r>
        <w:t xml:space="preserve"> Outpacing climate change: adaptation to heatwaves in Europe — https://doi.org/10.1007/s00484-025-02872-0</w:t>
      </w:r>
    </w:p>
    <w:p>
      <w:pPr/>
      <w:r>
        <w:rPr>
          <w:b/>
        </w:rPr>
        <w:t>Shared claim-specific concepts:</w:t>
      </w:r>
      <w:r>
        <w:t xml:space="preserve"> historical, data, eurostat, energy;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Electricity market governance and the historical performance of electricity transitions in European countries: insights from retrospective modeling — https://doi.org/10.1016/j.esr.2025.101787</w:t>
      </w:r>
    </w:p>
    <w:p>
      <w:pPr/>
      <w:r>
        <w:rPr>
          <w:b/>
        </w:rPr>
        <w:t>Shared claim-specific concepts:</w:t>
      </w:r>
      <w:r>
        <w:t xml:space="preserve"> historical, work, share; EU scope visible. This is a provisional connection, not an outcome finding.</w:t>
      </w:r>
    </w:p>
    <w:p>
      <w:pPr>
        <w:pStyle w:val="SourceNote"/>
      </w:pPr>
      <w:r>
        <w:rPr>
          <w:b/>
        </w:rPr>
        <w:t>Available abstract (not full text):</w:t>
      </w:r>
      <w:r>
        <w:t xml:space="preserve"> In the last decades, the governance of national electricity systems in Europe has experienced several shifts between market liberalization and policy intervention. However, there remains a lack of consistent evidence about impacts of electricity market governance on the performance of electricity systems. This work uses retrospective bottom-up modeling to explore potential links between electricity market governance in 31 European countries and their electricity system transitions during 1990–2019. We identify historical governance regimes based on indicators of market regulation, renewable electricity policy support, and combined regulation and policy support. To assess performance of electricity systems, we quantify deviations between modeled historical and least-cost pathways using net present costs per unit of supplied electricity, emissions intensity, transformation of generation mix, and share of new renewable technologies. Countries with earlier liberalization of electricity markets on average had higher unit net present costs, lower emissions intensity, and higher share of new renewable generation relative to modeled least-cost pathways. Countries combining late liberalization with high support for renewable generation, which includes countries with higher public ownership of incumbent low-carbon generation, had the lowest relative values for unit net present costs and </w:t>
      </w:r>
    </w:p>
    <w:p>
      <w:pPr/>
      <w:r>
        <w:rPr>
          <w:b/>
        </w:rPr>
        <w:t>POSSIBLE 2024:</w:t>
      </w:r>
      <w:r>
        <w:t xml:space="preserve"> HANZE v2.1: an improved database of flood impacts in Europe from 1870 to 2020 — https://doi.org/10.5194/essd-16-5145-2024</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The Afro-European Energy Diplomacy, a Historical Reconstruction from 1973 to 2007 — https://doi.org/10.59569/jceeas.2023.3.1.137</w:t>
      </w:r>
    </w:p>
    <w:p>
      <w:pPr/>
      <w:r>
        <w:rPr>
          <w:b/>
        </w:rPr>
        <w:t>Shared claim-specific concepts:</w:t>
      </w:r>
      <w:r>
        <w:t xml:space="preserve"> historical, data, energy, terms; EU scope visible. This is a provisional connection, not an outcome finding.</w:t>
      </w:r>
    </w:p>
    <w:p>
      <w:pPr>
        <w:pStyle w:val="SourceNote"/>
      </w:pPr>
      <w:r>
        <w:rPr>
          <w:b/>
        </w:rPr>
        <w:t>Available abstract (not full text):</w:t>
      </w:r>
      <w:r>
        <w:t xml:space="preserve">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pPr>
        <w:pStyle w:val="Heading2"/>
      </w:pPr>
      <w:r>
        <w:t>774. Grassland futures in Great Britain – Productivity assessment and scenarios for land use change opportunities</w:t>
      </w:r>
    </w:p>
    <w:p>
      <w:pPr>
        <w:pStyle w:val="SourceNote"/>
      </w:pPr>
      <w:r>
        <w:rPr>
          <w:b/>
        </w:rPr>
        <w:t>Original source (2018):</w:t>
      </w:r>
      <w:r>
        <w:t xml:space="preserve"> https://doi.org/10.1016/j.scitotenv.2018.03.395</w:t>
      </w:r>
    </w:p>
    <w:p>
      <w:pPr/>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POSSIBLE 2026:</w:t>
      </w:r>
      <w:r>
        <w:t xml:space="preserve"> Climate Change Effects and Mechanisms on Nutritional Quality and Technological Performance of Major Agri-Food Products: A Critical Review — https://doi.org/10.1080/87559129.2026.2713621</w:t>
      </w:r>
    </w:p>
    <w:p>
      <w:pPr/>
      <w:r>
        <w:rPr>
          <w:b/>
        </w:rPr>
        <w:t>Shared claim-specific concepts:</w:t>
      </w:r>
      <w:r>
        <w:t xml:space="preserve"> climate, atmospheric, technological, but, not; EU scope not established. This is a provisional connection, not an outcome finding.</w:t>
      </w:r>
    </w:p>
    <w:p>
      <w:pPr>
        <w:pStyle w:val="SourceNote"/>
      </w:pPr>
      <w:r>
        <w:rPr>
          <w:b/>
        </w:rPr>
        <w:t>Available abstract (not full text):</w:t>
      </w:r>
      <w:r>
        <w:t xml:space="preserve"> Climate change is increasingly recognized as a major driver of alterations in food systems, affecting not only production yields but also the composition, nutritional quality, and technological performance of food raw materials. This review provides a critical synthesis of recent advances on the effects of climate change on major food matrices, including milk, cereals, vegetable oils, and fruits and vegetables. Across these systems, climate-induced stresses such as elevated temperatures, altered precipitation patterns, and increased atmospheric CO2 levels have been shown to significantly modify physicochemical and biochemical properties. These changes include reductions in protein content (notably caseins in dairy systems), alterations in lipid profiles (decreased polyunsaturated fatty acids in vegetable oils), and modifications in protein quantity and functionality in cereals, as well as shifts in bioactive compounds and quality attributes in fruits and vegetables. These compositional changes are closely linked to modifications in technological performance, impacting key processing operations including breadmaking and cheesemaking, through alterations in dough rheology and milk coagulation behavior. This review also highlights the underlying mechanisms driving these climate-induced changes, as well as current knowledge gaps and future research directions to better understand a</w:t>
      </w:r>
    </w:p>
    <w:p>
      <w:pPr/>
      <w:r>
        <w:rPr>
          <w:b/>
        </w:rPr>
        <w:t>POSSIBLE 2026:</w:t>
      </w:r>
      <w:r>
        <w:t xml:space="preserve"> Atmospheric methane removal as a third climate intervention: termination risks and air pollutant effects — https://doi.org/10.1038/s44168-026-00398-8</w:t>
      </w:r>
    </w:p>
    <w:p>
      <w:pPr/>
      <w:r>
        <w:rPr>
          <w:b/>
        </w:rPr>
        <w:t>Shared claim-specific concepts:</w:t>
      </w:r>
      <w:r>
        <w:t xml:space="preserve"> climate, atmospheric, not; EU scope not established. This is a provisional connection, not an outcome finding.</w:t>
      </w:r>
    </w:p>
    <w:p>
      <w:pPr>
        <w:pStyle w:val="SourceNote"/>
      </w:pPr>
      <w:r>
        <w:rPr>
          <w:b/>
        </w:rPr>
        <w:t>Available abstract (not full text):</w:t>
      </w:r>
      <w:r>
        <w:t xml:space="preserve"> Abstract Atmospheric Methane Removal (AMR) is a third class of climate intervention, along with Carbon Dioxide Removal (CDR) and Solar Radiation Management (SRM). We show that, unlike CDR, the avoided warming by AMR is not durable due to methane’s short atmospheric lifetime, although its temperature rebound upon termination is less abrupt than that of SRM. AMR’s impact on tropospheric ozone can be further modulated by background pollutant levels.</w:t>
      </w:r>
    </w:p>
    <w:p>
      <w:pPr/>
      <w:r>
        <w:rPr>
          <w:b/>
        </w:rPr>
        <w:t>POSSIBLE 2026:</w:t>
      </w:r>
      <w:r>
        <w:t xml:space="preserve"> Data for "Atmospheric Methane Removal as a Third Climate Intervention: Termination Risks and Air Pollutant Effects" — https://doi.org/10.5281/zenodo.18488978</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This dataset contains codes, data, tables, and figures related to the following publication: Tanaka, K., W. Xiong, D. A. Hauglustaine, D. J. A. Johansson, N. Bauer, P. Bousquet, P. Ciais, R. de Richter, M. T. Lund, R. Skeie, E. Zusman (2026) Atmospheric Methane Removal as a Third Climate Intervention: Termination Risks and Air Pollutant Effects. Arxiv (preprint). 24 January 2026. https://doi.org/10.48550/arXiv.2601.17462</w:t>
      </w:r>
    </w:p>
    <w:p>
      <w:pPr/>
      <w:r>
        <w:rPr>
          <w:b/>
        </w:rPr>
        <w:t>POSSIBLE 2026:</w:t>
      </w:r>
      <w:r>
        <w:t xml:space="preserve"> Climate Change and Its Effects on Crop Productivity: Challenges and Adaptation — https://doi.org/10.5281/zenodo.20267577</w:t>
      </w:r>
    </w:p>
    <w:p>
      <w:pPr/>
      <w:r>
        <w:rPr>
          <w:b/>
        </w:rPr>
        <w:t>Shared claim-specific concepts:</w:t>
      </w:r>
      <w:r>
        <w:t xml:space="preserve"> climate, atmospheric, technological, increase, temporary; EU scope not established. This is a provisional connection, not an outcome finding.</w:t>
      </w:r>
    </w:p>
    <w:p>
      <w:pPr>
        <w:pStyle w:val="SourceNote"/>
      </w:pPr>
      <w:r>
        <w:rPr>
          <w:b/>
        </w:rPr>
        <w:t>Available abstract (not full text):</w:t>
      </w:r>
      <w:r>
        <w:t xml:space="preserve"> Abstract Climate change has emerged as one of the most critical global challenges affecting agricultural systems and food security. It alters temperature and precipitation patterns, increases the frequency and intensity of extreme weather events, shifts pest and disease dynamics, and raises atmospheric CO₂ concentrations. Variations in these climatic parameters exert both direct and indirect influences on crop growth, yield, and the overall stability of agricultural production by altering plant physiological processes, soil fertility, pest dynamics, and water availability. These impacts are particularly severe in developing countries that depend heavily on agriculture for livelihood and food security, as limited access to resources, infrastructure, and adaptive technologies constrains their capacity to cope with climate variability. The reduction in crop productivity due to climate stress has been observed in major cereals such as wheat, rice, and maize, while some crops may experience temporary yield gains in specific regions due to elevated CO₂ levels. However, the overall global impact remains negative, threatening food security and rural livelihoods. Adaptation strategies such as the development of climate-resilient crop varieties, improved irrigation efficiency, soil management, and the adoption of precision farming technologies are essential to mitigate these adverse effe</w:t>
      </w:r>
    </w:p>
    <w:p>
      <w:pPr/>
      <w:r>
        <w:rPr>
          <w:b/>
        </w:rPr>
        <w:t>POSSIBLE 2026:</w:t>
      </w:r>
      <w:r>
        <w:t xml:space="preserve"> Climate Change Action and Climate Geoengineering Under Neorealism — https://doi.org/10.3390/su18136850</w:t>
      </w:r>
    </w:p>
    <w:p>
      <w:pPr/>
      <w:r>
        <w:rPr>
          <w:b/>
        </w:rPr>
        <w:t>Shared claim-specific concepts:</w:t>
      </w:r>
      <w:r>
        <w:t xml:space="preserve"> climate, atmospheric, technological, increase, but;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2026:</w:t>
      </w:r>
      <w:r>
        <w:t xml:space="preserve"> Next-Gen Monitoring: Technological Interventions for Climate-Adaptive Agriculture — https://doi.org/10.5281/zenodo.19417401</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Climate change poses a serious threat to global agriculture by altering temperature regimes, atmospheric CO₂ levels, and ecosystem dynamics, ultimately affecting crop productivity and food security. This paper highlights next-generation monitoring technologies designed to study crop responses under climate variability. Controlled environment systems such as Temperature Gradient Chambers (TGC), Temperature Gradient Greenhouses (TGG), and Soil-Plant-Atmosphere Research (SPARE) facilities provide precise regulation of environmental parameters, enabling detailed analysis of plant physiological responses. In contrast, field-based technologies including Infrared (IR) warming, Free Air Temperature Enrichment (FATE), and soil warming systems simulate realistic field conditions, allowing ecosystem-level assessment of climate impacts. Each approach offers distinct advantages: controlled systems ensure accuracy and repeatability, while field technologies enhance realism and scalability. However, limitations such as high cost, technical complexity, and challenges in maintaining natural environmental interactions persist. The integration of both approaches is essential for comprehensive understanding and reliable prediction of crop responses to climate change. These advanced technological interventions support the development of climate-resilient crop varieties, improved agronomic practices</w:t>
      </w:r>
    </w:p>
    <w:p>
      <w:pPr/>
      <w:r>
        <w:rPr>
          <w:b/>
        </w:rPr>
        <w:t>POSSIBLE 2026:</w:t>
      </w:r>
      <w:r>
        <w:t xml:space="preserve"> Unlocking Climate Mitigation in BRICS: The Role of Economic and Technological Drivers — https://doi.org/10.66529/jass.2026.1.2.55</w:t>
      </w:r>
    </w:p>
    <w:p>
      <w:pPr/>
      <w:r>
        <w:rPr>
          <w:b/>
        </w:rPr>
        <w:t>Shared claim-specific concepts:</w:t>
      </w:r>
      <w:r>
        <w:t xml:space="preserve"> climate, technological, used, but; EU scope not established. This is a provisional connection, not an outcome finding.</w:t>
      </w:r>
    </w:p>
    <w:p>
      <w:pPr>
        <w:pStyle w:val="SourceNote"/>
      </w:pPr>
      <w:r>
        <w:rPr>
          <w:b/>
        </w:rPr>
        <w:t>Available abstract (not full text):</w:t>
      </w:r>
      <w:r>
        <w:t xml:space="preserve"> The study uses Autoregressive Distributed Lag (ARDL) modeling to analyze the dynamic link between carbon emissions and economic and environmental factors. Agriculture, energy consumption, financial development, forestry, economic expansion, and ICT are used to assess short- and long-term environmental impacts. The Panel data set for the period of 1991-2022 for BRICS Economies was used for estimation. Strong emissions persistence and important short-term changes toward long-run equilibrium are shown empirically. Energy consumption is the main cause of environmental deterioration over both time periods, indicating structural dependency on energy-intensive manufacturing processes. Short-term findings show that agriculture and forestry reduce emissions, but financial development raises environmental strain. Economic development and ICT have little direct impact. Long-term projections show that agriculture and energy use raise emissions, while forestry conservation and technology enhance the environment. Long-term consequences of financial development and GDP are insignificant. The error correction process verifies convergence toward equilibrium, although adjustment is sluggish. Diagnostics confirm model stability despite heteroscedasticity and non-normal residuals. To reduce emissions and stabilize the climate, combined economic and environmental measures are needed.</w:t>
      </w:r>
    </w:p>
    <w:p>
      <w:pPr/>
      <w:r>
        <w:rPr>
          <w:b/>
        </w:rPr>
        <w:t>POSSIBLE 2026:</w:t>
      </w:r>
      <w:r>
        <w:t xml:space="preserve"> Integrating aviation’s non-CO2 effects into EU ETS: Impact of CO2e accounting on operational and technological climate mitigation measures — https://doi.org/10.1016/j.trpro.2026.02.025</w:t>
      </w:r>
    </w:p>
    <w:p>
      <w:pPr/>
      <w:r>
        <w:rPr>
          <w:b/>
        </w:rPr>
        <w:t>Shared claim-specific concepts:</w:t>
      </w:r>
      <w:r>
        <w:t xml:space="preserve"> climate, technological, increase; EU scope visible. This is a provisional connection, not an outcome finding.</w:t>
      </w:r>
    </w:p>
    <w:p>
      <w:pPr>
        <w:pStyle w:val="SourceNote"/>
      </w:pPr>
      <w:r>
        <w:rPr>
          <w:b/>
        </w:rPr>
        <w:t>Available abstract (not full text):</w:t>
      </w:r>
      <w:r>
        <w:t xml:space="preserve"> To comply with defined ambitious climate goals, technical and operational improvements are required to reduce the climate impact of aviation. Non-CO 2 emissions contribute to a majority of aviation’s total effect and a reduction of the associated climate impact is often associated with an increase in fuel consumption and CO 2 effects. These trade-offs typically result in higher operating costs, which create a lack of economic incentive to pursue such measures, ultimately slowing implementation. Therefore, this study investigates implications from a market-based policy scheme designed to support the implementation of climate mitigation strategies by internalizing non-CO 2 effects. An extension of the EU ETS to account for non-CO 2 effects in terms of CO 2 equivalents is modeled and resulting climate mitigation potentials and operating cost changes are analyzed. The results demonstrate the suitability of an extension of the existing accounting to non-CO 2 effects as this reduces cost in relation to the reference without measure implementation. Furthermore, benefits of operational climate mitigation measures are demonstrated in comparison to the use of sustainable fuels. Technical efficiency improvements can further help to increase mitigation potentials and reduce operating cost, while reduced accounting shares can help to limit cost and ticket price increase.</w:t>
      </w:r>
    </w:p>
    <w:p>
      <w:pPr/>
      <w:r>
        <w:rPr>
          <w:b/>
        </w:rPr>
        <w:t>POSSIBLE 2026:</w:t>
      </w:r>
      <w:r>
        <w:t xml:space="preserve"> Climate Change Mitigation Approaches — https://doi.org/10.1201/9781003674658-3</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With the continuously growing atmospheric CO 2 emissions that cause planetary warming; and threaten human communities and their economic activities, it is imperative that we study and implement some of the known and technologically feasible methods to reduce CO 2 emissions and mitigate the Global Climate Change (GCC). This chapter offers a succinct and critical survey on the key methods that have been proposed for the control and eventual reduction of the anthropogenic CO 2 emissions. Emphasis is given to energy efficiency, use of nuclear energy, and higher use of renewable energy – in particular wind and solar energy that are available everywhere on the planet – strategies that have been advocated in all the pathways and roadmaps to reduce CO 2 emissions. Detailed data on the conditions and requirements to decarbonize at three levels, a single home, a city, and an entire grid are also presented. The Chapter concludes with the effects electric vehicles may have on decarbonization efforts and the roadmaps presented by the agencies of the United Nations.</w:t>
      </w:r>
    </w:p>
    <w:p>
      <w:pPr/>
      <w:r>
        <w:rPr>
          <w:b/>
        </w:rPr>
        <w:t>POSSIBLE 2025:</w:t>
      </w:r>
      <w:r>
        <w:t xml:space="preserve"> The Effects of Climate Change and Technological Advancement on Economic Recovery in Sub‐Saharan Africa — https://doi.org/10.1002/waf2.12075</w:t>
      </w:r>
    </w:p>
    <w:p>
      <w:pPr/>
      <w:r>
        <w:rPr>
          <w:b/>
        </w:rPr>
        <w:t>Shared claim-specific concepts:</w:t>
      </w:r>
      <w:r>
        <w:t xml:space="preserve"> climate, technological, increase, respectively, not; EU scope not established. This is a provisional connection, not an outcome finding.</w:t>
      </w:r>
    </w:p>
    <w:p>
      <w:pPr>
        <w:pStyle w:val="SourceNote"/>
      </w:pPr>
      <w:r>
        <w:rPr>
          <w:b/>
        </w:rPr>
        <w:t>Available abstract (not full text):</w:t>
      </w:r>
      <w:r>
        <w:t xml:space="preserve"> ABSTRACT Sub‐saharan Africa's (SSA) economy is slowly recovering from the COVID‐19 pandemic, which has led to a global economic slowdown. This study aims to investigate whether climate change factors, such as temperature and carbon dioxide (CO 2 ) emissions along with technological innovation (measured by total patent applications) can predict the economic recovery of 19 selected SSA countries from 2000 to 2022. To address this study gap, we use the kernel‐based regularized least squares (KRLS) regression not previously applied in studies examining these relationships. We account for financial development, human capital, and inflation rates in the model to enhance the analysis. KRLS is well‐suited for this study as it can handle nonlinearity, cross‐sectional dependency, reduce misspecification bias, address model overfitting, and consider variable heterogeneity. Our results show that climate change has a negative and considerable effect on SSA's economic recovery. Specifically, a 1% rise on average annual surface temperature change and CO 2 emissions corresponds to a 0.17% and 0.15% decrease in economic recovery, respectively, indicating that climate change is impeding recovery efforts. Conversely, a 1% rise on average technological innovation is linked with a 0.18% increase in economic recovery (GDP). Policy recommendations should focus on reinforcing technological innovation </w:t>
      </w:r>
    </w:p>
    <w:p>
      <w:pPr/>
      <w:r>
        <w:rPr>
          <w:b/>
        </w:rPr>
        <w:t>POSSIBLE 2025:</w:t>
      </w:r>
      <w:r>
        <w:t xml:space="preserve"> The Role Of Atmospheric Chemistry In Shaping Air Quality And Climate Change — https://doi.org/10.64252/kpbqg580</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Atmospheric chemistry plays a pivotal role in regulating air quality and driving climate change processes. The interactions between chemical species in the atmosphere—such as ozone, volatile organic compounds, nitrogen oxides, and aerosols—profoundly influence the composition, radiative balance, and oxidative capacity of the atmosphere. These chemical transformations affect both short-lived climate forcers and long-lived greenhouse gases, altering regional and global temperature patterns and contributing to extreme weather events. Human activities, particularly fossil fuel combustion, industrial processes, and land use changes, have significantly altered atmospheric chemical pathways, leading to increased concentrations of pollutants and greenhouse gases. Additionally, the feedback mechanisms between atmospheric chemistry and meteorological variables further complicate the prediction of climate and air quality outcomes. Understanding these interactions is essential for developing effective mitigation and adaptation strategies. This paper reviews the key processes of atmospheric chemistry, highlights their implications for air pollution and climate dynamics, and explores emerging research tools, including satellite remote sensing and advanced modeling, which provide deeper insights into atmospheric transformations. Emphasis is placed on the need for integrated policy frameworks </w:t>
      </w:r>
    </w:p>
    <w:p>
      <w:pPr/>
      <w:r>
        <w:rPr>
          <w:b/>
        </w:rPr>
        <w:t>POSSIBLE 2025:</w:t>
      </w:r>
      <w:r>
        <w:t xml:space="preserve"> Climate injustice in the era of globalization and technological advancement — https://doi.org/10.5937/sjem2501040s</w:t>
      </w:r>
    </w:p>
    <w:p>
      <w:pPr/>
      <w:r>
        <w:rPr>
          <w:b/>
        </w:rPr>
        <w:t>Shared claim-specific concepts:</w:t>
      </w:r>
      <w:r>
        <w:t xml:space="preserve"> climate, technological, not; EU scope not established. This is a provisional connection, not an outcome finding.</w:t>
      </w:r>
    </w:p>
    <w:p>
      <w:pPr>
        <w:pStyle w:val="SourceNote"/>
      </w:pPr>
      <w:r>
        <w:rPr>
          <w:b/>
        </w:rPr>
        <w:t>Available abstract (not full text):</w:t>
      </w:r>
      <w:r>
        <w:t xml:space="preserve"> This paper explores the intersections between the Sustainable Development Goals (SDGs) and the Green Agenda, focusing on ecological, social, and economic challenges and opportunities in a global context. It emphasizes the role of international cooperation, technological innovations, and climate change mitigation in achieving sustainable growth and addressing environmental issues such as air pollution, biodiversity loss, and waste management. The study analyzes the impact of climate change, technological development, and energy transition, with a focus on the need for a fairer approach in the context of global disparities. While technological innovations such as artificial intelligence (AI) and blockchain offer potential solutions for sustainable development, they also present new challenges regarding energy consumption and environmental impact. The paper argues that a balanced approach is needed, integrating technological advancements with comprehensive ecological policies to ensure a fair and efficient green transition, especially in developing countries. It also calls for greater accountability and cooperation among nations, emphasizing climate justice to ensure that vulnerable populations are not disproportionately affected by environmental disasters.</w:t>
      </w:r>
    </w:p>
    <w:p>
      <w:pPr>
        <w:pStyle w:val="Heading2"/>
      </w:pPr>
      <w:r>
        <w:t>775. Implementing exogenous scenarios in a global MRIO model for the estimation of future environmental footprints</w:t>
      </w:r>
    </w:p>
    <w:p>
      <w:pPr>
        <w:pStyle w:val="SourceNote"/>
      </w:pPr>
      <w:r>
        <w:rPr>
          <w:b/>
        </w:rPr>
        <w:t>Original source (2018):</w:t>
      </w:r>
      <w:r>
        <w:t xml:space="preserve"> https://doi.org/10.1186/s40008-018-0118-y</w:t>
      </w:r>
    </w:p>
    <w:p>
      <w:pPr/>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POSSIBLE 2026:</w:t>
      </w:r>
      <w:r>
        <w:t xml:space="preserve"> Challenges in digitalization in outdoor recreation: The example of the European pond turtle — https://doi.org/10.1016/j.jort.2026.101095</w:t>
      </w:r>
    </w:p>
    <w:p>
      <w:pPr/>
      <w:r>
        <w:rPr>
          <w:b/>
        </w:rPr>
        <w:t>Shared claim-specific concepts:</w:t>
      </w:r>
      <w:r>
        <w:t xml:space="preserve"> additional, example, show, climate; EU scope visible. This is a provisional connection, not an outcome finding.</w:t>
      </w:r>
    </w:p>
    <w:p>
      <w:pPr>
        <w:pStyle w:val="SourceNote"/>
      </w:pPr>
      <w:r>
        <w:rPr>
          <w:b/>
        </w:rPr>
        <w:t>Available abstract (not full text):</w:t>
      </w:r>
      <w:r>
        <w:t xml:space="preserve">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pPr/>
      <w:r>
        <w:rPr>
          <w:b/>
        </w:rPr>
        <w:t>POSSIBLE 2026:</w:t>
      </w:r>
      <w:r>
        <w:t xml:space="preserve"> When Dependencies Depend: A Large-Scale Study on Conditional Dependencies and Their Security Implications in C/C++ — https://doi.org/10.1145/3832783.3834398</w:t>
      </w:r>
    </w:p>
    <w:p>
      <w:pPr/>
      <w:r>
        <w:rPr>
          <w:b/>
        </w:rPr>
        <w:t>Shared claim-specific concepts:</w:t>
      </w:r>
      <w:r>
        <w:t xml:space="preserve"> show, dependency, approach, existing; EU scope not established. This is a provisional connection, not an outcome finding.</w:t>
      </w:r>
    </w:p>
    <w:p>
      <w:pPr>
        <w:pStyle w:val="SourceNote"/>
      </w:pPr>
      <w:r>
        <w:rPr>
          <w:b/>
        </w:rPr>
        <w:t>Available abstract (not full text):</w:t>
      </w:r>
      <w:r>
        <w:t xml:space="preserve"> Third-party libraries (TPLs) are a major source of software supply chain risk. Yet accurately managing them remains difficult in C/C++, where dependency inclusion is often encoded directly in build scripts rather than using standard package managers. A particularly overlooked challenge is conditional dependencies, i.e., TPLs included only under specific build configurations. C/C++ projects commonly express such conditions through fine-grained CMake logic involving platform checks and user-defined configuration variables, making them difficult for existing Software Composition Analysis (SCA) tools to reason about. To investigate this problem, we conduct a large-scale empirical study of 2K real-world C/C++ projects. We develop Condor, a static analysis approach that parses CMake build files to extract conditional dependencies together with their inclusion logic. Our results show that conditional dependencies are pervasive: among projects with at least one detected TPL, 84.33% contain at least one conditional dependency, and on average 53.77% of declared TPLs are conditionally included. We further find that 87.86% of conditional dependencies are governed by user-defined variables, revealing a C/C++-specific landscape of dependency variability that is difficult for existing SCA tools to capture. Finally, our evaluation of four popular SCA tools shows that up to 48.33% of reported v</w:t>
      </w:r>
    </w:p>
    <w:p>
      <w:pPr/>
      <w:r>
        <w:rPr>
          <w:b/>
        </w:rPr>
        <w:t>POSSIBLE 2026:</w:t>
      </w:r>
      <w:r>
        <w:t xml:space="preserve"> Climate matters: Differences in trends and drivers of summer humid heat in Europe and the Southeast United States — https://doi.org/10.5194/egusphere-egu26-1886</w:t>
      </w:r>
    </w:p>
    <w:p>
      <w:pPr/>
      <w:r>
        <w:rPr>
          <w:b/>
        </w:rPr>
        <w:t>Shared claim-specific concepts:</w:t>
      </w:r>
      <w:r>
        <w:t xml:space="preserve"> additional, example, climate; EU scope visible. This is a provisional connection, not an outcome finding.</w:t>
      </w:r>
    </w:p>
    <w:p>
      <w:pPr>
        <w:pStyle w:val="SourceNote"/>
      </w:pPr>
      <w:r>
        <w:rPr>
          <w:b/>
        </w:rPr>
        <w:t>Available abstract (not full text):</w:t>
      </w:r>
      <w:r>
        <w:t xml:space="preserve"> Humid heat has increased in intensity, frequency, and duration across the world, including in mid-latitude regions not acclimated to it. Wet bulb globe temperature (WBGT) is one of the most representative humid heat metrics in terms of impacts to human health. Here, an established WBGT estimation formula and the high-resolution (9-km) ERA5-Land reanalysis dataset are used to examine summer humid heat trends and drivers across Europe and the Southeast United States. In Europe, both daytime and nighttime WBGT are increasing significantly across nearly the entire domain. Daytime and nighttime trends are of similar magnitude in many areas, with daytime trends largest in western and northern Europe and nighttime trends greatest in eastern and southern Europe. In addition, there are statistically significant and large frequency and duration trends in extreme (90th percentile) WBGT, especially at night near the Mediterranean, where there are approximately three additional extreme nights per decade and extreme event duration is more than one day longer each decade. Unlike in Europe, nighttime WBGT trends in the Southeast United States are larger and more widely statistically significant than daytime trends across most of the region. Like in Europe, there are large increases in the frequency and duration of extremes, particularly at night. For example, regions near the Gulf and in Flori</w:t>
      </w:r>
    </w:p>
    <w:p>
      <w:pPr/>
      <w:r>
        <w:rPr>
          <w:b/>
        </w:rPr>
        <w:t>POSSIBLE 2026:</w:t>
      </w:r>
      <w:r>
        <w:t xml:space="preserve"> SDGs DISCLOSURE DEPENDENCY ON INFORMATION ASYMMETRY TO REDUCE FIRMS’ STOCK VOLATILITY — https://doi.org/10.23969/jrak.v18i1.36044</w:t>
      </w:r>
    </w:p>
    <w:p>
      <w:pPr/>
      <w:r>
        <w:rPr>
          <w:b/>
        </w:rPr>
        <w:t>Shared claim-specific concepts:</w:t>
      </w:r>
      <w:r>
        <w:t xml:space="preserve"> show, dependency, higher; EU scope not established. This is a provisional connection, not an outcome finding.</w:t>
      </w:r>
    </w:p>
    <w:p>
      <w:pPr>
        <w:pStyle w:val="SourceNote"/>
      </w:pPr>
      <w:r>
        <w:rPr>
          <w:b/>
        </w:rPr>
        <w:t>Available abstract (not full text):</w:t>
      </w:r>
      <w:r>
        <w:t xml:space="preserve"> Motivated by limited SDGs financing and largely symbolic corporate engagement in Indonesia, concerns arise regarding how SDGs disclosure relates to stock volatility. This study examines the effect of SDGs disclosure on stock volatility and the role of information asymmetry, with SDGs disclosure decomposed into depth, breadth, and concentration. This quantitative study uses firms in the ESGQ KEHATI Index over 2020–2024, resulting in 197 firm-year observations and analyzed using panel regression. The findings indicate that SDGs disclosure tends to reduce stock volatility, although this effect depends on information asymmetry. At the dimensional level, depth is associated with higher volatility, while breadth and concentration show an inverse relationship. These findings provide empirical insights into the role of SDGs disclosure in capital market dynamics and contribute to the limited literature in Indonesia.</w:t>
      </w:r>
    </w:p>
    <w:p>
      <w:pPr/>
      <w:r>
        <w:rPr>
          <w:b/>
        </w:rPr>
        <w:t>POSSIBLE 2025:</w:t>
      </w:r>
      <w:r>
        <w:t xml:space="preserve"> Future evolution of large floods in Europe — https://doi.org/10.5194/egusphere-egu25-9464</w:t>
      </w:r>
    </w:p>
    <w:p>
      <w:pPr/>
      <w:r>
        <w:rPr>
          <w:b/>
        </w:rPr>
        <w:t>Shared claim-specific concepts:</w:t>
      </w:r>
      <w:r>
        <w:t xml:space="preserve"> example, show, reduced, existing, climate;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climate;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Reduced pesticide dependency through crop management — https://doi.org/10.1007/s42452-025-07248-y</w:t>
      </w:r>
    </w:p>
    <w:p>
      <w:pPr/>
      <w:r>
        <w:rPr>
          <w:b/>
        </w:rPr>
        <w:t>Shared claim-specific concepts:</w:t>
      </w:r>
      <w:r>
        <w:t xml:space="preserve"> dependency, reduced; EU scope visible. This is a provisional connection, not an outcome finding.</w:t>
      </w:r>
    </w:p>
    <w:p>
      <w:pPr>
        <w:pStyle w:val="SourceNote"/>
      </w:pPr>
      <w:r>
        <w:rPr>
          <w:b/>
        </w:rPr>
        <w:t>Available abstract (not full text):</w:t>
      </w:r>
      <w:r>
        <w:t xml:space="preserve"> The persistent overuse of synthetic pesticides in agriculture has triggered ecological degradation, human health risks, and pest resistance, demanding urgent systemic change. This paper examines how integrated crop management—through agroecological diversification, chemical innovation, and biopesticide adoption—can reduce pesticide dependency while sustaining productivity. We synthesize findings from recent field studies and chemical ecology literature, with case studies from Cambodia, Bangladesh, and Europe. These examples illustrate measurable reductions in pesticide use (up to 61%) and maintenance or improvement of yields. The review highlights plant secondary metabolites, biological signaling compounds, and microbial-based pesticides as key components of environmentally responsive pest management. A conceptual framework is proposed to guide the integration of these strategies within a broader sustainable agriculture agenda. This analysis offers evidence-based pathways to shift from reactive chemical reliance toward ecologically grounded, resilient farming systems.</w:t>
      </w:r>
    </w:p>
    <w:p>
      <w:pPr/>
      <w:r>
        <w:rPr>
          <w:b/>
        </w:rPr>
        <w:t>POSSIBLE 2024:</w:t>
      </w:r>
      <w:r>
        <w:t xml:space="preserve"> Typical earthworm assemblages of European ecosystem types — https://doi.org/10.1111/ejss.13584</w:t>
      </w:r>
    </w:p>
    <w:p>
      <w:pPr/>
      <w:r>
        <w:rPr>
          <w:b/>
        </w:rPr>
        <w:t>Shared claim-specific concepts:</w:t>
      </w:r>
      <w:r>
        <w:t xml:space="preserve"> example, higher, existing;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Greece: Time to Reduce the Dependency on Imports — https://openalex.org/W7216647585</w:t>
      </w:r>
    </w:p>
    <w:p>
      <w:pPr/>
      <w:r>
        <w:rPr>
          <w:b/>
        </w:rPr>
        <w:t>Shared claim-specific concepts:</w:t>
      </w:r>
      <w:r>
        <w:t xml:space="preserve"> energy, dependency, higher; EU scope visible. This is a provisional connection, not an outcome finding.</w:t>
      </w:r>
    </w:p>
    <w:p>
      <w:pPr>
        <w:pStyle w:val="SourceNote"/>
      </w:pPr>
      <w:r>
        <w:rPr>
          <w:b/>
        </w:rPr>
        <w:t>Available abstract (not full text):</w:t>
      </w:r>
      <w:r>
        <w:t xml:space="preserve"> Hit by the financial crisis in 2010-2012 and the imposed austerity that followed made prospects for a quick recovery unattainable for Greece and even worsened them by the Covid-19 pandemic hurting its tourism-dependent economy more than any other Euro-member country.To add insult to injury, the inflationary spiral caused to a large extent by the pandemic-related supply chain disruptions further exacerbated by the Ukraine-Russia conflict inflicting more pain for the Greek import-dependent energy and foodstuff economy.Inflation rose at levels seen in the 1990s and only recently the average rate seems to have declined with some exceptions on foodstuff, in particular, that are reminiscent of even higher levels of the 1980s.Despite the difficulties in negotiating the ever-increasing prices of basic goods with</w:t>
      </w:r>
    </w:p>
    <w:p>
      <w:pPr/>
      <w:r>
        <w:rPr>
          <w:b/>
        </w:rPr>
        <w:t>POSSIBLE 2024:</w:t>
      </w:r>
      <w:r>
        <w:t xml:space="preserve"> Dependency-Aware Code Naturalness — https://doi.org/10.1145/3689794</w:t>
      </w:r>
    </w:p>
    <w:p>
      <w:pPr/>
      <w:r>
        <w:rPr>
          <w:b/>
        </w:rPr>
        <w:t>Shared claim-specific concepts:</w:t>
      </w:r>
      <w:r>
        <w:t xml:space="preserve"> dependency, compared, existing; EU scope not established. This is a provisional connection, not an outcome finding.</w:t>
      </w:r>
    </w:p>
    <w:p>
      <w:pPr>
        <w:pStyle w:val="SourceNote"/>
      </w:pPr>
      <w:r>
        <w:rPr>
          <w:b/>
        </w:rPr>
        <w:t>Available abstract (not full text):</w:t>
      </w:r>
      <w:r>
        <w:t xml:space="preserve"> Code naturalness, which captures repetitiveness and predictability in programming languages, has proven valuable for various code-related tasks in software engineering. However, precisely measuring code naturalness remains a fundamental challenge. Existing methods measure code naturalness over individual lines of code while ignoring the deep semantic relations among different lines, e.g., program dependency, which may negatively affect the precision of the measure. Despite the intuitive appeal of extending the code naturalness measure to the code dependency domain (as there are some work that have initiated the utilization of code dependency for diverse code-related tasks), this assumption remains unexplored and warrants direct investigation. In this study, we aim to perform the first empirical study to investigate whether incorporating code dependency, instead of analyzing individual lines, can enhance the precision of measuring code naturalness. To achieve that, we first propose a new method named DAN for measuring code naturalness by incorporating the rich dependency information in the code. Specifically, DAN extracts multiple sequences of code lines by traversing the program dependency graph, where different code lines are connected by dependencies in each sequence, and then the code naturalness will be measured by taking each sequence as a whole. In this way, the dependenc</w:t>
      </w:r>
    </w:p>
    <w:p>
      <w:pPr/>
      <w:r>
        <w:rPr>
          <w:b/>
        </w:rPr>
        <w:t>POSSIBLE 2024:</w:t>
      </w:r>
      <w:r>
        <w:t xml:space="preserve"> RETRACTED: Green energy policies and energy poverty in Europe: Assessing low carbon dependency and energy productivity — https://doi.org/10.1016/j.eneco.2024.107677</w:t>
      </w:r>
    </w:p>
    <w:p>
      <w:pPr/>
      <w:r>
        <w:rPr>
          <w:b/>
        </w:rPr>
        <w:t>Shared claim-specific concepts:</w:t>
      </w:r>
      <w:r>
        <w:t xml:space="preserve"> energy, dependency, perspective; EU scope visible. This is a provisional connection, not an outcome finding.</w:t>
      </w:r>
    </w:p>
    <w:p>
      <w:pPr>
        <w:pStyle w:val="SourceNote"/>
      </w:pPr>
      <w:r>
        <w:rPr>
          <w:b/>
        </w:rPr>
        <w:t>Available abstract (not full text):</w:t>
      </w:r>
      <w:r>
        <w:t xml:space="preserve"> This study examines the dynamics of the transition to green economies in relation to energy poverty in European countries. By employing augmented mean group (AMG) and fully modified ordinary least squares estimations (FMOLS), we find empirical evidence that indicates the influence of variables representing the processes of transitioning to green economies on energy poverty. To further elucidate these relationships, Granger causality analysis was conducted. The findings of this research contribute to the ongoing discourse surrounding the transition to green economies from the perspective of energy productivity. It is observed that improvements in energy productivity are associated with a reduction in the prevalence of energy poverty. Additionally, a noteworthy relationship is identified between energy poverty and the consumption of green energy, whereby an increase in energy poverty corresponds to an increase in the proportion of green energy within the overall energy consumption mix. Accordingly, it is recommended that public policies complement the transition to green societies with measures aimed at ensuring adequate energy provision for the population.</w:t>
      </w:r>
    </w:p>
    <w:p>
      <w:pPr/>
      <w:r>
        <w:rPr>
          <w:b/>
        </w:rPr>
        <w:t>POSSIBLE 2024:</w:t>
      </w:r>
      <w:r>
        <w:t xml:space="preserve"> Causal dependencies and Shannon entropy budget: Analysis of a reduced‐order atmospheric model — https://doi.org/10.1002/qj.4805</w:t>
      </w:r>
    </w:p>
    <w:p>
      <w:pPr/>
      <w:r>
        <w:rPr>
          <w:b/>
        </w:rPr>
        <w:t>Shared claim-specific concepts:</w:t>
      </w:r>
      <w:r>
        <w:t xml:space="preserve"> energy, reduced, compared, approach; EU scope not established. This is a provisional connection, not an outcome finding.</w:t>
      </w:r>
    </w:p>
    <w:p>
      <w:pPr>
        <w:pStyle w:val="SourceNote"/>
      </w:pPr>
      <w:r>
        <w:rPr>
          <w:b/>
        </w:rPr>
        <w:t>Available abstract (not full text):</w:t>
      </w:r>
      <w:r>
        <w:t xml:space="preserve"> Abstract The information entropy budget and the rate of information transfer between variables is studied in the context of a nonlinear reduced‐order atmospheric model. The key ingredients of the dynamics are present in this model; namely, the baroclinic instability, the instability related to the presence of an orography, the dissipation related to the surface friction, and the large‐scale meridional imbalance of energy. For the parameters chosen, the solutions of this system display a chaotic dynamics reminiscent of the large‐scale atmospheric dynamics in the extratropics. The detailed information entropy budget analysis of this system reveals that the linear rotation terms play a minor role in the generation of uncertainties compared with the orography and the surface friction. Additionally, the dominant contribution comes from the nonlinear advection terms, and their decomposition in synergetic (covariability) and single (impact of each single variable on the target one) components reveals that for some variables the covariability dominates the information transfer. The estimation of the rate of information transfer based on time series is also discussed, and an extension of the Liang's approach to nonlinear observables is proposed.</w:t>
      </w:r>
    </w:p>
    <w:p>
      <w:pPr>
        <w:pStyle w:val="Heading2"/>
      </w:pPr>
      <w:r>
        <w:t>776. Multi-Model Projections of River Flood Risk in Europe under Global Warming</w:t>
      </w:r>
    </w:p>
    <w:p>
      <w:pPr>
        <w:pStyle w:val="SourceNote"/>
      </w:pPr>
      <w:r>
        <w:rPr>
          <w:b/>
        </w:rPr>
        <w:t>Original source (2018):</w:t>
      </w:r>
      <w:r>
        <w:t xml:space="preserve"> https://doi.org/10.3390/cli6010006</w:t>
      </w:r>
    </w:p>
    <w:p>
      <w:pPr/>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POSSIBLE 2026:</w:t>
      </w:r>
      <w:r>
        <w:t xml:space="preserve"> Systemic barriers and untapped potentials: a SWOT study on the implementation of natural/small water retention measures in Europe — https://doi.org/10.1016/j.jrurstud.2026.104099</w:t>
      </w:r>
    </w:p>
    <w:p>
      <w:pPr/>
      <w:r>
        <w:rPr>
          <w:b/>
        </w:rPr>
        <w:t>Shared claim-specific concepts:</w:t>
      </w:r>
      <w:r>
        <w:t xml:space="preserve"> knowledge, natural, climate, adaptation, mitigation, case; EU scope visible. This is a provisional connection, not an outcome finding.</w:t>
      </w:r>
    </w:p>
    <w:p>
      <w:pPr>
        <w:pStyle w:val="SourceNote"/>
      </w:pPr>
      <w:r>
        <w:rPr>
          <w:b/>
        </w:rPr>
        <w:t>Available abstract (not full text):</w:t>
      </w:r>
      <w:r>
        <w:t xml:space="preserve">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pPr/>
      <w:r>
        <w:rPr>
          <w:b/>
        </w:rPr>
        <w:t>POSSIBLE 2026:</w:t>
      </w:r>
      <w:r>
        <w:t xml:space="preserve"> Application of Knowledge Distillation in Natural Language Processing — https://doi.org/10.61173/jkr5zx03</w:t>
      </w:r>
    </w:p>
    <w:p>
      <w:pPr/>
      <w:r>
        <w:rPr>
          <w:b/>
        </w:rPr>
        <w:t>Shared claim-specific concepts:</w:t>
      </w:r>
      <w:r>
        <w:t xml:space="preserve"> knowledge, natural, strategies; EU scope not established. This is a provisional connection, not an outcome finding.</w:t>
      </w:r>
    </w:p>
    <w:p>
      <w:pPr>
        <w:pStyle w:val="SourceNote"/>
      </w:pPr>
      <w:r>
        <w:rPr>
          <w:b/>
        </w:rPr>
        <w:t>Available abstract (not full text):</w:t>
      </w:r>
      <w:r>
        <w:t xml:space="preserve"> As the technology of AI progresses steadily, natural language processing (NLP) has become an essential field of study in computer science and AI. It includes technologies that allow computers to comprehend and analyze as well as create human language. The introduction of huge pre-trained language models like Bidirectional Encoder Representations from Transformers (BERT) and Generative Pre-trained Transformer (GPT) has boosted the performance of models to a great extent. However, these models face challenges such as their massive parameter counts, high computational costs, and incompatibility with resource-constrained embedded devices. As one of the effective model compression methods, knowledge distillation (KD) is a method of knowledge transfer between large models and lightweight models in the form of a teacher-student paradigm that has shown considerable performance-to-efficiency benefits. This paper is a review of the fundamental technical strategies in output layer distillation, feature layer distillation and multi-teacher assisted distillation. It synthesizes materials of pertinent research papers; therefore, providing a systematic account of the current situation in this technology. It briefly describes the common application cases and experimental findings of knowledge distillation in natural language processing such as sentiment analysis, text classification, multiling</w:t>
      </w:r>
    </w:p>
    <w:p>
      <w:pPr/>
      <w:r>
        <w:rPr>
          <w:b/>
        </w:rPr>
        <w:t>POSSIBLE 2026:</w:t>
      </w:r>
      <w:r>
        <w:t xml:space="preserve"> Climate change and child health in Europe: a scoping review of emerging impacts — https://doi.org/10.1007/s00431-026-06966-8</w:t>
      </w:r>
    </w:p>
    <w:p>
      <w:pPr/>
      <w:r>
        <w:rPr>
          <w:b/>
        </w:rPr>
        <w:t>Shared claim-specific concepts:</w:t>
      </w:r>
      <w:r>
        <w:t xml:space="preserve"> climate, policies, three, warming; EU scope visible. This is a provisional connection, not an outcome finding.</w:t>
      </w:r>
    </w:p>
    <w:p>
      <w:pPr>
        <w:pStyle w:val="SourceNote"/>
      </w:pPr>
      <w:r>
        <w:rPr>
          <w:b/>
        </w:rPr>
        <w:t>Available abstract (not full text):</w:t>
      </w:r>
      <w:r>
        <w:t xml:space="preserve"> Abstract Children are extremely vulnerable to climate-related environmental impacts and air pollution due to both biological and behavioral factors. Despite the emerging evidence of the increasing effects of climate change on the world and on children’s health, policies to drive change and halt the effects are lacking. Climate change is causing Europe to heat up faster than other continents. Here, we assessed the evidence-based effects of climate change and air pollution on child health in Europe. A scoping review was performed to map the impact of climate-related exposures on the health of children in Europe. A literature search was conducted in three bibliographic databases (PubMed, Embase.com, and Cochrane Database of Systematic Reviews/Cochrane Central Register of Controlled Trials), for studies published between January 1, 2014, and November 11, 2024. Studies were included if they met the following criteria: original studies performed in Europe, addressing climate-related exposures (i.e., the effects of air pollution, heat stress and/or wildfires) on clinical outcomes in neonates, infants, and children (&lt;18 years). The literature search generated a total of 3838 unique articles; upon screening, 73 articles were included in this scoping review. Most studies were conducted in South and West Europe. Climate-related exposures were linked to negative neonatal outcomes, increase</w:t>
      </w:r>
    </w:p>
    <w:p>
      <w:pPr/>
      <w:r>
        <w:rPr>
          <w:b/>
        </w:rPr>
        <w:t>POSSIBLE 2025:</w:t>
      </w:r>
      <w:r>
        <w:t xml:space="preserve"> Restoring semi-natural grasslands in Central Europe with plant material transfer – achievements, success factors, and knowledge transfer — https://doi.org/10.22029/jlupub-20455</w:t>
      </w:r>
    </w:p>
    <w:p>
      <w:pPr/>
      <w:r>
        <w:rPr>
          <w:b/>
        </w:rPr>
        <w:t>Shared claim-specific concepts:</w:t>
      </w:r>
      <w:r>
        <w:t xml:space="preserve"> knowledge, climate, information, three; EU scope visible. This is a provisional connection, not an outcome finding.</w:t>
      </w:r>
    </w:p>
    <w:p>
      <w:pPr>
        <w:pStyle w:val="SourceNote"/>
      </w:pPr>
      <w:r>
        <w:rPr>
          <w:b/>
        </w:rPr>
        <w:t>Available abstract (not full text):</w:t>
      </w:r>
      <w:r>
        <w:t xml:space="preserve">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pPr/>
      <w:r>
        <w:rPr>
          <w:b/>
        </w:rPr>
        <w:t>POSSIBLE 2025:</w:t>
      </w:r>
      <w:r>
        <w:t xml:space="preserve"> A Soil Monitoring Law for Europe — https://doi.org/10.1002/gch2.202400336</w:t>
      </w:r>
    </w:p>
    <w:p>
      <w:pPr/>
      <w:r>
        <w:rPr>
          <w:b/>
        </w:rPr>
        <w:t>Shared claim-specific concepts:</w:t>
      </w:r>
      <w:r>
        <w:t xml:space="preserve"> knowledge, natural, climate, estimates; EU scope visible. This is a provisional connection, not an outcome finding.</w:t>
      </w:r>
    </w:p>
    <w:p>
      <w:pPr>
        <w:pStyle w:val="SourceNote"/>
      </w:pPr>
      <w:r>
        <w:rPr>
          <w:b/>
        </w:rPr>
        <w:t>Available abstract (not full text):</w:t>
      </w:r>
      <w:r>
        <w:t xml:space="preserve">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pPr/>
      <w:r>
        <w:rPr>
          <w:b/>
        </w:rPr>
        <w:t>POSSIBLE 2025:</w:t>
      </w:r>
      <w:r>
        <w:t xml:space="preserve"> Fighting Climate Change: International Attitudes toward Climate Policies — https://doi.org/10.1257/aer.20230501</w:t>
      </w:r>
    </w:p>
    <w:p>
      <w:pPr/>
      <w:r>
        <w:rPr>
          <w:b/>
        </w:rPr>
        <w:t>Shared claim-specific concepts:</w:t>
      </w:r>
      <w:r>
        <w:t xml:space="preserve"> climate, key, information, policies, three; EU scope not established. This is a provisional connection, not an outcome finding.</w:t>
      </w:r>
    </w:p>
    <w:p>
      <w:pPr>
        <w:pStyle w:val="SourceNote"/>
      </w:pPr>
      <w:r>
        <w:rPr>
          <w:b/>
        </w:rPr>
        <w:t>Available abstract (not full text):</w:t>
      </w:r>
      <w:r>
        <w:t xml:space="preserve"> This paper explores global perceptions and understanding of climate change and policies, examining factors that influence support for climate action and the impact of different types of information. We conduct large-scale surveys with 40,000 respondents from 20 countries, providing new international data on attitudes toward climate change and respondents’ socioeconomic backgrounds and lifestyles. We identify three key perceptions affecting policy support: perceived effectiveness of policies in reducing emissions, their impact on low-income households, and their effect on respondents’ households (self-interest). Educational videos clarifying policy mechanisms increase support for climate policies; those merely highlighting climate change’s impacts do not. (JEL C83, D83, D91, Q54, Q58)</w:t>
      </w:r>
    </w:p>
    <w:p>
      <w:pPr/>
      <w:r>
        <w:rPr>
          <w:b/>
        </w:rPr>
        <w:t>POSSIBLE 2025:</w:t>
      </w:r>
      <w:r>
        <w:t xml:space="preserve"> Changes in community composition and functional diversity of European bats under climate change — https://doi.org/10.1111/cobi.70025</w:t>
      </w:r>
    </w:p>
    <w:p>
      <w:pPr/>
      <w:r>
        <w:rPr>
          <w:b/>
        </w:rPr>
        <w:t>Shared claim-specific concepts:</w:t>
      </w:r>
      <w:r>
        <w:t xml:space="preserve"> climate, key, strategies; EU scope visible. This is a provisional connection, not an outcome finding.</w:t>
      </w:r>
    </w:p>
    <w:p>
      <w:pPr>
        <w:pStyle w:val="SourceNote"/>
      </w:pPr>
      <w:r>
        <w:rPr>
          <w:b/>
        </w:rPr>
        <w:t>Available abstract (not full text):</w:t>
      </w:r>
      <w:r>
        <w:t xml:space="preserve"> Climate change is predicted to drive geographical range shifts that will result in changes in species diversity and functional composition and have potential repercussions for ecosystem functioning. However, the effect of these changes on species composition and functional diversity (FD) remains unclear, especially for mammals, specifically bats. We used species distribution models and a comprehensive ecological and morphometrical trait database to estimate how projected future climate and land-use changes could influence the distribution, composition, and FD of the European bat community. Future bat assemblages were predicted to undergo substantial shifts in geographic range and trait structure. Range suitability decreased substantially in southern Europe and increased in northern latitudes. Our findings highlight the potential for climate change to drive shifts in bat FD, which has implications for ecosystem function and resilience at a continental scale. It is important to incorporate FD in conservation strategies. These efforts should target species with key functional traits predicted to be lost and areas expected to experience losses in FD. Conservation strategies should include habitat and roost protection, enhancing landscape connectivity, and international monitoring to preserve bat populations and their ecosystem services.</w:t>
      </w:r>
    </w:p>
    <w:p>
      <w:pPr/>
      <w:r>
        <w:rPr>
          <w:b/>
        </w:rPr>
        <w:t>POSSIBLE 2025:</w:t>
      </w:r>
      <w:r>
        <w:t xml:space="preserve"> Climate on the Agenda: How Board Composition Drives Climate Change Disclosure in European Banks — https://doi.org/10.1002/bse.4366</w:t>
      </w:r>
    </w:p>
    <w:p>
      <w:pPr/>
      <w:r>
        <w:rPr>
          <w:b/>
        </w:rPr>
        <w:t>Shared claim-specific concepts:</w:t>
      </w:r>
      <w:r>
        <w:t xml:space="preserve"> climate, information; EU scope visible. This is a provisional connection, not an outcome finding.</w:t>
      </w:r>
    </w:p>
    <w:p>
      <w:pPr>
        <w:pStyle w:val="SourceNote"/>
      </w:pPr>
      <w:r>
        <w:rPr>
          <w:b/>
        </w:rPr>
        <w:t>Available abstract (not full text):</w:t>
      </w:r>
      <w:r>
        <w:t xml:space="preserve"> ABSTRACT Climate change demands immediate and coordinated action from individuals, governments, and companies. Companies, in particular, play a pivotal role in mitigating climate risks and reducing environmental impacts by adopting sustainable practices that extend beyond regulatory compliance. This responsibility is not confined to high‐emission industries; service sectors, including financial institutions, also play a crucial role. Banks are uniquely positioned to address climate change by managing the carbon footprint of their operations and evaluating the environmental impacts of their loan portfolios and financial activities. The urgency of climate change has underscored the importance of transparent communication by banks regarding climate‐related information. While climate change disclosure (CCD) has garnered significant academic interest, research on its determinants in the banking sector remains limited. This study aims to fill this gap by examining the level of CCD among European banks and identifying the factors influencing the dissemination of such information through their official websites. In particular, drawing on agency theory, it investigates the role of board characteristics in shaping CCD practices. The findings, based on an econometric analysis conducted on a sample of 107 publicly listed European banks, reveal that board expertise, gender diversity, and si</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climate, adaptation, mitigation, warming;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Changing climate, shifting mycotoxins: A comprehensive review of climate change impact on mycotoxin contamination — https://doi.org/10.1111/1541-4337.13323</w:t>
      </w:r>
    </w:p>
    <w:p>
      <w:pPr/>
      <w:r>
        <w:rPr>
          <w:b/>
        </w:rPr>
        <w:t>Shared claim-specific concepts:</w:t>
      </w:r>
      <w:r>
        <w:t xml:space="preserve"> climate, strategies, recent, warming; EU scope not established. This is a provisional connection, not an outcome finding.</w:t>
      </w:r>
    </w:p>
    <w:p>
      <w:pPr>
        <w:pStyle w:val="SourceNote"/>
      </w:pPr>
      <w:r>
        <w:rPr>
          <w:b/>
        </w:rPr>
        <w:t>Available abstract (not full text):</w:t>
      </w:r>
      <w:r>
        <w:t xml:space="preserve"> Climate change (CC) is a complex phenomenon that has the potential to significantly alter marine, terrestrial, and freshwater ecosystems worldwide. Global warming of 2°C is expected to be exceeded during the 21st century, and the frequency of extreme weather events, including floods, storms, droughts, extreme temperatures, and wildfires, has intensified globally over recent decades, differently affecting areas of the world. How CC may impact multiple food safety hazards is increasingly evident, with mycotoxin contamination in particular gaining in prominence. Research focusing on CC effects on mycotoxin contamination in edible crops has developed considerably throughout the years. Therefore, we conducted a comprehensive literature search to collect available studies in the scientific literature published between 2000 and 2023. The selected papers highlighted how warmer temperatures are enabling the migration, introduction, and mounting abundance of thermophilic and thermotolerant fungal species, including those producing mycotoxins. Certain mycotoxigenic fungal species, such as Aspergillus flavus and Fusarium graminearum, are expected to readily acclimatize to new conditions and could become more aggressive pathogens. Furthermore, abiotic stress factors resulting from CC are expected to weaken the resistance of host crops, rendering them more vulnerable to fungal disease outbre</w:t>
      </w:r>
    </w:p>
    <w:p>
      <w:pPr/>
      <w:r>
        <w:rPr>
          <w:b/>
        </w:rPr>
        <w:t>POSSIBLE 2024:</w:t>
      </w:r>
      <w:r>
        <w:t xml:space="preserve"> Nature-Based Tourism in National and Natural Parks in Europe: A Systematic Review — https://doi.org/10.3390/f15040588</w:t>
      </w:r>
    </w:p>
    <w:p>
      <w:pPr/>
      <w:r>
        <w:rPr>
          <w:b/>
        </w:rPr>
        <w:t>Shared claim-specific concepts:</w:t>
      </w:r>
      <w:r>
        <w:t xml:space="preserve"> knowledge, natural, strategies; EU scope visible. This is a provisional connection, not an outcome finding.</w:t>
      </w:r>
    </w:p>
    <w:p>
      <w:pPr>
        <w:pStyle w:val="SourceNote"/>
      </w:pPr>
      <w:r>
        <w:rPr>
          <w:b/>
        </w:rPr>
        <w:t>Available abstract (not full text):</w:t>
      </w:r>
      <w:r>
        <w:t xml:space="preserve"> Considered among the fastest-growing industries in the world, tourism brings immense benefits but also creates certain challenges. Conservation of natural resources is a stringent necessity, without which the extraordinary ecosystems’ attributes that create the premises for nature-based tourism would reduce, alter, and subsequently disappear. The aim of the present review is twofold: gaining a general understanding of what nature-based tourism is and providing a systematic literature review of articles on nature-based tourism in European national and natural parks, with emphasis on their applicability. The articles included in the present review were selected based on the Preferred Reporting Items for Systematic Reviews and Meta-Analyses (PRISMA) statement. The review accounts for research conducted between 2000 and 2021 and is divided into two sections: articles aimed at understanding tourists’ behaviour and articles that are focused on other stakeholders or have the local communities in the foreground. While many studies are aimed at understanding tourists’ behaviour as a means of improving parks’ management, participatory strategies including local communities are often indicated as beneficial. The results of this paper can facilitate future research in the field and provide valuable knowledge to policymakers and any interested parties.</w:t>
      </w:r>
    </w:p>
    <w:p>
      <w:pPr/>
      <w:r>
        <w:rPr>
          <w:b/>
        </w:rPr>
        <w:t>POSSIBLE 2024:</w:t>
      </w:r>
      <w:r>
        <w:t xml:space="preserve"> Knowledge Management in Parliament. A quantitative overview for Europe — https://doi.org/10.52514/sier.v2i1.39</w:t>
      </w:r>
    </w:p>
    <w:p>
      <w:pPr/>
      <w:r>
        <w:rPr>
          <w:b/>
        </w:rPr>
        <w:t>Shared claim-specific concepts:</w:t>
      </w:r>
      <w:r>
        <w:t xml:space="preserve"> knowledge, information, work, flood; EU scope visible. This is a provisional connection, not an outcome finding.</w:t>
      </w:r>
    </w:p>
    <w:p>
      <w:pPr>
        <w:pStyle w:val="SourceNote"/>
      </w:pPr>
      <w:r>
        <w:rPr>
          <w:b/>
        </w:rPr>
        <w:t>Available abstract (not full text):</w:t>
      </w:r>
      <w:r>
        <w:t xml:space="preserve"> Despite being the fundamental pillar of our democratic systems, there has been a notable scarcity of research on knowledge management within parliamentary settings. The few existing approaches fail to consider the unique structure of parliaments and the challenges newly elected members face. Previous research concluded that knowledge in parliaments still tends to be tacit, informal, and not recorded. In view of the multitude of highly knowledge-intensive crises in the last decade, the need for political knowledge management becomes apparent. This paper investigates how members of the national parliaments in Europe manage their knowledge relevant for policy-making, using original data collected in a quantitative online-survey in mid-2023. I was able to show that both organizational and cultural barriers hinder good knowledge work and that a systematic approach is still not being pursued. I come to the conclusion that modern politics lacks sufficient resources and know-how to adequately evaluate and apply the flood of information in everyday business. This deficiency is especially detrimental to inexperienced MPs and members of the opposition. Building on these findings, a proposed model for political knowledge management is presented. The central pillars are, on the one hand, the creation of awareness, the formulation of a knowledge strategy, the more intensive integration of ex</w:t>
      </w:r>
    </w:p>
    <w:p>
      <w:pPr>
        <w:pStyle w:val="Heading2"/>
      </w:pPr>
      <w:r>
        <w:t>777. New European socio-economic scenarios for climate change research: operationalising concepts to extend the shared socio-economic pathways</w:t>
      </w:r>
    </w:p>
    <w:p>
      <w:pPr>
        <w:pStyle w:val="SourceNote"/>
      </w:pPr>
      <w:r>
        <w:rPr>
          <w:b/>
        </w:rPr>
        <w:t>Original source (2018):</w:t>
      </w:r>
      <w:r>
        <w:t xml:space="preserve"> https://doi.org/10.1007/s10113-018-1400-0</w:t>
      </w:r>
    </w:p>
    <w:p>
      <w:pPr/>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POSSIBLE 2026:</w:t>
      </w:r>
      <w:r>
        <w:t xml:space="preserve"> Ventilator built-in software: is it a useful and reliable tool? — https://doi.org/10.23866/brnrev:2026-0005</w:t>
      </w:r>
    </w:p>
    <w:p>
      <w:pPr/>
      <w:r>
        <w:rPr>
          <w:b/>
        </w:rPr>
        <w:t>Shared claim-specific concepts:</w:t>
      </w:r>
      <w:r>
        <w:t xml:space="preserve"> useful, tool, novel; EU scope not established. This is a provisional connection, not an outcome finding.</w:t>
      </w:r>
    </w:p>
    <w:p>
      <w:pPr>
        <w:pStyle w:val="SourceNote"/>
      </w:pPr>
      <w:r>
        <w:rPr>
          <w:b/>
        </w:rPr>
        <w:t>Available abstract (not full text):</w:t>
      </w:r>
      <w:r>
        <w:t xml:space="preserve">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pPr/>
      <w:r>
        <w:rPr>
          <w:b/>
        </w:rPr>
        <w:t>POSSIBLE 2026:</w:t>
      </w:r>
      <w:r>
        <w:t xml:space="preserve"> Retrospective pig welfare assessment at rendering plants – a useful tool for monitoring and inspection — https://doi.org/10.1186/s40813-026-00504-6</w:t>
      </w:r>
    </w:p>
    <w:p>
      <w:pPr/>
      <w:r>
        <w:rPr>
          <w:b/>
        </w:rPr>
        <w:t>Shared claim-specific concepts:</w:t>
      </w:r>
      <w:r>
        <w:t xml:space="preserve"> useful, tool, number, present, until; EU scope visible. This is a provisional connection, not an outcome finding.</w:t>
      </w:r>
    </w:p>
    <w:p>
      <w:pPr>
        <w:pStyle w:val="SourceNote"/>
      </w:pPr>
      <w:r>
        <w:rPr>
          <w:b/>
        </w:rPr>
        <w:t>Available abstract (not full text):</w:t>
      </w:r>
      <w:r>
        <w:t xml:space="preserve"> BACKGROUND: The COUNCIL DIRECTIVE 98/58/EC (1) states that animal owners and care takers must ensure that animals under their care are not subjected to unnecessary pain, suffering and injury. Until now, rendering plants as a potential ‘exit’ in animal production have been largely ignored as a potential assessment site for animal welfare monitoring. The aim of the present work was to provide an overview of welfare-related lesions commonly found in pigs at rendering plants. Data collection was carried out in Austrian and German rendering plants and focussed on lesions that were expected to be recognizable for any pig farmer. RESULTS: In the Austrian study, 20.8% of all pigs delivered to a rendering plant showed lesions potentially associated with substantial pain and/or suffering. In Germany, 16.0% of examined pigs (sample A) may have been exposed to substantial pain and/or suffering. Most common lesions were biting wounds, ulcerative skin lesions and swellings. CONCLUSIONS: Based on the results it must be assumed that a considerable number of pigs experienced substantial pain and/or suffering prior to death. External examinations focusing on potentially welfare-relevant lesions carried out at rendering plants could be helpful in identifying farms at high risk of non-compliance with the Animal Welfare Act.</w:t>
      </w:r>
    </w:p>
    <w:p>
      <w:pPr/>
      <w:r>
        <w:rPr>
          <w:b/>
        </w:rPr>
        <w:t>POSSIBLE 2026:</w:t>
      </w:r>
      <w:r>
        <w:t xml:space="preserve"> Unveiling the environmental impact of earthquakes in Europe — https://doi.org/10.1038/s41467-025-68120-6</w:t>
      </w:r>
    </w:p>
    <w:p>
      <w:pPr/>
      <w:r>
        <w:rPr>
          <w:b/>
        </w:rPr>
        <w:t>Shared claim-specific concepts:</w:t>
      </w:r>
      <w:r>
        <w:t xml:space="preserve"> tool, novel, develop, equivalent;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Digital design as a tool for teaching primary schools’ students to recognise artistic techniques in texts — https://doi.org/10.1177/20427530251358506</w:t>
      </w:r>
    </w:p>
    <w:p>
      <w:pPr/>
      <w:r>
        <w:rPr>
          <w:b/>
        </w:rPr>
        <w:t>Shared claim-specific concepts:</w:t>
      </w:r>
      <w:r>
        <w:t xml:space="preserve"> tool, increase, develop; EU scope not established. This is a provisional connection, not an outcome finding.</w:t>
      </w:r>
    </w:p>
    <w:p>
      <w:pPr>
        <w:pStyle w:val="SourceNote"/>
      </w:pPr>
      <w:r>
        <w:rPr>
          <w:b/>
        </w:rPr>
        <w:t>Available abstract (not full text):</w:t>
      </w:r>
      <w:r>
        <w:t xml:space="preserve">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tool, climate, set,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2025:</w:t>
      </w:r>
      <w:r>
        <w:t xml:space="preserve"> Spirulina in the 21st century: Five reasons for success in Europe — https://doi.org/10.1007/s10811-025-03536-7</w:t>
      </w:r>
    </w:p>
    <w:p>
      <w:pPr/>
      <w:r>
        <w:rPr>
          <w:b/>
        </w:rPr>
        <w:t>Shared claim-specific concepts:</w:t>
      </w:r>
      <w:r>
        <w:t xml:space="preserve"> recognised, number, existing; EU scope visible. This is a provisional connection, not an outcome finding.</w:t>
      </w:r>
    </w:p>
    <w:p>
      <w:pPr>
        <w:pStyle w:val="SourceNote"/>
      </w:pPr>
      <w:r>
        <w:rPr>
          <w:b/>
        </w:rPr>
        <w:t>Available abstract (not full text):</w:t>
      </w:r>
      <w:r>
        <w:t xml:space="preserve"> The commercialised Spirulina (scientific name, Limnospira spp.), a filamentous multicellular blue-green cyanobacterium, is increasingly cultivated and utilised worldwide, including in Europe, as food and feed, due to its high nutritional value and health benefits. Its global usage has surged nearly tenfold over the past two decades, with annual production levels reaching around 30,000 tonnes of biomass according to FAO. The growing popularity of Spirulina stems from a rising demand but also from general acceptance as a protein alternative and a healthier and more sustainable source of food, thereby underlining the nutritional limitations and environmental impacts of conventional agricultural systems. Recognised as a healthy and safe food product, Spirulina is listed in the EU Food Catalog and, since 2017, has been officially categorised under the existing "Marine Algae" EU category and hence incorporated into the RCE 889/2008 EU regulation of organic products. The evolution of Spirulina research topics, on the number of large-scale cultivation sites and use of safe industrial processing technologies have brought Spirulina biomass to a global international scale providing safe products now able to be marketed under official EU regulation. Looking ahead, Spirulina's application has extended beyond the sole nutritional supplement benefit to become an ingredient in mainstream foods</w:t>
      </w:r>
    </w:p>
    <w:p>
      <w:pPr/>
      <w:r>
        <w:rPr>
          <w:b/>
        </w:rPr>
        <w:t>POSSIBLE 2025:</w:t>
      </w:r>
      <w:r>
        <w:t xml:space="preserve"> An initial map of European intertidal seagrass — https://doi.org/10.1016/j.rse.2025.115116</w:t>
      </w:r>
    </w:p>
    <w:p>
      <w:pPr/>
      <w:r>
        <w:rPr>
          <w:b/>
        </w:rPr>
        <w:t>Shared claim-specific concepts:</w:t>
      </w:r>
      <w:r>
        <w:t xml:space="preserve"> tool, present; EU scope visible. This is a provisional connection, not an outcome finding.</w:t>
      </w:r>
    </w:p>
    <w:p>
      <w:pPr>
        <w:pStyle w:val="SourceNote"/>
      </w:pPr>
      <w:r>
        <w:rPr>
          <w:b/>
        </w:rPr>
        <w:t>Available abstract (not full text):</w:t>
      </w:r>
      <w:r>
        <w:t xml:space="preserve"> Seagrass meadows directly and indirectly provide a wide range of ecosystem services, but their close proximity to anthropogenic activities renders them highly vulnerable. Regardless of their vulnerability and importance as ecosystem health indicators, intertidal seagrasses, unlike their subtidal relatives, have yet to be assessed at continental scales, and current global estimates of seagrass extent either do not mention intertidal seagrasses or combine them with subtidal seagrasses. Here, we present a first of its kind map of intertidal seagrasses in Europe using a harmonised methodology. Over a total intertidal area of 15,100 km 2 , we found that seagrasses cover an area comparable to the combined areas of Paris and Lisbon: 212 ± 18.8 km 2 . The proportion of available intertidal area covered by seagrass decreased towards higher latitudes (from ∼5.4 % at 35°N to ∼0 % at 58°N). Regardless of this pattern, the top three hotspots of seagrass covered the full latitudinal range of Europe, notably in the North Frisian Wadden Sea (Germany), Arcachon Bay (France) and Ria Formosa (Portugal). Furthermore, we showed latitudinal gradients in seagrass cover, with higher cover in low latitudes and lower cover in high latitudes. Finally, an almost linear change in intertidal seagrass peak timing (day of the year of maximum seagrass cover) with latitude was found, with peak timing later the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useful, tool, strong, climate, novel;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Evolution of Energy Audits and Energy Management Systems: Legislation, Tools and Professionals at the Service of Energy Efficiency — https://doi.org/10.1051/e3sconf/202452304008</w:t>
      </w:r>
    </w:p>
    <w:p>
      <w:pPr/>
      <w:r>
        <w:rPr>
          <w:b/>
        </w:rPr>
        <w:t>Shared claim-specific concepts:</w:t>
      </w:r>
      <w:r>
        <w:t xml:space="preserve"> recognised, useful, tool; EU scope visible. This is a provisional connection, not an outcome finding.</w:t>
      </w:r>
    </w:p>
    <w:p>
      <w:pPr>
        <w:pStyle w:val="SourceNote"/>
      </w:pPr>
      <w:r>
        <w:rPr>
          <w:b/>
        </w:rPr>
        <w:t>Available abstract (not full text):</w:t>
      </w:r>
      <w:r>
        <w:t xml:space="preserve"> For several decades, Energy Audits have been recognised as a key tool for designing and implementing interventions to improve the overall efficiency of systems, sites and fleets. This concept has gained both European and international recognition for understanding and identifying situations that can yield efficiency gains. This has been re-affirmed with the recent publication of the “Directive (EU) 2023/1791 13 09 23 on energy efficiency” As far as regulatory tools are concerned, the European standards UNI CEI EN 16247 Energy Audits: 1,2,3 e 4 have recently been revised, while at internation-al level, the current revision of ISO 50002 “Energy Audits Requirements with guidance for use (1-2-3” aims to replace the European standards for an unambiguous international reference. Regarding the professionals involved, the revision of ’UNI CEI 11339 Energy Management Experts...’ will include the competences of the Energy Auditor, as 16247-5. This contribution aims to illustrate the most recent state of the art at the date of its publication. It will be useful to guide practitioners on how to prepare themselves in the short and medium term to comply with the regulations, enabling them to organise themselves effectively and offer energy efficiency solutions calculated and guaranteed by certified professionals or organisations to their customers and users.</w:t>
      </w:r>
    </w:p>
    <w:p>
      <w:pPr/>
      <w:r>
        <w:rPr>
          <w:b/>
        </w:rPr>
        <w:t>POSSIBLE 2024:</w:t>
      </w:r>
      <w:r>
        <w:t xml:space="preserve"> Social value framing of physical activity in European Member State policies: a content analysis — https://doi.org/10.3389/fspor.2024.1415007</w:t>
      </w:r>
    </w:p>
    <w:p>
      <w:pPr/>
      <w:r>
        <w:rPr>
          <w:b/>
        </w:rPr>
        <w:t>Shared claim-specific concepts:</w:t>
      </w:r>
      <w:r>
        <w:t xml:space="preserve"> useful, increase, present, existing; EU scope visible. This is a provisional connection, not an outcome finding.</w:t>
      </w:r>
    </w:p>
    <w:p>
      <w:pPr>
        <w:pStyle w:val="SourceNote"/>
      </w:pPr>
      <w:r>
        <w:rPr>
          <w:b/>
        </w:rPr>
        <w:t>Available abstract (not full text):</w:t>
      </w:r>
      <w:r>
        <w:t xml:space="preserve"> Background: Engagement in physical activity (PA) benefits physical and mental health as well as many other areas of society. In Europe however, 1/3 adults do not meet minimum PA recommendations. Social value, and its quantification through social return on investment (SROI) evidence, may be a useful framing to enhance PA promotion. This study aimed to assess the current use of social value framing of PA in European Union (EU) policies. Methods: Content analysis of 45 EU member state policies which contain reference to PA was conducted to evaluate the presence of five social value domains and SROI evidence. Data was analysed using manual inductive coding, supported by DeepL translation and NVivo tools. Results: Social value framing was present to a certain extent in existing policies, with improved health being the most commonly referenced benefit of PA, followed by reference to social and community and then environmental benefits. Acknowledgement of the positive impacts of PA on wellbeing and education was the least present. Reference to SROI evidence was also limited. Generally, policies lacked holistic recognition of the social value of PA. Policies from the health sector were particularly limited in recognising the wider benefits of PA, whilst those from the environmental sector acknowledged the widest range of co-benefits. Conclusion: Adopting social value framing could be </w:t>
      </w:r>
    </w:p>
    <w:p>
      <w:pPr/>
      <w:r>
        <w:rPr>
          <w:b/>
        </w:rPr>
        <w:t>POSSIBLE 2024:</w:t>
      </w:r>
      <w:r>
        <w:t xml:space="preserve"> Prospects for evolution in European tree breeding — https://doi.org/10.3832/ifor4544-017</w:t>
      </w:r>
    </w:p>
    <w:p>
      <w:pPr/>
      <w:r>
        <w:rPr>
          <w:b/>
        </w:rPr>
        <w:t>Shared claim-specific concepts:</w:t>
      </w:r>
      <w:r>
        <w:t xml:space="preserve"> useful, increase, climate, set; EU scope visible. This is a provisional connection, not an outcome finding.</w:t>
      </w:r>
    </w:p>
    <w:p>
      <w:pPr>
        <w:pStyle w:val="SourceNote"/>
      </w:pPr>
      <w:r>
        <w:rPr>
          <w:b/>
        </w:rPr>
        <w:t>Available abstract (not full text):</w:t>
      </w:r>
      <w:r>
        <w:t xml:space="preserve"> Genetically improved forest reproductive materials are now widely accessible in many European countries due to decades of continuous breeding efforts. Tree breeding does not only contribute to higher-value end products but allows an increase in the rate of carbon capture and sequestration, helping to mitigate the effects of climate change. The usefulness of breeding programmes depends on (i) the relevance of the set of selected traits and their relative weights (growth, drought tolerance, phenology, etc.); (ii) the explicit management of targeted and “neutral” diversity; (iii) the genetic gain achieved; and (iv) the efficiency of transferring diversity and gain to the plantation. Several biological factors limit both operational breeding and mass reproduction. To fully realise the potential of tree breeding, the introduction of new technologies and concepts is pivotal for overcoming these constraints. We reviewed several European breeding programmes, examining their current status and factors that are likely to influence tree breeding in the coming decades. The synthesis was based on case studies developed for the European Union-funded B4EST project, which focused on eight economically important tree species with breeding histories and intensities ranging from low-input breeding (stone pine, Douglas-fir and ash) to more complex programmes (eucalyptus, maritime pine, Norway spru</w:t>
      </w:r>
    </w:p>
    <w:p>
      <w:pPr/>
      <w:r>
        <w:rPr>
          <w:b/>
        </w:rPr>
        <w:t>POSSIBLE 2023:</w:t>
      </w:r>
      <w:r>
        <w:t xml:space="preserve"> Nitrogen palaeo-isoscapes: Changing spatial gradients of faunal δ15N in late Pleistocene and early Holocene Europe — https://doi.org/10.1371/journal.pone.0268607</w:t>
      </w:r>
    </w:p>
    <w:p>
      <w:pPr/>
      <w:r>
        <w:rPr>
          <w:b/>
        </w:rPr>
        <w:t>Shared claim-specific concepts:</w:t>
      </w:r>
      <w:r>
        <w:t xml:space="preserve"> recognised, useful, tool, climate, present; EU scope visible. This is a provisional connection, not an outcome finding.</w:t>
      </w:r>
    </w:p>
    <w:p>
      <w:pPr>
        <w:pStyle w:val="SourceNote"/>
      </w:pPr>
      <w:r>
        <w:rPr>
          <w:b/>
        </w:rPr>
        <w:t>Available abstract (not full text):</w:t>
      </w:r>
      <w:r>
        <w:t xml:space="preserve">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pPr>
        <w:pStyle w:val="Heading2"/>
      </w:pPr>
      <w:r>
        <w:t>778. Outlook of the European forest-based sector: forest growth, harvest demand, wood-product markets, and forest carbon dynamics implications</w:t>
      </w:r>
    </w:p>
    <w:p>
      <w:pPr>
        <w:pStyle w:val="SourceNote"/>
      </w:pPr>
      <w:r>
        <w:rPr>
          <w:b/>
        </w:rPr>
        <w:t>Original source (2018):</w:t>
      </w:r>
      <w:r>
        <w:t xml:space="preserve"> https://doi.org/10.3832/ifor2636-011</w:t>
      </w:r>
    </w:p>
    <w:p>
      <w:pPr/>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POSSIBLE 2026:</w:t>
      </w:r>
      <w:r>
        <w:t xml:space="preserve"> Selective Deconstruction Versus Business-as-Usual Demolition: An LCA-Based Assessment of CDW Management Scenarios — https://doi.org/10.1007/978-3-032-34930-9_58</w:t>
      </w:r>
    </w:p>
    <w:p>
      <w:pPr/>
      <w:r>
        <w:rPr>
          <w:b/>
        </w:rPr>
        <w:t>Shared claim-specific concepts:</w:t>
      </w:r>
      <w:r>
        <w:t xml:space="preserve"> business-as-usual, bau, compared; EU scope not established. This is a provisional connection, not an outcome finding.</w:t>
      </w:r>
    </w:p>
    <w:p>
      <w:pPr>
        <w:pStyle w:val="SourceNote"/>
      </w:pPr>
      <w:r>
        <w:rPr>
          <w:b/>
        </w:rPr>
        <w:t>Available abstract (not full text):</w:t>
      </w:r>
      <w:r>
        <w:t xml:space="preserve">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pPr/>
      <w:r>
        <w:rPr>
          <w:b/>
        </w:rPr>
        <w:t>POSSIBLE 2026:</w:t>
      </w:r>
      <w:r>
        <w:t xml:space="preserve"> Regionally Stratified Analysis of Technology Adoption Curves for Aluminum Production (2023–2050) — https://doi.org/10.1201/9781003672807-9</w:t>
      </w:r>
    </w:p>
    <w:p>
      <w:pPr/>
      <w:r>
        <w:rPr>
          <w:b/>
        </w:rPr>
        <w:t>Shared claim-specific concepts:</w:t>
      </w:r>
      <w:r>
        <w:t xml:space="preserve"> business-as-usual, bau, union, compared; EU scope visible. This is a provisional connection, not an outcome finding.</w:t>
      </w:r>
    </w:p>
    <w:p>
      <w:pPr>
        <w:pStyle w:val="SourceNote"/>
      </w:pPr>
      <w:r>
        <w:rPr>
          <w:b/>
        </w:rPr>
        <w:t>Available abstract (not full text):</w:t>
      </w:r>
      <w:r>
        <w:t xml:space="preserve"> This study presents a groundbreaking regionally stratified analysis of technology adoption curves for aluminum production from 2023 to 2050, focusing on the transformative potential of hydrogen smelting, inert anode technology, and artificial intelligence (AI)-driven scrap sorting to decarbonize the sector. By evaluating four scenarios—Business-as-Usual (BAU), Assisted, Greater Support, and Smarter—the research reveals stark regional disparities in adoption rates, driven by policy frameworks, infrastructure readiness, and economic incentives. For instance, under the Smarter scenario, hydrogen smelting adoption soars to 90% in China and 100% in the European Union (EU) by 2050, while inert anode penetration reaches 75% in China and 95% in Japan, highlighting the catalytic role of state-backed initiatives and carbon pricing mechanisms. The study underscores how AI-based scrap sorting can achieve efficiency gains of up to 50% in advanced economies, transforming recycling into a high-precision, circular economy pillar. These findings illuminate the critical interplay between technological innovation, policy ambition, and regional resource endowments in shaping the aluminum industry’s low-carbon future. This study further integrates a sensitivity analysis of hydrogen price volatility, revealing its profound impact on regional adoption risks, with Africa facing critical challenges (ra</w:t>
      </w:r>
    </w:p>
    <w:p>
      <w:pPr/>
      <w:r>
        <w:rPr>
          <w:b/>
        </w:rPr>
        <w:t>POSSIBLE 2026:</w:t>
      </w:r>
      <w:r>
        <w:t xml:space="preserve"> Deliverable D5.2 (D10) Stakeholder validated baselines — https://doi.org/10.5281/zenodo.20410868</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Executive summary This deliverable presents the development of stakeholder-validated baseline scenarios within the BrightSpace project, structured as an iterative process combining modelling activities, database development, and structured stakeholder engagement. The baseline work builds on Deliverable D5.1 and integrates feedback from two stakeholder retreats held in Leuven (June 2024 and September 2025), which informed successive refinements of both a “business-as-usual” (BAU) baseline and a more exploratory “challenging” baseline. The resulting revised BAU baseline is provided as an electronic annex to this deliverable, while the challenging baseline is presented alongside its motivation and key differences. The baseline development process is embedded in a broader modelling framework linking major integrated assessment and partial equilibrium models (e.g. IMAGE, GLOBIOM, MAGNET, AGMEMOD, CAPRI, FarmDyn), ensuring consistency, complementarity, and uncertainty assessment across spatial scales and thematic domains. Stakeholder engagement played a central role in validating assumptions, identifying gaps, and refining model interpretations, particularly regarding macroeconomic drivers, demand-side developments, and structural uncertainties affecting EU food systems. The BAU baseline reflects updated projections of key socio-economic and biophysical drivers under continuation of </w:t>
      </w:r>
    </w:p>
    <w:p>
      <w:pPr/>
      <w:r>
        <w:rPr>
          <w:b/>
        </w:rPr>
        <w:t>POSSIBLE 2026:</w:t>
      </w:r>
      <w:r>
        <w:t xml:space="preserve"> STREMMiAA: A Farm-Level Simulation Model for Assessing Structural Change, Land-Use, and Environmental Dynamics — https://doi.org/10.20944/preprints202603.1909.v1</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Small farms play a vital role in the rural sector of the European Union, contributing to food production, preserving landscape features, protecting biodiversity, providing public goods, and maintaining social cohesion in rural and remote regions. Nevertheless, the sector has undergone rapid structural transformation in recent decades, accompanied by adverse demographic developments that threaten the long-term sustainability of small-scale agriculture. Understanding how farms respond to evolving economic conditions and policy frameworks is therefore essential for designing effective agricultural policies. This study presents the Stochastic Recursive Model for Multiannual impact Assessment in Agriculture (STREMMiAA). This newly developed simulation model endogenously captures structural, and land-use change dynamics in arable farming systems. The model integrates a farm-level recursive linear programming framework with an ARIMA stochastic process, allowing the dynamic representation of farmers’ adaptive behavior under uncertainty. A post-solution module incorporating means-based environmental indicators enables assessment of environmental performance at the farm level. The model is empirically applied to a representative sample of arable farms in Karditsa (NUTS-3 region), Greece, under three alternative scenarios: (i) Business-as-Usual (BAU), (ii) Common Agricultural Policy (CAP)</w:t>
      </w:r>
    </w:p>
    <w:p>
      <w:pPr/>
      <w:r>
        <w:rPr>
          <w:b/>
        </w:rPr>
        <w:t>POSSIBLE 2025:</w:t>
      </w:r>
      <w:r>
        <w:t xml:space="preserve"> Assessing the Air Quality Impacts of Net-Zero GHG Emissions in Europe and Switzerland with ICON-ART — https://doi.org/10.5194/egusphere-egu25-2578</w:t>
      </w:r>
    </w:p>
    <w:p>
      <w:pPr/>
      <w:r>
        <w:rPr>
          <w:b/>
        </w:rPr>
        <w:t>Shared claim-specific concepts:</w:t>
      </w:r>
      <w:r>
        <w:t xml:space="preserve"> business-as-usual, bau, union, levels; EU scope visible. This is a provisional connection, not an outcome finding.</w:t>
      </w:r>
    </w:p>
    <w:p>
      <w:pPr>
        <w:pStyle w:val="SourceNote"/>
      </w:pPr>
      <w:r>
        <w:rPr>
          <w:b/>
        </w:rPr>
        <w:t>Available abstract (not full text):</w:t>
      </w:r>
      <w:r>
        <w:t xml:space="preserve">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pPr/>
      <w:r>
        <w:rPr>
          <w:b/>
        </w:rPr>
        <w:t>POSSIBLE 2025:</w:t>
      </w:r>
      <w:r>
        <w:t xml:space="preserve"> Gallium: Assessing the Long-Term Future Extraction, Supply, Recycling, and Price of Using WORLD7, in Relation to Future Technology Visions in the European Union — https://doi.org/10.1007/s41247-025-00125-7</w:t>
      </w:r>
    </w:p>
    <w:p>
      <w:pPr/>
      <w:r>
        <w:rPr>
          <w:b/>
        </w:rPr>
        <w:t>Shared claim-specific concepts:</w:t>
      </w:r>
      <w:r>
        <w:t xml:space="preserve"> business-as-usual, bau, union, increase, million, increases; EU scope visible. This is a provisional connection, not an outcome finding.</w:t>
      </w:r>
    </w:p>
    <w:p>
      <w:pPr>
        <w:pStyle w:val="SourceNote"/>
      </w:pPr>
      <w:r>
        <w:rPr>
          <w:b/>
        </w:rPr>
        <w:t>Available abstract (not full text):</w:t>
      </w:r>
      <w:r>
        <w:t xml:space="preserve">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pPr/>
      <w:r>
        <w:rPr>
          <w:b/>
        </w:rPr>
        <w:t>POSSIBLE 2025:</w:t>
      </w:r>
      <w:r>
        <w:t xml:space="preserve"> Balancing Climate Change Adaptation and Mitigation Through Forest Management Choices—A Case Study from Hungary — https://doi.org/10.3390/f16111724</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Climate change is driving the need for forest management strategies that simultaneously enhance ecosystem resilience and contribute to climate change mitigation. Voluntary carbon markets (VCMs), regulated in the European Union by the Carbon Removal Certification Framework (CRCF), offer potential financial incentives for such management, but eligibility criteria—particularly biodiversity requirements—limit the applicability of certain species. This study assessed the ecological and economic outcomes of six alternative management scenarios for a 4.7 ha, 99-year-old Scots pine (Pinus sylvestris) stand in western Hungary, comparing them against a business-as-usual (BAU) regeneration baseline. Using field inventory data, species-specific yield tables, and the Forest Industry Carbon Model, we modelled living and dead biomass carbon stocks for 2025–2050 and calculated potential CO2 credit generation. Economic evaluation employed total discounted contribution margin (TDCM) analyses under varying carbon credit prices (€0–150/tCO2). Results showed that an extended rotation yielded the highest carbon sequestration (958 tCO2 above BAU) and TDCM but was deemed operationally unfeasible due to declining stand health. Black locust (Robinia pseudoacacia) regeneration provided high mitigation potential (690 tCO2) but was ineligible under CRCF rules. Grey poplar (Populus × canescens) regeneration</w:t>
      </w:r>
    </w:p>
    <w:p>
      <w:pPr/>
      <w:r>
        <w:rPr>
          <w:b/>
        </w:rPr>
        <w:t>POSSIBLE 2025:</w:t>
      </w:r>
      <w:r>
        <w:t xml:space="preserve"> Assessing material requirements, supply and circularity potentials for photovoltaic systems – the case of Cyprus — https://doi.org/10.1016/j.renene.2025.124357</w:t>
      </w:r>
    </w:p>
    <w:p>
      <w:pPr/>
      <w:r>
        <w:rPr>
          <w:b/>
        </w:rPr>
        <w:t>Shared claim-specific concepts:</w:t>
      </w:r>
      <w:r>
        <w:t xml:space="preserve"> business-as-usual, bau, union, increase; EU scope visible. This is a provisional connection, not an outcome finding.</w:t>
      </w:r>
    </w:p>
    <w:p>
      <w:pPr>
        <w:pStyle w:val="SourceNote"/>
      </w:pPr>
      <w:r>
        <w:rPr>
          <w:b/>
        </w:rPr>
        <w:t>Available abstract (not full text):</w:t>
      </w:r>
      <w:r>
        <w:t xml:space="preserve"> Solar photovoltaic (PV) systems play a crucial role in the global green energy transition, but their material requirements present challenges in terms of supply chain resilience. The required materials include concrete, steel, silver, cadmium, tellurium, indium, and selenium, as well as a range of other materials (aluminium, copper, silicon, germanium and gallium) that are considered either critical or strategically important due to their supply risks and economic importance. Although the challenges for PV systems are addressed in the ambitious European Green Deal of the European Union (EU) through circular economy strategies, implementation at the national level faces obstacles. To analyse the material implications of a green energy transition dominated by solar PVs, this paper focuses on Cyprus, an island country with a high solar energy potential and ambitious PV deployment targets. We use Material Flow Analysis to examine the retrospective and prospective material accumulations and trends under three scenarios: Business-As-Usual (BAU) that reflects a continuation of historical trends; With Existing Measures (WEM) which incorporates currently adopted and legislated policies; and Net-Zero Scenario (NZS) that targets full climate neutrality by 2050. The results show a substantial increase in material stocks across all scenarios, with the NZS projecting the most-significant gro</w:t>
      </w:r>
    </w:p>
    <w:p>
      <w:pPr/>
      <w:r>
        <w:rPr>
          <w:b/>
        </w:rPr>
        <w:t>POSSIBLE 2025:</w:t>
      </w:r>
      <w:r>
        <w:t xml:space="preserve"> Is geothermal and biomass energy a better alternative for seven renewable energy courteous countries: Evidence from Fourier ARDL , Fourier B ootstrap T oda‐ Y amamoto and wavelet coherence — https://doi.org/10.1002/ep.70090</w:t>
      </w:r>
    </w:p>
    <w:p>
      <w:pPr/>
      <w:r>
        <w:rPr>
          <w:b/>
        </w:rPr>
        <w:t>Shared claim-specific concepts:</w:t>
      </w:r>
      <w:r>
        <w:t xml:space="preserve"> seven, compared; EU scope visible. This is a provisional connection, not an outcome finding.</w:t>
      </w:r>
    </w:p>
    <w:p>
      <w:pPr>
        <w:pStyle w:val="SourceNote"/>
      </w:pPr>
      <w:r>
        <w:rPr>
          <w:b/>
        </w:rPr>
        <w:t>Available abstract (not full text):</w:t>
      </w:r>
      <w:r>
        <w:t xml:space="preserve"> Abstract This study examines geothermal and biomass energy as cleaner alternatives in seven renewable‐focused countries in the context of sustainable development and global carbon‐neutrality objectives. Geothermal power provides significant emission reductions, with facilities around 99% less CO 2 and 97% less SO 2 compared to equivalent fossil‐fuel plants. Biomass energy is regarded as carbon‐neutral in CO 2 assessments; however, it still emits SO 2 and NO x . We utilize a Fourier‐augmented bootstrap ARDL model to examine long‐term energy‐emissions relationships, a Fourier‐augmented Toda‐Yamamoto causality test, and wavelet coherence for time‐frequency co‐movements. Research indicates validation of the Environmental Kuznets Curve in certain economies (USA, Italy), but not in others (France, Portugal, New Zealand, Turkey, Australia). France has no Environmental Kuznets Curve impact. Data from the EEA for Italy indicate the possible advantages; geothermal expansion from 2005 to 2018 averted approximately 2 Mt of CO 2 and reduced around 0.9 kt of NO x and 0.7 kt of SO 2 . Current business‐as‐usual predictions significantly exceed net‐zero objectives, with existing commitments anticipated to result in around 22 Gt CO 2 emissions by 2050. Conversely, IEA models anticipate over 90% renewable electricity by 2050, emphasizing the benefits of geothermal and biomass optimization. Essent</w:t>
      </w:r>
    </w:p>
    <w:p>
      <w:pPr/>
      <w:r>
        <w:rPr>
          <w:b/>
        </w:rPr>
        <w:t>POSSIBLE 2025:</w:t>
      </w:r>
      <w:r>
        <w:t xml:space="preserve"> Navigating Carbon Border Adjustments: A Case Study Analyzing the Impacts and Strategies for Trinidad and Tobago’s Ammonia Exports — https://doi.org/10.24018/ejenergy.2025.5.6.177</w:t>
      </w:r>
    </w:p>
    <w:p>
      <w:pPr/>
      <w:r>
        <w:rPr>
          <w:b/>
        </w:rPr>
        <w:t>Shared claim-specific concepts:</w:t>
      </w:r>
      <w:r>
        <w:t xml:space="preserve"> business-as-usual, bau, union, average; EU scope visible. This is a provisional connection, not an outcome finding.</w:t>
      </w:r>
    </w:p>
    <w:p>
      <w:pPr>
        <w:pStyle w:val="SourceNote"/>
      </w:pPr>
      <w:r>
        <w:rPr>
          <w:b/>
        </w:rPr>
        <w:t>Available abstract (not full text):</w:t>
      </w:r>
      <w:r>
        <w:t xml:space="preserve"> The introduction of the European Union’s (EU’s) Carbon Border Adjustment Mechanism (CBAM) significantly impacts carbon-intensive export sectors in economies of Small Island Developing States, particularly Trinidad and Tobago’s (T&amp;T’s) ammonia industry. This study evaluates the economic implications of CBAM on T&amp;T’s ammonia exports using historical production, natural gas consumption, and trade data (2004–2024) to establish emission baselines and projections for up to 2034. By employing linear programming optimization and sensitivity analyses, this study quantifies CBAM’s potential revenue impacts of CBAM under various emission factors, carbon prices, and market scenarios. The results indicate that under a business-as-usual (BAU) scenario, T&amp;T’s ammonia exports to the EU could face an average CBAM tax burden of 22%, significantly affecting export revenue and economic stability. Notably, reducing emission factors by 37%–75% through mitigation technologies like carbon capture and storage could almost entirely negate these costs in the near term. The findings highlight critical vulnerabilities in the T&amp;T’s ammonia sector due to CBAM, but also highlight strategic decarbonization pathways. The analysis advocates urgent policy interventions, including emission reduction investments, export market diversification, and domestic carbon pricing strategies, to maintain economic resilience </w:t>
      </w:r>
    </w:p>
    <w:p>
      <w:pPr/>
      <w:r>
        <w:rPr>
          <w:b/>
        </w:rPr>
        <w:t>POSSIBLE 2024:</w:t>
      </w:r>
      <w:r>
        <w:t xml:space="preserve"> Beneficial use of sediments, tools, pilot sites and measuring techniques developed and used within seven European Union INTERREG projects — https://doi.org/10.1007/s11368-024-03811-z</w:t>
      </w:r>
    </w:p>
    <w:p>
      <w:pPr/>
      <w:r>
        <w:rPr>
          <w:b/>
        </w:rPr>
        <w:t>Shared claim-specific concepts:</w:t>
      </w:r>
      <w:r>
        <w:t xml:space="preserve"> bau, union, seven, compared; EU scope visible. This is a provisional connection, not an outcome finding.</w:t>
      </w:r>
    </w:p>
    <w:p>
      <w:pPr>
        <w:pStyle w:val="SourceNote"/>
      </w:pPr>
      <w:r>
        <w:rPr>
          <w:b/>
        </w:rPr>
        <w:t>Available abstract (not full text):</w:t>
      </w:r>
      <w:r>
        <w:t xml:space="preserve">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pPr/>
      <w:r>
        <w:rPr>
          <w:b/>
        </w:rPr>
        <w:t>POSSIBLE 2024:</w:t>
      </w:r>
      <w:r>
        <w:t xml:space="preserve"> Disentangling the effects of management and climate change on habitat suitability for saproxylic species in boreal forests — https://doi.org/10.1007/s11676-023-01678-3</w:t>
      </w:r>
    </w:p>
    <w:p>
      <w:pPr/>
      <w:r>
        <w:rPr>
          <w:b/>
        </w:rPr>
        <w:t>Shared claim-specific concepts:</w:t>
      </w:r>
      <w:r>
        <w:t xml:space="preserve"> business-as-usual, bau, increase, seven, compared, average; EU scope visible. This is a provisional connection, not an outcome finding.</w:t>
      </w:r>
    </w:p>
    <w:p>
      <w:pPr>
        <w:pStyle w:val="SourceNote"/>
      </w:pPr>
      <w:r>
        <w:rPr>
          <w:b/>
        </w:rPr>
        <w:t>Available abstract (not full text):</w:t>
      </w:r>
      <w:r>
        <w:t xml:space="preserve"> Abstract Forest degradation induced by intensive forest management and temperature increase by climate change are resulting in biodiversity decline in boreal forests. Intensive forest management and high-end climate emission scenarios can further reduce the amount and diversity of deadwood, the limiting factor for habitats for saproxylic species in European boreal forests. The magnitude of their combined effects and how changes in forest management can affect deadwood diversity under a range of climate change scenarios are poorly understood. We used forest growth simulations to evaluate how forest management and climate change will individually and jointly affect habitats of red-listed saproxylic species in Finland. We simulated seven forest management regimes and three climate scenarios (reference, RCP4.5 and RCP8.5) over 100 years. Management regimes included set aside, continuous cover forestry, business-as-usual (BAU) and four modifications of BAU. Habitat suitability was assessed using a species-specific habitat suitability index, including 21 fungal and invertebrate species groups. “Winner” and “loser” species were identified based on the modelled impacts of forest management and climate change on their habitat suitability. We found that forest management had a major impact on habitat suitability of saproxylic species compared to climate change. Habitat suitability index </w:t>
      </w:r>
    </w:p>
    <w:p>
      <w:pPr>
        <w:pStyle w:val="Heading2"/>
      </w:pPr>
      <w:r>
        <w:t>779. PROGNOSTIC MODEL OF THE UKRAINE SYSTEM OF GENERAL SECONDARY EDUCATION DEVELOPMENT: FORECASTING SCENARIOS OF THE DEVELOPMENT</w:t>
      </w:r>
    </w:p>
    <w:p>
      <w:pPr>
        <w:pStyle w:val="SourceNote"/>
      </w:pPr>
      <w:r>
        <w:rPr>
          <w:b/>
        </w:rPr>
        <w:t>Original source (2018):</w:t>
      </w:r>
      <w:r>
        <w:t xml:space="preserve"> https://doi.org/10.32405/2411-1317-2018-4-45-53</w:t>
      </w:r>
    </w:p>
    <w:p>
      <w:pPr/>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POSSIBLE 2026:</w:t>
      </w:r>
      <w:r>
        <w:t xml:space="preserve"> Comment on the Previously Published Article “Rare Masqueraders of Pure Neuritic Leprosy: A Report of Four Cases” — https://doi.org/10.4103/idoj.idoj_534_25</w:t>
      </w:r>
    </w:p>
    <w:p>
      <w:pPr/>
      <w:r>
        <w:rPr>
          <w:b/>
        </w:rPr>
        <w:t>Shared claim-specific concepts:</w:t>
      </w:r>
      <w:r>
        <w:t xml:space="preserve"> article, presented, four, described, each; EU scope not established. This is a provisional connection, not an outcome finding.</w:t>
      </w:r>
    </w:p>
    <w:p>
      <w:pPr>
        <w:pStyle w:val="SourceNote"/>
      </w:pPr>
      <w:r>
        <w:rPr>
          <w:b/>
        </w:rPr>
        <w:t>Available abstract (not full text):</w:t>
      </w:r>
      <w:r>
        <w:t xml:space="preserve"> Dear Editor, It was with great interest that we read the article titled “Rare Masqueraders of Pure Neuritic Leprosy: A Report of Four Cases” by Sadhukhan et al.[1] The cases described are quite fascinating, and would enlighten the readers on differentials to consider during the evaluation of likely cases of leprosy. These cases did not have any of the cardinal features of leprosy, of which at least one is essential for a diagnosis of leprosy as per the World Health Organization (WHO): (i) definite loss of sensation in a pale (hypopigmented) or reddish skin patch; (ii) thickened or enlarged peripheral nerve, with loss of sensation and/or weakness of the muscles supplied by that nerve; (iii) microscopic detection of bacilli in a slit-skin smear.[2] Among these, thickened or enlarged peripheral nerves would be the most vital criterion for clinically diagnosing pure neuritic leprosy. Case 1 is a 46-year-old female patient with clawing of both hands with motor weakness, in the absence of sensory loss or thickened nerves. While the authors have stated that the lack of sensory deficit, static weakness after one year of onset, and absent reflexes helped to differentiate it from leprosy, we would like to point out that the absence of thickened nerves would be the most important factor here. Case 2 presented with pure motor neuropathy, which is again not typical of leprosy. Unfortunately</w:t>
      </w:r>
    </w:p>
    <w:p>
      <w:pPr/>
      <w:r>
        <w:rPr>
          <w:b/>
        </w:rPr>
        <w:t>POSSIBLE 2026:</w:t>
      </w:r>
      <w:r>
        <w:t xml:space="preserve"> Précis to Revisionism in Four Views on Free Will, 2e — https://doi.org/10.1007/s11406-026-01043-8</w:t>
      </w:r>
    </w:p>
    <w:p>
      <w:pPr/>
      <w:r>
        <w:rPr>
          <w:b/>
        </w:rPr>
        <w:t>Shared claim-specific concepts:</w:t>
      </w:r>
      <w:r>
        <w:t xml:space="preserve"> article, presented, four, second; EU scope not established. This is a provisional connection, not an outcome finding.</w:t>
      </w:r>
    </w:p>
    <w:p>
      <w:pPr>
        <w:pStyle w:val="SourceNote"/>
      </w:pPr>
      <w:r>
        <w:rPr>
          <w:b/>
        </w:rPr>
        <w:t>Available abstract (not full text):</w:t>
      </w:r>
      <w:r>
        <w:t xml:space="preserve"> Abstract This article provides an overview of Manuel Vargas’ newly reformulated approach to revisionary compatibilism about free will, as presented in the second edition of Four Views on Free Will (2024).</w:t>
      </w:r>
    </w:p>
    <w:p>
      <w:pPr/>
      <w:r>
        <w:rPr>
          <w:b/>
        </w:rPr>
        <w:t>POSSIBLE 2026:</w:t>
      </w:r>
      <w:r>
        <w:t xml:space="preserve"> Data sources for article: Exciton coherence propagation measured with non-local four-wave mixing micro-spectroscopy — https://doi.org/10.58132/4qfgvy</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 was used as a foundation for graphs presented in the article by M. Raczyński, A. Dydniański, K. E. Połczyńska, G. Szwed, A. Szczerba, J.-W. Jung, G. Nogues, W. Langbein, P. Kossacki, W. Pacuski, and J. Kasprzak. That was published in Optica 13, 362-365 (2026).The archive contains the experimental data used to create the figures presented in the publication.Fig. 1. (a) Presents the data of photoluminescence (PL) and reflectance (Refl) spectra. The PL and Refl y-axis are in (arbitrary units)/(arb.u.), and the x-axis is in units of photon energy (meV). The three spectra in each correspond to different non-resonant green light illumination intensities that were tuning the charge state of the system.Fig. 1. (c) is the graph of time-integrated (TI) four-wave mixing (FWM) in (arb.u.) as a function of the delay tau_12 in (ps) units between pulses E1 and E2. This delay allows for probing the coherence time within the system.Fig. 2. (c) are scans of TI-FWM in (arb.u.) as a function of delay tau_23 in (ps) between pulses E1,2 and E3. They are probing the dynamics of the neutral exciton density. There are 9 plots for spatial separations of E1,2-E3 of 0-8 micrometres and a reference plot of the noise floor.Fig. 2. (d) are scans of TI-FWM in (arb.u.) as a function of delay tau_23 in (ps). They are probing the dynamics of the charged excitons (trions) density. There are 9 plots for </w:t>
      </w:r>
    </w:p>
    <w:p>
      <w:pPr/>
      <w:r>
        <w:rPr>
          <w:b/>
        </w:rPr>
        <w:t>POSSIBLE 2026:</w:t>
      </w:r>
      <w:r>
        <w:t xml:space="preserve"> Four Regulative Principles of ISKCON — https://doi.org/10.56975/jaafr.v4i3.505118</w:t>
      </w:r>
    </w:p>
    <w:p>
      <w:pPr/>
      <w:r>
        <w:rPr>
          <w:b/>
        </w:rPr>
        <w:t>Shared claim-specific concepts:</w:t>
      </w:r>
      <w:r>
        <w:t xml:space="preserve"> article, four, education; EU scope not established. This is a provisional connection, not an outcome finding.</w:t>
      </w:r>
    </w:p>
    <w:p>
      <w:pPr>
        <w:pStyle w:val="SourceNote"/>
      </w:pPr>
      <w:r>
        <w:rPr>
          <w:b/>
        </w:rPr>
        <w:t>Available abstract (not full text):</w:t>
      </w:r>
      <w:r>
        <w:t xml:space="preserve"> Human being is the master of all living beings in the living world. The welfare of whole living world goes to human beings. Human beings exploit nonliving world to make their live comfortable and decent. It also depends upon living world many ways for the same purposes. Living world should be used as we use our true friends. So harmony in living world fully depends upon nature and behavior of the human being. To educate human being in this regards, ISKCON has taken a vital rule worldwide. In initial stage of its education, it asked seriously to follow four regulative principles. These four principles control the mind of human beings from all types of criminal and nonsense behavior. In this article, an analysis and its importance to present world has been discussed briefly.</w:t>
      </w:r>
    </w:p>
    <w:p>
      <w:pPr/>
      <w:r>
        <w:rPr>
          <w:b/>
        </w:rPr>
        <w:t>POSSIBLE 2026:</w:t>
      </w:r>
      <w:r>
        <w:t xml:space="preserve"> (RETRACTED ARTICLE) รปแบบการประยกตใชหลกสตปฏฐาน เพอเสรมสรางสขภาวะทางปญญาของเดกและเยาวชนจงหวดนครปฐม — https://openalex.org/W7215384250</w:t>
      </w:r>
    </w:p>
    <w:p>
      <w:pPr/>
      <w:r>
        <w:rPr>
          <w:b/>
        </w:rPr>
        <w:t>Shared claim-specific concepts:</w:t>
      </w:r>
      <w:r>
        <w:t xml:space="preserve"> article, four, indicated; EU scope not established. This is a provisional connection, not an outcome finding.</w:t>
      </w:r>
    </w:p>
    <w:p>
      <w:pPr>
        <w:pStyle w:val="SourceNote"/>
      </w:pPr>
      <w:r>
        <w:rPr>
          <w:b/>
        </w:rPr>
        <w:t>Available abstract (not full text):</w:t>
      </w:r>
      <w:r>
        <w:t xml:space="preserve"> This article is a research article on “A model Application of Mindfulness Principles to Juvenile Nakhon Pathom Province”. The objectives are to develop a set of knowledge about the application of the principles of Satipatthana to enhance intellectual health, to develop activities to promote the application of the principles of Satipatthana to enhance the intellectual health of children and youth in Nakhon Pathom Province, and to extract lessons learned and propose a model for applying the principles of Satipatthana to enhance the intellectual health of children and youth in Nakhon Pathom Province. Nakhon Pathom Province found The research findings indicated that promoting the application of the Four Foundations of Mindfulness helped children and youth recognize their self-worth and develop mindfulness. A stable mind prevents distractions and enhances virtues such as intention (Chanda), effort (Viriya), mindfulness (Sati), and wisdom (Pañña), which contribute to effective decision-making and problem-solving. The application of the Four Foundations of Mindfulness focusing on the body, feelings, mind, and phenomena was found to be effective in promoting learning and intellectual growth in children and youth. The proposed model for applying the Four Foundations of Mindfulness includes practices such as meditation, gentle breathing, mindfulness of the present moment, and integrating</w:t>
      </w:r>
    </w:p>
    <w:p>
      <w:pPr/>
      <w:r>
        <w:rPr>
          <w:b/>
        </w:rPr>
        <w:t>POSSIBLE 2026:</w:t>
      </w:r>
      <w:r>
        <w:t xml:space="preserve"> THE CONTENT OF GEOECOLOGICAL EDUCATION IN THE GENERAL SYSTEM OF SECONDARY EDUCATION: THE STATE OF SCIENTIFIC RESEARCH AND STUDIES — https://openalex.org/W7216943096</w:t>
      </w:r>
    </w:p>
    <w:p>
      <w:pPr/>
      <w:r>
        <w:rPr>
          <w:b/>
        </w:rPr>
        <w:t>Shared claim-specific concepts:</w:t>
      </w:r>
      <w:r>
        <w:t xml:space="preserve"> article, presented, system, general, secondary, education; EU scope not established. This is a provisional connection, not an outcome finding.</w:t>
      </w:r>
    </w:p>
    <w:p>
      <w:pPr>
        <w:pStyle w:val="SourceNote"/>
      </w:pPr>
      <w:r>
        <w:rPr>
          <w:b/>
        </w:rPr>
        <w:t>Available abstract (not full text):</w:t>
      </w:r>
      <w:r>
        <w:t xml:space="preserve"> The article is devoted to the analysis of the state of geoecological education in the general system of Secondary Education, the study of the content within the framework of scientific research, the popularization of existing experience and research. In it, the authors presented important scientific hypotheses, noting that the content of geoecological education aimed at the formation of a geoecological culture of schoolchildren, which is necessary to provide scientific, methodological and practical recommendations, has not become the subject of scientific research.</w:t>
      </w:r>
    </w:p>
    <w:p>
      <w:pPr/>
      <w:r>
        <w:rPr>
          <w:b/>
        </w:rPr>
        <w:t>POSSIBLE 2026:</w:t>
      </w:r>
      <w:r>
        <w:t xml:space="preserve"> The Role of the Article in Patterns of Modification in Greek — https://doi.org/10.3390/encyclopedia6060122</w:t>
      </w:r>
    </w:p>
    <w:p>
      <w:pPr/>
      <w:r>
        <w:rPr>
          <w:b/>
        </w:rPr>
        <w:t>Shared claim-specific concepts:</w:t>
      </w:r>
      <w:r>
        <w:t xml:space="preserve"> article, four, first, second; EU scope not established. This is a provisional connection, not an outcome finding.</w:t>
      </w:r>
    </w:p>
    <w:p>
      <w:pPr>
        <w:pStyle w:val="SourceNote"/>
      </w:pPr>
      <w:r>
        <w:rPr>
          <w:b/>
        </w:rPr>
        <w:t>Available abstract (not full text):</w:t>
      </w:r>
      <w:r>
        <w:t xml:space="preserve"> The present entry focuses on definiteness agreement patterns in Modern Greek by exploring the function of the definite article in structures that involve a head noun and a modifier—typically an adjective, but not only—that is also accompanied by the definite article. Such structures have been variously dubbed polydefinite noun phrases/Determiner Phrases (or, simply, polydefinites), appositions, (pseudo)partitives, and evaluative appositives in the numerous studies that have been put forward to account for them over the past four decades or so. The peculiarity of these structures is the very presence of the second definite article that shows up whenever the modified noun itself is definite; at first sight, this ‘second’ article seems redundant, or expletive. Polydefiniteness has earned a privileged position in the literature, as has been discussed extensively and in depth over the past thirty years or so. The aim of this entry is to provide i. a description of the patterns that involve a noun and a modifier accompanied by its own definite article, and ii. a comprehensive survey of the relevant literature by highlighting commonalities and differences across the basic studies that have been written about polydefiniteness.</w:t>
      </w:r>
    </w:p>
    <w:p>
      <w:pPr/>
      <w:r>
        <w:rPr>
          <w:b/>
        </w:rPr>
        <w:t>POSSIBLE 2026:</w:t>
      </w:r>
      <w:r>
        <w:t xml:space="preserve"> Pedagogical technology for designing a developing system of in-house training for teachers in a general education organization — https://doi.org/10.24923/2222-243x.2026-60.48</w:t>
      </w:r>
    </w:p>
    <w:p>
      <w:pPr/>
      <w:r>
        <w:rPr>
          <w:b/>
        </w:rPr>
        <w:t>Shared claim-specific concepts:</w:t>
      </w:r>
      <w:r>
        <w:t xml:space="preserve"> article, presented, system, general, education, characteristics; EU scope not established. This is a provisional connection, not an outcome finding.</w:t>
      </w:r>
    </w:p>
    <w:p>
      <w:pPr>
        <w:pStyle w:val="SourceNote"/>
      </w:pPr>
      <w:r>
        <w:rPr>
          <w:b/>
        </w:rPr>
        <w:t>Available abstract (not full text):</w:t>
      </w:r>
      <w:r>
        <w:t xml:space="preserve"> The article addresses the problem of improving the content and methods of informal professional development of specialists in the general education system. The results of the study are presented, the purpose of which is to substantiate and characterize the pedagogical technology of designing a developing system of intra-corporate education for teachers of a general education organization. The work is supported by a systematic methodology, the principle of regulated evolution, the idea of a self-learning organization, and a technological approach to creating educational systems. This expands the theoretical understanding of the design of informal learning processes for teachers. The scientific novelty of the obtained results is the characteristic of the bases, signs, stages and content of the technology of designing the developing system of intra-corporate education. During its design, the emphasis is placed on ensuring the developing potential of the system being created, its compliance with the characteristics of in-house training. The practical significance of the solution obtained lies in the possibility of using the proposed technology in the activities of specialists of educational institutions interested in improving the processes of continuous professional development of teachers of the general education system.</w:t>
      </w:r>
    </w:p>
    <w:p>
      <w:pPr/>
      <w:r>
        <w:rPr>
          <w:b/>
        </w:rPr>
        <w:t>POSSIBLE 2026:</w:t>
      </w:r>
      <w:r>
        <w:t xml:space="preserve"> ORGANIZATIONAL AND MANAGERIAL FOUNDATIONS OF FUNDRAISING IN THE SYSTEM OF GENERAL SECONDARY EDUCATION OF UKRAINE — https://doi.org/10.33989/2075-146x.2026.37.361684</w:t>
      </w:r>
    </w:p>
    <w:p>
      <w:pPr/>
      <w:r>
        <w:rPr>
          <w:b/>
        </w:rPr>
        <w:t>Shared claim-specific concepts:</w:t>
      </w:r>
      <w:r>
        <w:t xml:space="preserve"> article, presented, ukraine, system, general, secondary; EU scope not established. This is a provisional connection, not an outcome finding.</w:t>
      </w:r>
    </w:p>
    <w:p>
      <w:pPr>
        <w:pStyle w:val="SourceNote"/>
      </w:pPr>
      <w:r>
        <w:rPr>
          <w:b/>
        </w:rPr>
        <w:t>Available abstract (not full text):</w:t>
      </w:r>
      <w:r>
        <w:t xml:space="preserve"> The article examines the organizational and managerial foundations of fundraising activities in the system of general secondary education in Ukraine. The relevance of implementing fundraising as a strategic development tool is substantiated. It is determined that modern educational fundraising is evolving into a systemic activity grounded in strategic planning, partnership engagement, reputation management, transparency, and effective communication with stakeholders. The multifaceted nature of the concept of "fundraising" is clarified as a specific managerial activity, a resource support tool, a mechanism of strategic development, and an art of communication. The main structural components of fundraising activities are identified: resource, technological, subject-object, communication, and ethical-value components. The stages of the managerial cycle of fundraising activities in general secondary education institutions are characterized. Special attention is paid to substantiating the diagnostic system for assessing an educational institution's readiness to implement fundraising activities as an important organizational and managerial aspect. The expediency of using SWOT and PEST analyses to evaluate the internal potential of an educational institution, human resources, partnership opportunities, and external environmental risks is emphasized. The results of a survey on the stat</w:t>
      </w:r>
    </w:p>
    <w:p>
      <w:pPr/>
      <w:r>
        <w:rPr>
          <w:b/>
        </w:rPr>
        <w:t>POSSIBLE 2025:</w:t>
      </w:r>
      <w:r>
        <w:t xml:space="preserve"> Four Logics Data — https://doi.org/10.17632/489jnnpsds</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dataset provides the underlying data, calculations, and visual components necessary to replicate and extend the findings presented in the article "Four Logics of Governance: A Framework for Collective Decision-Making in Complex Systems" (Do Vale &amp; Costa, 2025). The article proposes an integrated analytical framework for studying collective decision-making in governance, combining four adaptive macro-level belief systems (Political, Economic, Scientific, and Moral-Ethical) with network topology analysis. The framework identifies four emergent governance dynamics: Systemic Rigidity, Systemic Fragility, Negotiated Stability, and Elasticity. This dataset has five files: Supplementary_Table_S1; Supplementary_Table_S2; Supplementary_Table_S3; Supplementary_Figure_S1; Supplementary_Figures_S2_IV_Appendix. These files are organized in three folders: - Multi-Criteria Decision Analysis (MCDA) Folder: This folder contains the quantitative backbone of the framework, specifically the raw data, calculations, and sensitivity analyses used to determine the relative influence (weights) of the four governance logics (Political, Economic, Scientific, and Moral-Ethical) across the studied cases. Researchers can use these files to reproduce the weighting process detailed in Appendix I of the paper and to recreate the visual representations of the system dynamics, including the attractor landsc</w:t>
      </w:r>
    </w:p>
    <w:p>
      <w:pPr/>
      <w:r>
        <w:rPr>
          <w:b/>
        </w:rPr>
        <w:t>POSSIBLE 2025:</w:t>
      </w:r>
      <w:r>
        <w:t xml:space="preserve"> A model of music lessons with an axiological focus in the general education system — https://doi.org/10.30853/pa20250039</w:t>
      </w:r>
    </w:p>
    <w:p>
      <w:pPr/>
      <w:r>
        <w:rPr>
          <w:b/>
        </w:rPr>
        <w:t>Shared claim-specific concepts:</w:t>
      </w:r>
      <w:r>
        <w:t xml:space="preserve"> article, presented, system, general, education, main; EU scope not established. This is a provisional connection, not an outcome finding.</w:t>
      </w:r>
    </w:p>
    <w:p>
      <w:pPr>
        <w:pStyle w:val="SourceNote"/>
      </w:pPr>
      <w:r>
        <w:rPr>
          <w:b/>
        </w:rPr>
        <w:t>Available abstract (not full text):</w:t>
      </w:r>
      <w:r>
        <w:t xml:space="preserve"> This research aims to create a model for music lessons with an axiological focus within the general education system, based on an analysis of the value potential of musical art. The article reveals key positions in research describing the value potential of musical art. Approaches from philosophers and art historians are presented, emphasizing the interconnection of music with other art forms, history, science, and life as a whole. Particular attention is paid to intonations, the value meanings hidden within them, and the archetypes of musical images. A classification of universal human values reflected in musical art, proposed by G. G. Kolomiets, is presented. The article describes the author's model for music lessons with an axiological focus, detailing its main components, as well as its theoretical and methodological foundations. The scientific novelty of the research lies in the fact that in it, philosophical justifications for the value of music have found direct methodological application in the author's pedagogical model of music lessons with an axiological focus. As a result of the conducted research, the attitude of seventh-grade students towards universal human values has been analyzed, and the results of the six-month implementation of this model into pedagogical practice are presented.</w:t>
      </w:r>
    </w:p>
    <w:p>
      <w:pPr/>
      <w:r>
        <w:rPr>
          <w:b/>
        </w:rPr>
        <w:t>POSSIBLE 2025:</w:t>
      </w:r>
      <w:r>
        <w:t xml:space="preserve"> History Education in the General Education System: Scientific Foundations and Educational Practice — https://doi.org/10.54884/1815-7041-2025-82-1-92-102</w:t>
      </w:r>
    </w:p>
    <w:p>
      <w:pPr/>
      <w:r>
        <w:rPr>
          <w:b/>
        </w:rPr>
        <w:t>Shared claim-specific concepts:</w:t>
      </w:r>
      <w:r>
        <w:t xml:space="preserve"> article, presented, system, general, education; EU scope not established. This is a provisional connection, not an outcome finding.</w:t>
      </w:r>
    </w:p>
    <w:p>
      <w:pPr>
        <w:pStyle w:val="SourceNote"/>
      </w:pPr>
      <w:r>
        <w:rPr>
          <w:b/>
        </w:rPr>
        <w:t>Available abstract (not full text):</w:t>
      </w:r>
      <w:r>
        <w:t xml:space="preserve"> The article is devoted to the study of the socio-pedagogical phenomenon of "history education" as well as the analysis of the established practice of implementing history education in the general education system. The conduction of terminological analysis made it possible to trace the evolution of the meaning and use of the concept of "history education" and to clarify its features and properties. The author's definition of historical education reveals its pedagogical essence and semantic meaning. History education is presented as a specially organized pedagogical process aimed at creating conditions for increasing the level of history literacy of an individual, which is considered as the basis for the formation of an all-Russian civic identity, collective history memory and the preservation of traditional spiritual, moral, cultural and history values. The results of the study present the current state of regional practice of implementing history education in general education organizations. The reliability of the obtained results is confirmed by the selected research methodology built on the basis of the use of systemic, activity-based, socio-cultural approaches and a number of pedagogical search methods: questionnaires, interviews, analytical processing of the obtained data, representativeness of the sample and its criteria, a comprehensive assessment of the significance of t</w:t>
      </w:r>
    </w:p>
    <w:p>
      <w:pPr>
        <w:pStyle w:val="Heading2"/>
      </w:pPr>
      <w:r>
        <w:t>780. Plan Ceibal 2020: future scenarios for technology and education—the case of the Uruguayan public education system</w:t>
      </w:r>
    </w:p>
    <w:p>
      <w:pPr>
        <w:pStyle w:val="SourceNote"/>
      </w:pPr>
      <w:r>
        <w:rPr>
          <w:b/>
        </w:rPr>
        <w:t>Original source (2018):</w:t>
      </w:r>
      <w:r>
        <w:t xml:space="preserve"> https://doi.org/10.1186/s40309-018-0134-z</w:t>
      </w:r>
    </w:p>
    <w:p>
      <w:pPr/>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POSSIBLE 2026:</w:t>
      </w:r>
      <w:r>
        <w:t xml:space="preserve"> Live-coding performances: a body of work (2008–present) — https://doi.org/10.5281/zenodo.20743614</w:t>
      </w:r>
    </w:p>
    <w:p>
      <w:pPr/>
      <w:r>
        <w:rPr>
          <w:b/>
        </w:rPr>
        <w:t>Shared claim-specific concepts:</w:t>
      </w:r>
      <w:r>
        <w:t xml:space="preserve"> present, work, set, question, within; EU scope visible. This is a provisional connection, not an outcome finding.</w:t>
      </w:r>
    </w:p>
    <w:p>
      <w:pPr>
        <w:pStyle w:val="SourceNote"/>
      </w:pPr>
      <w:r>
        <w:rPr>
          <w:b/>
        </w:rPr>
        <w:t>Available abstract (not full text):</w:t>
      </w:r>
      <w:r>
        <w:t xml:space="preserve">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pPr/>
      <w:r>
        <w:rPr>
          <w:b/>
        </w:rPr>
        <w:t>POSSIBLE 2026:</w:t>
      </w:r>
      <w:r>
        <w:t xml:space="preserve"> On sets of periodic orbit lengths in finitely presented dynamical systems — https://doi.org/10.1017/etds.2026.10313</w:t>
      </w:r>
    </w:p>
    <w:p>
      <w:pPr/>
      <w:r>
        <w:rPr>
          <w:b/>
        </w:rPr>
        <w:t>Shared claim-specific concepts:</w:t>
      </w:r>
      <w:r>
        <w:t xml:space="preserve"> work, set, question; EU scope not established. This is a provisional connection, not an outcome finding.</w:t>
      </w:r>
    </w:p>
    <w:p>
      <w:pPr>
        <w:pStyle w:val="SourceNote"/>
      </w:pPr>
      <w:r>
        <w:rPr>
          <w:b/>
        </w:rPr>
        <w:t>Available abstract (not full text):</w:t>
      </w:r>
      <w:r>
        <w:t xml:space="preserve">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pPr/>
      <w:r>
        <w:rPr>
          <w:b/>
        </w:rPr>
        <w:t>POSSIBLE 2026:</w:t>
      </w:r>
      <w:r>
        <w:t xml:space="preserve"> Order-Invariant Answers, Order-Sensitive Representations in Mathematical Reasoning — https://doi.org/10.48550/arxiv.2609.28442</w:t>
      </w:r>
    </w:p>
    <w:p>
      <w:pPr/>
      <w:r>
        <w:rPr>
          <w:b/>
        </w:rPr>
        <w:t>Shared claim-specific concepts:</w:t>
      </w:r>
      <w:r>
        <w:t xml:space="preserve"> set, answer, question; EU scope not established. This is a provisional connection, not an outcome finding.</w:t>
      </w:r>
    </w:p>
    <w:p>
      <w:pPr>
        <w:pStyle w:val="SourceNote"/>
      </w:pPr>
      <w:r>
        <w:rPr>
          <w:b/>
        </w:rPr>
        <w:t>Available abstract (not full text):</w:t>
      </w:r>
      <w:r>
        <w:t xml:space="preserve"> Reordering a set of mathematical rules without changing its meaning should preserve the correct answer, but must a model's internal representations stay invariant too? We investigate this question using synthetic multi-step function-composition problems, each presented under multiple rule orderings with the same correct answer. We measure accuracy and permutation signal-to-noise ratio (SNR), which quantifies how distinctly ordering patterns are represented relative to variation across problem instances. Across 16 language models ranging from 1B to 8B parameters, we find a pattern: models that solve reordered problems more accurately represent different rule orderings more distinctly. Layer-averaged permutation SNR is positively rank-correlated with accuracy in every synthetic setting we evaluate, with Spearman correlations reaching 0.86. These findings highlight a distinction between answer invariance and representation invariance: successful mathematical rule composition can accompany distinct internal representations between equivalent rule orderings. This motivates distinguishing answer invariance from representation invariance, and offers a representational perspective on mathematical reasoning beyond answer accuracy alone.</w:t>
      </w:r>
    </w:p>
    <w:p>
      <w:pPr/>
      <w:r>
        <w:rPr>
          <w:b/>
        </w:rPr>
        <w:t>POSSIBLE 2026:</w:t>
      </w:r>
      <w:r>
        <w:t xml:space="preserve"> When Is the Present? On the Invariant Now and Temporal Actuality — https://doi.org/10.5281/zenodo.21178453</w:t>
      </w:r>
    </w:p>
    <w:p>
      <w:pPr/>
      <w:r>
        <w:rPr>
          <w:b/>
        </w:rPr>
        <w:t>Shared claim-specific concepts:</w:t>
      </w:r>
      <w:r>
        <w:t xml:space="preserve"> present, work, order, answer; EU scope not established. This is a provisional connection, not an outcome finding.</w:t>
      </w:r>
    </w:p>
    <w:p>
      <w:pPr>
        <w:pStyle w:val="SourceNote"/>
      </w:pPr>
      <w:r>
        <w:rPr>
          <w:b/>
        </w:rPr>
        <w:t>Available abstract (not full text):</w:t>
      </w:r>
      <w:r>
        <w:t xml:space="preserve"> When is the present? The ordinary answer—"now"—conceals an unnoticed ambiguity by treating the present and the Now as the same reality. Building upon the invariance of the Now and the mechanism of condensation developed in previous essays, this work argues that they belong to different ontological levels. The past is redefined as the totality of actualizations condensed into the constitution of a being; the future as the horizon of receptions not yet actualized; and the present as the creature's actuality constituted through inheritance and reception at the invariant Now. Time is then derived as the constitutive order deposited by asymmetric condensation rather than assumed as an independent framework. Finally, the essay distinguishes Eternal Presence, the invariant Now, and the created present, offering a metaphysical account of temporal actuality that integrates ontology, philosophical theology, and the GaitAn Topology.</w:t>
      </w:r>
    </w:p>
    <w:p>
      <w:pPr/>
      <w:r>
        <w:rPr>
          <w:b/>
        </w:rPr>
        <w:t>POSSIBLE 2026:</w:t>
      </w:r>
      <w:r>
        <w:t xml:space="preserve"> TIHPS - Why is History about the Past and the Present? Full Scheme of Work — https://doi.org/10.15131/shef.data.34064598</w:t>
      </w:r>
    </w:p>
    <w:p>
      <w:pPr/>
      <w:r>
        <w:rPr>
          <w:b/>
        </w:rPr>
        <w:t>Shared claim-specific concepts:</w:t>
      </w:r>
      <w:r>
        <w:t xml:space="preserve"> present, work, set, next; EU scope visible. This is a provisional connection, not an outcome finding.</w:t>
      </w:r>
    </w:p>
    <w:p>
      <w:pPr>
        <w:pStyle w:val="SourceNote"/>
      </w:pPr>
      <w:r>
        <w:rPr>
          <w:b/>
        </w:rPr>
        <w:t>Available abstract (not full text):</w:t>
      </w:r>
      <w:r>
        <w:t xml:space="preserve"> This set of PowerPoints and lesson resources uploaded here form a KS3 historical enquiry entitled ‘Why is history about the past and the present?’. This scheme of work is enquiry-led and uses Indigenous histories, historic European sources, and contemporary scholarship to introduce students to history as a discipline. At its heart is a study of history as the study of the past, which is not the same as what happened in the past. It addresses the misconception that history is fixed or accessible through singular sources. Using the example of the Inuit visitors to England, Arnaq, Nutaaq and Kalicho, alongside a focus on the work of Caroline Dodds Pennock, this enquiry allows students to begin critiquing the idea that history is neutral. Students can lay the foundations for further units that explore why some histories have been marginalised.Teachers may wish to adopt this enquiry wholesale, or embed sections into pre-existing topics on the Tudors and Elizabethans, Elizabethan exploration, or the development of the first British Empire. The lessons are as follows:1 Lesson One - Why is history about the past and the present?2 Lesson Two - How do we know about the lives of Kalicho, Arnaq and Nutaaq?3 Lesson Three - Why is the story of Kalicho, Arnaq and Nutaaq not more well known?4 Lesson Four - How did Caroline Dodds Pennock ‘read against the grain’ to tell the story of Kalicho, Ar</w:t>
      </w:r>
    </w:p>
    <w:p>
      <w:pPr/>
      <w:r>
        <w:rPr>
          <w:b/>
        </w:rPr>
        <w:t>POSSIBLE 2026:</w:t>
      </w:r>
      <w:r>
        <w:t xml:space="preserve"> Hybrid work and employee retention: unpacking a sequential motivational pathway through work–life integration and engagement — https://doi.org/10.1108/joepp-04-2026-0395</w:t>
      </w:r>
    </w:p>
    <w:p>
      <w:pPr/>
      <w:r>
        <w:rPr>
          <w:b/>
        </w:rPr>
        <w:t>Shared claim-specific concepts:</w:t>
      </w:r>
      <w:r>
        <w:t xml:space="preserve"> work, set, within, sector, approach, technology; EU scope not established. This is a provisional connection, not an outcome finding.</w:t>
      </w:r>
    </w:p>
    <w:p>
      <w:pPr>
        <w:pStyle w:val="SourceNote"/>
      </w:pPr>
      <w:r>
        <w:rPr>
          <w:b/>
        </w:rPr>
        <w:t>Available abstract (not full text):</w:t>
      </w:r>
      <w:r>
        <w:t xml:space="preserve"> Purpose Hybrid work is often presented as an inherently beneficial arrangement that improves employee retention through flexibility and autonomy. However, this assumption remains underexamined, particularly in contexts where flexibility may not directly translate into stronger organisational attachment. Drawing on job demands–resources (JD-R) theory, self-determination theory (SDT) and social exchange theory (SET), this study examines whether hybrid work functions as a direct retention mechanism or whether its influence depends on underlying psychological processes. Specifically, the study investigates the roles of work–life integration and employee engagement, including their sequential mediation, in shaping employees' intention to stay. Design/methodology/approach The study adopts a quantitative research design using survey data collected from 258 full-time employees working under hybrid arrangements in the Indian information technology sector. Data were analysed using confirmatory factor analysis, structural equation modelling, and bootstrapped mediation analysis to examine the direct and indirect relationships among hybrid work, work–life integration, employee engagement and intention to stay. Findings Hybrid work was positively associated with work-life integration and employee engagement, but its direct effect on intention to stay was comparatively weak. Employee engageme</w:t>
      </w:r>
    </w:p>
    <w:p>
      <w:pPr/>
      <w:r>
        <w:rPr>
          <w:b/>
        </w:rPr>
        <w:t>POSSIBLE 2026:</w:t>
      </w:r>
      <w:r>
        <w:t xml:space="preserve"> infinite set — https://doi.org/10.1215/9781478062875-015</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“09: infinite set: DJs beyond category” centers fronterizx femme and queer DJs of the Rio Grande Valley, asking: What ways of thinking about self, practicing place, and reaching for other ways of being come into focus through their musical and communal praxes? To do so, it turns to the work of two DJs, Claudia Saenz and Beatriz Montejano, highlighting their perspectives on curation, performance, genre, and discovery. Grounded in close listening, artist interviews, and historicizations of more-than-local DJing practices, the chapter positions the work of contemporary artists as resonant with ideas present in foundational borderlands feminist writings.</w:t>
      </w:r>
    </w:p>
    <w:p>
      <w:pPr/>
      <w:r>
        <w:rPr>
          <w:b/>
        </w:rPr>
        <w:t>POSSIBLE 2026:</w:t>
      </w:r>
      <w:r>
        <w:t xml:space="preserve"> A finite-order answer to a problem of Erdős on maximum modulus points — https://doi.org/10.48550/arxiv.2607.09462</w:t>
      </w:r>
    </w:p>
    <w:p>
      <w:pPr/>
      <w:r>
        <w:rPr>
          <w:b/>
        </w:rPr>
        <w:t>Shared claim-specific concepts:</w:t>
      </w:r>
      <w:r>
        <w:t xml:space="preserve"> set, order, answer, question; EU scope not established. This is a provisional connection, not an outcome finding.</w:t>
      </w:r>
    </w:p>
    <w:p>
      <w:pPr>
        <w:pStyle w:val="SourceNote"/>
      </w:pPr>
      <w:r>
        <w:rPr>
          <w:b/>
        </w:rPr>
        <w:t>Available abstract (not full text):</w:t>
      </w:r>
      <w:r>
        <w:t xml:space="preserve"> In 1964, Erdős asked whether, for a non-monomial entire function, the number of maximum modulus points on the circle \(|z|=r\) can become arbitrarily large as $r\to\infty$. In 1968, Herzog and Piranian answered this question affirmatively, but without quantitative control on the resulting function. We prove that such an example can be chosen to have finite order and, moreover, to belong to the Eremenko--Lyubich class \(\B\). We also prove an interpolation theorem for maximum modulus sets: prescribed points with pairwise distinct moduli can be forced to lie in the maximum modulus set of some function in \(\B\), with finite order under a geometric separation condition.</w:t>
      </w:r>
    </w:p>
    <w:p>
      <w:pPr/>
      <w:r>
        <w:rPr>
          <w:b/>
        </w:rPr>
        <w:t>POSSIBLE 2026:</w:t>
      </w:r>
      <w:r>
        <w:t xml:space="preserve"> Futures in the present: Food allergy disclosures at work — https://doi.org/10.1080/18692729.2026.2681599</w:t>
      </w:r>
    </w:p>
    <w:p>
      <w:pPr/>
      <w:r>
        <w:rPr>
          <w:b/>
        </w:rPr>
        <w:t>Shared claim-specific concepts:</w:t>
      </w:r>
      <w:r>
        <w:t xml:space="preserve"> present, work, within, possible; EU scope not established. This is a provisional connection, not an outcome finding.</w:t>
      </w:r>
    </w:p>
    <w:p>
      <w:pPr>
        <w:pStyle w:val="SourceNote"/>
      </w:pPr>
      <w:r>
        <w:rPr>
          <w:b/>
        </w:rPr>
        <w:t>Available abstract (not full text):</w:t>
      </w:r>
      <w:r>
        <w:t xml:space="preserve"> Food and work are often inextricably linked in Japan. However, for those with multiple food allergies, such expectations can be difficult to navigate. Drawing on fieldwork with young adults since 2017, this article explores how they experience workplace expectations to eat and drink together, and the different strategies they use to negotiate eating with others as they move from student life to being a shakaijin (social adult). For people with experience of severe food allergies, the potential of a negative future is ever-present in the guise of the possibility of experiencing a severe allergic reaction. However, because food is strongly implicated in the building and maintenance of social relations, avoiding food can create social risks. These risks are heightened when food sharing is a feature of workplace relations, both within and between companies. Gaining a negative reputation for being difficult because of not sharing food or joining workplace events can have potential consequences on promotion and is also a future to avoid. I argue that imagined futures are ever-present in allergy disclosures, and it is disclosure itself which operates as a juncture in which potential futures that exist in individuals' present – through their imagination – are used to open different possible futures in life and at work. This article consequently explores the important, but often overloo</w:t>
      </w:r>
    </w:p>
    <w:p>
      <w:pPr/>
      <w:r>
        <w:rPr>
          <w:b/>
        </w:rPr>
        <w:t>POSSIBLE 2025:</w:t>
      </w:r>
      <w:r>
        <w:t xml:space="preserve"> Towards True Work-Efficiency in Parallel Derandomization: MIS, Maximal Matching, and Hitting Set — https://doi.org/10.1109/focs63196.2025.00139</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Derandomization is one of the classic topics studied in the theory of parallel computations, dating back to the early 1980s. Despite much work, all known techniques lead to deterministic algorithms that are not work-efficient. For instance, for the well-studied problem of maximal independent set-e.g., [Karp, Wigderson STOC’84; Luby STOC’ 85; Luby FOCS’88]-state-of-theart deterministic algorithms require at least $m \cdot \operatorname{poly}(\log n)$ work, where m and n denote the number of edges and vertices. Hence, these deterministic algorithms will remain slower than their trivial sequential counterparts unless we have at least poly $(\log n)$ processors. In this paper, we present a generic parallel derandomization technique that moves exponentially closer to work-efficiency. The method iteratively rounds fractional solutions representing the randomized assignments to integral solutions that provide deterministic assignments, while maintaining certain linear or quadratic objective functions, and in an essentially work-efficient manner. As example end-results, we use this technique to obtain deterministic algorithms with $m \cdot \operatorname{poly}(\log \log n)$ work and poly $(\log n)$ depth for problems such as maximal independent set, maximal matching, and hitting set.</w:t>
      </w:r>
    </w:p>
    <w:p>
      <w:pPr/>
      <w:r>
        <w:rPr>
          <w:b/>
        </w:rPr>
        <w:t>POSSIBLE 2025:</w:t>
      </w:r>
      <w:r>
        <w:t xml:space="preserve"> Personal protective equipment set formation during work of buildings major repairs — https://doi.org/10.31659/0044-4472-2025-11-22-28</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Formation of a personal protective equipment set (PPE) for workers performing residential buildings major repairs is considered. The regulatory requirements (the Labor Code of the Russian Federation, GOSTs, SNiP) analysis was carried out and the main types of risks during dismantling, roofing, facade, finishing and electrical work were identified. A methodology for selecting PPE on the basis of a risk-based approach and the working conditions assessment results is proposed. Tables and diagrams reflecting the structure of injuries, the PPE compliance with the work types and the cost structure for their provision are presented. The domestic and foreign health and safety standards were compared. The conclusion on the need for systematic approach to the workers PPE kit, taking into account the production processes peculiarities is made. The proposed recommendations implementation allows reducing the injuries level and improving the effectiveness of occupational safety.</w:t>
      </w:r>
    </w:p>
    <w:p>
      <w:pPr/>
      <w:r>
        <w:rPr>
          <w:b/>
        </w:rPr>
        <w:t>POSSIBLE 2025:</w:t>
      </w:r>
      <w:r>
        <w:t xml:space="preserve"> The Foundational Spectrum: Navigating Sets, Classes, and Universes — https://doi.org/10.5281/zenodo.17808862</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The landscape of mathematical foundations is intricately structured, built upon increasingly sophisticated notions of collection. This paper explores the foundational spectrum, traversing from the familiar concept of sets, as formalized in Zermelo-Fraenkel Set Theory with the Axiom of Choice (ZFC), to the broader notion of proper classes, and ultimately to the expansive framework of Grothendieck universes. While ZFC provides a robust foundation for most of mathematics, the occurrence of paradoxes in naive set theory necessitated a more rigorous approach. Proper classes emerge as collections too large to be sets, providing a means to discuss significant mathematical totalities without incurring contradictions. Grothendieck universes, often posited by additional axioms, extend this hierarchy further, offering environments suitable for advanced categorical constructions where even proper classes might prove insufficient. This work delves into the historical motivations, formal definitions, and interrelationships of these foundational concepts, highlighting their distinct expressive powers and their collective role in providing a coherent and comprehensive framework for modern mathematics, particularly in areas like category theory and algebraic geometry. By presenting a structured synthesis of these layers and emphasizing their adaptive evolution, the paper aims to elucidate how t</w:t>
      </w:r>
    </w:p>
    <w:p>
      <w:pPr>
        <w:pStyle w:val="Heading2"/>
      </w:pPr>
      <w:r>
        <w:t>781. Polish and Ukrainian foresight into the directions for the innovation of power plants</w:t>
      </w:r>
    </w:p>
    <w:p>
      <w:pPr>
        <w:pStyle w:val="SourceNote"/>
      </w:pPr>
      <w:r>
        <w:rPr>
          <w:b/>
        </w:rPr>
        <w:t>Original source (2018):</w:t>
      </w:r>
      <w:r>
        <w:t xml:space="preserve"> https://doi.org/10.5277/ord180404</w:t>
      </w:r>
    </w:p>
    <w:p>
      <w:pPr/>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pPr/>
      <w:r>
        <w:rPr>
          <w:b/>
        </w:rPr>
        <w:t>POSSIBLE 2026:</w:t>
      </w:r>
      <w:r>
        <w:t xml:space="preserve"> Feasibility Model for Establishing and Implementing Smart Insurance Using a Hybrid Approach — https://openalex.org/W7217145713</w:t>
      </w:r>
    </w:p>
    <w:p>
      <w:pPr/>
      <w:r>
        <w:rPr>
          <w:b/>
        </w:rPr>
        <w:t>Shared claim-specific concepts:</w:t>
      </w:r>
      <w:r>
        <w:t xml:space="preserve"> approach, used, processes; EU scope not established. This is a provisional connection, not an outcome finding.</w:t>
      </w:r>
    </w:p>
    <w:p>
      <w:pPr>
        <w:pStyle w:val="SourceNote"/>
      </w:pPr>
      <w:r>
        <w:rPr>
          <w:b/>
        </w:rPr>
        <w:t>Available abstract (not full text):</w:t>
      </w:r>
      <w:r>
        <w:t xml:space="preserve">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pPr/>
      <w:r>
        <w:rPr>
          <w:b/>
        </w:rPr>
        <w:t>POSSIBLE 2026:</w:t>
      </w:r>
      <w:r>
        <w:t xml:space="preserve"> Establish An Advanced River Flow Prediction Model Using An Artificial Intelligence Approach — https://doi.org/10.51483/ijaiml.6.6s.2026.1293-1301</w:t>
      </w:r>
    </w:p>
    <w:p>
      <w:pPr/>
      <w:r>
        <w:rPr>
          <w:b/>
        </w:rPr>
        <w:t>Shared claim-specific concepts:</w:t>
      </w:r>
      <w:r>
        <w:t xml:space="preserve"> approach, establish, environmental; EU scope not established. This is a provisional connection, not an outcome finding.</w:t>
      </w:r>
    </w:p>
    <w:p>
      <w:pPr>
        <w:pStyle w:val="SourceNote"/>
      </w:pPr>
      <w:r>
        <w:rPr>
          <w:b/>
        </w:rPr>
        <w:t>Available abstract (not full text):</w:t>
      </w:r>
      <w:r>
        <w:t xml:space="preserve"> Accurate river flow predictions are essential for effective management of water resources, flood control, and environmental protection due to the increasing frequency of extreme weather events and shifting hydrological tendencies. An improved river flow prediction method utilizing artificial intelligence (AI) approaches is presented in this research. To advance the method's accuracy and rate of convergence, the raw river flow data is first normalized to decrease the impact of outliers and guarantee consistency across different scales. To raise the convergence speed and predictive performance, the Refined Northern Goshawk Optimized Deep Neural Network (RNGO-DNN), a novel hybrid method, incorporates optimized optimization methods that were influenced by the hunting tactics of the northern goshawk. When associated with conventional prediction approaches, the method's performance shows greater accuracy and dependability. The proposed method is measured against existing approaches, demonstrating larger performance in forecasting river flow by using metrics such as R-squared (R²) of 0.98, Root Mean Square Error (RMSE) of 0.20, and Mean Absolute Error (MAE) of 0.08 in River flow forecast. The outcomes illustrate that the suggested technique achieves significantly better than conventional prediction methods, providing a reliable tool for forecasting river flow and improving resource ma</w:t>
      </w:r>
    </w:p>
    <w:p>
      <w:pPr/>
      <w:r>
        <w:rPr>
          <w:b/>
        </w:rPr>
        <w:t>POSSIBLE 2026:</w:t>
      </w:r>
      <w:r>
        <w:t xml:space="preserve"> A probabilistic approach to establishing the resistivity-lithology relationship using co-located tTEM data and lithological logs — https://doi.org/10.1016/j.jappgeo.2026.106245</w:t>
      </w:r>
    </w:p>
    <w:p>
      <w:pPr/>
      <w:r>
        <w:rPr>
          <w:b/>
        </w:rPr>
        <w:t>Shared claim-specific concepts:</w:t>
      </w:r>
      <w:r>
        <w:t xml:space="preserve"> approach, used, establish; EU scope visible. This is a provisional connection, not an outcome finding.</w:t>
      </w:r>
    </w:p>
    <w:p>
      <w:pPr>
        <w:pStyle w:val="SourceNote"/>
      </w:pPr>
      <w:r>
        <w:rPr>
          <w:b/>
        </w:rPr>
        <w:t>Available abstract (not full text):</w:t>
      </w:r>
      <w:r>
        <w:t xml:space="preserve"> Geophysical surveying with electrical and electromagnetic data is commonly used for e.g. groundwater assessment and resource exploration. These methods measure subsurface resistivity, whereas the primary end-user interest is in subsurface properties like lithology. Inferring lithological information from resistivity data is, thus, a fundamental challenge in geological modeling that requires a quantitative resistivity-lithology relationship. Often, local resistivity log data is lacking, and this relationship is therefore reliant on subjective manual interpretation, based on experience from similar geological settings. This study presents a novel probabilistic methodology for establishing a quantitative, site-specific resistivity-lithology relationship based on co-located towed transient electromagnetic (tTEM) data and lithological logs. The probabilistic approach inverts co-located tTEM soundings using uninformative priors to generate posterior samples of 1D resistivity models that are consistent with the observed data. These models are then combined with co-located lithological descriptions from boreholes to establish a probabilistic resistivity-lithology relation. The method incorporates a weighting function that accounts for uncertain layer boundaries and the resolution limitations of the tTEM method. The distributions are modeled using Kernel Density Estimation to establish </w:t>
      </w:r>
    </w:p>
    <w:p>
      <w:pPr/>
      <w:r>
        <w:rPr>
          <w:b/>
        </w:rPr>
        <w:t>POSSIBLE 2026:</w:t>
      </w:r>
      <w:r>
        <w:t xml:space="preserve"> The Relationship between Organisational Life Cycle and the Use of Multiple Performance Measures: A Configuration Approach — https://doi.org/10.22452/ajap.vol18no2.4</w:t>
      </w:r>
    </w:p>
    <w:p>
      <w:pPr/>
      <w:r>
        <w:rPr>
          <w:b/>
        </w:rPr>
        <w:t>Shared claim-specific concepts:</w:t>
      </w:r>
      <w:r>
        <w:t xml:space="preserve"> approach, used, measures; EU scope not established. This is a provisional connection, not an outcome finding.</w:t>
      </w:r>
    </w:p>
    <w:p>
      <w:pPr>
        <w:pStyle w:val="SourceNote"/>
      </w:pPr>
      <w:r>
        <w:rPr>
          <w:b/>
        </w:rPr>
        <w:t>Available abstract (not full text):</w:t>
      </w:r>
      <w:r>
        <w:t xml:space="preserve"> Abstract Research aim: This study investigates the relationship between organisational life cycle (OLC) stages and the use of multiple performance measures (MPMs) across Indonesian manufacturers. A configuration approach was used to categorise companies into different OLC stages using Miller and Friesen’s (1984) typology. Design/ Methodology/ Approach: A survey method was utilised, with the respondents comprising 96 managers of Indonesian manufacturing companies. A cluster analysis with hierarchical agglomeration and Ward’s minimum variance method was used to classify companies into OLC stages. Analysis of variance (ANOVA) and pairwise comparison analysis were used to examine the hypotheses. Research finding: Significant differences in the usage of each and all MPM perspectives was observable across OLC stages. A greater extent of the use of each and all MPM perspectives was also demonstrated by companies in the growth stage, compared to those in the maturity and birth OLC stages. A greater extent of the use of the customer perspective and all MPM perspectives was documented by companies in the revival stage. The learning and growth perspective was implemented to a marginally greater extent by revival-stage companies than birth- and maturity-stage companies. Theoretical contribution/Originality: This study contributes to contingency-based OLC and performance measurement systems</w:t>
      </w:r>
    </w:p>
    <w:p>
      <w:pPr/>
      <w:r>
        <w:rPr>
          <w:b/>
        </w:rPr>
        <w:t>POSSIBLE 2025:</w:t>
      </w:r>
      <w:r>
        <w:t xml:space="preserve"> Establishing and evaluating approaches for mixed media hybrid prototyping using Lego and additive manufacturing — https://doi.org/10.1017/dsj.2025.10036</w:t>
      </w:r>
    </w:p>
    <w:p>
      <w:pPr/>
      <w:r>
        <w:rPr>
          <w:b/>
        </w:rPr>
        <w:t>Shared claim-specific concepts:</w:t>
      </w:r>
      <w:r>
        <w:t xml:space="preserve"> approach, establish, processes; EU scope not established. This is a provisional connection, not an outcome finding.</w:t>
      </w:r>
    </w:p>
    <w:p>
      <w:pPr>
        <w:pStyle w:val="SourceNote"/>
      </w:pPr>
      <w:r>
        <w:rPr>
          <w:b/>
        </w:rPr>
        <w:t>Available abstract (not full text):</w:t>
      </w:r>
      <w:r>
        <w:t xml:space="preserve"> Abstract Hybrid prototyping (HP) – the combination of mixed prototyping media within a single product design – has shown potential to substantially reduce process cost and fabrication time. However, previous work has not considered how HP processes and fabrication should be aligned with designer intent or activity needs, how these may change the realised savings or good practice guidance for successful implementation. This work proposes three approaches for HP with Lego and additive manufacturing, targeted towards enabling mixed fidelity for prototype flexibility, parallelisation for rapid fabrication and component reuse to minimise material waste. It then establishes good practice guidance and proposes a HP method that accounts for practical and process constraints, then implemented through an automated hybridisation tool. Approaches are compared through a simulation study and a case study to establish relative benefit. Results show potential time and material savings of 56% and 76%, respectively, depending on the approach chosen, demonstrating the substantial and practical scope for savings that HP provides.</w:t>
      </w:r>
    </w:p>
    <w:p>
      <w:pPr/>
      <w:r>
        <w:rPr>
          <w:b/>
        </w:rPr>
        <w:t>POSSIBLE 2025:</w:t>
      </w:r>
      <w:r>
        <w:t xml:space="preserve"> The current clinical approach to feeding and eating disorders aimed to increase personalization of management — https://doi.org/10.1002/wps.21263</w:t>
      </w:r>
    </w:p>
    <w:p>
      <w:pPr/>
      <w:r>
        <w:rPr>
          <w:b/>
        </w:rPr>
        <w:t>Shared claim-specific concepts:</w:t>
      </w:r>
      <w:r>
        <w:t xml:space="preserve"> approach, measures, aimed, environmental; EU scope not established. This is a provisional connection, not an outcome finding.</w:t>
      </w:r>
    </w:p>
    <w:p>
      <w:pPr>
        <w:pStyle w:val="SourceNote"/>
      </w:pPr>
      <w:r>
        <w:rPr>
          <w:b/>
        </w:rPr>
        <w:t>Available abstract (not full text):</w:t>
      </w:r>
      <w:r>
        <w:t xml:space="preserve"> Feeding and eating disorders (FEDs) are a heterogeneous grouping of disorders at the mind-body interface, with typical onset from childhood into emerging adulthood. They occur along a spectrum of disordered eating and compensatory weight management behaviors, and from low to high body weight. Psychiatric comorbidities are the norm. In contrast to other major psychiatric disorders, first-line treatments for FEDs are mainly psychological and/or nutrition-focused, with medications playing a minor adjunctive role. Patients, carers and clinicians all have identified personalization of treatment as a priority. Yet, for all FEDs, the evidence base supporting this personalization is limited. Importantly, disordered eating and related behaviors can have serious physical consequences and may put the patient's life at risk. In these cases, immediate safety and risk management considerations may at least for a period need to be prioritized over other efforts at personalization of care. This paper systematically reviews several key domains that may be relevant to the characterization of the individual patient with a FED aimed at personalization of management. These domains include symptom profile, clinical subtypes, severity, clinical staging, physical complications and consequences, antecedent and concomitant psychiatric conditions, social functioning and quality of life, neurocognition, s</w:t>
      </w:r>
    </w:p>
    <w:p>
      <w:pPr/>
      <w:r>
        <w:rPr>
          <w:b/>
        </w:rPr>
        <w:t>POSSIBLE 2025:</w:t>
      </w:r>
      <w:r>
        <w:t xml:space="preserve"> The deep approach to learning as a measure of quality education in accreditation — https://doi.org/10.1108/qae-04-2025-0088</w:t>
      </w:r>
    </w:p>
    <w:p>
      <w:pPr/>
      <w:r>
        <w:rPr>
          <w:b/>
        </w:rPr>
        <w:t>Shared claim-specific concepts:</w:t>
      </w:r>
      <w:r>
        <w:t xml:space="preserve"> approach, aimed, processes; EU scope not established. This is a provisional connection, not an outcome finding.</w:t>
      </w:r>
    </w:p>
    <w:p>
      <w:pPr>
        <w:pStyle w:val="SourceNote"/>
      </w:pPr>
      <w:r>
        <w:rPr>
          <w:b/>
        </w:rPr>
        <w:t>Available abstract (not full text):</w:t>
      </w:r>
      <w:r>
        <w:t xml:space="preserve"> Purpose This paper aims to offer an alternative approach to traditional accreditation processes for measuring the quality of learning in higher education. The paper emphasizes identifying specific learning environment variables that foster deep learning and demonstrable learning outcomes. Design/methodology/approach A survey of 873 students from public and private colleges was conducted. The relationship between the antecedents and consequences of a deep approach to learning was hypothesized using a conceptual model. Findings Learning environment variables like motivation, self-efficacy, curriculum and assessment emerged as robust predictors of deep learning, which in turn led to improved learning outcomes. Practical implications The implications extend beyond the academic realm, informing policy and accreditation frameworks aimed at fostering an enriched and effective learning environment. This paper advocates for the integration of student learning to provide a more nuanced and accurate understanding of educational quality. Originality/value The originality lies in the critical evaluation of traditional accreditation as the primary means of measuring the quality of learning in higher education and its proposition of a complementary approach focused directly on assessing the depth of student learning. This focus on the antecedents and consequences of deep learning, as a comple</w:t>
      </w:r>
    </w:p>
    <w:p>
      <w:pPr/>
      <w:r>
        <w:rPr>
          <w:b/>
        </w:rPr>
        <w:t>POSSIBLE 2025:</w:t>
      </w:r>
      <w:r>
        <w:t xml:space="preserve"> Establishing International Cooperation In The Use Of Transboundary Water Resources In Uzbekistan: Historical Approach And Contemporary Measures — https://doi.org/10.37547/ijhps/volume05issue09-06</w:t>
      </w:r>
    </w:p>
    <w:p>
      <w:pPr/>
      <w:r>
        <w:rPr>
          <w:b/>
        </w:rPr>
        <w:t>Shared claim-specific concepts:</w:t>
      </w:r>
      <w:r>
        <w:t xml:space="preserve"> approach, establish, measures; EU scope not established. This is a provisional connection, not an outcome finding.</w:t>
      </w:r>
    </w:p>
    <w:p>
      <w:pPr>
        <w:pStyle w:val="SourceNote"/>
      </w:pPr>
      <w:r>
        <w:rPr>
          <w:b/>
        </w:rPr>
        <w:t>Available abstract (not full text):</w:t>
      </w:r>
      <w:r>
        <w:t xml:space="preserve"> This article provides a comprehensive analysis of the Republic of Uzbekistan’s efforts to establish international cooperation in the management of transboundary water resources, with particular attention to the Amu Darya and Syr Darya river basins. Situating the issue within a historical perspective, the study critically examines the evolution of regional water policies from the Soviet era to the post-independence period, highlighting Uzbekistan’s initiatives, collaboration with international organizations, and the conceptual development of water diplomacy. The analysis underscores how historical legacies and contemporary challenges have shaped both bilateral and multilateral approaches to water governance in Central Asia. The findings contribute to the broader discourse on hydro-political relations and the role of water diplomacy in fostering regional stability, ecological sustainability, and socio-economic development.</w:t>
      </w:r>
    </w:p>
    <w:p>
      <w:pPr/>
      <w:r>
        <w:rPr>
          <w:b/>
        </w:rPr>
        <w:t>POSSIBLE 2025:</w:t>
      </w:r>
      <w:r>
        <w:t xml:space="preserve"> Establishing next-generation reference intervals for pro-gastrin-releasing peptide using a dynamic modeling approach — https://doi.org/10.1186/s12967-025-07014-z</w:t>
      </w:r>
    </w:p>
    <w:p>
      <w:pPr/>
      <w:r>
        <w:rPr>
          <w:b/>
        </w:rPr>
        <w:t>Shared claim-specific concepts:</w:t>
      </w:r>
      <w:r>
        <w:t xml:space="preserve"> approach, used, continuous; EU scope not established. This is a provisional connection, not an outcome finding.</w:t>
      </w:r>
    </w:p>
    <w:p>
      <w:pPr>
        <w:pStyle w:val="SourceNote"/>
      </w:pPr>
      <w:r>
        <w:rPr>
          <w:b/>
        </w:rPr>
        <w:t>Available abstract (not full text):</w:t>
      </w:r>
      <w:r>
        <w:t xml:space="preserve"> BACKGROUND: Serum pro-gastrin-releasing peptide (ProGRP) levels significantly vary with age. However, conventional partitioned reference intervals (RIs) fail to reflect the continuous and subtle physiological changes associated with aging. To address this limitation, we investigated the age- and sex-specific dynamics of ProGRP levels and innovatively developed next-generation RIs for adults and elderly individuals in North China. METHODS: A total of 4136 rigorously screened individuals (aged 20-80 years) were analyzed. The effects of age and sex on ProGRP levels were assessed using Mann-Whitney U tests, Spearman's correlation, and Kruskal-Wallis tests. The Harris-Boyd method was used to evaluate the necessity of sex or age partitioning. Age-partitioned RIs were established using a nonparametric method. Next-generation RI models were developed using generalized additive models for location, scale, and shape, with age-related dynamics visualized. The clinical applicability of both RI types was evaluated by comparing upper reference limit flagging rates across age subgroups; rates closer to the theoretical 2.5% were considered indicative of superior RI accuracy. RESULTS: Sex had a minimal and clinically insignificant effect on ProGRP levels. In contrast, age had a significant effect: concentrations remained stable until approximately 40 years of age, followed by progressive increa</w:t>
      </w:r>
    </w:p>
    <w:p>
      <w:pPr/>
      <w:r>
        <w:rPr>
          <w:b/>
        </w:rPr>
        <w:t>POSSIBLE 2025:</w:t>
      </w:r>
      <w:r>
        <w:t xml:space="preserve"> Enhancing Academic Excellence Using a Data-Driven Approach for NIRF Ranking Improvement of Newly Established IITs — https://doi.org/10.1109/autocom64127.2025.10957633</w:t>
      </w:r>
    </w:p>
    <w:p>
      <w:pPr/>
      <w:r>
        <w:rPr>
          <w:b/>
        </w:rPr>
        <w:t>Shared claim-specific concepts:</w:t>
      </w:r>
      <w:r>
        <w:t xml:space="preserve"> approach, measures, improvement; EU scope not established. This is a provisional connection, not an outcome finding.</w:t>
      </w:r>
    </w:p>
    <w:p>
      <w:pPr>
        <w:pStyle w:val="SourceNote"/>
      </w:pPr>
      <w:r>
        <w:rPr>
          <w:b/>
        </w:rPr>
        <w:t>Available abstract (not full text):</w:t>
      </w:r>
      <w:r>
        <w:t xml:space="preserve"> In this paper, we discuss the urgent need for better evaluation techniques in educational institutions, concentrating about 10 recently founded Indian Institutes of Technology (IITs). We point out that conventional bibliometric measures fall short of adequately expressing the research influence and capacities of these universities. In order to improve the rankings of these IITs in the National Institutional Ranking Framework (NIRF), we suggest a novel method to evaluate their academic output and impact using data analytics and altmetrics. Here we compare Scopus publishing figures against NIRF rankings over many years. Furthermore, we advocate a thorough evaluation strategy including social media metrics and other kinds of scholarly influence outside conventional references. Here we introduce ResNet-PSO, a deep learning technique whereby Particle Swarm Optimisation (PSO) is coupled with Residual Neural Networks (ResNet) to improve the accuracy and efficiency of our research. By means of ResNet-PSO for data analytics, we can obtain significant insights from extensive academic datasets, so augmenting a more complete knowledge of research trends and impact variables. Our work intends to provide academic institutions and legislators important insights to promote research quality and competitiveness by bridging the gap between current metrics and developing altmetrics.</w:t>
      </w:r>
    </w:p>
    <w:p>
      <w:pPr/>
      <w:r>
        <w:rPr>
          <w:b/>
        </w:rPr>
        <w:t>POSSIBLE 2024:</w:t>
      </w:r>
      <w:r>
        <w:t xml:space="preserve"> A comprehensive review of planting approaches used to establish willow for environmental applications — https://doi.org/10.1016/j.ecoleng.2024.107288</w:t>
      </w:r>
    </w:p>
    <w:p>
      <w:pPr/>
      <w:r>
        <w:rPr>
          <w:b/>
        </w:rPr>
        <w:t>Shared claim-specific concepts:</w:t>
      </w:r>
      <w:r>
        <w:t xml:space="preserve"> used, establish, environmental, operation; EU scope not established. This is a provisional connection, not an outcome finding.</w:t>
      </w:r>
    </w:p>
    <w:p>
      <w:pPr>
        <w:pStyle w:val="SourceNote"/>
      </w:pPr>
      <w:r>
        <w:rPr>
          <w:b/>
        </w:rPr>
        <w:t>Available abstract (not full text):</w:t>
      </w:r>
      <w:r>
        <w:t xml:space="preserve">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pPr/>
      <w:r>
        <w:rPr>
          <w:b/>
        </w:rPr>
        <w:t>POSSIBLE 2024:</w:t>
      </w:r>
      <w:r>
        <w:t xml:space="preserve"> Ventricular tachycardia mapping and ablation using MIXture of well-established approaches. The MIX-VT study — https://doi.org/10.1093/europace/euae102.532</w:t>
      </w:r>
    </w:p>
    <w:p>
      <w:pPr/>
      <w:r>
        <w:rPr>
          <w:b/>
        </w:rPr>
        <w:t>Shared claim-specific concepts:</w:t>
      </w:r>
      <w:r>
        <w:t xml:space="preserve"> approach, used, improvement; EU scope not established. This is a provisional connection, not an outcome finding.</w:t>
      </w:r>
    </w:p>
    <w:p>
      <w:pPr>
        <w:pStyle w:val="SourceNote"/>
      </w:pPr>
      <w:r>
        <w:rPr>
          <w:b/>
        </w:rPr>
        <w:t>Available abstract (not full text):</w:t>
      </w:r>
      <w:r>
        <w:t xml:space="preserve"> Abstract Introduction Ablation for ventricular tachycardia (VT) is still challenging despite impressive technology development, especially in mid- or low-volume centers. The most frequently used approach is homogenization of scar area responsible for VT, combined with standard electrophysiological (EP) approaches such as VT inducibility and mapping. However, in real life long-term efficacy of VT ablation in such centers does not exceed 50%. We hypothesized that an approach consisting of the mixture of various well-established parameters would be more effective than scar homogenization and VT non-inducibility as the endpoints. Purpose To compare the outcome of VT ablation using the standard approach (scar homogenization) and a more complex approach, called the MIX-VT protocol, using late potential mapping + pace mapping with rapid change of VT morphology to localize the critical isthmus + core isolation. All procedures were performed using the 3D mapping system, Pentaray mapping catheter, Smart-Touch ablation catheter and intracardiac echocardiography (ICE). Methods 48 consecutive patients (41 male, mean age 71.5 years) with ischemic cardiopathy referred for urgent VT ablation were included: 23 patients underwent "standard" VT ablation between December 2018 and December 2019, whereas the next 25 patients underwent ablation using the MIX-VT protocol between January 2020 and Decem</w:t>
      </w:r>
    </w:p>
    <w:p>
      <w:pPr>
        <w:pStyle w:val="Heading2"/>
      </w:pPr>
      <w:r>
        <w:t>782. Potential for hydrogen and Power-to-Liquid in a low-carbon EU energy system using cost optimization</w:t>
      </w:r>
    </w:p>
    <w:p>
      <w:pPr>
        <w:pStyle w:val="SourceNote"/>
      </w:pPr>
      <w:r>
        <w:rPr>
          <w:b/>
        </w:rPr>
        <w:t>Original source (2018):</w:t>
      </w:r>
      <w:r>
        <w:t xml:space="preserve"> https://doi.org/10.1016/j.apenergy.2018.09.216</w:t>
      </w:r>
    </w:p>
    <w:p>
      <w:pPr/>
      <w:r>
        <w:t>Original wording (abstract; indexed_source_text_not_full_document_verified): This study assesses the role of these pathways across scenarios that achieve 80–95% CO2 reduction by 2050 (vs. 1990) using the JRC-EU-TIMES model.</w:t>
      </w:r>
    </w:p>
    <w:p>
      <w:pPr/>
      <w:r>
        <w:rPr>
          <w:b/>
        </w:rPr>
        <w:t>POSSIBLE 2026:</w:t>
      </w:r>
      <w:r>
        <w:t xml:space="preserve"> Assessing Plug-in Electric Vehicle Adoption: Methodologies, Policy Effects, and Diverging Market Pathways in China, the U.S., and Europe — https://doi.org/10.4271/2026-01-0455</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co2;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Can a wealth tax reduce CO2 emissions in Europe? — https://doi.org/10.1016/j.ecolecon.2026.109231</w:t>
      </w:r>
    </w:p>
    <w:p>
      <w:pPr/>
      <w:r>
        <w:rPr>
          <w:b/>
        </w:rPr>
        <w:t>Shared claim-specific concepts:</w:t>
      </w:r>
      <w:r>
        <w:t xml:space="preserve"> across, co2, reduction;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Is Green Growth Achievable? The Role of Brics and Its New Members on Co2 Emissions — https://doi.org/10.15405/epsbs.2026.09.50</w:t>
      </w:r>
    </w:p>
    <w:p>
      <w:pPr/>
      <w:r>
        <w:rPr>
          <w:b/>
        </w:rPr>
        <w:t>Shared claim-specific concepts:</w:t>
      </w:r>
      <w:r>
        <w:t xml:space="preserve"> role, co2; EU scope not established. This is a provisional connection, not an outcome finding.</w:t>
      </w:r>
    </w:p>
    <w:p>
      <w:pPr>
        <w:pStyle w:val="SourceNote"/>
      </w:pPr>
      <w:r>
        <w:rPr>
          <w:b/>
        </w:rPr>
        <w:t>Available abstract (not full text):</w:t>
      </w:r>
      <w:r>
        <w:t xml:space="preserve"> This study analyzes the main factors influencing CO2 emissions in the long term and short term based on the characteristics of BRICS countries and their new members, using an Autoregressive Distributed Lag model.Several statistical techniques such as stationary and cointegration tests were used to validate the relationships.The findings show that GDP, oil rents, and trade openness have a significant positive effect on CO2 emissions in the long term.In contrast, FDI and inflation have no effect in the long term.In the short term, only GDP contributes to increasing CO2 emissions.In addition, the inverted U-shaped relationship is not supported for this group.From this study, it can be concluded that the role of BRICS countries and their new members is still contributing to the increase in CO2 emissions.Achieving green growth requires a high level of commitment from BRICS countries and their new members to reduce their contribution to global CO2 emissions growth.</w:t>
      </w:r>
    </w:p>
    <w:p>
      <w:pPr/>
      <w:r>
        <w:rPr>
          <w:b/>
        </w:rPr>
        <w:t>POSSIBLE 2026:</w:t>
      </w:r>
      <w:r>
        <w:t xml:space="preserve"> The role of osteopathy in public healthcare in Europe — https://openalex.org/W7154884819</w:t>
      </w:r>
    </w:p>
    <w:p>
      <w:pPr/>
      <w:r>
        <w:rPr>
          <w:b/>
        </w:rPr>
        <w:t>Shared claim-specific concepts:</w:t>
      </w:r>
      <w:r>
        <w:t xml:space="preserve"> role, across, reduction;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Integrating Modelling and Stakeholder Engagement to Assess Forest Management Pathways for Climate — https://doi.org/10.5194/egusphere-egu26-16841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Forests play a crucial role in climate change mitigation by acting as long-term carbon sinks while simultaneously delivering a wide range of ecosystem services and socio-economic benefits. However, maximizing forest-based mitigation demands management strategies that explicitly integrate ecological resilience, carbon dynamics, and socio-economic performance across diverse pedoclimatic and governance contexts. This study contributes to the current debate by assessing the socio-economic implications of forest management scenarios aimed at enhancing carbon sequestration and climate resilience across a range of European forest landscapes. In this context we combine internationally recognised sustainability criteria (FOREST EUROPE), with OptFor-EU project outcomes such as: Essential Forest Mitigation Indicators, scenario-based modelling and semi-structured interviews with 56 forest managers. The latter are used to evaluate how alternative forest management pathways influence carbon stocks, ecosystem services, and socio-economic outcomes. The analysis integrates multi-disciplinary inputs, including forest growth and carbon modelling, socio-economic indicators, and Business Model Canvas approaches, within a co-designed Decision Support System developed by OptFor-EU research team in close collaboration with forest managers and local stakeholders. Results from 56 interviews carried out </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Review of Post-Combustion Carbon Capture in Europe: Current Technologies and Future Strategies for Largest CO2-Emitting Industries — https://doi.org/10.3390/en18133539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Heavy industry is a significant contributor to CO2 global emissions, accounting for approximately 25% of the total. In Europe, the continent’s largest emitting industries, including steel, cement, and power generation, face significant decarbonization challenges due to multiple interrelated factors. Heavy industry must achieve carbon neutrality by 2050, as outlined in the 13th United Nations Sustainable Goals. One strategy to achieve this goal involves Carbon Capture Utilization and Storage (CCUS) with post-combustion carbon capture (PCC) technologies playing a critical role. Key methods include absorption, which uses chemical solvents like amines; adsorption, employing solid sorbents; cyclic CO2 capture, such as calcium looping methods; cryogenic separation, which involves chilling flue gas to liquefy CO2; and membrane separation, leveraging polymeric materials. Each technology offers unique advantages and challenges, necessitating hybrid approaches and policy support for widespread adoption. In this sense, this review provides a comprehensive overview of the existing European pilot and demonstration units and projects, funded by the EU across several industries. It specifically focuses on PCC. This study examines 111 industrial facilities across Europe, documenting the PCC technologies deployed at plants of varying capacities, geographic locations, and operational stakeholder</w:t>
      </w:r>
    </w:p>
    <w:p>
      <w:pPr/>
      <w:r>
        <w:rPr>
          <w:b/>
        </w:rPr>
        <w:t>POSSIBLE 2025:</w:t>
      </w:r>
      <w:r>
        <w:t xml:space="preserve"> H2 and CO2 network strategies for the European energy system — https://doi.org/10.1038/s41560-025-01752-6</w:t>
      </w:r>
    </w:p>
    <w:p>
      <w:pPr/>
      <w:r>
        <w:rPr>
          <w:b/>
        </w:rPr>
        <w:t>Shared claim-specific concepts:</w:t>
      </w:r>
      <w:r>
        <w:t xml:space="preserve"> role, co2;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2025:</w:t>
      </w:r>
      <w:r>
        <w:t xml:space="preserve"> Pathways to a strong Social Europe — https://doi.org/10.31235/osf.io/zgjaf_v1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CO2 Storage Resource Catalogue – A Comprehensive Analysis of Global CO2 Storage Resources Status — https://doi.org/10.3997/2214-4609.202522059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Summary As the urgency to achieve net-zero emissions intensifies, CCS remains a critical enabler. However, large-scale deployment hinges on access to well-characterised, commercially viable CO2 storage resources - yet global estimates remain inconsistent, with many countries still unassessed. This knowledge gap hinders CCS acceleration. The CO2 Storage Resource Catalogue (CSRC) addresses this challenge by providing a standardised global repository underpinned by the CO2 Storage Resources Management System (SRMS). This ensures a consistent and comparable approach to evaluating storage resources, equipping policymakers, investors, and industry with robust data for strategic decision-making. This study presents the final CSRC phase, completing a comprehensive global review by assessing 129 previously unstudied countries across Africa, Oceania, Asia, South America, and Europe. Using a structured methodology, it evaluates storage capacity, maturity, and regional readiness for CCS deployment, delivering the most complete global assessment to date. Key findings highlight the urgent need for project-based evaluations to translate storage potential into real-world developments and identify critical knowledge gaps. The study also underscores the pivotal role of regulatory frameworks in driving investment and accelerating CCS adoption. Without formal resource evaluations and clear, enforc</w:t>
      </w:r>
    </w:p>
    <w:p>
      <w:pPr>
        <w:pStyle w:val="Heading2"/>
      </w:pPr>
      <w:r>
        <w:t>783. Projecting Drivers of Human Vulnerability under the Shared Socioeconomic Pathways</w:t>
      </w:r>
    </w:p>
    <w:p>
      <w:pPr>
        <w:pStyle w:val="SourceNote"/>
      </w:pPr>
      <w:r>
        <w:rPr>
          <w:b/>
        </w:rPr>
        <w:t>Original source (2018):</w:t>
      </w:r>
      <w:r>
        <w:t xml:space="preserve"> https://doi.org/10.3390/ijerph15030554</w:t>
      </w:r>
    </w:p>
    <w:p>
      <w:pPr/>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POSSIBLE 2026:</w:t>
      </w:r>
      <w:r>
        <w:t xml:space="preserve"> Pandemic risk in the Shared Socioeconomic Pathways — https://doi.org/10.64898/2026.07.29.26359250</w:t>
      </w:r>
    </w:p>
    <w:p>
      <w:pPr/>
      <w:r>
        <w:rPr>
          <w:b/>
        </w:rPr>
        <w:t>Shared claim-specific concepts:</w:t>
      </w:r>
      <w:r>
        <w:t xml:space="preserve"> shared, socioeconomic, pathways, ssps, climate, health; EU scope not established. This is a provisional connection, not an outcome finding.</w:t>
      </w:r>
    </w:p>
    <w:p>
      <w:pPr>
        <w:pStyle w:val="SourceNote"/>
      </w:pPr>
      <w:r>
        <w:rPr>
          <w:b/>
        </w:rPr>
        <w:t>Available abstract (not full text):</w:t>
      </w:r>
      <w:r>
        <w:t xml:space="preserve">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pPr/>
      <w:r>
        <w:rPr>
          <w:b/>
        </w:rPr>
        <w:t>POSSIBLE 2026:</w:t>
      </w:r>
      <w:r>
        <w:t xml:space="preserve"> A new scenario architecture to capture granularity of governance within and across Shared Socioeconomic Pathways — https://doi.org/10.1016/j.landusepol.2026.107926</w:t>
      </w:r>
    </w:p>
    <w:p>
      <w:pPr/>
      <w:r>
        <w:rPr>
          <w:b/>
        </w:rPr>
        <w:t>Shared claim-specific concepts:</w:t>
      </w:r>
      <w:r>
        <w:t xml:space="preserve"> shared, socioeconomic, pathways, ssps, within; EU scope not established. This is a provisional connection, not an outcome finding.</w:t>
      </w:r>
    </w:p>
    <w:p>
      <w:pPr>
        <w:pStyle w:val="SourceNote"/>
      </w:pPr>
      <w:r>
        <w:rPr>
          <w:b/>
        </w:rPr>
        <w:t>Available abstract (not full text):</w:t>
      </w:r>
      <w:r>
        <w:t xml:space="preserve"> Scenario work is a prominent possibility to understand and address pressing socio-environmental sustainability challenges of today and tomorrow. Scenarios depict the possible futures for land-use, and land-use pressures. In this conceptual paper, we propose a novel governance-focused scenario architecture consisting of 1) Shared Socioeconomic Pathways (SSPs), or exploratory scenario archetypes, which explore future uncertainties affected by chosen drivers; 2) Shared Governance Assumptions: governance modes that define the logic of decision-making across the SSPs, and that change the future governance landscapes; and 3) Detailed Governance Assumptions: specific opportunities for agency offered by the varying future governance landscapes defined by SSP – Shared Governance Assumption combinations. We propose a six-step process to employ our scenario architecture, and use the case of land use and Arctic reindeer herding as a brief illustration. We find that our proposed scenario architecture i) offers a structured way to diversify SSP-based scenario sets and to connect SSPs strongly to policy and governance, ii) can be used to explore actor-based trade-offs, and iii) can be used to as a tool for anticipatory governance. Further work is needed to provide empirical applications of our scenario architecture and to innovatively compare and examine implications of different governance m</w:t>
      </w:r>
    </w:p>
    <w:p>
      <w:pPr/>
      <w:r>
        <w:rPr>
          <w:b/>
        </w:rPr>
        <w:t>POSSIBLE 2026:</w:t>
      </w:r>
      <w:r>
        <w:t xml:space="preserve"> Community Scenarios beyond the Shared Socioeconomic Pathways: The Scenario Evolution Process — https://doi.org/10.5194/egusphere-egu26-13481</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Shared Socioeconomic Pathways (SSPs) have provided a widely adopted foundation for climate-centric research, yet their design increasingly limits applicability in the context of today’s interconnected “polycrisis.” Key challenges include artificial no-policy/no-impact baselines, insufficient and non-fundamental treatment of equity, and narratives that are difficult to translate to regional and local decision-making contexts. To address these limitations, the International Committee on New Climate Change Assessment Scenarios (ICONICS) has started the Scenario Evolution Process (SEP): a community-led initiative to critically reassess, adapt, and potentially transform the SSP framework to better support research on resilient, equitable, and sustainable development and develop socioeconomic scenarios that have a applicability beyond the climate change domain. The Scenario Evolution Process critically reflects on all elements of the existing framework, but also emphasizes evolution, acknowledging that future adaptations may range from incremental refinements to more fundamental changes. Coordinated by ICONICS, the process is set up to be inclusive, transparent, and iterative, engaging a broad and diverse community of researchers, practitioners, and stakeholders across disciplines and regions.The process starts with an information collection phase that consists of four main activ</w:t>
      </w:r>
    </w:p>
    <w:p>
      <w:pPr/>
      <w:r>
        <w:rPr>
          <w:b/>
        </w:rPr>
        <w:t>POSSIBLE 2026:</w:t>
      </w:r>
      <w:r>
        <w:t xml:space="preserve"> Narrative and quantitative analysis of democratic principles in the Shared Socioeconomic Pathways — https://doi.org/10.1038/s44168-026-00351-9</w:t>
      </w:r>
    </w:p>
    <w:p>
      <w:pPr/>
      <w:r>
        <w:rPr>
          <w:b/>
        </w:rPr>
        <w:t>Shared claim-specific concepts:</w:t>
      </w:r>
      <w:r>
        <w:t xml:space="preserve"> shared, socioeconomic, pathways, ssps, climate, within; EU scope not established. This is a provisional connection, not an outcome finding.</w:t>
      </w:r>
    </w:p>
    <w:p>
      <w:pPr>
        <w:pStyle w:val="SourceNote"/>
      </w:pPr>
      <w:r>
        <w:rPr>
          <w:b/>
        </w:rPr>
        <w:t>Available abstract (not full text):</w:t>
      </w:r>
      <w:r>
        <w:t xml:space="preserve"> Abstract Although climate action is highly intertwined with governance structures, climate policy modelling science has been argued to insufficiently reflect political processes. We analyse the evolution of democratic governance embedded in the Shared Socioeconomic Pathways (SSPs) that are heavily underpinning modelling studies. Using the Narrative Policy Framework in the SSPs storylines, we find underrepresentation of narratives explicitly centring on democratic principles such as participation, accountability and justice, despite their importance in envisioning legitimate and inclusive transitions. An evaluation of quantitative indicators within the SSP framework under the same democratic principles shows divergence from the patterns implied by the storylines. Finally, analysis of scenarios assessed in the 6th Assessment Report of the Intergovernmental Panel on Climate Change shows that regions scoring high in democracy-related indicators tend to perform well in mitigation, aligning with empirical evidence. These findings highlight opportunities to enhance the SSP framework to inter alia more adequately incorporate political processes.</w:t>
      </w:r>
    </w:p>
    <w:p>
      <w:pPr/>
      <w:r>
        <w:rPr>
          <w:b/>
        </w:rPr>
        <w:t>POSSIBLE 2026:</w:t>
      </w:r>
      <w:r>
        <w:t xml:space="preserve"> Navigating global health futures under the Shared Socioeconomic Pathways — https://doi.org/10.1016/j.lanplh.2026.101514</w:t>
      </w:r>
    </w:p>
    <w:p>
      <w:pPr/>
      <w:r>
        <w:rPr>
          <w:b/>
        </w:rPr>
        <w:t>Shared claim-specific concepts:</w:t>
      </w:r>
      <w:r>
        <w:t xml:space="preserve"> shared, socioeconomic, pathways, ssps, climate, potential; EU scope not established. This is a provisional connection, not an outcome finding.</w:t>
      </w:r>
    </w:p>
    <w:p>
      <w:pPr>
        <w:pStyle w:val="SourceNote"/>
      </w:pPr>
      <w:r>
        <w:rPr>
          <w:b/>
        </w:rPr>
        <w:t>Available abstract (not full text):</w:t>
      </w:r>
      <w:r>
        <w:t xml:space="preserve"> The Shared Socioeconomic Pathways (SSPs) provide valuable insights to understand how future socioeconomic changes could alter the magnitude and pattern of climate-related risks across sectors, which might facilitate or hinder adaptation and mitigation responses. Many sectors have created SSP narrative extensions to specify insights for their domains. In this Viewpoint, we created health narrative extensions for the SSPs, considering socioeconomic and demographic drivers and population health and health-system drivers. The projected health-relevant trajectories diverge substantially over the course of the 21st century. The SSP3 and SSP4 narratives detail changes that could contribute considerable risks to health, whereas the SSP1 and SSP5 narratives highlight the role of effective governance and adequate resourcing in reducing climate-sensitive population health outcomes and health-system drivers. Given that climate forcing is considered exogenous to these narrative extensions, SSP5's favourable health driver paths do not account for the potential adverse impacts of this high-emissions pathway. The narratives elaborate population health drivers that can improve the policy relevance of population health and health-system risk projections associated with climate change across a range of possible pathways, and link these drivers with relevant cross-sectoral issues (eg, water and en</w:t>
      </w:r>
    </w:p>
    <w:p>
      <w:pPr/>
      <w:r>
        <w:rPr>
          <w:b/>
        </w:rPr>
        <w:t>POSSIBLE 2026:</w:t>
      </w:r>
      <w:r>
        <w:t xml:space="preserve"> UK livestock futures: co-designing Shared Socioeconomic Pathways — https://doi.org/10.1007/s10113-026-02625-8</w:t>
      </w:r>
    </w:p>
    <w:p>
      <w:pPr/>
      <w:r>
        <w:rPr>
          <w:b/>
        </w:rPr>
        <w:t>Shared claim-specific concepts:</w:t>
      </w:r>
      <w:r>
        <w:t xml:space="preserve"> shared, socioeconomic, pathways, alternative, societal, inform; EU scope not established. This is a provisional connection, not an outcome finding.</w:t>
      </w:r>
    </w:p>
    <w:p>
      <w:pPr>
        <w:pStyle w:val="SourceNote"/>
      </w:pPr>
      <w:r>
        <w:rPr>
          <w:b/>
        </w:rPr>
        <w:t>Available abstract (not full text):</w:t>
      </w:r>
      <w:r>
        <w:t xml:space="preserve"> Abstract The UK livestock sector faces complex socio-economic, political, and environmental challenges, requiring approaches for exploring trade-offs and resilience across a range of plausible futures. To address these challenges, this study develops the UK Livestock Shared Socioeconomic Pathways (UK-Livestock-SSPs) through an iterative, stakeholder-driven co-design process that incorporates UK livestock sector realities. Engaging diverse actors from policy, industry, academia, and civil society, we co-produce narratives, visual summaries, and semi-quantitative trends that capture sector-specific dynamics while remaining consistent with the global and regional SSP frameworks. Visual and interactive methods supported the co-design process by helping stakeholders articulate and examine their values, trade-offs, and priorities. The resulting five scenarios highlight interactions between governance, societal, and production drivers, emphasising the diversity of plausible futures, uncertainties, and potential trade-offs facing the sector. The scenario outputs support the exploration of alternative futures, and have the potential to inform policy, research, and decision making to assess sector vulnerabilities, mitigation and adaptation options, and resilience building strategies.</w:t>
      </w:r>
    </w:p>
    <w:p>
      <w:pPr/>
      <w:r>
        <w:rPr>
          <w:b/>
        </w:rPr>
        <w:t>POSSIBLE 2026:</w:t>
      </w:r>
      <w:r>
        <w:t xml:space="preserve"> Projections for the future of electoral democracy across the Shared Socioeconomic Pathways — https://doi.org/10.2139/ssrn.6294020</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Projections for the future of electoral democracy across the Shared Socioeconomic Pathways — https://doi.org/10.7910/dvn/zsyocq</w:t>
      </w:r>
    </w:p>
    <w:p>
      <w:pPr/>
      <w:r>
        <w:rPr>
          <w:b/>
        </w:rPr>
        <w:t>Shared claim-specific concepts:</w:t>
      </w:r>
      <w:r>
        <w:t xml:space="preserve"> shared, socioeconomic, pathways, inform, climate; EU scope not established. This is a provisional connection, not an outcome finding.</w:t>
      </w:r>
    </w:p>
    <w:p>
      <w:pPr>
        <w:pStyle w:val="SourceNote"/>
      </w:pPr>
      <w:r>
        <w:rPr>
          <w:b/>
        </w:rPr>
        <w:t>Available abstract (not full text):</w:t>
      </w:r>
      <w:r>
        <w:t xml:space="preserve"> The future of climate change and sustainable development will be shaped by future patterns of, among other things, democratic governance. However, while an important factor determining future patterns of mitigation and adaptation, projections of democracy remain largely missing from long-term quantitative projections that are used to inform a wide range of integrated assessment modeling. We introduce projections of long-term levels of democracy across the Shared Socioeconomic Pathways (SSP) in the International Futures model by creating a historical model of electoral democracy from macro-level structural correlates of democracy and then adjusting to meet the SSP narratives. We find that, through the end of the century, worlds of few challenges to adaptation are associated with substantial growth in electoral democracy. Alternatively, worlds of high challenges to both adaptation and mitigation see reductions in the average country level of electoral democracy by the year 2100 to levels last seen in the 1980s.</w:t>
      </w:r>
    </w:p>
    <w:p>
      <w:pPr/>
      <w:r>
        <w:rPr>
          <w:b/>
        </w:rPr>
        <w:t>POSSIBLE 2026:</w:t>
      </w:r>
      <w:r>
        <w:t xml:space="preserve"> Data centre energy demand projections within shared socioeconomic pathways — https://doi.org/10.1016/j.egycc.2026.100253</w:t>
      </w:r>
    </w:p>
    <w:p>
      <w:pPr/>
      <w:r>
        <w:rPr>
          <w:b/>
        </w:rPr>
        <w:t>Shared claim-specific concepts:</w:t>
      </w:r>
      <w:r>
        <w:t xml:space="preserve"> shared, socioeconomic, pathways, climate, within; EU scope not established. This is a provisional connection, not an outcome finding.</w:t>
      </w:r>
    </w:p>
    <w:p>
      <w:pPr>
        <w:pStyle w:val="SourceNote"/>
      </w:pPr>
      <w:r>
        <w:rPr>
          <w:b/>
        </w:rPr>
        <w:t>Available abstract (not full text):</w:t>
      </w:r>
      <w:r>
        <w:t xml:space="preserve"> Widespread digital transformation and the rapid expansion of data centres for artificial intelligence (AI) pose growing challenges for electricity systems and global climate targets. Many studies project near-term data centre energy demand, but few extend beyond five years due to the high degree of uncertainty in technological trends and a lack of robust and widely accepted methodologies. This is a problem for climate mitigation research that covers plausible scenario envelopes over longer time horizons to assess carbon budgets and warming outcomes. In this study, we extend data centre energy demand projections to 2050 within the Shared Socioeconomic Pathways (SSP) framework, aligning with common approaches in climate scenario analysis. Our method draws on three main historical periods since 2010 marked by distinctive trends in data centre service demand growth or efficiency gains, combined with projected future trends in digital transformation levels. Across the five SSP scenarios, we find global data centre electricity demand ranges widely, reaching between 1,800 and 5,000 TWh by 2050. We also find that the average weighted carbon intensity of electricity consumed by data centres must fall to below 100 gCO₂/kWh from 2030 to remain compatible with 1.5°C climate targets. Unlike most SSP-based studies, we find that uncertainties in data centre energy demand growth as a result of</w:t>
      </w:r>
    </w:p>
    <w:p>
      <w:pPr/>
      <w:r>
        <w:rPr>
          <w:b/>
        </w:rPr>
        <w:t>POSSIBLE 2026:</w:t>
      </w:r>
      <w:r>
        <w:t xml:space="preserve"> TECHNOLOGY WAQF: A NEW PARADIGM FOR SUSTAINABLE SOCIOECONOMIC DEVELOPMENT — https://doi.org/10.35631/aijbes.829106</w:t>
      </w:r>
    </w:p>
    <w:p>
      <w:pPr/>
      <w:r>
        <w:rPr>
          <w:b/>
        </w:rPr>
        <w:t>Shared claim-specific concepts:</w:t>
      </w:r>
      <w:r>
        <w:t xml:space="preserve"> shared, socioeconomic; EU scope not established. This is a provisional connection, not an outcome finding.</w:t>
      </w:r>
    </w:p>
    <w:p>
      <w:pPr>
        <w:pStyle w:val="SourceNote"/>
      </w:pPr>
      <w:r>
        <w:rPr>
          <w:b/>
        </w:rPr>
        <w:t>Available abstract (not full text):</w:t>
      </w:r>
      <w:r>
        <w:t xml:space="preserve"> Technological advancements have transformed the world's socio-economic conditions by changing the way knowledge is created, used and shared. In Islamic Social Finance, technology is used to improve the governance and operational efficiency of waqf institutions through the use of digital platforms, financial technology and blockchain applications. Therefore, the objective of this paper is to conceptualize Technology Waqf as a new paradigm in Islamic Social Finance and assess its ability to achieve sustainable socioeconomic development using a qualitative conceptual research design through a comprehensive study and thematic synthesis of waqf, Islamic Social Finance, digital transformation, sustainable development and Islamic legal literature. The characteristics, dimensions, principles and possible uses of Technology Waqf are being developed using a broad conceptual framework by conducting a critical analysis of existing current theories and practices. This research develops the idea of Technology Waqf which means the waqf of technological assets, whether tangible or intangible, of a techno-economic nature for the ongoing public benefit in accordance with Sharia. Compared to previous studies. this paper proposes that technology resources including digital infrastructure, software, artificial intelligence applications, intellectual property, technological knowledge, research facil</w:t>
      </w:r>
    </w:p>
    <w:p>
      <w:pPr/>
      <w:r>
        <w:rPr>
          <w:b/>
        </w:rPr>
        <w:t>POSSIBLE 2026:</w:t>
      </w:r>
      <w:r>
        <w:t xml:space="preserve"> Dataset for "Gini and subnational income distributions for the Updated Shared Socioeconomic Pathways" — https://doi.org/10.5281/zenodo.22845466</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Dataset with income distribution scenarios for the 2025 update of the Shared Socioeconomic Pathways. Includes Gini Coefficients, Palma Ratios, Percentage of People Under Poverty Thresholds (3 2021 USD PPP per day), Income Share of Percentiles and Mean Income of Percentiles (based on gdp). We also include a second dataset with standard deviations of the estimates.</w:t>
      </w:r>
    </w:p>
    <w:p>
      <w:pPr/>
      <w:r>
        <w:rPr>
          <w:b/>
        </w:rPr>
        <w:t>POSSIBLE 2026:</w:t>
      </w:r>
      <w:r>
        <w:t xml:space="preserve"> Space Sustainability Implications of Combining Space Environment Pathways With Shared Socioeconomic Pathways — https://doi.org/10.2514/6.2026-0159</w:t>
      </w:r>
    </w:p>
    <w:p>
      <w:pPr/>
      <w:r>
        <w:rPr>
          <w:b/>
        </w:rPr>
        <w:t>Shared claim-specific concepts:</w:t>
      </w:r>
      <w:r>
        <w:t xml:space="preserve"> shared, socioeconomic, pathways, ssps, climate, impacts; EU scope not established. This is a provisional connection, not an outcome finding.</w:t>
      </w:r>
    </w:p>
    <w:p>
      <w:pPr>
        <w:pStyle w:val="SourceNote"/>
      </w:pPr>
      <w:r>
        <w:rPr>
          <w:b/>
        </w:rPr>
        <w:t>Available abstract (not full text):</w:t>
      </w:r>
      <w:r>
        <w:t xml:space="preserve"> Climate change has been shown to contract the upper atmosphere, reducing its density and inducing less drag on space objects over time. Recent work has demonstrated the deleterious effect on sustainable space operations due to slower de-orbit times. This work characterizes the differential impacts to the Low Earth Orbit (LEO) regime for various possible futures by combining atmospheric models from Shared Socioeconomic Pathways (SSPs) with satellite-launch behaviors from Space Environmental Pathways (SEPs). By leveraging the open-source orbital environment modeling tool MOCAT-pySSEM, population- and time-dependent orbital populations for active satellites, debris, and rocket bodies are simulated for years 2025-2100 across four SEP-SSP pairings. Results indicate that accounting for climate change via the choice of an SSP can increase object populations by 15-100\% as compared to time-varying density models which do not account for atmospheric contraction. These results indicate an imperative to consider future climate impacts when performing long-term space environment modeling.</w:t>
      </w:r>
    </w:p>
    <w:p>
      <w:pPr>
        <w:pStyle w:val="Heading2"/>
      </w:pPr>
      <w:r>
        <w:t>784. Public health air pollution impacts of pathway options to meet the 2050 UK Climate Change Act target: a modelling study</w:t>
      </w:r>
    </w:p>
    <w:p>
      <w:pPr>
        <w:pStyle w:val="SourceNote"/>
      </w:pPr>
      <w:r>
        <w:rPr>
          <w:b/>
        </w:rPr>
        <w:t>Original source (2018):</w:t>
      </w:r>
      <w:r>
        <w:t xml:space="preserve"> https://doi.org/10.3310/phr06070</w:t>
      </w:r>
    </w:p>
    <w:p>
      <w:pPr/>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2026:</w:t>
      </w:r>
      <w:r>
        <w:t xml:space="preserve"> Mortality and long-term exposure to source-specific PM2·5: evidence from a national cohort study in China — https://doi.org/10.1016/j.lanplh.2025.101400</w:t>
      </w:r>
    </w:p>
    <w:p>
      <w:pPr/>
      <w:r>
        <w:rPr>
          <w:b/>
        </w:rPr>
        <w:t>Shared claim-specific concepts:</w:t>
      </w:r>
      <w:r>
        <w:t xml:space="preserve"> concentrations, pm2, show, increase, system, used; EU scope not established. This is a provisional connection, not an outcome finding.</w:t>
      </w:r>
    </w:p>
    <w:p>
      <w:pPr>
        <w:pStyle w:val="SourceNote"/>
      </w:pPr>
      <w:r>
        <w:rPr>
          <w:b/>
        </w:rPr>
        <w:t>Available abstract (not full text):</w:t>
      </w:r>
      <w:r>
        <w:t xml:space="preserve">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pPr/>
      <w:r>
        <w:rPr>
          <w:b/>
        </w:rPr>
        <w:t>POSSIBLE 2026:</w:t>
      </w:r>
      <w:r>
        <w:t xml:space="preserve"> Development of an OEE Availability Framework for Maintenance Decision Making on PM1 and PM2 : A case study of Smurfit Westrock Piteå AB — https://openalex.org/W7204503844</w:t>
      </w:r>
    </w:p>
    <w:p>
      <w:pPr/>
      <w:r>
        <w:rPr>
          <w:b/>
        </w:rPr>
        <w:t>Shared claim-specific concepts:</w:t>
      </w:r>
      <w:r>
        <w:t xml:space="preserve"> pm2, not, two, system; EU scope visible. This is a provisional connection, not an outcome finding.</w:t>
      </w:r>
    </w:p>
    <w:p>
      <w:pPr>
        <w:pStyle w:val="SourceNote"/>
      </w:pPr>
      <w:r>
        <w:rPr>
          <w:b/>
        </w:rPr>
        <w:t>Available abstract (not full text):</w:t>
      </w:r>
      <w:r>
        <w:t xml:space="preserve">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pPr/>
      <w:r>
        <w:rPr>
          <w:b/>
        </w:rPr>
        <w:t>POSSIBLE 2025:</w:t>
      </w:r>
      <w:r>
        <w:t xml:space="preserve"> Healthful plant-based dietary patterns, PM2·5 exposure and the risk of heart failure: a population-based cohort study — https://doi.org/10.1017/s0007114525000698</w:t>
      </w:r>
    </w:p>
    <w:p>
      <w:pPr/>
      <w:r>
        <w:rPr>
          <w:b/>
        </w:rPr>
        <w:t>Shared claim-specific concepts:</w:t>
      </w:r>
      <w:r>
        <w:t xml:space="preserve"> pm2, use, two; EU scope not established. This is a provisional connection, not an outcome finding.</w:t>
      </w:r>
    </w:p>
    <w:p>
      <w:pPr>
        <w:pStyle w:val="SourceNote"/>
      </w:pPr>
      <w:r>
        <w:rPr>
          <w:b/>
        </w:rPr>
        <w:t>Available abstract (not full text):</w:t>
      </w:r>
      <w:r>
        <w:t xml:space="preserve">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pPr/>
      <w:r>
        <w:rPr>
          <w:b/>
        </w:rPr>
        <w:t>POSSIBLE 2025:</w:t>
      </w:r>
      <w:r>
        <w:t xml:space="preserve"> Long-term exposure to PM2·5 constituents and incident cancer among Medicare beneficiaries in the USA: a national cohort study — https://doi.org/10.1016/j.lanplh.2025.101334</w:t>
      </w:r>
    </w:p>
    <w:p>
      <w:pPr/>
      <w:r>
        <w:rPr>
          <w:b/>
        </w:rPr>
        <w:t>Shared claim-specific concepts:</w:t>
      </w:r>
      <w:r>
        <w:t xml:space="preserve"> concentrations, pm2, increase; EU scope not established. This is a provisional connection, not an outcome finding.</w:t>
      </w:r>
    </w:p>
    <w:p>
      <w:pPr>
        <w:pStyle w:val="SourceNote"/>
      </w:pPr>
      <w:r>
        <w:rPr>
          <w:b/>
        </w:rPr>
        <w:t>Available abstract (not full text):</w:t>
      </w:r>
      <w:r>
        <w:t xml:space="preserve"> Background The health burden from cancer has markedly increased over the past 20 years. Total PM 2·5 has been identified as an environmental risk factor for cancer. However, how each constituent of PM 2·5 contributes to the development of cancer is largely unknown. We aimed to investigate the association between 15 PM 2·5 constituents, sources of PM 2·5 , and the incidence of five common cancers among adults aged 65 years and older in the USA. Methods For this national cohort study, we included beneficiaries of Medicare in the USA, aged 65 or older, who were followed for various time periods between Jan 1, 2000, and Dec 31, 2018. The concentrations of 15 PM 2·5 constituents in the contiguous USA were estimated using ensemble machine learning models, and the sources of PM 2·5 were identified from the PM 2·5 constituent data using non-negative matrix factorisation. The outcomes were incident lung, colorectal, prostate, breast, and endometrial cancers, for which information was extracted from the Medicare Chronic Conditions Data Warehouse database. Associations between PM 2·5 constituents and the outcomes were investigated using a generalised weighted-quantile sum regression model with the Cox-approximate Poisson method, and associations between PM 2·5 sources and outcomes were investigated using Cox-approximate Poisson regression models. Findings 15 138 652 Medicare beneficiaries</w:t>
      </w:r>
    </w:p>
    <w:p>
      <w:pPr/>
      <w:r>
        <w:rPr>
          <w:b/>
        </w:rPr>
        <w:t>POSSIBLE 2025:</w:t>
      </w:r>
      <w:r>
        <w:t xml:space="preserve"> Nearby Sites Show Similar Upwind Sources and Differing Semivolatile Concentrations in Coastal Aerosol Particles — https://doi.org/10.1021/acsestair.5c00191</w:t>
      </w:r>
    </w:p>
    <w:p>
      <w:pPr/>
      <w:r>
        <w:rPr>
          <w:b/>
        </w:rPr>
        <w:t>Shared claim-specific concepts:</w:t>
      </w:r>
      <w:r>
        <w:t xml:space="preserve"> concentrations, show, two; EU scope not established. This is a provisional connection, not an outcome finding.</w:t>
      </w:r>
    </w:p>
    <w:p>
      <w:pPr>
        <w:pStyle w:val="SourceNote"/>
      </w:pPr>
      <w:r>
        <w:rPr>
          <w:b/>
        </w:rPr>
        <w:t>Available abstract (not full text):</w:t>
      </w:r>
      <w:r>
        <w:t xml:space="preserve"> High Resolution Image Download MS PowerPoint Slide The Eastern Pacific Cloud Aerosol Precipitation Experiment (EPCAPE) characterized aerosol composition using measurements at two sites within 3 km (Scripps Pier and Mt. Soledad) from 15 February 2023 to 14 February 2024. Comparing the two sites shows the strong influence of upwind sources that results in similar monthly compositions at both sites. The seasonal changes in chemical mass concentrations were largely driven by the upwind source regions, with coastal northwesterly back-trajectories occurring 63–65% of the year and bringing submicrometer mass concentrations that were lower than the EPCAPE average for all trajectories at each site. In contrast, refractory black carbon (rBC) and nonrefractory (NR)-organics and nitrate mass concentrations exceeded EPCAPE average concentrations for back-trajectories from urban areas such as Los Angeles-Long Beach. For hourly measurements, NR-organics and non-sea-salt (NSS)-sulfate mass concentrations at Mt. Soledad were correlated strongly ( r = 0.73–0.82) to those measured at Scripps Pier, but NR-nitrate was correlated only moderately ( r = 0.63). The explanation for the lower correlation of NR-nitrate is both emissions between the sites and semivolatility, with semivolatility accounting for site-to-site changes in daily averages of +0.01 μg m –3 per percentage site-to-site difference in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concentrations, pm2, not,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Quality of indoor air in educational institutions and adverse public health in Europe: A scoping review — https://doi.org/10.29333/ejgm/15962</w:t>
      </w:r>
    </w:p>
    <w:p>
      <w:pPr/>
      <w:r>
        <w:rPr>
          <w:b/>
        </w:rPr>
        <w:t>Shared claim-specific concepts:</w:t>
      </w:r>
      <w:r>
        <w:t xml:space="preserve"> show, use; EU scope visible. This is a provisional connection, not an outcome finding.</w:t>
      </w:r>
    </w:p>
    <w:p>
      <w:pPr>
        <w:pStyle w:val="SourceNote"/>
      </w:pPr>
      <w:r>
        <w:rPr>
          <w:b/>
        </w:rPr>
        <w:t>Available abstract (not full text):</w:t>
      </w:r>
      <w:r>
        <w:t xml:space="preserve"> Indoor air quality (IAQ) at educational institutions has emerged as an important public health issue, affecting the health and cognitive performance of school-aged children, students, and faculty alike. This scoping review study seeks to investigate and synthesize current literature on the factors influencing the current state of research on indoor air quality in educational institutions, as well as its implications for public health. The technique thoroughly investigated peer-reviewed journals, international organizations, and government reports, as well as case studies on IAQ in educational contexts. Using keywords such as "indoor air quality," "educational institutions," "public health," '' Europe, '' and "adverse health outcomes," the study's inclusion and exclusion criteria, as well as the criteria use of quality assessments. The results show that low IAQ is connected with a variety of public health issues, including health difficulties and cognitive impairments, particularly in vulnerable populations such as children and teachers. Inadequate ventilation, the presence of volatile organic compounds, mold growth, and external contaminants are all common causes of poor indoor air quality. Monitoring and management measures are required to improve IAQ in schools, encouraging student's health and academic performance, as well as policy implications of the importance of interdis</w:t>
      </w:r>
    </w:p>
    <w:p>
      <w:pPr/>
      <w:r>
        <w:rPr>
          <w:b/>
        </w:rPr>
        <w:t>POSSIBLE 2025:</w:t>
      </w:r>
      <w:r>
        <w:t xml:space="preserve"> Temporal and Spatial Variations of Nitrogen Dioxide Concentrations in Kolkata, India — https://doi.org/10.5194/isprs-annals-x-g-2025-855-2025</w:t>
      </w:r>
    </w:p>
    <w:p>
      <w:pPr/>
      <w:r>
        <w:rPr>
          <w:b/>
        </w:rPr>
        <w:t>Shared claim-specific concepts:</w:t>
      </w:r>
      <w:r>
        <w:t xml:space="preserve"> concentrations, show, significant; EU scope not established. This is a provisional connection, not an outcome finding.</w:t>
      </w:r>
    </w:p>
    <w:p>
      <w:pPr>
        <w:pStyle w:val="SourceNote"/>
      </w:pPr>
      <w:r>
        <w:rPr>
          <w:b/>
        </w:rPr>
        <w:t>Available abstract (not full text):</w:t>
      </w:r>
      <w:r>
        <w:t xml:space="preserve"> Abstract. Air pollution is a primary environmental concern in urban areas. This study examines the temporal and spatial variations in nitrogen dioxide (NO2) concentrations in Kolkata from 2019 to 2023 using Sentinel-5P satellite data. The application of statistical techniques, including Global Moran's I and Fast Fourier Transform (FFT), highlights changes in NO2 spatial distribution and identifies dominant periodicities. Yearly analysis reveals notable fluctuations in NO2 levels, with a significant decline of approximately 9.1% between 2019 and 2020, attributed to reduced vehicular and industrial activities during the COVID-19 lockdown. However, by 2023, NO2 concentrations had returned to pre-pandemic levels attributed to the resumption of economic activities. Spatial analysis reveals higher NO2 concentrations in central built-up areas, including Ballygunge, Bhowanipore, and Park Street. At the same time, peripheral regions such as Metiabruz and Behala show lower levels, likely due to vegetated areas. Global Correspondence values indicate significant shifts in NO2 distribution patterns over the study period. The pattern shifted during the COVID-19 pandemic but stabilized by 2023, aligning with pre-pandemic emission levels, but the monthly pattern was preserved. The FFT analysis reveals a dominant annual cycle with a frequency of 0.0833 cycles per month (12-month period) and an </w:t>
      </w:r>
    </w:p>
    <w:p>
      <w:pPr/>
      <w:r>
        <w:rPr>
          <w:b/>
        </w:rPr>
        <w:t>POSSIBLE 2025:</w:t>
      </w:r>
      <w:r>
        <w:t xml:space="preserve"> Transboundary emission contribution to PM2.5 concentrations in Indian cities — https://doi.org/10.1088/1748-9326/adc147</w:t>
      </w:r>
    </w:p>
    <w:p>
      <w:pPr/>
      <w:r>
        <w:rPr>
          <w:b/>
        </w:rPr>
        <w:t>Shared claim-specific concepts:</w:t>
      </w:r>
      <w:r>
        <w:t xml:space="preserve"> concentrations, pm2, not, significant, biomass, burning; EU scope not established. This is a provisional connection, not an outcome finding.</w:t>
      </w:r>
    </w:p>
    <w:p>
      <w:pPr>
        <w:pStyle w:val="SourceNote"/>
      </w:pPr>
      <w:r>
        <w:rPr>
          <w:b/>
        </w:rPr>
        <w:t>Available abstract (not full text):</w:t>
      </w:r>
      <w:r>
        <w:t xml:space="preserve"> Abstract Targeting urban air quality improvements in India, the National Clean Air Program (NCAP) was launched in 2019 to reduce PM2.5 concentrations by 20%–30% in 122 initial cities over a 7 year period (2017–2024). However, considering the regional nature of air pollution nationwide and the significant emission load from rural areas, a potentially large fraction of urban PM2.5 might originate from emissions outside of a city’s boundary, i.e. transboundary emissions. Here, we couple top-down (STILT-PM2.5) and bottom-up (WRF-Chem) modeling approaches with a new, nationwide, monthly-resolved, and fine-scale (5 km × 5 km) anthropogenic emission inventory to assess the impact of transboundary emissions to urban PM2.5 concentrations across 143 cities (122 NCAP and 67 million plus -cities with population &gt;1 million, among which 46 cities are also NCAP cities). We find that, on average, ∼85% (STILT-PM2.5: 82% [95% CI: 80–85%; IQR: 77%–94%] &amp; WRF-Chem: 89% [95% CI: 87%–91%; IQR: 88%–96%]) of urban PM2.5 across the 143 cities originates from transboundary emissions, with domestic biomass burning (32%), energy generation (16%) and industry (15%) being the leading average emission sources to the transboundary contribution. In addition, 107 of the 122 NCAP cities from both modeling approaches have annual transboundary PM2.5 contributions exceeding 80%, indicating that an entire mitigation</w:t>
      </w:r>
    </w:p>
    <w:p>
      <w:pPr/>
      <w:r>
        <w:rPr>
          <w:b/>
        </w:rPr>
        <w:t>POSSIBLE 2025:</w:t>
      </w:r>
      <w:r>
        <w:t xml:space="preserve"> Europe will struggle to meet the new WHO Air Quality Guidelines — https://doi.org/10.1038/s44407-025-00013-w</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Abstract The World Health Organization (WHO) updated its Global Air Quality Guidelines in 2021 due to growing evidence on adverse health impacts of air pollution even at low concentrations. We used a suite of regional atmospheric chemistry models to simulate fine particulate matter (PM2.5) and ozone (O3) levels over Europe in 2015–2050 and assessed the compliance of European countries with the new guidelines under different emission scenarios. The results show that 65% of the EU countries will comply with the PM2.5 target value (5 µg m−3) by 2050 under ambitious emission reductions (SSP1-2.6). Under less ambitious mitigation scenarios (SSP2-4.5 and SSP3-7.0), the compliance level is only 10%. In addition, none of the EU countries will comply with the O3 target value (60 µg m−3), while interim values are achieved in most of the EU countries, partly under SSP2-4.5, and to a large extent under SSP1-2.6. These results highlight that reaching the new WHO limit values will be challenging for Europe, partly due to natural contribution to PM2.5 reaching up to 50% in some regions. Our findings imply the necessity of more drastic emission reductions to meet the targets.</w:t>
      </w:r>
    </w:p>
    <w:p>
      <w:pPr/>
      <w:r>
        <w:rPr>
          <w:b/>
        </w:rPr>
        <w:t>POSSIBLE 2025:</w:t>
      </w:r>
      <w:r>
        <w:t xml:space="preserve"> A framework for scalable ambient air pollution concentration estimation — https://doi.org/10.1017/eds.2025.9</w:t>
      </w:r>
    </w:p>
    <w:p>
      <w:pPr/>
      <w:r>
        <w:rPr>
          <w:b/>
        </w:rPr>
        <w:t>Shared claim-specific concepts:</w:t>
      </w:r>
      <w:r>
        <w:t xml:space="preserve"> concentrations, pm2, used, range; EU scope not established. This is a provisional connection, not an outcome finding.</w:t>
      </w:r>
    </w:p>
    <w:p>
      <w:pPr>
        <w:pStyle w:val="SourceNote"/>
      </w:pPr>
      <w:r>
        <w:rPr>
          <w:b/>
        </w:rPr>
        <w:t>Available abstract (not full text):</w:t>
      </w:r>
      <w:r>
        <w:t xml:space="preserve"> Abstract Ambient air pollution remains a global challenge, with adverse impacts on health and the environment. Addressing air pollution requires reliable data on pollutant concentrations, which form the foundation for interventions aimed at improving air quality. However, in many regions, including the United Kingdom, air pollution monitoring networks are characterized by spatial sparsity, heterogeneous placement, and frequent temporal data gaps, often due to issues such as power outages. We introduce a scalable data-driven supervised machine learning model framework designed to address temporal and spatial data gaps by filling missing measurements within the United Kingdom. The machine learning framework used is LightGBM, a gradient boosting algorithm based on decision trees, for efficient and scalable modeling. This approach provides a comprehensive dataset for England throughout 2018 at a 1 km2 hourly resolution. Leveraging machine learning techniques and real-world data from the sparsely distributed monitoring stations, we generate 355,827 synthetic monitoring stations across the study area. Validation was conducted to assess the model’s performance in forecasting, estimating missing locations, and capturing peak concentrations. The resulting dataset is of particular interest to a diverse range of stakeholders engaged in downstream assessments supported by outdoor air pollu</w:t>
      </w:r>
    </w:p>
    <w:p>
      <w:pPr>
        <w:pStyle w:val="Heading2"/>
      </w:pPr>
      <w:r>
        <w:t>785. Renewable and Sustainable Energy Transitions for Countries with Different Climates and Renewable Energy Sources Potentials</w:t>
      </w:r>
    </w:p>
    <w:p>
      <w:pPr>
        <w:pStyle w:val="SourceNote"/>
      </w:pPr>
      <w:r>
        <w:rPr>
          <w:b/>
        </w:rPr>
        <w:t>Original source (2018):</w:t>
      </w:r>
      <w:r>
        <w:t xml:space="preserve"> https://doi.org/10.3390/en11123523</w:t>
      </w:r>
    </w:p>
    <w:p>
      <w:pPr/>
      <w:r>
        <w:t>Original wording (abstract; indexed_source_text_not_full_document_verified): The outcomes of the new scenarios support the future national plans, showing how decarburization in an energy system can occur in relation to the European Roadmap 2030 and 2050.</w:t>
      </w:r>
    </w:p>
    <w:p>
      <w:pPr/>
      <w:r>
        <w:rPr>
          <w:b/>
        </w:rPr>
        <w:t>POSSIBLE 2026:</w:t>
      </w:r>
      <w:r>
        <w:t xml:space="preserve"> NDICI – Global Europe as a new architecture of the European Union’s financial assistance — https://doi.org/10.17721/2524-048x.2026.34.10</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The relevance of this study is determined by the need for a historical and analytical understanding of the transformation of the European Union’s external financing system in the early 21st century, taking place amid global political changes and the russian federation’s war against Ukraine. In this context, particular attention is given to the Neighbourhood, Development and International Cooperation Instrument – Global Europe (NDICI–GE) as a stage in the evolution of the EU’s financial mechanisms and as part of the broader process of institutional development in European integration. The aim of the article is a historical and analytical study of the prerequisites for the formation, institutional and legal design, and practical implementation of NDICI–GE in the context of the evolution of the EU’s external assistance system. The methodological framework is based on the principles of historicism, systematization, and scientific objectivity. The historical-comparative method was used to reconstruct the stages of the development of EU financial instruments, the problem-chronological approach to highlight the sequence of their transformation, and the source analysis method to examine EU legal acts and official documents. The scientific novelty lies in a comprehensive historical and analytical understanding of NDICI–GE as a consistent stage in the institutional evolution of the EU’s </w:t>
      </w:r>
    </w:p>
    <w:p>
      <w:pPr/>
      <w:r>
        <w:rPr>
          <w:b/>
        </w:rPr>
        <w:t>POSSIBLE 2026:</w:t>
      </w:r>
      <w:r>
        <w:t xml:space="preserve"> Heat Roadmap Europe: Spatial assessment of district heating potential for strategic planning in Europe — https://doi.org/10.54337/ijsepm.11215</w:t>
      </w:r>
    </w:p>
    <w:p>
      <w:pPr/>
      <w:r>
        <w:rPr>
          <w:b/>
        </w:rPr>
        <w:t>Shared claim-specific concepts:</w:t>
      </w:r>
      <w:r>
        <w:t xml:space="preserve"> support, energy, roadmap; EU scope visible. This is a provisional connection, not an outcome finding.</w:t>
      </w:r>
    </w:p>
    <w:p>
      <w:pPr>
        <w:pStyle w:val="SourceNote"/>
      </w:pPr>
      <w:r>
        <w:rPr>
          <w:b/>
        </w:rPr>
        <w:t>Available abstract (not full text):</w:t>
      </w:r>
      <w:r>
        <w:t xml:space="preserve"> Heating is one of Europe’s most energy-intensive sectors. District heating (DH) offers a key pathway to decarbonisation by integrating renewable energy (RE) and excess heat (EH) and reducing fossil fuel dependency. However, as heat demand and supply vary geographically, planning DH expansion requires understanding the spatial variability of heat demand, resources and cost-effectiveness of the systems. This study presents a geospatial analysis of DH potential, combining RE/EH resources and investment costs to model the distribution and economic feasibility of DH systems. Key contributions include a harmonised assessment of DH potential across European Union countries, a prioritisation framework that identifies the most cost-effective locations for DH, and an analysis of regional differences in heat market share. These insights are supported by high-resolution mapping that highlights strategic priority regions at the NUTS 2 level. The study also improves the accuracy of the Pan-European Heat Atlas, making it available as an open-access dataset and tool. The results identify regional variations in DH potential and RE/EH availability, highlighting local opportunities for efficient deployment. These findings support policymakers, regional planners and researchers in designing strategies to accelerate DH deployment toward a 55% DH market share across Europe.</w:t>
      </w:r>
    </w:p>
    <w:p>
      <w:pPr/>
      <w:r>
        <w:rPr>
          <w:b/>
        </w:rPr>
        <w:t>POSSIBLE 2026:</w:t>
      </w:r>
      <w:r>
        <w:t xml:space="preserve"> Electoral outcomes of party families across regional development types in Europe — https://doi.org/10.5194/gh-81-435-2026</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The interplay between regional disparities and electoral outcomes is central to understanding political dynamics in Europe. In debates on the “geography of discontent”, radical-right party support is often linked to so-called left-behind regions. This study broadens that perspective by examining the electoral support of multiple party families across different region types in 22 European countries. The analysis combines regional socio-demographic indicators with the most recent national election results available up to March 2025. First, a k -means cluster analysis identifies six region types by grouping regions according to socioeconomic profiles. Second, comparisons of weighted vote shares across these region types provide insights into the main strongholds of each party family. The findings show systematic electoral differences across region types. Green and radical-left parties receive the strongest support in urban clusters. Social-democratic parties are strongest in rural, disadvantaged regions and weakest in industrial ones, while conservative parties peak in industrial regions and underperform in deindustrialized metropolises. Radical-right parties are most successful in structurally disadvantaged regions and in growing industrial regions. Overall, the study highlights the value of regional typologies for understanding electoral patterns, offering a broader perspective </w:t>
      </w:r>
    </w:p>
    <w:p>
      <w:pPr/>
      <w:r>
        <w:rPr>
          <w:b/>
        </w:rPr>
        <w:t>POSSIBLE 2026:</w:t>
      </w:r>
      <w:r>
        <w:t xml:space="preserve"> Public support for the film industry in Europe: Comparing policy rationales, funding models and outcomes — https://openalex.org/W7159751922</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This thesis studies public subsidies in general and in the film industry by examining their purposes, structural differences and evaluation practices across five different European countries. The countries included in this study are Finland, Sweden, Denmark, Estonia and Ireland. The research was conducted through secondary research, which relied on data from policy documents, national film institute’s reports and databases. The results of this study indicate that public support for the film sector is driven by a combination of policy goals. Traditionally, the Nordics, subsidies are closely linked to cultural policy objectives, whereas for example in Estonia and Ireland have a greater emphasis on economic considerations. Furthermore, evaluation practices of different funding systems differ, as incentive-based systems rely more on measurable indicators, but grant-based systems focus on broader policy objectives. However, a recent development is that more countries are moving towards a hybrid model, which combines both grant-based and incentive-based systems. Lastly, one finding also suggests that higher public funding does not necessarily lead to stronger domestic market share.</w:t>
      </w:r>
    </w:p>
    <w:p>
      <w:pPr/>
      <w:r>
        <w:rPr>
          <w:b/>
        </w:rPr>
        <w:t>POSSIBLE 2026:</w:t>
      </w:r>
      <w:r>
        <w:t xml:space="preserve"> Current availability and status of paediatric cardiac transplantation and mechanical circulatory support in twenty-eight European countries — https://doi.org/10.1007/s00431-026-06927-1</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We sought to investigate the inter- and intra-country variation in paediatric heart transplantation (HTx) and mechanical circulatory support (MCS) availability and practice in Europe. Data was obtained through a survey circulated to paediatric transplant cardiologists identified through the Association of European Paediatric and Congenital Cardiology between November 2022 and March 2023. Twenty-eight respondents from twenty-eight European countries completed the survey. Twenty-four (86%) had paediatric and 25 (89%) had adult congenital HTx services. National paediatric HTx centre density ranged from 0.00 to 5.35 per 10 million inhabitants. Eighteen (64%) countries followed either Eurotransplant or Scandiatransplant protocols for organ allocation and 59% of the surveyed countries had low HTx volumes (&lt; 4 paediatric HTx annually), based on the self-reported numbers. A ventricular assist device (VAD) programme was operational in 22 (79%) countries. In only 9 countries (38%), there were dedicated resources for HTx as part of the hospital budget; however, a vast majority (77%) reported that families suffered no cost when a VAD was utilised. Twenty-one countries (78%) reported limited intensive care unit beds and 14 (54%) reported that HTx impacted on congenital heart surgery cases. Only 12 of 27 countries (44%) had a standardised national protocol for post-HTx care. There was no cor</w:t>
      </w:r>
    </w:p>
    <w:p>
      <w:pPr/>
      <w:r>
        <w:rPr>
          <w:b/>
        </w:rPr>
        <w:t>POSSIBLE 2026:</w:t>
      </w:r>
      <w:r>
        <w:t xml:space="preserve"> Critical Comments by the European Medicines Agency on Patient-Reported Outcomes in Regulatory Submissions (2020 to 2023) — https://doi.org/10.1016/j.jval.2026.04.017</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OBJECTIVES: Inclusion of patient-reported outcome (PRO) data in Summaries of Product Characteristics (SmPCs) and package leaflets published by the European Medicines Agency (EMA) is critical to communicate patient-reported value of new medicines. This study aimed to identify key issues in the incorporation and interpretation of PROs in clinical trials that may hinder approval of PRO-related language in SmPCs/package leaflets. METHODS: Indications of new medicines recommended for approval by the EMA between 2020 and 2023 were identified. The Public Assessment Reports, SmPCs, and package leaflets were systematically reviewed. Information pertaining to inclusion of PROs in confirmatory trial(s) and PRO-related reviewer comments were extracted and categorized. RESULTS: Of 167 indications examined, 58 (35%) included PRO-related statements of treatment effect in the SmPC/package leaflet. Critical comments by EMA reviewers focused on study design and PRO data robustness, concerns about statistical analysis, data quality, and PRO measure appropriateness. Such critiques did not always lead to exclusion of PROs from the SmPC, particularly when PRO endpoints were multiplicity-controlled. PRO data collected in unblinded trials-sometimes unavoidable-were often deemed acceptable if multiplicity-controlled. CONCLUSIONS: Review findings emphasize that thoughtful selection of PRO measures, thei</w:t>
      </w:r>
    </w:p>
    <w:p>
      <w:pPr/>
      <w:r>
        <w:rPr>
          <w:b/>
        </w:rPr>
        <w:t>POSSIBLE 2026:</w:t>
      </w:r>
      <w:r>
        <w:t xml:space="preserve"> The role of Tiktok in shaping political outcomes during the 2024 European Parliament elections in Bulgaria — https://doi.org/10.20901/an.23.03</w:t>
      </w:r>
    </w:p>
    <w:p>
      <w:pPr/>
      <w:r>
        <w:rPr>
          <w:b/>
        </w:rPr>
        <w:t>Shared claim-specific concepts:</w:t>
      </w:r>
      <w:r>
        <w:t xml:space="preserve"> outcomes, support, system; EU scope visible. This is a provisional connection, not an outcome finding.</w:t>
      </w:r>
    </w:p>
    <w:p>
      <w:pPr>
        <w:pStyle w:val="SourceNote"/>
      </w:pPr>
      <w:r>
        <w:rPr>
          <w:b/>
        </w:rPr>
        <w:t>Available abstract (not full text):</w:t>
      </w:r>
      <w:r>
        <w:t xml:space="preserve"> This article examines the role of TikTok in shaping political visibility and electoral competition during the 2024 European Parliament elections in Bulgaria. The study asks whether TikTok functions as a neutral campaign tool or whether its architecture structurally advantages particular types of political actors, especially populist and anti-establishment movements. Drawing on data collected within the CO3 research project, including over 40 hours of platform observation and 1,700+ recorded videos, the analysis explores patterns of content dissemination, user engagement, and narrative framing. The findings suggest that TikTok’s algorithm prioritizes emotionally charged, personalized, and simplified content, which alignsclosely with populist communication styles. As a result, outsider political actors can achieve high levels of visibility and rapidly build political relevance. The Bulgarian case demonstrates how TikTok facilitates the emergence of new political actors such as Velichie and MECH, which leveraged the platform to mobilize support despite minimal mainstream media presence. At the same time, the study highlights the limits of platform influence: TikTok does not directly determine electoral outcomes, and its effects are mediated by broader socio-political dynamics, including voter disengagement and party system volatility. Overall, the article argues that TikTok reshap</w:t>
      </w:r>
    </w:p>
    <w:p>
      <w:pPr/>
      <w:r>
        <w:rPr>
          <w:b/>
        </w:rPr>
        <w:t>POSSIBLE 2025:</w:t>
      </w:r>
      <w:r>
        <w:t xml:space="preserve"> Using codesign to support the implementation of a midwifery unit in Europe — https://doi.org/10.1016/j.midw.2025.104503</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What is the evidence behind new I-A and III-A recommendations in European Society of Cardiology guidelines? — https://doi.org/10.1093/eurheartj/ehaf784.4600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Abstract Background European Society of Cardiology (ESC) guidelines divide recommendations into various classes and Levels of Evidence (LOE) to convey their overall strength to readers. In ESC guidelines, Class I or III recommendations with LOE A represent strong recommendations (either for benefit, lack of efficacy, or harm) on the basis of multiple randomized controlled trials (RCTs) or a meta-analysis of RCTs. Previous work has examined the evidence base supporting ESC recommendations, suggesting a relatively low proportion of Class I recommendations supported by LOE A (I-A) and Class III recommendations supported by LOE A (III-A). In this cross-sectional, meta-epidemiological study, we examined the evidence cited in support of new I-A and III-A recommendations to quantify the strength of the cited evidence. Methods We identified all current ESC guidelines through the ESC website, from which new Class I and III recommendations supported by LOE A were extracted. We then identified the studies cited to support each recommendation. Next, we determined whether there was a clear outcome indicated in the recommendation, and matched this to the cited studies. If no clear outcome was specified, we searched studies for the outcome that appeared most relevant for the recommendation. If there were multiple possible outcomes, we prioritized primary over secondary outcomes, more objectiv</w:t>
      </w:r>
    </w:p>
    <w:p>
      <w:pPr/>
      <w:r>
        <w:rPr>
          <w:b/>
        </w:rPr>
        <w:t>POSSIBLE 2025:</w:t>
      </w:r>
      <w:r>
        <w:t xml:space="preserve"> Gender equality plans and institutional change: pathways for substantial and sustainable outcomes — https://openalex.org/W7132644943</w:t>
      </w:r>
    </w:p>
    <w:p>
      <w:pPr/>
      <w:r>
        <w:rPr>
          <w:b/>
        </w:rPr>
        <w:t>Shared claim-specific concepts:</w:t>
      </w:r>
      <w:r>
        <w:t xml:space="preserve"> outcomes, support, national, plans; EU scope visible. This is a provisional connection, not an outcome finding.</w:t>
      </w:r>
    </w:p>
    <w:p>
      <w:pPr>
        <w:pStyle w:val="SourceNote"/>
      </w:pPr>
      <w:r>
        <w:rPr>
          <w:b/>
        </w:rPr>
        <w:t>Available abstract (not full text):</w:t>
      </w:r>
      <w:r>
        <w:t xml:space="preserve"> In recent decades, the structural change approach has become central to addressing gender inequality in European Research and Innovation (R&amp;I) policies. Through FP7 and Horizon 2020, the European Commission funded Gender Equality Plans (GEPs) in Research Performing and Funding Organisations. More recently, under Horizon Europe (2021-2027), GEPs have become mandatory for institutions seeking funding. Despite these efforts, progress in achieving gender equality remains uneven and slow, as noted in reports such as She Figures 2021 and scholarly analyses. This thesis explores barriers and opportunities to progress by analysing institutional change as a process, examining whether there is a shared understanding of the goal among stakeholders, identifying facilitators and barriers to GEP implementation, and evaluating factors affecting the sustainability of institutional changes in the long haul. Grounded in gender studies, organisational studies, and political science theories, particularly Feminist Institutionalism (FI), it explores the interplay of formal and informal rules, structure and agency dynamics, and the role of power, resistance, and strategic actions in institutional transformation. The research centres on the GEARING-Roles project, a Horizon 2020-funded initiative implementing GEPs in six European academic institutions, and includes additional data from other FP7 and H</w:t>
      </w:r>
    </w:p>
    <w:p>
      <w:pPr/>
      <w:r>
        <w:rPr>
          <w:b/>
        </w:rPr>
        <w:t>POSSIBLE 2025:</w:t>
      </w:r>
      <w:r>
        <w:t xml:space="preserve"> Hippocampal-entorhinal cognitive maps and cortical motor system represent action plans and their outcomes — https://doi.org/10.1038/s41467-025-59153-y</w:t>
      </w:r>
    </w:p>
    <w:p>
      <w:pPr/>
      <w:r>
        <w:rPr>
          <w:b/>
        </w:rPr>
        <w:t>Shared claim-specific concepts:</w:t>
      </w:r>
      <w:r>
        <w:t xml:space="preserve"> outcomes, plans, showing, system; EU scope not established. This is a provisional connection, not an outcome finding.</w:t>
      </w:r>
    </w:p>
    <w:p>
      <w:pPr>
        <w:pStyle w:val="SourceNote"/>
      </w:pPr>
      <w:r>
        <w:rPr>
          <w:b/>
        </w:rPr>
        <w:t>Available abstract (not full text):</w:t>
      </w:r>
      <w:r>
        <w:t xml:space="preserve"> Efficiently interacting with the environment requires weighing and selecting among multiple alternative actions based on their associated outcomes. However, the neural mechanisms underlying these processes are still debated. We show that forming relations between arbitrary action-outcome associations involve building a cognitive map. Using an immersive virtual reality paradigm, participants learned 2D abstract motor action-outcome associations and later compared action combinations while their brain activity was monitored with fMRI. We observe a hexadirectional modulation of the activity in entorhinal cortex while participants compared different action plans. Furthermore, hippocampal activity scales with the 2D similarity between outcomes of these action plans. Conversely, the supplementary motor area represents individual actions, showing a stronger response to overlapping action plans. Crucially, the connectivity between hippocampus and supplementary motor area is modulated by the similarity between the action plans, suggesting their complementary roles in action evaluation. These findings provide evidence for the role of cognitive maps in action selection, challenging classical models of memory taxonomy and its neural bases.</w:t>
      </w:r>
    </w:p>
    <w:p>
      <w:pPr/>
      <w:r>
        <w:rPr>
          <w:b/>
        </w:rPr>
        <w:t>POSSIBLE 2025:</w:t>
      </w:r>
      <w:r>
        <w:t xml:space="preserve"> Models for Supporting Digital Sustainability Key Performance Indicators (KPIs) in European FinTech and Payments — https://doi.org/10.61440/jesar.2025.v3.64</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European enterprises are under increasing pressure to align digital innovation with sustainability goals, yet the financial technology (FinTech) and payments sector has lagged in embedding environmental, social, and governance (ESG) criteria into its core metrics (redbridgedta.com). This conceptual paper introduces the notion of a technology-enabled ESG integration loop (the “ESG-Tech Loop”) as a framework for digital sustainability KPIs – key performance indicators that measure sustainability outcomes within digital payment systems and FinTech platforms. Grounded in sustainable innovation theory, digital finance research, and emerging ESG frameworks, the paper develops a model illustrating how ESG data and technology-driven processes can form a continuous improvement cycle supporting sustainability objectives. The model delineates three dimensions – environmental, social, and governance – each capturing how digital payment innovations can incorporate and advance specific sustainability metrics. For example, European case initiatives like carbon-tracking payment cards and inclusive digital banking services demonstrate the model’s real-world relevance (thalesgroup.comredbridgedta.com). The paper articulates key drivers (e.g. regulatory mandates, stakeholder demand) and challenges (e.g. data transparency, cultural change) influencing ESG-Tech integration, and it outlines expected</w:t>
      </w:r>
    </w:p>
    <w:p>
      <w:pPr>
        <w:pStyle w:val="Heading2"/>
      </w:pPr>
      <w:r>
        <w:t>786. Renewable jet fuel supply scenarios in the European Union in 2021–2030 in the context of proposed biofuel policy and competing biomass demand</w:t>
      </w:r>
    </w:p>
    <w:p>
      <w:pPr>
        <w:pStyle w:val="SourceNote"/>
      </w:pPr>
      <w:r>
        <w:rPr>
          <w:b/>
        </w:rPr>
        <w:t>Original source (2018):</w:t>
      </w:r>
      <w:r>
        <w:t xml:space="preserve"> https://doi.org/10.1111/gcbb.12525</w:t>
      </w:r>
    </w:p>
    <w:p>
      <w:pPr/>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POSSIBLE 2026:</w:t>
      </w:r>
      <w:r>
        <w:t xml:space="preserve"> Nonfood Geographical Indications as Collective Sustainability Strategies: Governance as a Strategic Capability for Territorial Competitive Advantage — https://doi.org/10.1002/bse.71040</w:t>
      </w:r>
    </w:p>
    <w:p>
      <w:pPr/>
      <w:r>
        <w:rPr>
          <w:b/>
        </w:rPr>
        <w:t>Shared claim-specific concepts:</w:t>
      </w:r>
      <w:r>
        <w:t xml:space="preserve"> nonfood, abstract, based; EU scope not established. This is a provisional connection, not an outcome finding.</w:t>
      </w:r>
    </w:p>
    <w:p>
      <w:pPr>
        <w:pStyle w:val="SourceNote"/>
      </w:pPr>
      <w:r>
        <w:rPr>
          <w:b/>
        </w:rPr>
        <w:t>Available abstract (not full text):</w:t>
      </w:r>
      <w:r>
        <w:t xml:space="preserve">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pPr/>
      <w:r>
        <w:rPr>
          <w:b/>
        </w:rPr>
        <w:t>POSSIBLE 2026:</w:t>
      </w:r>
      <w:r>
        <w:t xml:space="preserve"> Optimizing biomass use for carbon storage and land use with the OptiBiU model — https://doi.org/10.1002/bbb.70123</w:t>
      </w:r>
    </w:p>
    <w:p>
      <w:pPr/>
      <w:r>
        <w:rPr>
          <w:b/>
        </w:rPr>
        <w:t>Shared claim-specific concepts:</w:t>
      </w:r>
      <w:r>
        <w:t xml:space="preserve"> increase, developed, abstract; EU scope visible. This is a provisional connection, not an outcome finding.</w:t>
      </w:r>
    </w:p>
    <w:p>
      <w:pPr>
        <w:pStyle w:val="SourceNote"/>
      </w:pPr>
      <w:r>
        <w:rPr>
          <w:b/>
        </w:rPr>
        <w:t>Available abstract (not full text):</w:t>
      </w:r>
      <w:r>
        <w:t xml:space="preserve"> Abstract Optimal biomass use in a circular bioeconomy requires a system perspective to guide decision‐making. The Optimizing Biomass Use (OptiBiU) model was developed for this purpose. The model distinguishes among primary biomass production, intermediate products, and biobased products, and incorporates recycling. Soil organic matter formation is explicitly included to reflect its importance for soil fertility, biodiversity, and carbon storage. This study focused on the application of OptiBiU to the utilization of lignocellulosic biomass in the Netherlands. The results indicate potential to reduce land use and increase carbon storage while meeting current demand for biobased products. OptiBiU also generated insights into more fundamental system characteristics. It showed, on a general level, what is needed to increase carbon storage, notably long service lifetimes and effective reuse and recycling options.</w:t>
      </w:r>
    </w:p>
    <w:p>
      <w:pPr/>
      <w:r>
        <w:rPr>
          <w:b/>
        </w:rPr>
        <w:t>POSSIBLE 2026:</w:t>
      </w:r>
      <w:r>
        <w:t xml:space="preserve"> Multi-objective supply chain optimization of renewable energy carrier imports for Europe — https://doi.org/10.1016/j.apenergy.2026.127884</w:t>
      </w:r>
    </w:p>
    <w:p>
      <w:pPr/>
      <w:r>
        <w:rPr>
          <w:b/>
        </w:rPr>
        <w:t>Shared claim-specific concepts:</w:t>
      </w:r>
      <w:r>
        <w:t xml:space="preserve"> present, renewable; EU scope visible. This is a provisional connection, not an outcome finding.</w:t>
      </w:r>
    </w:p>
    <w:p>
      <w:pPr>
        <w:pStyle w:val="SourceNote"/>
      </w:pPr>
      <w:r>
        <w:rPr>
          <w:b/>
        </w:rPr>
        <w:t>Available abstract (not full text):</w:t>
      </w:r>
      <w:r>
        <w:t xml:space="preserve"> The transition toward climate neutrality requires the adoption of renewable energy carriers (RECs). Spatial disconnects between renewable energy production in resource-rich regions and its utilization in resource-deficit regions create the need for supply chains that enable long-distance transport of RECs. To ensure sustainable REC supply chains, we must prioritize affordability, low environmental impact, and supply security. We propose a multi-period, multi-objective, mixed-integer quadratic programming model to design supply chains for importing RECs, including strategic decisions on exporting regions, resource allocation, and infrastructure for production and transportation. We evaluate economic, environmental, and supply-security aspects by minimizing net present cost, greenhouse gas (GHG) emissions, and a supply-security risk approximation measured as a political-risk-weighted Herfindahl–Hirschman index. A European case study shows that, compared with a cost-optimal solution, a supply risk-optimal approach reduces the supply-security risk index by 90% but increases cost by 190%, while a GHG-optimal solution reduces emissions by 12% at an additional cost of 232%. Hence, balancing cost, emissions, and supply-security remains essential for REC import planning. Our findings inform Europe's future REC imports, supporting decision-makers in shaping robust REC partnerships and fa</w:t>
      </w:r>
    </w:p>
    <w:p>
      <w:pPr/>
      <w:r>
        <w:rPr>
          <w:b/>
        </w:rPr>
        <w:t>POSSIBLE 2026:</w:t>
      </w:r>
      <w:r>
        <w:t xml:space="preserve"> Readiness Supply Chains for Scaled Manufacturing of Hydrogen Electrolyzers in Europe for Hydrogen Mobility Applications — https://doi.org/10.7862/tiam.2026.2.6</w:t>
      </w:r>
    </w:p>
    <w:p>
      <w:pPr/>
      <w:r>
        <w:rPr>
          <w:b/>
        </w:rPr>
        <w:t>Shared claim-specific concepts:</w:t>
      </w:r>
      <w:r>
        <w:t xml:space="preserve"> increase, technologies, developed, renewable, union, based; EU scope visible. This is a provisional connection, not an outcome finding.</w:t>
      </w:r>
    </w:p>
    <w:p>
      <w:pPr>
        <w:pStyle w:val="SourceNote"/>
      </w:pPr>
      <w:r>
        <w:rPr>
          <w:b/>
        </w:rPr>
        <w:t>Available abstract (not full text):</w:t>
      </w:r>
      <w:r>
        <w:t xml:space="preserve"> Hydrogen is increasingly recognised as an important energy carrier supporting the decarbonisation of industry, transport and energy systems. The development of hydrogen mobility may significantly increase the demand for electrolysers capable of producing high-purity hydrogen at a competitive cost. However, the transition from pilot projects to industrial production requires not only technological development, but also the preparation of assembly processes and supply chains. The aim of this article is to assess the readiness of the European supply chain for scaled electrolyser production and the assembly of hydrogen production systems, with particular attention to the needs of the hydrogen mobility sector. The analysis covers four electrolyser technologies developed in Europe: AEL, PEM, AEM and SOEC. PEM technology was analysed in detail due to its ability to produce high-purity hydrogen and its suitability for integration with renewable energy sources. The study was based on desk research, including the analysis of industry reports, manufacturers’ information, scientific publications and European Union documents. The main assemblies, subassemblies and components of a PEM system were identified, and selected elements were assessed in terms of sourcing model, supplier concentration, import dependence and quality requirements. The results indicate that Europe has significant techn</w:t>
      </w:r>
    </w:p>
    <w:p>
      <w:pPr/>
      <w:r>
        <w:rPr>
          <w:b/>
        </w:rPr>
        <w:t>POSSIBLE 2026:</w:t>
      </w:r>
      <w:r>
        <w:t xml:space="preserve"> Enabling the Circular Food Economy Through Industry 4.0: A Review of Applications, Challenges, and Policies in the European Union — https://doi.org/10.1111/1541-4337.70431</w:t>
      </w:r>
    </w:p>
    <w:p>
      <w:pPr/>
      <w:r>
        <w:rPr>
          <w:b/>
        </w:rPr>
        <w:t>Shared claim-specific concepts:</w:t>
      </w:r>
      <w:r>
        <w:t xml:space="preserve"> technologies, union; EU scope visible. This is a provisional connection, not an outcome finding.</w:t>
      </w:r>
    </w:p>
    <w:p>
      <w:pPr>
        <w:pStyle w:val="SourceNote"/>
      </w:pPr>
      <w:r>
        <w:rPr>
          <w:b/>
        </w:rPr>
        <w:t>Available abstract (not full text):</w:t>
      </w:r>
      <w:r>
        <w:t xml:space="preserve"> The transition to a circular economy (CE) is a critical strategy for improving the sustainability and resilience of the global food system. Industry 4.0 (I4.0) and its associated digital technologies offer a powerful means of accelerating this transformation. This systematic review provides a comprehensive analysis of the synergy between I4.0 and the CE within the European Union's food supply chain, integrating technological applications, implementation barriers, and policy frameworks. Key I4.0 applications are reviewed across the CE hierarchy, including artificial intelligence (AI)-driven demand forecasting and precision agriculture for waste prevention, machine learning-optimized bioprocessing for valorizing by-products into food-grade ingredients, and blockchain and the Internet of Things for enhancing traceability and transparency in circular flows. However, the transition faces significant barriers. Technological challenges include a lack of interoperability and data standards. Economic hurdles involve high initial investment costs and uncertain returns on investment, particularly for small- and medium-sized enterprises (SMEs). Furthermore, managerial and organizational inertia stems from a digital skills gap and resistance to change, while social concerns relate to consumer acceptance, data privacy, and digital equity. Synthesizing these findings, this review articulates </w:t>
      </w:r>
    </w:p>
    <w:p>
      <w:pPr/>
      <w:r>
        <w:rPr>
          <w:b/>
        </w:rPr>
        <w:t>POSSIBLE 2026:</w:t>
      </w:r>
      <w:r>
        <w:t xml:space="preserve"> Biofuels, green finance, and economic expansion: empirical evidence from the European Union — https://doi.org/10.1186/s40854-025-00825-5</w:t>
      </w:r>
    </w:p>
    <w:p>
      <w:pPr/>
      <w:r>
        <w:rPr>
          <w:b/>
        </w:rPr>
        <w:t>Shared claim-specific concepts:</w:t>
      </w:r>
      <w:r>
        <w:t xml:space="preserve"> biofuel, abstract, union; EU scope visible. This is a provisional connection, not an outcome finding.</w:t>
      </w:r>
    </w:p>
    <w:p>
      <w:pPr>
        <w:pStyle w:val="SourceNote"/>
      </w:pPr>
      <w:r>
        <w:rPr>
          <w:b/>
        </w:rPr>
        <w:t>Available abstract (not full text):</w:t>
      </w:r>
      <w:r>
        <w:t xml:space="preserve"> Abstract This study examines the role of biofuel production and consumption, alongside green finance, in driving economic expansion within the European Union (EU). Employing panel data from EU countries spanning 2001–2022, the analysis follows a rigorous econometric approach. The econometric approach includes unit root tests (Im–Persaran–Shin and ADF), panel cointegration tests (Pedroni and Kao residual tests), cointegrating regressions (FMOLS and DOLS), and robustness tests (fixed effects, random effects, and systems GMM). The findings reveal that both biofuel production and consumption significantly contribute to the EU’s economic expansion, reinforcing the circular economy framework. In addition, green finance enhances biofuel consumption, further supporting economic growth. The findings also reveal that biofuel production and green finance have a more significant effect on smaller economies than on larger ones. These insights underscore the need for EU policymakers to prioritize cost-effective biofuel production and implement strategies that stimulate consumption, fostering long-term sustainable development.</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developed, present, presents;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Drivers and barriers shaping the adoption of sustainability labelling in European food supply chains: a systematic review — https://doi.org/10.1186/s40100-026-00458-x</w:t>
      </w:r>
    </w:p>
    <w:p>
      <w:pPr/>
      <w:r>
        <w:rPr>
          <w:b/>
        </w:rPr>
        <w:t>Shared claim-specific concepts:</w:t>
      </w:r>
      <w:r>
        <w:t xml:space="preserve"> abstract, based; EU scope visible. This is a provisional connection, not an outcome finding.</w:t>
      </w:r>
    </w:p>
    <w:p>
      <w:pPr>
        <w:pStyle w:val="SourceNote"/>
      </w:pPr>
      <w:r>
        <w:rPr>
          <w:b/>
        </w:rPr>
        <w:t>Available abstract (not full text):</w:t>
      </w:r>
      <w:r>
        <w:t xml:space="preserve"> Abstract Sustainability labels (SLs) have emerged as key instruments in promoting sustainable food systems by providing transparent information to consumers about the environmental and social impact of food products. While SLs can nudge companies towards sustainability, their adoption is far from straightforward. Many food producers, processors, and retailers face several obstacles—ranging from economic costs and operational complexity to regulatory uncertainty—that limit their engagement with SLs. This review has a twofold aim: first, to provide a detailed and updated overview of the SLs currently used on food products across EU countries; second, to analyze the main drivers and barriers influencing adoption of SLs from food supply chain stakeholders, with a focus on food firms and retailers. The methodology is based on the PRISMA protocol for systematic reviews. The analysis revealed a highly heterogeneous landscape with over 120 SLs currently in use, often with overlapping information. The analysis also led to the identification of six main factors driving or hindering adoption of SLs, highlighting key differences between food firms and retailers. Overall, the findings provide novel insights to inform policymakers on the harmonization of SLs, as well as to develop strategies aimed at promoting broader and more effective use of SLs in Europe, which are increasingly recognized</w:t>
      </w:r>
    </w:p>
    <w:p>
      <w:pPr/>
      <w:r>
        <w:rPr>
          <w:b/>
        </w:rPr>
        <w:t>POSSIBLE 2025:</w:t>
      </w:r>
      <w:r>
        <w:t xml:space="preserve"> Harnessing Nonfood Biomass for Biodiesel Production: Integration of Hazardous Waste Treatment into Sustainable Energy Solutions — https://doi.org/10.5772/intechopen.1011460</w:t>
      </w:r>
    </w:p>
    <w:p>
      <w:pPr/>
      <w:r>
        <w:rPr>
          <w:b/>
        </w:rPr>
        <w:t>Shared claim-specific concepts:</w:t>
      </w:r>
      <w:r>
        <w:t xml:space="preserve"> nonfood, advanced; EU scope not established. This is a provisional connection, not an outcome finding.</w:t>
      </w:r>
    </w:p>
    <w:p>
      <w:pPr>
        <w:pStyle w:val="SourceNote"/>
      </w:pPr>
      <w:r>
        <w:rPr>
          <w:b/>
        </w:rPr>
        <w:t>Available abstract (not full text):</w:t>
      </w:r>
      <w:r>
        <w:t xml:space="preserve">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Supply–demand price decoupling in European-type day-ahead electricity markets — https://doi.org/10.1016/j.ijepes.2025.110788</w:t>
      </w:r>
    </w:p>
    <w:p>
      <w:pPr/>
      <w:r>
        <w:rPr>
          <w:b/>
        </w:rPr>
        <w:t>Shared claim-specific concepts:</w:t>
      </w:r>
      <w:r>
        <w:t xml:space="preserve"> show, increase; EU scope visible. This is a provisional connection, not an outcome finding.</w:t>
      </w:r>
    </w:p>
    <w:p>
      <w:pPr>
        <w:pStyle w:val="SourceNote"/>
      </w:pPr>
      <w:r>
        <w:rPr>
          <w:b/>
        </w:rPr>
        <w:t>Available abstract (not full text):</w:t>
      </w:r>
      <w:r>
        <w:t xml:space="preserve"> In this paper, we consider the possibility of supply–demand price decoupling in European-type day-ahead electricity markets, considering also the possibility of the supply price exceeding the demand price for some periods. Using a simple market model and an illustrative example, we show that this approach can resolve the paradoxical rejection of block orders and thus potentially increase the total social welfare and surplus of bidders. However, it has additional implications, which must be considered in a potential application. The first is the non-uniqueness of the decoupled market-clearing prices, while the second is that price decoupling affects the relation between the sum of individual bid surpluses and the total social welfare, as these values may no longer be equal, and the approach may imply a nonzero income for the auctioneer. To tackle the issue of non-uniqueness of market-clearing prices, we propose an iterative three-step clearing method. In the second part of the paper, we consider realistic-sized examples, analyze how the proposed approach affects the market outcome. We show that the proposed method reduces the number of paradoxically rejected block bids by 34%–42% and slightly increases the total welfare. In addition, we define a measure (opportunity cost of paradox rejection) to characterize the level of paradox rejection in a clearing solution. We show that the</w:t>
      </w:r>
    </w:p>
    <w:p>
      <w:pPr/>
      <w:r>
        <w:rPr>
          <w:b/>
        </w:rPr>
        <w:t>POSSIBLE 2025:</w:t>
      </w:r>
      <w:r>
        <w:t xml:space="preserve"> Green Hydrogen in the European Union – A large-scale assessment of the supply potential and economic viability — https://doi.org/10.1016/j.apenergy.2025.126587</w:t>
      </w:r>
    </w:p>
    <w:p>
      <w:pPr/>
      <w:r>
        <w:rPr>
          <w:b/>
        </w:rPr>
        <w:t>Shared claim-specific concepts:</w:t>
      </w:r>
      <w:r>
        <w:t xml:space="preserve"> show, increase, union; EU scope visible. This is a provisional connection, not an outcome finding.</w:t>
      </w:r>
    </w:p>
    <w:p>
      <w:pPr>
        <w:pStyle w:val="SourceNote"/>
      </w:pPr>
      <w:r>
        <w:rPr>
          <w:b/>
        </w:rPr>
        <w:t>Available abstract (not full text):</w:t>
      </w:r>
      <w:r>
        <w:t xml:space="preserve"> Demand for hydrogen is expected to increase in the coming years to defossilize hard-to-abate sectors. In the European Union, the question remains in which quantities and at what cost hydrogen can be produced to satisfy the growing demand. This paper applies different approaches to model costs and potentials of off-grid hydrogen production within the European Union. The modeled approaches distinguish the effects of different spatial and technological resolutions on hydrogen production potentials, costs, and prices. According to the results, the hydrogen potential within the European Union is above 6800 TWh. This figure far surpasses the expected demand range of 1423 to 1707 TWh in 2050. The cost of satisfying the demand exceeds 100 billion euro at marginal costs of hydrogen below 85 euro per megawatt-hour. Additionally, the results show that an integrated European Union market would reduce the overall system costs notably compared to a setup in which each country covers its own hydrogen demand domestically. Just a few countries would be able to supply the entire European Union’s hydrogen demand in the case of an integrated market. This finding leads to the conclusion that an international hydrogen infrastructure seems advantageous.</w:t>
      </w:r>
    </w:p>
    <w:p>
      <w:pPr>
        <w:pStyle w:val="Heading2"/>
      </w:pPr>
      <w:r>
        <w:t>787. Retirement timing in a future welfare state: a Finnish Delphi study</w:t>
      </w:r>
    </w:p>
    <w:p>
      <w:pPr>
        <w:pStyle w:val="SourceNote"/>
      </w:pPr>
      <w:r>
        <w:rPr>
          <w:b/>
        </w:rPr>
        <w:t>Original source (2018):</w:t>
      </w:r>
      <w:r>
        <w:t xml:space="preserve"> https://doi.org/10.1108/ijssp-04-2018-0067</w:t>
      </w:r>
    </w:p>
    <w:p>
      <w:pPr/>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POSSIBLE 2026:</w:t>
      </w:r>
      <w:r>
        <w:t xml:space="preserve"> Urban cooperation for sustainable development in Europe: a co-designed methodology to foster multi-level governance — https://doi.org/10.1108/ijpsm-12-2025-0662</w:t>
      </w:r>
    </w:p>
    <w:p>
      <w:pPr/>
      <w:r>
        <w:rPr>
          <w:b/>
        </w:rPr>
        <w:t>Shared claim-specific concepts:</w:t>
      </w:r>
      <w:r>
        <w:t xml:space="preserve"> design, methodology, approach, relevant, findings; EU scope visible. This is a provisional connection, not an outcome finding.</w:t>
      </w:r>
    </w:p>
    <w:p>
      <w:pPr>
        <w:pStyle w:val="SourceNote"/>
      </w:pPr>
      <w:r>
        <w:rPr>
          <w:b/>
        </w:rPr>
        <w:t>Available abstract (not full text):</w:t>
      </w:r>
      <w:r>
        <w:t xml:space="preserve">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pPr/>
      <w:r>
        <w:rPr>
          <w:b/>
        </w:rPr>
        <w:t>POSSIBLE 2026:</w:t>
      </w:r>
      <w:r>
        <w:t xml:space="preserve"> Fuzzy Delphi method for content validation in applied linguistics instrument design: A multi-stakeholder case study — https://doi.org/10.1016/j.rmal.2026.100321</w:t>
      </w:r>
    </w:p>
    <w:p>
      <w:pPr/>
      <w:r>
        <w:rPr>
          <w:b/>
        </w:rPr>
        <w:t>Shared claim-specific concepts:</w:t>
      </w:r>
      <w:r>
        <w:t xml:space="preserve"> design, delphi, method;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Sources of (Dis-)Identification with Europe: A Q-Methodological Approach — https://doi.org/10.1080/15283488.2026.2664567</w:t>
      </w:r>
    </w:p>
    <w:p>
      <w:pPr/>
      <w:r>
        <w:rPr>
          <w:b/>
        </w:rPr>
        <w:t>Shared claim-specific concepts:</w:t>
      </w:r>
      <w:r>
        <w:t xml:space="preserve"> approach, findings, views; EU scope visible. This is a provisional connection, not an outcome finding.</w:t>
      </w:r>
    </w:p>
    <w:p>
      <w:pPr>
        <w:pStyle w:val="SourceNote"/>
      </w:pPr>
      <w:r>
        <w:rPr>
          <w:b/>
        </w:rPr>
        <w:t>Available abstract (not full text):</w:t>
      </w:r>
      <w:r>
        <w:t xml:space="preserve"> Although attachment to Europe has been widely studied, less is known about the motivations underlying identification and disidentification. This article addresses this gap by uncovering these dynamics through an illustrative study in Germany. We argue that the meaning of “Europe” varies among individuals and different aspects of Europe have different influences on (dis-)identification. In a Q-methodological online study, 80 German participants were asked to sort different aspects of Europe according to their perceived strengthening vs. weakening influence on attachment which were complemented by post-sorting interviews. Four perspectives on European (dis-)identification were revealed: (1) Cultural–utilitarian attachment centered on travel, leisure, and cultural exchange, with criticism of EU policies (EU-opportunistic), (2) achievement-based attachment focused on economic and scientific performance, with exclusionary views on belonging (EU-centric), (3) values-driven attachment emphasizing democracy, human rights, and inclusivity, alongside critique of inequality and bureaucracy (EU-values), and (4) unity-oriented attachment stressing internal solidarity and shared values, paired with exclusionary attitudes toward outsiders (EU-unity). The findings suggest the presence of different images of Europe, in which various reasons for attachment are weighed against one another when in</w:t>
      </w:r>
    </w:p>
    <w:p>
      <w:pPr/>
      <w:r>
        <w:rPr>
          <w:b/>
        </w:rPr>
        <w:t>POSSIBLE 2026:</w:t>
      </w:r>
      <w:r>
        <w:t xml:space="preserve"> Participatory Development of a European Citizen Science Competency Framework (CitSci Comp): Bridging Theory and Practice Through an Interdisciplinary modified Delphi Methodology — https://openalex.org/W7165222662</w:t>
      </w:r>
    </w:p>
    <w:p>
      <w:pPr/>
      <w:r>
        <w:rPr>
          <w:b/>
        </w:rPr>
        <w:t>Shared claim-specific concepts:</w:t>
      </w:r>
      <w:r>
        <w:t xml:space="preserve"> design, methodology, approach, delphi; EU scope visible. This is a provisional connection, not an outcome finding.</w:t>
      </w:r>
    </w:p>
    <w:p>
      <w:pPr>
        <w:pStyle w:val="SourceNote"/>
      </w:pPr>
      <w:r>
        <w:rPr>
          <w:b/>
        </w:rPr>
        <w:t>Available abstract (not full text):</w:t>
      </w:r>
      <w:r>
        <w:t xml:space="preserve"> As part of the European Citizen Science Academy, we are developing a competency framework for researchers and practitioners using citizen science, which we will refer to the CitSci Comp in the document. A competency framework highlights skills, attitudes, knowledge and values that can describe, characterize, a certain profession, role or training. It also describes the different levels of progression within its specific context: either educational or professional. However, Competency-based education (CBE) implementation has proceed without critical reflection, with critics arguing that traditional expert-led framework development do not include key stakeholders. This interdisciplinary research validates a novel participatory approach to competency framework development through the development and analysis of the CitSci Comp creation process. This is therefore a mixed-methods single-case validation design combines digital sciences (consensus analytics, participation analysis), educational anthropology (power dynamics observation, cultural assessment), and sociology of education (legitimacy evaluation, knowledge validation). Data collection encompasses workshops documentation and situational participatory observations, stakeholder experience surveys, expert validation assessments, and behavioural indicators across Expert Panellists, International Observers, and Target-User Review</w:t>
      </w:r>
    </w:p>
    <w:p>
      <w:pPr/>
      <w:r>
        <w:rPr>
          <w:b/>
        </w:rPr>
        <w:t>POSSIBLE 2026:</w:t>
      </w:r>
      <w:r>
        <w:t xml:space="preserve"> From the Oracle of Delphi to Intensive Care Unit Guidelines: Consensus Building Using the Delphi Method — https://doi.org/10.5005/jp-journals-10071-25261</w:t>
      </w:r>
    </w:p>
    <w:p>
      <w:pPr/>
      <w:r>
        <w:rPr>
          <w:b/>
        </w:rPr>
        <w:t>Shared claim-specific concepts:</w:t>
      </w:r>
      <w:r>
        <w:t xml:space="preserve"> design, methodology, delphi, method; EU scope not established. This is a provisional connection, not an outcome finding.</w:t>
      </w:r>
    </w:p>
    <w:p>
      <w:pPr>
        <w:pStyle w:val="SourceNote"/>
      </w:pPr>
      <w:r>
        <w:rPr>
          <w:b/>
        </w:rPr>
        <w:t>Available abstract (not full text):</w:t>
      </w:r>
      <w:r>
        <w:t xml:space="preserve"> Delphi methodology is increasingly employed in health care, particularly in areas where evidence is limited, ambiguous, or conflicting. Consensus-based approaches are integral to guideline development; however, the processes underpinning consensus are often inadequately described or lack transparency, particularly in relation to mitigating cognitive biases within expert panels. The epistemological principles of the Delphi method-anonymous voting, iteration, and controlled feedback-are designed to minimize group convergence and peer pressure commonly observed in face-to-face discussions. While efforts have been made to improve reporting standards for Delphi studies, there remains a lack of comprehensive guidance and uniform standards for their design and conduct. This viewpoint examines the limitations of consensus methods used in guideline development and highlights how the Delphi methodology can enhance transparency, methodological rigor, and robustness in this process. How to cite this article: Schultz MJ, Nasa P. From the Oracle of Delphi to Intensive Care Unit Guidelines: Consensus Building Using the Delphi Method. Indian J Crit Care Med 2026;30(8):623-627.</w:t>
      </w:r>
    </w:p>
    <w:p>
      <w:pPr/>
      <w:r>
        <w:rPr>
          <w:b/>
        </w:rPr>
        <w:t>POSSIBLE 2026:</w:t>
      </w:r>
      <w:r>
        <w:t xml:space="preserve"> European Delphi Consensus on Minimum Training Standards for Dry Needling (EDNES): a protocol for a modified Delphi study — https://doi.org/10.63360/ipmm.v2.e28</w:t>
      </w:r>
    </w:p>
    <w:p>
      <w:pPr/>
      <w:r>
        <w:rPr>
          <w:b/>
        </w:rPr>
        <w:t>Shared claim-specific concepts:</w:t>
      </w:r>
      <w:r>
        <w:t xml:space="preserve"> delphi, experts, relevant, initial, findings; EU scope visible. This is a provisional connection, not an outcome finding.</w:t>
      </w:r>
    </w:p>
    <w:p>
      <w:pPr>
        <w:pStyle w:val="SourceNote"/>
      </w:pPr>
      <w:r>
        <w:rPr>
          <w:b/>
        </w:rPr>
        <w:t>Available abstract (not full text):</w:t>
      </w:r>
      <w:r>
        <w:t xml:space="preserve"> Background: Dry needling is increasingly used in physiotherapy, yet substantial variation exists in training duration, curriculum content, competency expectations, and regulatory approaches across countries. No unified European framework currently defines minimum educational and competency standards for dry needling practice. Methods: This protocol describes a modified Delphi study aiming to establish European consensus on minimum training standards and clinician-level competencies for dry needling in physiotherapy. An international expert panel of clinicians, educators, and researchers (approximately 25–35 experts) will participate in 2–4 online rounds. An evidence-informed initial item set will be rated using a 5-point Likert scale, with controlled feedback between rounds. Consensus will be defined as ≥70% agreement in Round 1 and ≥75% in subsequent rounds. The study will be conducted in accordance with CREDES recommendations and was preregistered on the Open Science Framework (OSF Registries, DOI: 10.17605/OSF.IO/32TAZ). Ethics and dissemination: Ethical approval has been obtained from the CEIC Aragón (CEICA; Ethics: PI26/237). The study will be conducted in accordance with the Declaration of Helsinki, and findings will be disseminated through peer-reviewed publication and relevant professional channels. Discussion: This study is expected to provide a structured consensus-ba</w:t>
      </w:r>
    </w:p>
    <w:p>
      <w:pPr/>
      <w:r>
        <w:rPr>
          <w:b/>
        </w:rPr>
        <w:t>POSSIBLE 2026:</w:t>
      </w:r>
      <w:r>
        <w:t xml:space="preserve"> Developing an expert-informed framework for flipped lesson design in physical education: a European Delphi study — https://doi.org/10.1057/s41599-026-09199-0</w:t>
      </w:r>
    </w:p>
    <w:p>
      <w:pPr/>
      <w:r>
        <w:rPr>
          <w:b/>
        </w:rPr>
        <w:t>Shared claim-specific concepts:</w:t>
      </w:r>
      <w:r>
        <w:t xml:space="preserve"> design, approach, delphi, experts, findings; EU scope visible. This is a provisional connection, not an outcome finding.</w:t>
      </w:r>
    </w:p>
    <w:p>
      <w:pPr>
        <w:pStyle w:val="SourceNote"/>
      </w:pPr>
      <w:r>
        <w:rPr>
          <w:b/>
        </w:rPr>
        <w:t>Available abstract (not full text):</w:t>
      </w:r>
      <w:r>
        <w:t xml:space="preserve"> Contemporary education has increasingly emphasised student-centred approaches that encourage active participation, collaboration, and greater learner responsibility. Within this broader pedagogical shift, flipped learning has emerged as an approach that relocates selected instructional content to the pre-class phase so that face-to-face time can be used more extensively for application, interaction, feedback, and active learning. In physical education, this structure may be particularly valuable because lesson time is strongly oriented towards movement, practice, and interpersonal engagement. This research paper aims to develop a consensus-informed framework for the design and implementation of flipped lessons in physical education across European contexts. This European Delphi Study utilises the classic three-round Delphi approach. Invitation letters were sent to 50 European experts. Of the 50 invited experts, 20 agreed to participate in the Delphi study, resulting in a response rate of 40%. The findings informed the development of an expert-informed framework for flipped lesson design in physical education. The three-round iterative process achieved strong, statistically significant concordance for Knowledge and Skills, while the Attitudes &amp; Values dimension demonstrated statistically significant but weak agreement. The resulting European Framework for Transformative Flipped </w:t>
      </w:r>
    </w:p>
    <w:p>
      <w:pPr/>
      <w:r>
        <w:rPr>
          <w:b/>
        </w:rPr>
        <w:t>POSSIBLE 2026:</w:t>
      </w:r>
      <w:r>
        <w:t xml:space="preserve"> Evolution and Implementation of the Delphi Method in Archival Theory and Practice — https://doi.org/10.33700/2670-4579.36.1.31-60(2026)</w:t>
      </w:r>
    </w:p>
    <w:p>
      <w:pPr/>
      <w:r>
        <w:rPr>
          <w:b/>
        </w:rPr>
        <w:t>Shared claim-specific concepts:</w:t>
      </w:r>
      <w:r>
        <w:t xml:space="preserve"> design, approach, delphi, method, findings; EU scope not established. This is a provisional connection, not an outcome finding.</w:t>
      </w:r>
    </w:p>
    <w:p>
      <w:pPr>
        <w:pStyle w:val="SourceNote"/>
      </w:pPr>
      <w:r>
        <w:rPr>
          <w:b/>
        </w:rPr>
        <w:t>Available abstract (not full text):</w:t>
      </w:r>
      <w:r>
        <w:t xml:space="preserve"> Purpose: The article examines whether, and in what ways, the Delphi method is methodologically appropriate for addressing contemporary challenges in archival theory and practice, particularly those arising from digital transformation, technological change, and the growing complexity of archival decision making. Method/Approach: The study adopts a qualitative, exploratory research design based on a systematic review and analytical synthesis of methodological and empirical literature. Sources were identified through the Scopus, Emerald Insight, and Springer Nature Link databases and complemented by foundational literature to capture the theoretical origins, development, and variants of the Delphi method. A comparative analysis of major Delphi variants (classical, modified, policy, decision, real-time, argument, and disaggregative) was conducted to assess their methodological characteristics and applicability to specific archival research domains. Results: The analysis demonstrates that the Delphi method is well suited to archival research problems characterized by uncertainty, limited empirical evidence, and normative judgment. Different Delphi variants address distinct research needs: classical and modified Delphi support consensus building, policy, and argument Delphi structure normative and legal debates, while real-time and disaggregative Delphi facilitate rapid iteration and</w:t>
      </w:r>
    </w:p>
    <w:p>
      <w:pPr/>
      <w:r>
        <w:rPr>
          <w:b/>
        </w:rPr>
        <w:t>POSSIBLE 2026:</w:t>
      </w:r>
      <w:r>
        <w:t xml:space="preserve"> Generalized Design Methodology for Dual-Arm Robotic Platforms: From Conceptualization to Experimental Validation Within the MANiBOT Framework — https://doi.org/10.3390/machines14010074</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This work proposes a general methodology for the design and experimental validation of dual-arm robotic platforms intended for intelligent manipulation tasks in real-world environments. The proposed framework formalizes the complete engineering process, from the definition of functional requirements to the structural validation of the final prototype, ensuring reproducibility and adaptability across different applications. The methodology is organized into five main stages: (i) requirement analysis and context characterization; (ii) conceptual architecture definition; (iii) detailed mechanical design and structural analysis; (iv) prototype construction and integration; and (v) experimental validation and iterative refinement. Each stage defines its expected deliverables, evaluation metrics, and decision criteria to support systematic design progression. The approach is demonstrated through its implementation within the European project MANiBOT, where the framework guided the development of a modular bimanual robotic platform capable of integrating collaborative manipulators and conveyor subsystems for dual-arm manipulation. Structural testing, deflection measurements, and stability analyses confirmed the robustness and safety of the resulting design. Beyond this specific case, the proposed methodology provides a replicable and extensible design reference for research and indust</w:t>
      </w:r>
    </w:p>
    <w:p>
      <w:pPr/>
      <w:r>
        <w:rPr>
          <w:b/>
        </w:rPr>
        <w:t>POSSIBLE 2026:</w:t>
      </w:r>
      <w:r>
        <w:t xml:space="preserve"> Use of New Approach Methodologies for the assessment of Endocrine Disruption within European union regulatory frameworks: Report from the 2024 European partnership for alternative approaches (EPAA) partners’ forum — https://doi.org/10.1016/j.namjnl.2026.100093</w:t>
      </w:r>
    </w:p>
    <w:p>
      <w:pPr/>
      <w:r>
        <w:rPr>
          <w:b/>
        </w:rPr>
        <w:t>Shared claim-specific concepts:</w:t>
      </w:r>
      <w:r>
        <w:t xml:space="preserve"> design, approach, relevant; EU scope visible. This is a provisional connection, not an outcome finding.</w:t>
      </w:r>
    </w:p>
    <w:p>
      <w:pPr>
        <w:pStyle w:val="SourceNote"/>
      </w:pPr>
      <w:r>
        <w:rPr>
          <w:b/>
        </w:rPr>
        <w:t>Available abstract (not full text):</w:t>
      </w:r>
      <w:r>
        <w:t xml:space="preserve"> New Approach Methodologies (NAMs) are increasingly used across industrial sectors to assess chemicals for endocrine activity and support endocrine disruption assessment. The European Partnership for Alternative Approaches to Animal Testing (EPAA) conducted a strategic, cross-sector review of NAM-based frameworks within the EU regulatory context to capture lessons learned, identify scientific gaps, and explore opportunities for collaboration. A key challenge is that most current in vitro NAMs cannot, by design, demonstrate endocrine-mediated adversity in an intact organism. Because evidence of adversity is required to define an endocrine disruptor, this limits the ability of NAMs to replace animal-based endocrine disruptor tests unless clear links between endocrine activity and adverse outcomes are established. Refocusing adverse outcome pathways (AOPs) on improving the predictive capacity of endocrine activity assays, rather than directly demonstrating adversity, could enhance NAM development and application. Additional gaps include limited information on internal exposure, the role of potency, and adequate coverage of sensitive life stages—an issue relevant to both NAMs and in vivo studies. Building regulatory trust in existing and emerging in vitro and in silico methods is essential and will require agreement on acceptable levels of uncertainty and confidence that NAM-based p</w:t>
      </w:r>
    </w:p>
    <w:p>
      <w:pPr/>
      <w:r>
        <w:rPr>
          <w:b/>
        </w:rPr>
        <w:t>POSSIBLE 2026:</w:t>
      </w:r>
      <w:r>
        <w:t xml:space="preserve"> Consensus research priorities for cancer nursing in Europe: A Delphi study — https://doi.org/10.1016/j.ejon.2026.103102</w:t>
      </w:r>
    </w:p>
    <w:p>
      <w:pPr/>
      <w:r>
        <w:rPr>
          <w:b/>
        </w:rPr>
        <w:t>Shared claim-specific concepts:</w:t>
      </w:r>
      <w:r>
        <w:t xml:space="preserve"> delphi, method, experts, relevant, findings; EU scope visible. This is a provisional connection, not an outcome finding.</w:t>
      </w:r>
    </w:p>
    <w:p>
      <w:pPr>
        <w:pStyle w:val="SourceNote"/>
      </w:pPr>
      <w:r>
        <w:rPr>
          <w:b/>
        </w:rPr>
        <w:t>Available abstract (not full text):</w:t>
      </w:r>
      <w:r>
        <w:t xml:space="preserve"> PURPOSE: Identifying priority areas for cancer nursing research is essential for aligning research efforts with regional needs and improving outcomes for people affected by cancer. This Delphi study aimed to develop a strategic agenda of cancer nursing research priorities relevant to the European context. METHOD: A panel of experts in cancer nursing practice, research, policy, and education participated in a three-round Delphi study. A total of 115 research topics across 11 thematic areas were pre-identified through a systematic review and consultation with cancer nurses. From September 2023 to March 2024, participants ranked the importance of each topic. Final prioritisation was based on weighted average rankings and an 80 % consensus threshold in round 3. RESULTS: Eighty-one cancer nursing experts participated in at least one round, with 57 completing all three rounds. In round 3, consensus was achieved for 73 of 123 items (59.3 %). The three highest-ranked thematic areas for future research were: 1) nurse-led care and models of cancer care, 2) unmet needs in cancer care, and 3) education, training, and professional development for nurses. The top three specific research priorities were: 1) understanding factors influencing recruitment, retention, and turnover within the European oncology nursing workforce, 2) evaluating the effectiveness of nurse-led interventions for people</w:t>
      </w:r>
    </w:p>
    <w:p>
      <w:pPr/>
      <w:r>
        <w:rPr>
          <w:b/>
        </w:rPr>
        <w:t>POSSIBLE 2026:</w:t>
      </w:r>
      <w:r>
        <w:t xml:space="preserve"> Which methodologies and methods should be used for psychosocial intervention research in dementia? Protocol for a stakeholder-driven, multi-method Delphi study — https://doi.org/10.1136/bmjopen-2026-122720</w:t>
      </w:r>
    </w:p>
    <w:p>
      <w:pPr/>
      <w:r>
        <w:rPr>
          <w:b/>
        </w:rPr>
        <w:t>Shared claim-specific concepts:</w:t>
      </w:r>
      <w:r>
        <w:t xml:space="preserve"> design, methodology, delphi, relevant; EU scope not established. This is a provisional connection, not an outcome finding.</w:t>
      </w:r>
    </w:p>
    <w:p>
      <w:pPr>
        <w:pStyle w:val="SourceNote"/>
      </w:pPr>
      <w:r>
        <w:rPr>
          <w:b/>
        </w:rPr>
        <w:t>Available abstract (not full text):</w:t>
      </w:r>
      <w:r>
        <w:t xml:space="preserve"> INTRODUCTION: Psychosocial interventions are essential to support people living with dementia and their carers. A consensus on what is most important for research on psychosocial intervention in dementia and how intervention studies should best be conducted is currently lacking. This protocol describes the research plan aimed at achieving consensus on (i) the relevance of core elements (CEs) for the development, feasibility testing/piloting, evaluation and/or implementation phases of psychosocial interventions in dementia and (ii) methodologies (eg, design) and methods most suitable to address CEs per phase. METHODS AND ANALYSIS: This study was co-designed with a multi-stakeholder advisory group and a multi-disciplinary INTERDEM (psychosocial INTERventions in DEMentia) Methodology Taskforce steering committee. It will involve a multi-phase modified Delphi design, including surveys and group discussions with stakeholders, namely people living with dementia, (informal/unpaid/family) carers, health and social care professionals, policy makers, representatives from insurance companies and psychosocial researchers. A series of iterative 'rounds' will be conducted. In round 1 (Phase 1: 'identification'), stakeholders will be asked to complete an online survey rating the importance of CEs from the UK Medical Research Council (MRC) Framework, namely (i) consider context; (ii) develop, </w:t>
      </w:r>
    </w:p>
    <w:p>
      <w:pPr>
        <w:pStyle w:val="Heading2"/>
      </w:pPr>
      <w:r>
        <w:t>788. South East Europe electricity roadmap – modelling energy transition in the electricity sectors</w:t>
      </w:r>
    </w:p>
    <w:p>
      <w:pPr>
        <w:pStyle w:val="SourceNote"/>
      </w:pPr>
      <w:r>
        <w:rPr>
          <w:b/>
        </w:rPr>
        <w:t>Original source (2018):</w:t>
      </w:r>
      <w:r>
        <w:t xml:space="preserve"> https://doi.org/10.1080/14693062.2018.1532390</w:t>
      </w:r>
    </w:p>
    <w:p>
      <w:pPr/>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POSSIBLE 2026:</w:t>
      </w:r>
      <w:r>
        <w:t xml:space="preserve"> Unveiling the environmental impact of earthquakes in Europe — https://doi.org/10.1038/s41467-025-68120-6</w:t>
      </w:r>
    </w:p>
    <w:p>
      <w:pPr/>
      <w:r>
        <w:rPr>
          <w:b/>
        </w:rPr>
        <w:t>Shared claim-specific concepts:</w:t>
      </w:r>
      <w:r>
        <w:t xml:space="preserve"> also, impacts, region;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key, insights,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r>
        <w:rPr>
          <w:b/>
        </w:rPr>
        <w:t>POSSIBLE 2026:</w:t>
      </w:r>
      <w:r>
        <w:t xml:space="preserve"> Refugee entrepreneurship in context: Exploring dimensions of diversity across Europe, the Middle East, and Pakistan — https://openalex.org/W7112831393</w:t>
      </w:r>
    </w:p>
    <w:p>
      <w:pPr/>
      <w:r>
        <w:rPr>
          <w:b/>
        </w:rPr>
        <w:t>Shared claim-specific concepts:</w:t>
      </w:r>
      <w:r>
        <w:t xml:space="preserve"> also, explores, east; EU scope visible. This is a provisional connection, not an outcome finding.</w:t>
      </w:r>
    </w:p>
    <w:p>
      <w:pPr>
        <w:pStyle w:val="SourceNote"/>
      </w:pPr>
      <w:r>
        <w:rPr>
          <w:b/>
        </w:rPr>
        <w:t>Available abstract (not full text):</w:t>
      </w:r>
      <w:r>
        <w:t xml:space="preserve"> Forced migration continues to reshape societies globally, with refugee entrepreneurship emerging as a vital pathway for economic and social integration.This chapter explores how overlapping dimensions of diversity such as culture, language, religion and identity, as well as institutional contexts-shape refugee entrepreneurial experiences and theoretical understandings of this phenomenon.We also compare refugee entrepreneurship in European and non-European contexts, emphasizing the importance of local conditions, institutional frameworks, and sociocultural embeddedness.We argue that culture and other diversity dimensions should be centralnot peripheral-in refugee entrepreneurship research.Building on previous studies, we propose three future research streams: (1) Refugee entrepreneurship in multilingual contexts; (2) Multicultural identity dynamics; and (3) Religion and intersectionality.We conclude with practical implications for policymakers.</w:t>
      </w:r>
    </w:p>
    <w:p>
      <w:pPr/>
      <w:r>
        <w:rPr>
          <w:b/>
        </w:rPr>
        <w:t>POSSIBLE 2026:</w:t>
      </w:r>
      <w:r>
        <w:t xml:space="preserve"> What Europeans Think About Immigration and Why It Matters — https://doi.org/10.1093/9780191982842.001.0001</w:t>
      </w:r>
    </w:p>
    <w:p>
      <w:pPr/>
      <w:r>
        <w:rPr>
          <w:b/>
        </w:rPr>
        <w:t>Shared claim-specific concepts:</w:t>
      </w:r>
      <w:r>
        <w:t xml:space="preserve"> also, explores, important, both, national; EU scope visible. This is a provisional connection, not an outcome finding.</w:t>
      </w:r>
    </w:p>
    <w:p>
      <w:pPr>
        <w:pStyle w:val="SourceNote"/>
      </w:pPr>
      <w:r>
        <w:rPr>
          <w:b/>
        </w:rPr>
        <w:t>Available abstract (not full text):</w:t>
      </w:r>
      <w:r>
        <w:t xml:space="preserve"> Abstract What Europeans Think About Immigration and Why It Matters provides the first comprehensive, accessible account of public attitudes to immigration across Europe. Drawing on an unprecedented range of survey data, case studies, and comparative research, it describes and explains both what Europeans think about immigration and how those attitudes are formed. The book explores how narratives, values, emotions, and identities shape public debate, and how these narratives circulate and evolve in different political and media contexts. It explains how volatile public attention to immigration has contributed to major political shifts and misunderstandings across Europe, influencing party competition, electoral outcomes, and policy agendas. It also examines how these shifts have driven significant changes in immigration policy at both national and EU levels. Going beyond diagnosis, the book sets out what effective communication on migration looks like, offering clear, evidence-based guidance. It introduces new, unified frameworks for understanding attitudes, narratives, and political change, and concludes with practical recommendations for policymakers, advocates, and others working to address one of Europe’s most important and contested issues.</w:t>
      </w:r>
    </w:p>
    <w:p>
      <w:pPr/>
      <w:r>
        <w:rPr>
          <w:b/>
        </w:rPr>
        <w:t>POSSIBLE 2026:</w:t>
      </w:r>
      <w:r>
        <w:t xml:space="preserve"> Exploring the relationship between poverty depth and persistence across Europe — https://doi.org/10.1332/17598273y2026d000000072</w:t>
      </w:r>
    </w:p>
    <w:p>
      <w:pPr/>
      <w:r>
        <w:rPr>
          <w:b/>
        </w:rPr>
        <w:t>Shared claim-specific concepts:</w:t>
      </w:r>
      <w:r>
        <w:t xml:space="preserve"> also, important, high, policies; EU scope visible. This is a provisional connection, not an outcome finding.</w:t>
      </w:r>
    </w:p>
    <w:p>
      <w:pPr>
        <w:pStyle w:val="SourceNote"/>
      </w:pPr>
      <w:r>
        <w:rPr>
          <w:b/>
        </w:rPr>
        <w:t>Available abstract (not full text):</w:t>
      </w:r>
      <w:r>
        <w:t xml:space="preserve"> This article examines whether persistent income poverty increases the risk of transitioning into deep poverty across European countries. Spending a long time in poverty can deplete material and human resources and create demoralisation, thus increasing potential risk of deeper income poverty. This article seeks to explore this potential relationship. For this purpose, we analyse country-level pooled longitudinal EU-SILC data covering the years 2012–20, and several European countries with distinct socio-economic development and social welfare regimes. The results show that, although most persistent poor are immune to deep poverty risk, a non-trivial share of them transition to deeper forms of poverty in subsequent periods. This association is robust to controlling for observed heterogeneity. The results highlight the protective role of labour market participation in reducing deep poverty risk among individuals who have experienced persistent poverty in the past. Moreover, substantial variation across household types is observed, with certain groups facing a higher risk of deep poverty, particularly following episodes of persistent poverty. Overall, the findings suggest the effectiveness of anti-poverty policies across countries, with important implications for the targeting and timing of social policy interventions and variation in the effectiveness of labour market participatio</w:t>
      </w:r>
    </w:p>
    <w:p>
      <w:pPr/>
      <w:r>
        <w:rPr>
          <w:b/>
        </w:rPr>
        <w:t>POSSIBLE 2026:</w:t>
      </w:r>
      <w:r>
        <w:t xml:space="preserve"> The Impact of Migration on Spaces: Religious Dynamics in Contemporary Europe — https://doi.org/10.14207/ejsd.2026.v15n4p535</w:t>
      </w:r>
    </w:p>
    <w:p>
      <w:pPr/>
      <w:r>
        <w:rPr>
          <w:b/>
        </w:rPr>
        <w:t>Shared claim-specific concepts:</w:t>
      </w:r>
      <w:r>
        <w:t xml:space="preserve"> explores, important, both; EU scope visible. This is a provisional connection, not an outcome finding.</w:t>
      </w:r>
    </w:p>
    <w:p>
      <w:pPr>
        <w:pStyle w:val="SourceNote"/>
      </w:pPr>
      <w:r>
        <w:rPr>
          <w:b/>
        </w:rPr>
        <w:t>Available abstract (not full text):</w:t>
      </w:r>
      <w:r>
        <w:t xml:space="preserve"> International migration has become a significant force in reshaping Europe’s social, cultural, and religious landscape. This research examines how migratory movements affect both urban and rural areas across the continent, with particular attention to demographic and cultural shifts within Muslim communities. Drawing on statistical evidence related to migration patterns, fertility rates, and religious practices, the study explores the growth of Muslim populations in specific regions and their impact on cultural environments, social infrastructure, and urban dynamics. Findings reveal an increasing religious diversity in European spaces, carrying important implications for integration strategies, social cohesion, and urban planning. The study enhances the understanding of the complex relationships between migration, religion, and spatial transformation, emphasizing the necessity of multidisciplinary perspectives when analyzing contemporary demographic changes. Keywords: migration, Europe, Islam, demography, spatial transformations, social integration.</w:t>
      </w:r>
    </w:p>
    <w:p>
      <w:pPr/>
      <w:r>
        <w:rPr>
          <w:b/>
        </w:rPr>
        <w:t>POSSIBLE 2026:</w:t>
      </w:r>
      <w:r>
        <w:t xml:space="preserve"> ClimRisk.eu: Regional climate projections for Europe — https://doi.org/10.5194/ems2026-518</w:t>
      </w:r>
    </w:p>
    <w:p>
      <w:pPr/>
      <w:r>
        <w:rPr>
          <w:b/>
        </w:rPr>
        <w:t>Shared claim-specific concepts:</w:t>
      </w:r>
      <w:r>
        <w:t xml:space="preserve"> also, wide, key, region;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important, high;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also, important, impacts;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2024:</w:t>
      </w:r>
      <w:r>
        <w:t xml:space="preserve"> Exploring the joint probability of precipitation and soil moisture over Europe using copulas — https://doi.org/10.5194/hess-28-103-2024</w:t>
      </w:r>
    </w:p>
    <w:p>
      <w:pPr/>
      <w:r>
        <w:rPr>
          <w:b/>
        </w:rPr>
        <w:t>Shared claim-specific concepts:</w:t>
      </w:r>
      <w:r>
        <w:t xml:space="preserve"> also, high, insights, both; EU scope visible. This is a provisional connection, not an outcome finding.</w:t>
      </w:r>
    </w:p>
    <w:p>
      <w:pPr>
        <w:pStyle w:val="SourceNote"/>
      </w:pPr>
      <w:r>
        <w:rPr>
          <w:b/>
        </w:rPr>
        <w:t>Available abstract (not full text):</w:t>
      </w:r>
      <w:r>
        <w:t xml:space="preserve">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pPr/>
      <w:r>
        <w:rPr>
          <w:b/>
        </w:rPr>
        <w:t>POSSIBLE 2024:</w:t>
      </w:r>
      <w:r>
        <w:t xml:space="preserve"> Exploring Health Impact Assessment in Europe — https://doi.org/10.2427/5878</w:t>
      </w:r>
    </w:p>
    <w:p>
      <w:pPr/>
      <w:r>
        <w:rPr>
          <w:b/>
        </w:rPr>
        <w:t>Shared claim-specific concepts:</w:t>
      </w:r>
      <w:r>
        <w:t xml:space="preserve"> wide, impacts, key;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Wide challenges encountered in refugees’ education in Europe — https://doi.org/10.35629/8028-13092429</w:t>
      </w:r>
    </w:p>
    <w:p>
      <w:pPr/>
      <w:r>
        <w:rPr>
          <w:b/>
        </w:rPr>
        <w:t>Shared claim-specific concepts:</w:t>
      </w:r>
      <w:r>
        <w:t xml:space="preserve"> also, explores, wide, policies; EU scope visible. This is a provisional connection, not an outcome finding.</w:t>
      </w:r>
    </w:p>
    <w:p>
      <w:pPr>
        <w:pStyle w:val="SourceNote"/>
      </w:pPr>
      <w:r>
        <w:rPr>
          <w:b/>
        </w:rPr>
        <w:t>Available abstract (not full text):</w:t>
      </w:r>
      <w:r>
        <w:t xml:space="preserve"> This research paper explores the different obstacles faced by refugees in accessing a secondary level of education in Europe. Although the EU claims to have introduced in the community space a number of policies aimed at implementing equal educational opportunities, refugees face significant obstacles to their educational advancement, including integration in the host state. The challenges encountered begin with language difficulties and are compounded by inadequate educational infrastructure and potential psychological trauma. Most refugee students experience difficulties with the language of instruction, which hinders their ability to keep up with their peers. Other barriers to their educational experience include overcrowded classrooms and lack of specialized resources. In addition, bureaucracy (due to complex application processes and problems with recognition of previous qualifications) exacerbates these problems. From a psychological perspective, the trauma experienced by most refugees also affects their concentration and motivation. In this context, the research highlights the need to develop complex policy and legislative initiatives, taking into account improved language support.</w:t>
      </w:r>
    </w:p>
    <w:p>
      <w:pPr>
        <w:pStyle w:val="Heading2"/>
      </w:pPr>
      <w:r>
        <w:t>789. Technology roadmapping in security and defence foresight</w:t>
      </w:r>
    </w:p>
    <w:p>
      <w:pPr>
        <w:pStyle w:val="SourceNote"/>
      </w:pPr>
      <w:r>
        <w:rPr>
          <w:b/>
        </w:rPr>
        <w:t>Original source (2018):</w:t>
      </w:r>
      <w:r>
        <w:t xml:space="preserve"> https://doi.org/10.1108/fs-12-2017-0074</w:t>
      </w:r>
    </w:p>
    <w:p>
      <w:pPr/>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POSSIBLE 2026:</w:t>
      </w:r>
      <w:r>
        <w:t xml:space="preserve"> Methodology of architectural brand integration in public space design — https://doi.org/10.30857/2617-0272.2026.3.3</w:t>
      </w:r>
    </w:p>
    <w:p>
      <w:pPr/>
      <w:r>
        <w:rPr>
          <w:b/>
        </w:rPr>
        <w:t>Shared claim-specific concepts:</w:t>
      </w:r>
      <w:r>
        <w:t xml:space="preserve"> design, methodology, approach, based, environment, but; EU scope not established. This is a provisional connection, not an outcome finding.</w:t>
      </w:r>
    </w:p>
    <w:p>
      <w:pPr>
        <w:pStyle w:val="SourceNote"/>
      </w:pPr>
      <w:r>
        <w:rPr>
          <w:b/>
        </w:rPr>
        <w:t>Available abstract (not full text):</w:t>
      </w:r>
      <w:r>
        <w:t xml:space="preserve"> The article examines methods of architectural interpretation of brands in commercial and public spaces. These methods are considered within a contemporary paradigm in which the interior is not only a functional environment but also an effective tool of interaction between a brand and its target user, directly influencing business performance. Based on a generalisation of local and global design practices, a typology and methodology for integrating brands into public interiors are formulated for the first time. As a result, four methods are identified. The method of direct transformation is based on the direct transfer of identity elements into space. The morphological method considers these same identity elements as form-generating components of the spatial environment. The atmospheric method focuses on creating interiors with clear emotional and stylistic references that are inherently tied to a particular brand. The scenario-based method enables visitors to understand the brand through the experience of interacting with the space. The proposed methods reveal the brand through four comprehensive aspects: graphics, form, atmosphere, and user experience. The article analyses the specific features of each method's application, considering each as a distinct approach to translating brand identity: from simple visual identification to the formation of a particular emotional respons</w:t>
      </w:r>
    </w:p>
    <w:p>
      <w:pPr/>
      <w:r>
        <w:rPr>
          <w:b/>
        </w:rPr>
        <w:t>POSSIBLE 2026:</w:t>
      </w:r>
      <w:r>
        <w:t xml:space="preserve"> A Methodology for Research of Artificial Intelligence Enablers in Public Administration — https://doi.org/10.31767/nasoa.3-2026.05</w:t>
      </w:r>
    </w:p>
    <w:p>
      <w:pPr/>
      <w:r>
        <w:rPr>
          <w:b/>
        </w:rPr>
        <w:t>Shared claim-specific concepts:</w:t>
      </w:r>
      <w:r>
        <w:t xml:space="preserve"> methodology, content, domain; EU scope not established. This is a provisional connection, not an outcome finding.</w:t>
      </w:r>
    </w:p>
    <w:p>
      <w:pPr>
        <w:pStyle w:val="SourceNote"/>
      </w:pPr>
      <w:r>
        <w:rPr>
          <w:b/>
        </w:rPr>
        <w:t>Available abstract (not full text):</w:t>
      </w:r>
      <w:r>
        <w:t xml:space="preserve"> The article reveals theoretical and methodological foundations for research of artificial intelligence (AI) enablers in the public administration field. It is substantiated that the current stage of digital technology advancement is characterized by the massive implementation of AI tools in the activities of public administration bodies, which necessitates the development of a clear and structured research methodology in this domain. However, comprehensive studies on the employment of digital algorithms in managerial decision-making processes are complicated due to inadequate systematization of the methodological framework. It is shown that the methodology for AI research should be considered as an integral system comprising a set of objectives, hypotheses, approaches, principles, techniques, and methods of research inquiry. Such a system is aimed at exploring analytical digital systems capable of simulating human intellectual activity, in particular through processing large volumes of data, recognizing information, and making decisions within predefined algorithms. Particular emphasis is placed on the need to distinguish between the concepts of “methodology,” “technique,” and “method,” which ensures the logical consistency of the research process and enhances the validity of results. Special attention is paid to defining the content of research techniques in the AI context, wh</w:t>
      </w:r>
    </w:p>
    <w:p>
      <w:pPr/>
      <w:r>
        <w:rPr>
          <w:b/>
        </w:rPr>
        <w:t>POSSIBLE 2026:</w:t>
      </w:r>
      <w:r>
        <w:t xml:space="preserve"> In This World: A Scalable Methodology for Scenic Design — https://openalex.org/W7157514354</w:t>
      </w:r>
    </w:p>
    <w:p>
      <w:pPr/>
      <w:r>
        <w:rPr>
          <w:b/>
        </w:rPr>
        <w:t>Shared claim-specific concepts:</w:t>
      </w:r>
      <w:r>
        <w:t xml:space="preserve"> design, methodology, environment, uses, but; EU scope not established. This is a provisional connection, not an outcome finding.</w:t>
      </w:r>
    </w:p>
    <w:p>
      <w:pPr>
        <w:pStyle w:val="SourceNote"/>
      </w:pPr>
      <w:r>
        <w:rPr>
          <w:b/>
        </w:rPr>
        <w:t>Available abstract (not full text):</w:t>
      </w:r>
      <w:r>
        <w:t xml:space="preserve"> This thesis examines how strong scenic design emerges not from how something looks, but from a clear understanding of how its world works. Rather than starting from aesthetic preference or visual trends, it outlines a process that identifies a central idea within a story and uses that idea to shape a cohesive spatial environment. By focusing on how a world behaves - what drives it, what resists change, and how its internal logic operates - design decisions begin to align, creating work that feels intentional rather than assembled. Through a series of production case studies, it evaluates how that process functions in practice, including both its successes and its limitations, while accounting for real-world constraints such as time, budget, and collaboration. Ultimately, it presents scenic design as a process of translating ideas into space, offering a flexible framework that can scale across contexts and produce work that remains clear, responsive, and meaningful.</w:t>
      </w:r>
    </w:p>
    <w:p>
      <w:pPr/>
      <w:r>
        <w:rPr>
          <w:b/>
        </w:rPr>
        <w:t>POSSIBLE 2026:</w:t>
      </w:r>
      <w:r>
        <w:t xml:space="preserve"> Professional deficiencies of the director’s advisor on education as challenges for the design of organizational and methodological conditions for their correction in consulting and methodological centers — https://doi.org/10.29025/1994-7720-2026-3-118-129</w:t>
      </w:r>
    </w:p>
    <w:p>
      <w:pPr/>
      <w:r>
        <w:rPr>
          <w:b/>
        </w:rPr>
        <w:t>Shared claim-specific concepts:</w:t>
      </w:r>
      <w:r>
        <w:t xml:space="preserve"> design, content; EU scope not established. This is a provisional connection, not an outcome finding.</w:t>
      </w:r>
    </w:p>
    <w:p>
      <w:pPr>
        <w:pStyle w:val="SourceNote"/>
      </w:pPr>
      <w:r>
        <w:rPr>
          <w:b/>
        </w:rPr>
        <w:t>Available abstract (not full text):</w:t>
      </w:r>
      <w:r>
        <w:t xml:space="preserve"> The introduction in 2021 of the position of “Advisor to the Principal for Education and Interaction with Children’s Public Associations” in Russian schools marked a significant step in renewing the system of educational work. However, the implementation of new functional responsibilities has revealed a wide range of professional difficulties among this category of pedagogical workers, thereby actualizing the problem of identifying their professional deficits and developing targeted mechanisms for scientific and methodological support. Under these conditions, regional consultation and methodological centers, established on the basis of pedagogical universities and institutes for educational development, acquire particular significance. Aim: to identify and systematize the professional deficits of Advisors to the Principal for Education, and on this basis to substantiate and design organizational and methodological conditions within a regional consultation and methodological center. A survey was conducted at the Regional Consultation and Methodological Center of the Voronezh Region, established in 2026 on the basis of Voronezh State Pedagogical University (hereinafter VSPU), involving 65 Advisors to the Principal for Education. The survey identified the main groups (clusters) of deficits: normative-cognitive (68%), instrumental-technological (55%), mediative-communicative (62%), </w:t>
      </w:r>
    </w:p>
    <w:p>
      <w:pPr/>
      <w:r>
        <w:rPr>
          <w:b/>
        </w:rPr>
        <w:t>POSSIBLE 2026:</w:t>
      </w:r>
      <w:r>
        <w:t xml:space="preserve"> AESTHETIC ANALYSIS OF THE PUBLIC BUILDING DESIGN COMPETITIONS IN TURKEY — https://doi.org/10.31796/ogummf.1777707</w:t>
      </w:r>
    </w:p>
    <w:p>
      <w:pPr/>
      <w:r>
        <w:rPr>
          <w:b/>
        </w:rPr>
        <w:t>Shared claim-specific concepts:</w:t>
      </w:r>
      <w:r>
        <w:t xml:space="preserve"> design, approach, content, national, technological, findings; EU scope not established. This is a provisional connection, not an outcome finding.</w:t>
      </w:r>
    </w:p>
    <w:p>
      <w:pPr>
        <w:pStyle w:val="SourceNote"/>
      </w:pPr>
      <w:r>
        <w:rPr>
          <w:b/>
        </w:rPr>
        <w:t>Available abstract (not full text):</w:t>
      </w:r>
      <w:r>
        <w:t xml:space="preserve"> Architectural competitions hold a pivotal role in shaping the global architectural discourse, including in Turkey, by fostering innovation and being the benchmark for contemporary aesthetic trends. Architectural aesthetics, a dynamic construct influenced by cultural, political, and technological shifts, are prominently reflected in these competitions. However, the definition of architectural aesthetics is elusive, shifting from a traditional emphasis on beauty to a contemporary focus on the multi-sensory perception of the spatial atmosphere evoked by structures. Therefore, this study endeavors to elucidate the often-implicit aesthetic dimensions and methodologies within public building design projects. By examining the project description statements of award-winning entries in national architectural competitions held after 2020, this study aims to explore how subject-based and object-based aesthetic approaches are represented within contemporary architectural discourse and how the relationship between these approaches is constructed. Methodologically, we employed quantitative and qualitative content analysis on the textual descriptions of 106 award-winning public building designs and classified architects’ aesthetic orientations. In this study, compositional aesthetic approaches are defined as object-based design strategies that organize spatial form, programmatic relationships</w:t>
      </w:r>
    </w:p>
    <w:p>
      <w:pPr/>
      <w:r>
        <w:rPr>
          <w:b/>
        </w:rPr>
        <w:t>POSSIBLE 2026:</w:t>
      </w:r>
      <w:r>
        <w:t xml:space="preserve"> A study on non-linear structure in AI service design methodology focus on design process changes — https://doi.org/10.67639/jdpbe.260015</w:t>
      </w:r>
    </w:p>
    <w:p>
      <w:pPr/>
      <w:r>
        <w:rPr>
          <w:b/>
        </w:rPr>
        <w:t>Shared claim-specific concepts:</w:t>
      </w:r>
      <w:r>
        <w:t xml:space="preserve"> design, methodology, methodologies; EU scope not established. This is a provisional connection, not an outcome finding.</w:t>
      </w:r>
    </w:p>
    <w:p>
      <w:pPr>
        <w:pStyle w:val="SourceNote"/>
      </w:pPr>
      <w:r>
        <w:rPr>
          <w:b/>
        </w:rPr>
        <w:t>Available abstract (not full text):</w:t>
      </w:r>
      <w:r>
        <w:t xml:space="preserve"> Service design is emerging as a key driver in transforming both the perception of design methodologies and the overall design process. Traditional design practices relied heavily on the designer's individual creativity, often overlooking user-centered problem-solving and empirical user experiences (UX); consequently, conventional design values are now facing a major paradigm shift. This study explores how designers can adapt to and navigate evolving design methodologies in the AI era, particularly amidst the shifting dynamics of AI-integrated design processes. This study aims to elucidate the virtuous cycle of design value in the AI era, focusing on the non-linear methodologies of service design necessitated by the evolving roles of designers. Design serves as an act of disseminating new values, where its ultimate goal is to address core design challenges by enhancing UX. By integration of creative problem-solving and rigorous service design research, this study elucidates the value and structural framework of non-linear design, thereby establishing a virtuous cycle for AI-driven design through an analysis of emerging service design methodologies.</w:t>
      </w:r>
    </w:p>
    <w:p>
      <w:pPr/>
      <w:r>
        <w:rPr>
          <w:b/>
        </w:rPr>
        <w:t>POSSIBLE 2026:</w:t>
      </w:r>
      <w:r>
        <w:t xml:space="preserve"> AI/ML‐Based Approaches to VLSI Design Methodologies — https://doi.org/10.1002/9781394390274.ch14</w:t>
      </w:r>
    </w:p>
    <w:p>
      <w:pPr/>
      <w:r>
        <w:rPr>
          <w:b/>
        </w:rPr>
        <w:t>Shared claim-specific concepts:</w:t>
      </w:r>
      <w:r>
        <w:t xml:space="preserve"> design, based, methodologies;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NEW DESIGN METHODOLOGY APPROACH FOR DESIGNING A HYDRO-MOTOR OF RADIAL PISTONS — https://openalex.org/W7217876663</w:t>
      </w:r>
    </w:p>
    <w:p>
      <w:pPr/>
      <w:r>
        <w:rPr>
          <w:b/>
        </w:rPr>
        <w:t>Shared claim-specific concepts:</w:t>
      </w:r>
      <w:r>
        <w:t xml:space="preserve"> design, methodology, approach, technological, uses, but; EU scope not established. This is a provisional connection, not an outcome finding.</w:t>
      </w:r>
    </w:p>
    <w:p>
      <w:pPr>
        <w:pStyle w:val="SourceNote"/>
      </w:pPr>
      <w:r>
        <w:rPr>
          <w:b/>
        </w:rPr>
        <w:t>Available abstract (not full text):</w:t>
      </w:r>
      <w:r>
        <w:t xml:space="preserve">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pPr/>
      <w:r>
        <w:rPr>
          <w:b/>
        </w:rPr>
        <w:t>POSSIBLE 2025:</w:t>
      </w:r>
      <w:r>
        <w:t xml:space="preserve"> Optimising Healthcare Integration: Design Methodology Approach to Developing an Integrated Service Delivery Model for Irish Health Service Executive's Health Regions — https://doi.org/10.5334/ijic.icic24232</w:t>
      </w:r>
    </w:p>
    <w:p>
      <w:pPr/>
      <w:r>
        <w:rPr>
          <w:b/>
        </w:rPr>
        <w:t>Shared claim-specific concepts:</w:t>
      </w:r>
      <w:r>
        <w:t xml:space="preserve"> design, methodology, approach, national, base, methodologies; EU scope visible. This is a provisional connection, not an outcome finding.</w:t>
      </w:r>
    </w:p>
    <w:p>
      <w:pPr>
        <w:pStyle w:val="SourceNote"/>
      </w:pPr>
      <w:r>
        <w:rPr>
          <w:b/>
        </w:rPr>
        <w:t>Available abstract (not full text):</w:t>
      </w:r>
      <w:r>
        <w:t xml:space="preserve">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pPr/>
      <w:r>
        <w:rPr>
          <w:b/>
        </w:rPr>
        <w:t>POSSIBLE 2025:</w:t>
      </w:r>
      <w:r>
        <w:t xml:space="preserve"> Design anthropology as a design methodology — https://doi.org/10.4324/9781003343134-15</w:t>
      </w:r>
    </w:p>
    <w:p>
      <w:pPr/>
      <w:r>
        <w:rPr>
          <w:b/>
        </w:rPr>
        <w:t>Shared claim-specific concepts:</w:t>
      </w:r>
      <w:r>
        <w:t xml:space="preserve"> design, methodology, based, environment, but;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Research Design, Philosophy, and Quantitative Approaches in Scientific Research Methodology — https://doi.org/10.36347/sjet.2025.v13i02.004</w:t>
      </w:r>
    </w:p>
    <w:p>
      <w:pPr/>
      <w:r>
        <w:rPr>
          <w:b/>
        </w:rPr>
        <w:t>Shared claim-specific concepts:</w:t>
      </w:r>
      <w:r>
        <w:t xml:space="preserve"> design, methodology, based, findings; EU scope not established. This is a provisional connection, not an outcome finding.</w:t>
      </w:r>
    </w:p>
    <w:p>
      <w:pPr>
        <w:pStyle w:val="SourceNote"/>
      </w:pPr>
      <w:r>
        <w:rPr>
          <w:b/>
        </w:rPr>
        <w:t>Available abstract (not full text):</w:t>
      </w:r>
      <w:r>
        <w:t xml:space="preserve"> This paper provides a comprehensive review of existing literature on research design, philosophy, and quantitative approaches in scientific research methodology. It explores the theoretical foundations that influence researchers’ choices when developing a research strategy, with particular emphasis on the alignment between research philosophy and methodological choices. By examining key philosophical paradigms such as positivism, interpretivism, and pragmatism, the paper highlights how these frameworks shape the selection of quantitative, qualitative, and mixed-methods research approaches. The Research Onion Model is utilized to demonstrate the sequential layers of research design, from philosophical stance to data collection strategy. Through a review of current research, this paper provides insights into the importance of selecting the appropriate methodology based on the research objectives, questions, and underlying theoretical perspectives. The findings suggest that understanding the interplay between philosophy and methodology is crucial for ensuring a coherent and effective research design. By synthesizing existing theoretical perspectives, this paper contributes to a deeper understanding of the methodological choices available for scientific research.</w:t>
      </w:r>
    </w:p>
    <w:p>
      <w:pPr/>
      <w:r>
        <w:rPr>
          <w:b/>
        </w:rPr>
        <w:t>POSSIBLE 2025:</w:t>
      </w:r>
      <w:r>
        <w:t xml:space="preserve"> Validation of a Gamified Circular Design Methodology through a Design Workshop — https://doi.org/10.15377/2409-9821.2025.12.10</w:t>
      </w:r>
    </w:p>
    <w:p>
      <w:pPr/>
      <w:r>
        <w:rPr>
          <w:b/>
        </w:rPr>
        <w:t>Shared claim-specific concepts:</w:t>
      </w:r>
      <w:r>
        <w:t xml:space="preserve"> design, methodology, findings; EU scope not established. This is a provisional connection, not an outcome finding.</w:t>
      </w:r>
    </w:p>
    <w:p>
      <w:pPr>
        <w:pStyle w:val="SourceNote"/>
      </w:pPr>
      <w:r>
        <w:rPr>
          <w:b/>
        </w:rPr>
        <w:t>Available abstract (not full text):</w:t>
      </w:r>
      <w:r>
        <w:t xml:space="preserve"> This research integrates theory with practice (thought and action) connecting real-life problems to theorical foundations, with the dual aim of solving a design problem in the circular economy (CE) and delivering new knowledge through experimentation. This paper stems from the observation that architects commonly rely on their personal experience while designing without adopting structured frameworks. The present study aims at validating a previously proposed circular design methodological framework in practice. To achieve this aim, the research employed a design workshop to test this design methodology. This is followed by an analysis of how non-expert architects in CE perceived and applied it. The study recorded participants’ interaction with the gamification sense implied in the methodology and assessed their ability to develop designs compatible with CE principles. Data collection included sketches, video recordings, observations, and written notes. The findings highlight the potential of the circular design methodology to support the design process in CE. Participants reported positive experiences, describing the methodology as flexible, easy to comprehend, enjoyable, time-efficient, and educational. The results validate the applicability of this circular design methodology, leading to setting a step-by-step guideline for its future implementation. Ultimately, the validati</w:t>
      </w:r>
    </w:p>
    <w:p>
      <w:pPr>
        <w:pStyle w:val="Heading2"/>
      </w:pPr>
      <w:r>
        <w:t>790. The Public Health Status and Foresight report 2014: Four normative perspectives on a healthier Netherlands in 2040</w:t>
      </w:r>
    </w:p>
    <w:p>
      <w:pPr>
        <w:pStyle w:val="SourceNote"/>
      </w:pPr>
      <w:r>
        <w:rPr>
          <w:b/>
        </w:rPr>
        <w:t>Original source (2018):</w:t>
      </w:r>
      <w:r>
        <w:t xml:space="preserve"> https://doi.org/10.1016/j.healthpol.2018.10.014</w:t>
      </w:r>
    </w:p>
    <w:p>
      <w:pPr/>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pPr/>
      <w:r>
        <w:rPr>
          <w:b/>
        </w:rPr>
        <w:t>POSSIBLE 2026:</w:t>
      </w:r>
      <w:r>
        <w:t xml:space="preserve"> European Cancer Prevention Organization on cancer screening: an expert panel position paper — https://doi.org/10.1097/cej.0000000000001025</w:t>
      </w:r>
    </w:p>
    <w:p>
      <w:pPr/>
      <w:r>
        <w:rPr>
          <w:b/>
        </w:rPr>
        <w:t>Shared claim-specific concepts:</w:t>
      </w:r>
      <w:r>
        <w:t xml:space="preserve"> organized, strategies, each, identified; EU scope visible. This is a provisional connection, not an outcome finding.</w:t>
      </w:r>
    </w:p>
    <w:p>
      <w:pPr>
        <w:pStyle w:val="SourceNote"/>
      </w:pPr>
      <w:r>
        <w:rPr>
          <w:b/>
        </w:rPr>
        <w:t>Available abstract (not full text):</w:t>
      </w:r>
      <w:r>
        <w:t xml:space="preserve">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pPr/>
      <w:r>
        <w:rPr>
          <w:b/>
        </w:rPr>
        <w:t>POSSIBLE 2026:</w:t>
      </w:r>
      <w:r>
        <w:t xml:space="preserve"> Costs of Academic Engagement in Organized Plastic and Reconstructive Surgery in the United States — https://doi.org/10.1055/a-2832-6764</w:t>
      </w:r>
    </w:p>
    <w:p>
      <w:pPr/>
      <w:r>
        <w:rPr>
          <w:b/>
        </w:rPr>
        <w:t>Shared claim-specific concepts:</w:t>
      </w:r>
      <w:r>
        <w:t xml:space="preserve"> organized, meetings, engagement, other, between, identified; EU scope not established. This is a provisional connection, not an outcome finding.</w:t>
      </w:r>
    </w:p>
    <w:p>
      <w:pPr>
        <w:pStyle w:val="SourceNote"/>
      </w:pPr>
      <w:r>
        <w:rPr>
          <w:b/>
        </w:rPr>
        <w:t>Available abstract (not full text):</w:t>
      </w:r>
      <w:r>
        <w:t xml:space="preserve"> Academic engagement in plastic and reconstructive surgery (PRS) has grown substantially, marked by an increasing number of professional societies, annual meetings, and peer-reviewed journals. While this growth has facilitated innovation, collaboration, and knowledge sharing, it has also introduced financial burdens. These costs may limit access to academic involvement, especially for early-career surgeons and those without institutional funding. Despite the implications these financial barriers pose for equity, academic engagement, and innovation within the field, the cumulative cost of academic involvement in PRS remains poorly quantified. A cross-sectional review was conducted to assess the financial costs of academic engagement in PRS in the United States. Between January and April 2025, data were collected from official websites of national and subspecialty PRS societies, journals, continuing medical education (CME) platforms, and board-certifying bodies. Annual dues, meeting fees, CME costs, journal subscription, publishing fees, and board-related expenses were compiled. A comparative analysis with five other surgical subspecialties was conducted. Thirty-two major PRS societies were identified. Membership dues ranged from $150 to $1,299. Meeting registration was $250 to $1,495. Journal subscription costs ranged from $44.90 to $1,518, and open-access (OA) article processing</w:t>
      </w:r>
    </w:p>
    <w:p>
      <w:pPr/>
      <w:r>
        <w:rPr>
          <w:b/>
        </w:rPr>
        <w:t>POSSIBLE 2026:</w:t>
      </w:r>
      <w:r>
        <w:t xml:space="preserve"> Challenges to Grassroots Organization Engagement with AI Policy — https://openalex.org/W7165424158</w:t>
      </w:r>
    </w:p>
    <w:p>
      <w:pPr/>
      <w:r>
        <w:rPr>
          <w:b/>
        </w:rPr>
        <w:t>Shared claim-specific concepts:</w:t>
      </w:r>
      <w:r>
        <w:t xml:space="preserve"> engagement, other, challenges; EU scope not established. This is a provisional connection, not an outcome finding.</w:t>
      </w:r>
    </w:p>
    <w:p>
      <w:pPr>
        <w:pStyle w:val="SourceNote"/>
      </w:pPr>
      <w:r>
        <w:rPr>
          <w:b/>
        </w:rPr>
        <w:t>Available abstract (not full text):</w:t>
      </w:r>
      <w:r>
        <w:t xml:space="preserve"> Public policies are being developed around the world to address privacy, economic, intellectual property, energy, and other risks that AI technologies pose. Involvement from the general public is essential to governance as an accountability and alignment mechanism. However, participating in and impacting policymaking can be challenging for sections of the public that lack extensive networks, lobbying capabilities, and other forms of power. This challenge is especially acute for marginalized communities. In this paper, we present a case study of our organization's efforts to bring participatory design (PD) principles to AI policymaking in the US. We describe our engagements with several US policy bodies, and our participatory development of AI policy for queer people. We highlight challenges with PD practice with marginalized communities, and offer suggestions to alleviate them. We conclude with actionable recommendations for policymakers and other organizers working in marginalized communities.</w:t>
      </w:r>
    </w:p>
    <w:p>
      <w:pPr/>
      <w:r>
        <w:rPr>
          <w:b/>
        </w:rPr>
        <w:t>POSSIBLE 2026:</w:t>
      </w:r>
      <w:r>
        <w:t xml:space="preserve"> Indigenous narratives as enablers of policy change: the Saami Council’s productive engagement for improving EU policies — https://doi.org/10.1057/s41268-026-00377-w</w:t>
      </w:r>
    </w:p>
    <w:p>
      <w:pPr/>
      <w:r>
        <w:rPr>
          <w:b/>
        </w:rPr>
        <w:t>Shared claim-specific concepts:</w:t>
      </w:r>
      <w:r>
        <w:t xml:space="preserve"> engagement, possible; EU scope visible. This is a provisional connection, not an outcome finding.</w:t>
      </w:r>
    </w:p>
    <w:p>
      <w:pPr>
        <w:pStyle w:val="SourceNote"/>
      </w:pPr>
      <w:r>
        <w:rPr>
          <w:b/>
        </w:rPr>
        <w:t>Available abstract (not full text):</w:t>
      </w:r>
      <w:r>
        <w:t xml:space="preserve"> Abstract This article focuses on how the Saami Council productively engages with the EU through its narratives in order to bring about change in EU policies and to navigate uncertainties threatening their future existence. Based on an emotion discourse analysis and narrative analysis of Saami Council’s documents that focus on the European Union, the article finds that narratives have worked in two different aspects to enable the Saami Council to motivate the Sámi communities from the emotional states of fear, anger, resentment and disappointment to productively engage with the European Union. Working internally, their narrative has instilled hope in communities that a better future is possible. Facing outward, their narrative has demonstrated that the negative consequences of the green transition on their lands is a new form of colonialism, demanded respect for their internationally recognized rights in EU policies and underlined the significance of their inclusion in EU policy-making structures.</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engagement, strategies;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ABC8 Consensus: Assessment by a German Group of Experts — https://doi.org/10.1159/000550147</w:t>
      </w:r>
    </w:p>
    <w:p>
      <w:pPr/>
      <w:r>
        <w:rPr>
          <w:b/>
        </w:rPr>
        <w:t>Shared claim-specific concepts:</w:t>
      </w:r>
      <w:r>
        <w:t xml:space="preserve"> organized, meetings, experts; EU scope visible. This is a provisional connection, not an outcome finding.</w:t>
      </w:r>
    </w:p>
    <w:p>
      <w:pPr>
        <w:pStyle w:val="SourceNote"/>
      </w:pPr>
      <w:r>
        <w:rPr>
          <w:b/>
        </w:rPr>
        <w:t>Available abstract (not full text):</w:t>
      </w:r>
      <w:r>
        <w:t xml:space="preserve"> Background: The "International Consensus Conference for Advanced Breast Cancer" was initiated with the rationale to standardize treatment of advanced breast cancer (ABC) based on available evidence. The aim was to ensure that all ABC patients worldwide receive adequate treatment and get access to new diagnostic, therapeutic, and supportive options. Topics of ABC8: Since the beginning ABC Consensus Conference has been organized in Lisbon/Portugal. The 8th International Consensus Conference for ABC (ABC8) took place there from November 4th to 8th, 2025, and focused not only on metastatic disease but also on locally advanced and inflammatory breast cancer (BC). Special topics were new drugs and new therapies with promising results in randomized clinical trials. Not all of them are currently approved by FDA (Food and Drug Administration) or EMA (European Medicines Agency) for the indication in which the study was conducted. As in previous years, patient advocates from around the world were integrated into the ABC Conference and contributed substantially to the consensus. Rationale for the Manuscript: A German BC expert panel comments on the voting results of the ABC8 panelists regarding their relevance for routine clinical practice in Germany. As with previous meetings, the ABC8 votes focused on modified or new statements. Statements not modified for the ABC8 consensus remain valid</w:t>
      </w:r>
    </w:p>
    <w:p>
      <w:pPr/>
      <w:r>
        <w:rPr>
          <w:b/>
        </w:rPr>
        <w:t>POSSIBLE 2026:</w:t>
      </w:r>
      <w:r>
        <w:t xml:space="preserve"> Welcome to the 22nd Meeting of the Interuniversity Institute of Myology! — https://doi.org/10.4081/ejtm.2026.15249</w:t>
      </w:r>
    </w:p>
    <w:p>
      <w:pPr/>
      <w:r>
        <w:rPr>
          <w:b/>
        </w:rPr>
        <w:t>Shared claim-specific concepts:</w:t>
      </w:r>
      <w:r>
        <w:t xml:space="preserve"> organized, experts, four; EU scope visible. This is a provisional connection, not an outcome finding.</w:t>
      </w:r>
    </w:p>
    <w:p>
      <w:pPr>
        <w:pStyle w:val="SourceNote"/>
      </w:pPr>
      <w:r>
        <w:rPr>
          <w:b/>
        </w:rPr>
        <w:t>Available abstract (not full text):</w:t>
      </w:r>
      <w:r>
        <w:t xml:space="preserve"> The 22nd Meeting of the Interuniversity Institute of Myology (IIM) took place in Assisi, Italy, from September 11 to 14, 2025, welcoming 106 participants from academia, industry, and patient organizations across Europe and the USA. The meeting provided an interdisciplinary forum for discussing muscle tissue from every perspective, combining scientific sessions with informal social events to foster networking. Early-career scientists played a central role, representing half of the attendees. Their involvement was supported by the High Training Course “Advanced Myology Update 2025,” jointly organized by the University of Perugia and IIM, which hosted 15 participants in lectures and roundtable discussions led by invited experts. The scientific program comprised six sessions, including 28 oral presentations and 36 posters. Four keynote lectures by Karyn Esser, Markus Rüegg, Giulio Cossu, and Roberta Sartori offered in-depth insights into muscle biology, neuromuscular disorders, and translational research. In line with IIM’s support for young scientists, presenters under 35 were eligible for Best Talk, Best Poster Blitz, and Best Poster awards. Winners were invited to join the IIM Young Committee, contributing to future meeting organization. Overall, the 22nd IIM Meeting confirmed its role as an inclusive and dynamic forum for the myology community. It successfully combined high-le</w:t>
      </w:r>
    </w:p>
    <w:p>
      <w:pPr/>
      <w:r>
        <w:rPr>
          <w:b/>
        </w:rPr>
        <w:t>POSSIBLE 2026:</w:t>
      </w:r>
      <w:r>
        <w:t xml:space="preserve"> Proceedings from ERN EpiCARE “BEYOND SEIZURES” meeting, Aalesund, Norway, May the 27th. Advancing holistic care for rare and complex epilepsies in adults — https://doi.org/10.1016/j.yebeh.2025.110879</w:t>
      </w:r>
    </w:p>
    <w:p>
      <w:pPr/>
      <w:r>
        <w:rPr>
          <w:b/>
        </w:rPr>
        <w:t>Shared claim-specific concepts:</w:t>
      </w:r>
      <w:r>
        <w:t xml:space="preserve"> organized, experts, explore, between; EU scope visible. This is a provisional connection, not an outcome finding.</w:t>
      </w:r>
    </w:p>
    <w:p>
      <w:pPr>
        <w:pStyle w:val="SourceNote"/>
      </w:pPr>
      <w:r>
        <w:rPr>
          <w:b/>
        </w:rPr>
        <w:t>Available abstract (not full text):</w:t>
      </w:r>
      <w:r>
        <w:t xml:space="preserve"> This proceedings document presents the results of the European Reference Network for Rare and Complex Epilepsies (ERN EpiCARE) “Beyond Seizures” meeting held in Ålesund, Norway, on May 26th and 27th, 2025. Organized by Working Group 18, this meeting gathered experts in the field to explore the multifaceted nature of epilepsy and its wide-ranging implications beyond seizure control. Participants shared their latest findings and engaged in discussions centered around the complex interplay between epilepsy, cognitive function, psychological and social comorbidities, and the advancements in treatment modalities.</w:t>
      </w:r>
    </w:p>
    <w:p>
      <w:pPr/>
      <w:r>
        <w:rPr>
          <w:b/>
        </w:rPr>
        <w:t>POSSIBLE 2025:</w:t>
      </w:r>
      <w:r>
        <w:t xml:space="preserve"> Design Policy Mapping in Europe — https://openalex.org/W7215223829</w:t>
      </w:r>
    </w:p>
    <w:p>
      <w:pPr/>
      <w:r>
        <w:rPr>
          <w:b/>
        </w:rPr>
        <w:t>Shared claim-specific concepts:</w:t>
      </w:r>
      <w:r>
        <w:t xml:space="preserve"> strategies, each, other;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Polytraps in European rural mountainous regions: an expert view — https://doi.org/10.1080/09654313.2025.2473380</w:t>
      </w:r>
    </w:p>
    <w:p>
      <w:pPr/>
      <w:r>
        <w:rPr>
          <w:b/>
        </w:rPr>
        <w:t>Shared claim-specific concepts:</w:t>
      </w:r>
      <w:r>
        <w:t xml:space="preserve"> experts, engagement, challenges; EU scope visible. This is a provisional connection, not an outcome finding.</w:t>
      </w:r>
    </w:p>
    <w:p>
      <w:pPr>
        <w:pStyle w:val="SourceNote"/>
      </w:pPr>
      <w:r>
        <w:rPr>
          <w:b/>
        </w:rPr>
        <w:t>Available abstract (not full text):</w:t>
      </w:r>
      <w:r>
        <w:t xml:space="preserve"> Many territorial and development policies in the European Union recognize that rural mountainous regions suffer from enduring natural and demographic disadvantages. These regions frequently face undesirable, persistent and self-reinforcing challenges, often conceptualized as traps. Through engagement with a panel of experts on mountainous regions, we examined whether the trap concept effectively explains the development challenges in European mountainous areas. We find that the distinguishing feature of these challenges is their multidimensional interrelatedness, which can give rise to multiple, simultaneously occurring traps (e.g. rigidity traps, poverty traps, lock-in traps, and regional development traps). In effect, we find that mountainous regions experience a polytrap – a complex of concurrent traps, maladaptive processes, an absence or severe limitation of bounce-back resilience, and difficulties in achieving bounce-forward resilience, largely due to dependence on external actors and factors. This polytrap concept emphasizes the need for rural policies to acknowledge these multifaceted challenges and both enable and promote place-based approaches for revitalizing left-behind places.</w:t>
      </w:r>
    </w:p>
    <w:p>
      <w:pPr/>
      <w:r>
        <w:rPr>
          <w:b/>
        </w:rPr>
        <w:t>POSSIBLE 2025:</w:t>
      </w:r>
      <w:r>
        <w:t xml:space="preserve"> Citizen Engagement and Its Impact on Public Policy Formation — https://doi.org/10.70593/978-93-49307-56-8</w:t>
      </w:r>
    </w:p>
    <w:p>
      <w:pPr/>
      <w:r>
        <w:rPr>
          <w:b/>
        </w:rPr>
        <w:t>Shared claim-specific concepts:</w:t>
      </w:r>
      <w:r>
        <w:t xml:space="preserve"> engagement, societal, challenges, between; EU scope not established. This is a provisional connection, not an outcome finding.</w:t>
      </w:r>
    </w:p>
    <w:p>
      <w:pPr>
        <w:pStyle w:val="SourceNote"/>
      </w:pPr>
      <w:r>
        <w:rPr>
          <w:b/>
        </w:rPr>
        <w:t>Available abstract (not full text):</w:t>
      </w:r>
      <w:r>
        <w:t xml:space="preserve"> In today’s rapidly evolving world, the role of citizens in shaping public policy has become more critical than ever. As governments strive to be more transparent, inclusive, and responsive, citizen engagement serves as a fundamental pillar in fostering democratic governance. This book, Citizen Engagement and Its Impact on Public Policy Formation, explores the dynamics of public participation, the mechanisms through which citizens influence policy decisions, and the broader implications of engagement on governance and societal development. This work aims to bridge the gap between theory and practice by examining real-world case studies, best practices, and challenges in citizen participation. It delves into how digital platforms, grassroots movements, and institutional reforms have transformed traditional policymaking processes, allowing for a more participatory and collaborative approach.</w:t>
      </w:r>
    </w:p>
    <w:p>
      <w:pPr/>
      <w:r>
        <w:rPr>
          <w:b/>
        </w:rPr>
        <w:t>POSSIBLE 2025:</w:t>
      </w:r>
      <w:r>
        <w:t xml:space="preserve"> Social work and policy engagement: a thematic analysis of Swiss social workers’ policy strategies — https://doi.org/10.1080/13691457.2025.2553855</w:t>
      </w:r>
    </w:p>
    <w:p>
      <w:pPr/>
      <w:r>
        <w:rPr>
          <w:b/>
        </w:rPr>
        <w:t>Shared claim-specific concepts:</w:t>
      </w:r>
      <w:r>
        <w:t xml:space="preserve"> engagement, strategies; EU scope not established. This is a provisional connection, not an outcome finding.</w:t>
      </w:r>
    </w:p>
    <w:p>
      <w:pPr>
        <w:pStyle w:val="SourceNote"/>
      </w:pPr>
      <w:r>
        <w:rPr>
          <w:b/>
        </w:rPr>
        <w:t>Available abstract (not full text):</w:t>
      </w:r>
      <w:r>
        <w:t xml:space="preserve"> An expanding body of theoretical literature reconceptualises social work not merely as a mechanism for policy implementation but as an active policy actor. From this perspective, social workers are encouraged to leverage their professional expertise to shape policy development in ways that promote equity, justice, and the overall wellbeing of service users. Despite this evolving discourse, empirical research on policy engagement remains scarce, providing only limited knowledge about social workers’ particular policy strategies. Addressing this research gap, the aim of this qualitative case study was to gain a deeper understanding of how social workers engage in policy processes. More precisely, it drew on interviews with 38 social workers to examine their strategies of policy engagement in the real policy case of planned cuts to public social assistance in the canton of Bern in Switzerland. The data were analysed using thematic analysis, which yielded seven distinct policy strategies: influencing formal policymaking, shaping public opinion, building coalitions, mobilising engagement, creating emotional involvement, contributing professional knowledge, and involving service users. These findings reinforce existing frameworks, highlight previously underexplored policy strategies, and suggest promising directions for future empirical research on social workers’ policy engagement.</w:t>
      </w:r>
    </w:p>
    <w:p>
      <w:pPr>
        <w:pStyle w:val="Heading2"/>
      </w:pPr>
      <w:r>
        <w:t>791. The implications of demographic and economic projections on public pension spending in the European Union</w:t>
      </w:r>
    </w:p>
    <w:p>
      <w:pPr>
        <w:pStyle w:val="SourceNote"/>
      </w:pPr>
      <w:r>
        <w:rPr>
          <w:b/>
        </w:rPr>
        <w:t>Original source (2018):</w:t>
      </w:r>
      <w:r>
        <w:t xml:space="preserve"> https://doi.org/10.1080/21699763.2017.1411288</w:t>
      </w:r>
    </w:p>
    <w:p>
      <w:pPr/>
      <w:r>
        <w:t>Original wording (abstract; indexed_source_text_not_full_document_verified):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POSSIBLE 2026:</w:t>
      </w:r>
      <w:r>
        <w:t xml:space="preserve"> Australia-European Union Free Trade Agreement negotiations conclude: implications for Australian and EU geographical indications — https://doi.org/10.1093/jiplp/jpag079</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pPr/>
      <w:r>
        <w:rPr>
          <w:b/>
        </w:rPr>
        <w:t>POSSIBLE 2026:</w:t>
      </w:r>
      <w:r>
        <w:t xml:space="preserve"> Ageing Europe: Demographic Change, Active Ageing, and EU Legislative Strategies — https://doi.org/10.5281/zenodo.20000812</w:t>
      </w:r>
    </w:p>
    <w:p>
      <w:pPr/>
      <w:r>
        <w:rPr>
          <w:b/>
        </w:rPr>
        <w:t>Shared claim-specific concepts:</w:t>
      </w:r>
      <w:r>
        <w:t xml:space="preserve"> implications, demographic, pension, union, trends, population; EU scope visible. This is a provisional connection, not an outcome finding.</w:t>
      </w:r>
    </w:p>
    <w:p>
      <w:pPr>
        <w:pStyle w:val="SourceNote"/>
      </w:pPr>
      <w:r>
        <w:rPr>
          <w:b/>
        </w:rPr>
        <w:t>Available abstract (not full text):</w:t>
      </w:r>
      <w:r>
        <w:t xml:space="preserve"> Population ageing represents one of the most significant demographic and socio-economic challenges currently facing the European Union. Driven primarily by declining fertility rates and increasing life expectancy, this process has profound implications for labour markets, pension systems, public finances, and social cohesion. The study aims to analyse population ageing within the European Union, with a particular focus on the social position of older persons and the extent to which European Union legislation and strategic initiatives address their needs. Using a three-stage methodological approach—comprising a review of demographic theory and contemporary research, an analysis of demographic ageing trends in the EU, and an examination of selected EU legislative and strategic measures—the article explores key issues related to active ageing, equal treatment, labour market participation, and the coordination of social security systems. Special attention is devoted to anti-discrimination law, notably Council Directive 2000/78/EC, related case law of the Court of Justice of the European Union, and non-legislative initiatives such as the Green Paper on Ageing. The findings highlight both progress and persisting gaps in EU-level responses, underlining the need for more comprehensive and binding legislative action to improve the quality of life and social inclusion of older persons.</w:t>
      </w:r>
    </w:p>
    <w:p>
      <w:pPr/>
      <w:r>
        <w:rPr>
          <w:b/>
        </w:rPr>
        <w:t>POSSIBLE 2026:</w:t>
      </w:r>
      <w:r>
        <w:t xml:space="preserve"> Subnational disaggregation of SSP-coherent population projections for Europe — https://doi.org/10.1038/s41597-026-07878-w</w:t>
      </w:r>
    </w:p>
    <w:p>
      <w:pPr/>
      <w:r>
        <w:rPr>
          <w:b/>
        </w:rPr>
        <w:t>Shared claim-specific concepts:</w:t>
      </w:r>
      <w:r>
        <w:t xml:space="preserve"> analyses, demographic, projections, trends, population, well; EU scope visible. This is a provisional connection, not an outcome finding.</w:t>
      </w:r>
    </w:p>
    <w:p>
      <w:pPr>
        <w:pStyle w:val="SourceNote"/>
      </w:pPr>
      <w:r>
        <w:rPr>
          <w:b/>
        </w:rPr>
        <w:t>Available abstract (not full text):</w:t>
      </w:r>
      <w:r>
        <w:t xml:space="preserve"> Age- and sex-specific, subnational population projections are scarce despite their essential role, e.g., in planning the provision of health, education, or social services. This Data Descriptor presents a new, open dataset providing downscaled population information for 305 NUTS-2 regions across 34 European countries covering the 2020 to 2100 period in 5-yearly steps. It is consistent with the latest country projections under the SSPs and provides population information by sex and five-year age groups. The dataset results from (1) the application of a neural-network model architecture to project regional age structures, before (2) imposing an SSP-consistent sex split that propagates country-level scenario trends while preserving regional heterogeneity. The dataset is accompanied by the fully documented R code, ensuring transparency, reproducibility, as well as generalizability to other regions or possibly demographic dimensions. This new resource facilitates analyses of demographic heterogeneity across regions and over time, as well as integrated assessments of social policies, regional development, and climate-related risks under alternative socioeconomic futures.</w:t>
      </w:r>
    </w:p>
    <w:p>
      <w:pPr/>
      <w:r>
        <w:rPr>
          <w:b/>
        </w:rPr>
        <w:t>POSSIBLE 2026:</w:t>
      </w:r>
      <w:r>
        <w:t xml:space="preserve"> Diet-attributable vascular/metabolic disease burden comparisons and public health implications in Western Europe and North America — https://doi.org/10.1016/j.isci.2026.117732</w:t>
      </w:r>
    </w:p>
    <w:p>
      <w:pPr/>
      <w:r>
        <w:rPr>
          <w:b/>
        </w:rPr>
        <w:t>Shared claim-specific concepts:</w:t>
      </w:r>
      <w:r>
        <w:t xml:space="preserve"> analyses, implications, projections, trends; EU scope visible. This is a provisional connection, not an outcome finding.</w:t>
      </w:r>
    </w:p>
    <w:p>
      <w:pPr>
        <w:pStyle w:val="SourceNote"/>
      </w:pPr>
      <w:r>
        <w:rPr>
          <w:b/>
        </w:rPr>
        <w:t>Available abstract (not full text):</w:t>
      </w:r>
      <w:r>
        <w:t xml:space="preserve"> Summary: Ischemic heart disease (IHD), ischemic stroke (IS), type 2 diabetes mellitus (T2DM), and lower-extremity vascular disease are leading causes of disability in Western Europe and North America, but their diet-attributable burden remains unclear. Using Global Burden of Disease (GBD) 2023 data, we assessed the association between the Socio-demographic Index (SDI) and the vascular/metabolic disease burden and compared the cross-regional burden through multi-dimensional time-trend, risk contribution, and projection analyses. Mendelian randomization (MR) tested causal diet effects on disease subtypes. Frontier analysis showed diet-related IHD and IS burden declined with SDI, while T2DM increased. By 2023, Western Europe had a lower burden than North America. Processed meat and whole grain dominated T2DM and IHD burden, respectively. Joinpoint analysis revealed declining trends. Projections to 2035 indicated North America remains higher. MR identified several potential causal links. This study provides a basis for vascular/metabolic disease prevention policies and dietary interventions in Western Europe and North America.</w:t>
      </w:r>
    </w:p>
    <w:p>
      <w:pPr/>
      <w:r>
        <w:rPr>
          <w:b/>
        </w:rPr>
        <w:t>POSSIBLE 2026:</w:t>
      </w:r>
      <w:r>
        <w:t xml:space="preserve"> Demographic Transformation and Sustainable Workforce Challenges in the European Union — https://doi.org/10.14207/ejsd.2026.v15n2p121</w:t>
      </w:r>
    </w:p>
    <w:p>
      <w:pPr/>
      <w:r>
        <w:rPr>
          <w:b/>
        </w:rPr>
        <w:t>Shared claim-specific concepts:</w:t>
      </w:r>
      <w:r>
        <w:t xml:space="preserve"> demographic, union, aging, trends, population, force; EU scope visible. This is a provisional connection, not an outcome finding.</w:t>
      </w:r>
    </w:p>
    <w:p>
      <w:pPr>
        <w:pStyle w:val="SourceNote"/>
      </w:pPr>
      <w:r>
        <w:rPr>
          <w:b/>
        </w:rPr>
        <w:t>Available abstract (not full text):</w:t>
      </w:r>
      <w:r>
        <w:t xml:space="preserve"> The aim of this publication is to assess the impact of dynamic demographic changes on the availability of labor in selected European Union countries: the Czech Republic, Denmark, France, Germany, Poland, and Italy. The aging of societies, declining fertility rates, and varying migration trends are leading to a systematic aging and shrinking of the potential labor force, thus posing a significant challenge to the economies of Member States. This study conducted a comparative analysis of key demographic indicators using harmonized statistical data (Eurostat and OECD). The results of the study indicate a clear relationship between the progressive aging of the population and the deteriorating balance in labor markets. The article emphasizes the need to implement coherent social and demographic policies, in particular migration policies, in order to adapt to the changing demographic structure. The conclusions point to the urgent need to respond to the impending labor shortages in order to maintain the EU's economic competitiveness. Keywords: demographic change, labor force, migration policy, age structure</w:t>
      </w:r>
    </w:p>
    <w:p>
      <w:pPr/>
      <w:r>
        <w:rPr>
          <w:b/>
        </w:rPr>
        <w:t>POSSIBLE 2026:</w:t>
      </w:r>
      <w:r>
        <w:t xml:space="preserve"> Digital Nomadism in Europe: A Scoping Review of Prevalence, Spatial Patterns, and Policy Implications — https://doi.org/10.47941/ijhss.3661</w:t>
      </w:r>
    </w:p>
    <w:p>
      <w:pPr/>
      <w:r>
        <w:rPr>
          <w:b/>
        </w:rPr>
        <w:t>Shared claim-specific concepts:</w:t>
      </w:r>
      <w:r>
        <w:t xml:space="preserve"> implications, demographic; EU scope visible. This is a provisional connection, not an outcome finding.</w:t>
      </w:r>
    </w:p>
    <w:p>
      <w:pPr>
        <w:pStyle w:val="SourceNote"/>
      </w:pPr>
      <w:r>
        <w:rPr>
          <w:b/>
        </w:rPr>
        <w:t>Available abstract (not full text):</w:t>
      </w:r>
      <w:r>
        <w:t xml:space="preserve"> Purpose: To examine the prevalence, geographical distribution and key determinants of digital nomadism across Europe in order to clarify its socio-economic implications. Methodology: This study adopts a scoping review methodology using PRISMA Extension for Scoping Reviews (PRISMA-ScR) guidelines to systematically map the extent, nature, and characteristics of research on digital nomadism in Europe, highlighting prevalence patterns, demographic and socio-economic profiles, motivations, and urban and economic implications. Findings: Final synthesis show that 12 studies published between 2016 and 2024 were included from major electronic databases and relevant grey literature. Findings indicate that digital nomads are concentrated in European cities like Portugal, Malta, Spain and the Netherlands that offer robust digital infrastructure, international accessibility, and high quality of life, with Southern European destinations increasingly positioning themselves as attractive hubs. Motivations for adopting a digital nomad lifestyle centre around autonomy, flexibility, and the integration of work and leisure, while coworking spaces and digital platforms facilitate sustained mobility and professional networking. Potential challenges to digital nomadism identified by not limited to housing pressures, urban transformation, and socio-economic inequalities in host destinations Unique Con</w:t>
      </w:r>
    </w:p>
    <w:p>
      <w:pPr/>
      <w:r>
        <w:rPr>
          <w:b/>
        </w:rPr>
        <w:t>POSSIBLE 2026:</w:t>
      </w:r>
      <w:r>
        <w:t xml:space="preserve"> Radical- right populism, youth and demographic issues — https://doi.org/10.7765/9781526192257.00014</w:t>
      </w:r>
    </w:p>
    <w:p>
      <w:pPr/>
      <w:r>
        <w:rPr>
          <w:b/>
        </w:rPr>
        <w:t>Shared claim-specific concepts:</w:t>
      </w:r>
      <w:r>
        <w:t xml:space="preserve"> analyses, implications, demographic; EU scope visible. This is a provisional connection, not an outcome finding.</w:t>
      </w:r>
    </w:p>
    <w:p>
      <w:pPr>
        <w:pStyle w:val="SourceNote"/>
      </w:pPr>
      <w:r>
        <w:rPr>
          <w:b/>
        </w:rPr>
        <w:t>Available abstract (not full text):</w:t>
      </w:r>
      <w:r>
        <w:t xml:space="preserve"> This chapter investigates how youth branches affiliated with radical-right populist parties in Europe politicise demography-related topics, exploring the intersection of generational identity and party ideology. Focusing on the Austrian Freedom Party (FPÖ), the study analyses youth discourses around migration, gender, family, fertility and socioeconomic challenges, highlighting both convergence with the main party and generational distinctions. Findings reveal that youth branches emphasise the perceived disadvantage of native youth, the preservation of Austria’s demographic composition and the protection of traditional societal norms. While topics such as LGBTQ+ rights, religion and systemic gender inequalities are largely silenced, migration and family formation are central, sometimes framed within narratives invoking the ‘great replacement’ conspiracy theory. The chapter demonstrates how demography becomes both a context and a political tool, showing that radical-right demographic populism extends into youth politics and adapts to generational concerns. It concludes by discussing the implications for understanding youth political engagement, generational differences in populist attitudes, and avenues for future research on the intergenerational transmission of radical-right ideologies.</w:t>
      </w:r>
    </w:p>
    <w:p>
      <w:pPr/>
      <w:r>
        <w:rPr>
          <w:b/>
        </w:rPr>
        <w:t>POSSIBLE 2026:</w:t>
      </w:r>
      <w:r>
        <w:t xml:space="preserve"> Governance and responsiveness: Implications for the context of public policies — https://doi.org/10.1590/2358-28982026e311080i</w:t>
      </w:r>
    </w:p>
    <w:p>
      <w:pPr/>
      <w:r>
        <w:rPr>
          <w:b/>
        </w:rPr>
        <w:t>Shared claim-specific concepts:</w:t>
      </w:r>
      <w:r>
        <w:t xml:space="preserve"> analyses, implications; EU scope not established. This is a provisional connection, not an outcome finding.</w:t>
      </w:r>
    </w:p>
    <w:p>
      <w:pPr>
        <w:pStyle w:val="SourceNote"/>
      </w:pPr>
      <w:r>
        <w:rPr>
          <w:b/>
        </w:rPr>
        <w:t>Available abstract (not full text):</w:t>
      </w:r>
      <w:r>
        <w:t xml:space="preserve"> ABSTRACT This essay analyses the dialogical governance in the public sector and advantages of adopting responsive regulation practices. The analysis is developed as an essay that employs specialized literature intentionally selected following criteria of: i) Relevance in the field of policy analysis and institutional analysis; ii) Time-honored concepts and (iii) Recent references in these fields of knowledge in the Brazilian case. Arguments developed in conclusion are that macroinstitucional dimension of dialogical Governance mode is favored with the adoption of responsive regulation in routines of regulators, agencies and federal public administration departments involved in public policies. The main argument is that greater formalization of responsive regulatory strategies favors dialogical and participatory aspects in public administration, government capacity, and state institutions legitimacy.</w:t>
      </w:r>
    </w:p>
    <w:p>
      <w:pPr/>
      <w:r>
        <w:rPr>
          <w:b/>
        </w:rPr>
        <w:t>POSSIBLE 2026:</w:t>
      </w:r>
      <w:r>
        <w:t xml:space="preserve"> Changing epidemiology and etiology of hepatocellular carcinoma in Europe: implications for clinical practice and health policy — https://doi.org/10.1016/j.lanepe.2026.101837</w:t>
      </w:r>
    </w:p>
    <w:p>
      <w:pPr/>
      <w:r>
        <w:rPr>
          <w:b/>
        </w:rPr>
        <w:t>Shared claim-specific concepts:</w:t>
      </w:r>
      <w:r>
        <w:t xml:space="preserve"> implications, aging, trends, population; EU scope visible. This is a provisional connection, not an outcome finding.</w:t>
      </w:r>
    </w:p>
    <w:p>
      <w:pPr>
        <w:pStyle w:val="SourceNote"/>
      </w:pPr>
      <w:r>
        <w:rPr>
          <w:b/>
        </w:rPr>
        <w:t>Available abstract (not full text):</w:t>
      </w:r>
      <w:r>
        <w:t xml:space="preserve"> Primary liver cancer, of which hepatocellular carcinoma (HCC) represents the vast majority, is on the rise globally. Despite an expected decrease in viral hepatitis-related HCCs, the number of new cases and deaths from liver cancer is predicted to increase by over 30% in 2050 in Europe. This is largely driven by an increase in metabolic dysfunction-associated steatotic liver disease-related HCC and an aging population. Since HCC usually develops in patients with underlying chronic liver disease, over half of all cases appear to be preventable by targeting modifiable risk factors. This series paper summarizes epidemiological and etiological trends of HCC in Europe and their implications for the clinical management of HCC across different disease stages. We discuss public health initiatives and policies to counteract the rising incidence of HCC by focusing on prevention, and highlight additional benefits of etiological treatment for the management and prognosis of patients with HCC.</w:t>
      </w:r>
    </w:p>
    <w:p>
      <w:pPr/>
      <w:r>
        <w:rPr>
          <w:b/>
        </w:rPr>
        <w:t>POSSIBLE 2025:</w:t>
      </w:r>
      <w:r>
        <w:t xml:space="preserve"> Deprivations Rarely Come Alone. Multidimensional Poverty Dynamics in Europe — https://doi.org/10.1111/roiw.70031</w:t>
      </w:r>
    </w:p>
    <w:p>
      <w:pPr/>
      <w:r>
        <w:rPr>
          <w:b/>
        </w:rPr>
        <w:t>Shared claim-specific concepts:</w:t>
      </w:r>
      <w:r>
        <w:t xml:space="preserve"> abstract, implications, union; EU scope visible. This is a provisional connection, not an outcome finding.</w:t>
      </w:r>
    </w:p>
    <w:p>
      <w:pPr>
        <w:pStyle w:val="SourceNote"/>
      </w:pPr>
      <w:r>
        <w:rPr>
          <w:b/>
        </w:rPr>
        <w:t>Available abstract (not full text):</w:t>
      </w:r>
      <w:r>
        <w:t xml:space="preserve">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analyses, implications, demographic, population;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The Demographic Causes of European Sub-National Population Declines — https://doi.org/10.1007/s10680-025-09730-0</w:t>
      </w:r>
    </w:p>
    <w:p>
      <w:pPr/>
      <w:r>
        <w:rPr>
          <w:b/>
        </w:rPr>
        <w:t>Shared claim-specific concepts:</w:t>
      </w:r>
      <w:r>
        <w:t xml:space="preserve"> analyses, demographic, population; EU scope visible. This is a provisional connection, not an outcome finding.</w:t>
      </w:r>
    </w:p>
    <w:p>
      <w:pPr>
        <w:pStyle w:val="SourceNote"/>
      </w:pPr>
      <w:r>
        <w:rPr>
          <w:b/>
        </w:rPr>
        <w:t>Available abstract (not full text):</w:t>
      </w:r>
      <w:r>
        <w:t xml:space="preserve"> Population decline is now established at the continental scale in Europe, occurring in abundance across sub-national areas and outweighing population growth. This represents an unfamiliar pathway of demographic change and is set to present unique challenges to the functioning of societies and economies. The nature of these challenges will be influenced by the demographic cause of population decline. Typically, low fertility is cited as the primary instigator, though it remains unclear of the ways in which unique interactions between fertility, mortality and migration have shaped contemporary population decline outcomes. This study empirically analyses the demographic causes of population decline in 732 sub-national areas extending across 33 European countries. Drawing on data derived from national statistics from 2000-2018, we employ a novel methodological approach consisting of decomposition, multivariate functional principal component analysis, and k-medoid clustering to identify the dominant demographic processes underpinning European depopulation. Our analysis reveals five unique signatures, encoding nuanced contributions from fertility, mortality and migration changes. Population decline is found to be a multi-causal process, with natural deficits and negative rates of net-migration both operating depopulations in most instances. We conclude that natural deficits are ubiqu</w:t>
      </w:r>
    </w:p>
    <w:p>
      <w:pPr>
        <w:pStyle w:val="Heading2"/>
      </w:pPr>
      <w:r>
        <w:t>792. The northern hemisphere circumglobal teleconnection in a seasonal forecast model and its relationship to European summer forecast skill</w:t>
      </w:r>
    </w:p>
    <w:p>
      <w:pPr>
        <w:pStyle w:val="SourceNote"/>
      </w:pPr>
      <w:r>
        <w:rPr>
          <w:b/>
        </w:rPr>
        <w:t>Original source (2018):</w:t>
      </w:r>
      <w:r>
        <w:t xml:space="preserve"> https://doi.org/10.1007/s00382-018-4371-4</w:t>
      </w:r>
    </w:p>
    <w:p>
      <w:pPr/>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pPr/>
      <w:r>
        <w:rPr>
          <w:b/>
        </w:rPr>
        <w:t>POSSIBLE 2026:</w:t>
      </w:r>
      <w:r>
        <w:t xml:space="preserve"> The role of capitalism and colonialism in the deforestation of early modern Europe: Notes for historical land use models — https://doi.org/10.1016/j.ancene.2026.100566</w:t>
      </w:r>
    </w:p>
    <w:p>
      <w:pPr/>
      <w:r>
        <w:rPr>
          <w:b/>
        </w:rPr>
        <w:t>Shared claim-specific concepts:</w:t>
      </w:r>
      <w:r>
        <w:t xml:space="preserve"> over, parts, northern; EU scope visible. This is a provisional connection, not an outcome finding.</w:t>
      </w:r>
    </w:p>
    <w:p>
      <w:pPr>
        <w:pStyle w:val="SourceNote"/>
      </w:pPr>
      <w:r>
        <w:rPr>
          <w:b/>
        </w:rPr>
        <w:t>Available abstract (not full text):</w:t>
      </w:r>
      <w:r>
        <w:t xml:space="preserve"> While various land use models have been developed to assess forest cover change in Europe over time, there has been very little dialogue between these projects and the growing body of historical and archaeological work on early modern European economic and environmental transformations. This article seeks to bridge this gap by assessing how the emergence of capitalism in Europe between 1500 and 1800 impacted the continent’s forests. Analysing the extensive historiographical and archaeological findings on this subject, we map how demand in the major European centres of capital accumulation (northern Italy, southern Germany, the Low Countries and England) accelerated deforestation in the watersheds of the North Sea, the Baltic and the Mediterranean. The colonisation of other continents also sparked further forest clearing in Europe, driven by shipbuilding for imperial fleets and the provision of goods for the expanding world-market. These findings show that land use change models need to integrate international flows of commodities, capital, and political power, to avoid treating states as isolated and ahistorical units. By doing so, we can see the impacts of colonialism and capitalism not only on other parts of the world, but on environments within Europe itself.</w:t>
      </w:r>
    </w:p>
    <w:p>
      <w:pPr/>
      <w:r>
        <w:rPr>
          <w:b/>
        </w:rPr>
        <w:t>POSSIBLE 2026:</w:t>
      </w:r>
      <w:r>
        <w:t xml:space="preserve"> Diabatic Processes in the Four-Quadrant Jet Streak Model — https://doi.org/10.1175/bams-d-25-0083.1</w:t>
      </w:r>
    </w:p>
    <w:p>
      <w:pPr/>
      <w:r>
        <w:rPr>
          <w:b/>
        </w:rPr>
        <w:t>Shared claim-specific concepts:</w:t>
      </w:r>
      <w:r>
        <w:t xml:space="preserve"> jet, systematically, propagation, characteristics; EU scope not established. This is a provisional connection, not an outcome finding.</w:t>
      </w:r>
    </w:p>
    <w:p>
      <w:pPr>
        <w:pStyle w:val="SourceNote"/>
      </w:pPr>
      <w:r>
        <w:rPr>
          <w:b/>
        </w:rPr>
        <w:t>Available abstract (not full text):</w:t>
      </w:r>
      <w:r>
        <w:t xml:space="preserve"> Abstract The four-quadrant jet streak model is a prime example of a scientific synthesis based on decades of research. It is a conceptual framework that has become a cornerstone of meteorological education since the 1960s. The model provides an intuitive understanding of jet streak dynamics and their influence on surface weather. One of its key take-home messages is the well-known forecaster rule that cloud formation, precipitation, and extratropical cyclogenesis are favored below the “right entrance or left exit.” In recent years, many studies have highlighted the influence of diabatic processes, as they occur in clouds, on the structure of jet streaks. This article aims to extend the four-quadrant model by explicitly including the role of diabatic processes. The potential vorticity gradient serves as a proxy variable to connect adiabatic and diabatic dynamics, and a climatological analysis of jet-streak-centered composites reveals consistent diabatic influences: Along the jet axis, radiative processes act to narrow and intensify the jet; moist diabatic processes associated with cloud formation strengthen the jet in the equatorward entrance, and turbulence is active along the jet axis and in the poleward exit. The results show that different diabatic processes dominate in different jet streak quadrants. In particular, the analyses show that moist diabatic processes in clouds m</w:t>
      </w:r>
    </w:p>
    <w:p>
      <w:pPr/>
      <w:r>
        <w:rPr>
          <w:b/>
        </w:rPr>
        <w:t>POSSIBLE 2026:</w:t>
      </w:r>
      <w:r>
        <w:t xml:space="preserve"> Impact of climate change on agricultural systems: Shifting insect pest-natural enemy dynamics-A review — https://doi.org/10.22271/j.ento.2026.v14.i2a.9720</w:t>
      </w:r>
    </w:p>
    <w:p>
      <w:pPr/>
      <w:r>
        <w:rPr>
          <w:b/>
        </w:rPr>
        <w:t>Shared claim-specific concepts:</w:t>
      </w:r>
      <w:r>
        <w:t xml:space="preserve"> third, northwards, waves; EU scope visible. This is a provisional connection, not an outcome finding.</w:t>
      </w:r>
    </w:p>
    <w:p>
      <w:pPr>
        <w:pStyle w:val="SourceNote"/>
      </w:pPr>
      <w:r>
        <w:rPr>
          <w:b/>
        </w:rPr>
        <w:t>Available abstract (not full text):</w:t>
      </w:r>
      <w:r>
        <w:t xml:space="preserve"> Argo-ecosystems around the world are significantly being upset by anthropogenic emissions of greenhouse gases and meteorological variability. The rise of the temperatures beyond 1.47 °C above the pre-industrial levels, by 2025, will substantially change the biology, distribution and ecology of insect pests. The insects are poikilotherms and are therefore very sensitive to warming, and higher temperatures increase the speed of metabolism, reduce the generation times, and cause multi-trophic transitions in agricultural landscape. This review direct and indirect effects of climate change on pests and natural enemies’ dynamics as well as threats to food security across the world. High CO2 in the atmosphere reduces the nutritional value of host plants due to elevated levels of carbon in relation to nitrogen (C: N) that cause compensatory feeding in the herbivores and accelerate crop tissue damages. Changes in precipitation and ozone (O3) pollution interfere with chemical communication and phenological synchrony among pests, predators and pollinators-the basis of one third food production in the globe. This asynchrony increases the spread of plant pathogens by insects, as a result of which billions of dollars of economic losses are experienced every year. Geographically, the growing climate envelopes cause invasion by pests being directed northwards at rates of 68 km/decade, with new</w:t>
      </w:r>
    </w:p>
    <w:p>
      <w:pPr/>
      <w:r>
        <w:rPr>
          <w:b/>
        </w:rPr>
        <w:t>POSSIBLE 2026:</w:t>
      </w:r>
      <w:r>
        <w:t xml:space="preserve"> Influence of Coastal Wind Jet on Waves in Fjords: A SWAN+WRF Model — https://doi.org/10.1016/j.ocemod.2026.102844</w:t>
      </w:r>
    </w:p>
    <w:p>
      <w:pPr/>
      <w:r>
        <w:rPr>
          <w:b/>
        </w:rPr>
        <w:t>Shared claim-specific concepts:</w:t>
      </w:r>
      <w:r>
        <w:t xml:space="preserve"> jet, several, large, propagation, waves; EU scope not established. This is a provisional connection, not an outcome finding.</w:t>
      </w:r>
    </w:p>
    <w:p>
      <w:pPr>
        <w:pStyle w:val="SourceNote"/>
      </w:pPr>
      <w:r>
        <w:rPr>
          <w:b/>
        </w:rPr>
        <w:t>Available abstract (not full text):</w:t>
      </w:r>
      <w:r>
        <w:t xml:space="preserve"> Wind and wave fields undergo drastic changes in fjords due to complex coastline and steep topography of the surrounding mountainous terrain. Highly variable wind amplification during funnelling through mountain gaps has been studied by meteorologists, whereas the influence of complex bathymetry and/or orography around fjords on wind and circulation and ecosystem has been investigated by oceanographers. However, the interaction between wind and waves is not well understood, especially in large fjords, where the interplay of local and remote wind effects on waves becomes crucial for wave dynamics in fjords. Recently, several studies have examined wind and wave funnelling in fjords; however, there is still a lack of understanding of the underlying processes in relatively large fjords. This paper provides the first comprehensive comparison study on the highly variable wind amplification caused by the mountains and islands funnelling effects, and its impact on wave propagation and transformation in multiple large sea lochs (fjords) in West Scotland. To investigate the effects of wind jet formation on the wave field inside Scottish fjords, we used the Simulating WAves Nearshore (SWAN) model driven by the Weather Research and Forecasting (WRF) model and ECMWF ERA5 reanalysis data. During Storm Eva in winter 2015, the maximum differences in the predicted wind speed and wave height betw</w:t>
      </w:r>
    </w:p>
    <w:p>
      <w:pPr/>
      <w:r>
        <w:rPr>
          <w:b/>
        </w:rPr>
        <w:t>POSSIBLE 2026:</w:t>
      </w:r>
      <w:r>
        <w:t xml:space="preserve"> Explainable AI for Jet Tagging: A Comparative Study of GNNExplainer, GNNShap, and GradCAM for Jet Tagging in the Lund Jet Plane — https://doi.org/10.48550/arxiv.2604.25885</w:t>
      </w:r>
    </w:p>
    <w:p>
      <w:pPr/>
      <w:r>
        <w:rPr>
          <w:b/>
        </w:rPr>
        <w:t>Shared claim-specific concepts:</w:t>
      </w:r>
      <w:r>
        <w:t xml:space="preserve"> jet, large; EU scope not established. This is a provisional connection, not an outcome finding.</w:t>
      </w:r>
    </w:p>
    <w:p>
      <w:pPr>
        <w:pStyle w:val="SourceNote"/>
      </w:pPr>
      <w:r>
        <w:rPr>
          <w:b/>
        </w:rPr>
        <w:t>Available abstract (not full text):</w:t>
      </w:r>
      <w:r>
        <w:t xml:space="preserve"> Graph neural networks such as ParticleNet and transformer based networks on point clouds such as ParticleTransformer achieve state-of-the-art performance on jet tagging benchmarks at the Large Hadron Collider, yet the physical reasoning behind their predictions remains opaque. We present different methods, i.e. perturbation-based (GNNExplainer), Shapley-value-based (GNNShap), and gradient-based (GRADCam); adapted to operate on LundNet's Lund-plane graph representation. Leveraging the fact that each node in the Lund plane corresponds to a physically meaningful parton splitting, we construct Monte Carlo truth explanation masks and introduce a physics-informed evaluation framework that goes beyond standard fidelity metrics. We perform the analysis in three transverse-momentum bins ($\mathrm{p_T} \in [500,700]$, $[800,1000]$, and the inclusive region $[500,1000]$ GeV), revealing how explanation quality and focus shift between non-perturbative and perturbative regimes. We further quantify the correlation between explainer-assigned node importance and classical jet substructure observables -- $N$-subjettiness ratios $τ_{21}$ and $τ_{32}$ and the energy correlation functions -- establishing the degree to which the model has learned known QCD features. We find that overall the weight assigned by explainability methods has a correlation with analytic observables, with expected shift acr</w:t>
      </w:r>
    </w:p>
    <w:p>
      <w:pPr/>
      <w:r>
        <w:rPr>
          <w:b/>
        </w:rPr>
        <w:t>POSSIBLE 2025:</w:t>
      </w:r>
      <w:r>
        <w:t xml:space="preserve"> Predicting current and future distribution of the common waxbill using a mechanistic modelling approach — https://doi.org/10.1101/2025.11.16.688699</w:t>
      </w:r>
    </w:p>
    <w:p>
      <w:pPr/>
      <w:r>
        <w:rPr>
          <w:b/>
        </w:rPr>
        <w:t>Shared claim-specific concepts:</w:t>
      </w:r>
      <w:r>
        <w:t xml:space="preserve"> northwards, over, parts; EU scope visible. This is a provisional connection, not an outcome finding.</w:t>
      </w:r>
    </w:p>
    <w:p>
      <w:pPr>
        <w:pStyle w:val="SourceNote"/>
      </w:pPr>
      <w:r>
        <w:rPr>
          <w:b/>
        </w:rPr>
        <w:t>Available abstract (not full text):</w:t>
      </w:r>
      <w:r>
        <w:t xml:space="preserve"> Abstract Biological invasions and climate change are two of the most pressing drivers of biodiversity loss worldwide. Anticipating where invasive species are likely to establish, as well as the potential impact of climate change on their range expansion, is essential for early detection and targeted management. In this study, we use a mechanistic species distribution model (SDM) to evaluate the current and future areas at risk of invasion by the common waxbill ( Estrilda astrild ), a widespread avian invader. Our model accurately predicts the species’ current range in Iberia and identifies additional climatically suitable areas, particularly in southern and western Europe. Under warming scenarios of +2 °C and +4 °C, suitable areas expand northwards, with over two-thirds of Europe classified as suitable under the most extreme scenario. These results suggest that the species is already operating near the cold limits of its thermal niche in parts of its invasive range, and that rising temperatures may remove these constraints, allowing expansion into previously unsuitable areas. Our findings demonstrate the power of mechanistic models in identifying regions at risk of colonisation and underscore the importance of early intervention and targeted monitoring in areas projected to become suitable.</w:t>
      </w:r>
    </w:p>
    <w:p>
      <w:pPr/>
      <w:r>
        <w:rPr>
          <w:b/>
        </w:rPr>
        <w:t>POSSIBLE 2025:</w:t>
      </w:r>
      <w:r>
        <w:t xml:space="preserve"> The Link between Gulf Stream Precipitation Extremes and European Blocking in General Circulation Models and the Role of Horizontal Resolution — https://doi.org/10.1175/jcli-d-24-0311.1</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Abstract Past studies show that coupled model biases in European blocking and North Atlantic eddy-driven jet variability decrease as one increases the horizontal resolution in the atmospheric and oceanic model components, but it remains unclear if atmospheric or oceanic resolution plays a greater role and why. Here, following recent work by Schemm et al., we leverage a large multimodel ensemble to show that a coupled model’s ability to simulate extreme Gulf Stream precipitation is tightly linked to its simulated frequency of European blocking and northern jet excursions. Furthermore, the reduced biases in blocking and jet variability are consistent with better resolved precipitation extrema in high-resolution models. The analysis supports a hypothesis that models which simulate more extreme precipitation can generate more strongly poleward-propagating cyclones and more intense anticyclonic anomalies due to the stronger latent heat release occurring during extreme events.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emphasize here that models run with prescribed SSTs experience greatly reduced precipitation extremes due to their exce</w:t>
      </w:r>
    </w:p>
    <w:p>
      <w:pPr/>
      <w:r>
        <w:rPr>
          <w:b/>
        </w:rPr>
        <w:t>POSSIBLE 2025:</w:t>
      </w:r>
      <w:r>
        <w:t xml:space="preserve"> Citizen scientists mapping the United Kingdom's and Republic of Ireland's flat flies (louse flies) (Diptera: Hippoboscidae) reveal a vector's range shift — https://doi.org/10.1111/mve.12795</w:t>
      </w:r>
    </w:p>
    <w:p>
      <w:pPr/>
      <w:r>
        <w:rPr>
          <w:b/>
        </w:rPr>
        <w:t>Shared claim-specific concepts:</w:t>
      </w:r>
      <w:r>
        <w:t xml:space="preserve"> shifted, northwards, several, over; EU scope visible. This is a provisional connection, not an outcome finding.</w:t>
      </w:r>
    </w:p>
    <w:p>
      <w:pPr>
        <w:pStyle w:val="SourceNote"/>
      </w:pPr>
      <w:r>
        <w:rPr>
          <w:b/>
        </w:rPr>
        <w:t>Available abstract (not full text):</w:t>
      </w:r>
      <w:r>
        <w:t xml:space="preserve"> Changes in climate may cause changes in the ranges, phenology and interactions of insects with other species and lead parasites to switch host species. A study of louse (flat) flies in the United Kingdom, Republic of Ireland and Isle of Man, in which licensed bird ringers acting as citizen scientists collected ectoparasites that left birds during ringing, showed recent range shifts of several species. The Common or Bird Louse Fly Ornithomya avicularia (Linnaeus, 1758), a vector of Haemoproteus sp. and trypanosomes, has undergone a major northwards range expansion of over 300 km in the United Kingdom (UK) since the 1960s. The Finch Louse Fly Ornithomya fringillina (Curtis, 1836) has also expanded its range over 300 km northwards and 400 km westwards into the Island of Ireland, and the Swallow Louse Fly Ornithomya biloba (Dufour, 1827) is now established in Wales and Southern England. The Grouse Louse Fly Ornithomya chloropus (Bergroth, 1901) has undergone a range contraction at lower altitudes and on the southern edge of its range. Other species of louse fly were detected: Crataerina pallida (Latreille, 1812), Stenepteryx hirundinis (Linnaeus, 1758), Pseudolynchia garzettae (Rondani, 1879) and Icosta minor (Bigot, 1858). Some generalist species have shifted their phenology, whereas the more specialist nest parasites of migrant birds have not, as the arrival and breeding dates of</w:t>
      </w:r>
    </w:p>
    <w:p>
      <w:pPr/>
      <w:r>
        <w:rPr>
          <w:b/>
        </w:rPr>
        <w:t>POSSIBLE 2025:</w:t>
      </w:r>
      <w:r>
        <w:t xml:space="preserve"> Poleward Range Shifts of Breeding Birds in Wisconsin — https://doi.org/10.1002/ece3.71796</w:t>
      </w:r>
    </w:p>
    <w:p>
      <w:pPr/>
      <w:r>
        <w:rPr>
          <w:b/>
        </w:rPr>
        <w:t>Shared claim-specific concepts:</w:t>
      </w:r>
      <w:r>
        <w:t xml:space="preserve"> latitude, over, northern; EU scope not established. This is a provisional connection, not an outcome finding.</w:t>
      </w:r>
    </w:p>
    <w:p>
      <w:pPr>
        <w:pStyle w:val="SourceNote"/>
      </w:pPr>
      <w:r>
        <w:rPr>
          <w:b/>
        </w:rPr>
        <w:t>Available abstract (not full text):</w:t>
      </w:r>
      <w:r>
        <w:t xml:space="preserve"> Climate change is causing shifts in the geographic ranges of multiple species across the world. Birds are a critical taxon for observing range shifts because their high mobility allows them to track shifting climates over time and space. Breeding bird atlases are large-scale breeding bird surveys that are essential for tracking species' ranges in response to climate change. In this paper, our goal was to analyze Wisconsin's Breeding Bird Atlases (1995-2000 and 2015-2019) to document changes in range size, mean latitude, and range boundary shift of breeding birds. Concordant with our predictions, we found that many southerly bird species with northern range limits were both expanding in distribution and shifting their range boundaries poleward. Contrary to our predictions, northerly species with southern range limits in the state were not shifting their boundary poleward but demonstrated a northward movement in their mean latitudes. Despite the lack of range boundary shift for northerly species as a group, many boreal species demonstrated a shift northward in their overall distribution. The repeated signal of bird ranges moving poleward remains a coherent fingerprint of the impact of modern climate change on species and ecosystems.</w:t>
      </w:r>
    </w:p>
    <w:p>
      <w:pPr/>
      <w:r>
        <w:rPr>
          <w:b/>
        </w:rPr>
        <w:t>POSSIBLE 2025:</w:t>
      </w:r>
      <w:r>
        <w:t xml:space="preserve"> Incorporating Genetic Diversity to Optimize the Plant Conservation Network in the Third Pole — https://doi.org/10.1111/gcb.70122</w:t>
      </w:r>
    </w:p>
    <w:p>
      <w:pPr/>
      <w:r>
        <w:rPr>
          <w:b/>
        </w:rPr>
        <w:t>Shared claim-specific concepts:</w:t>
      </w:r>
      <w:r>
        <w:t xml:space="preserve"> third, several, latitude; EU scope not established. This is a provisional connection, not an outcome finding.</w:t>
      </w:r>
    </w:p>
    <w:p>
      <w:pPr>
        <w:pStyle w:val="SourceNote"/>
      </w:pPr>
      <w:r>
        <w:rPr>
          <w:b/>
        </w:rPr>
        <w:t>Available abstract (not full text):</w:t>
      </w:r>
      <w:r>
        <w:t xml:space="preserve"> ABSTRACT Climate change poses a significant threat to the survival of many species. Although protected areas can slow down biodiversity loss, they often lack systematic planning and do not integrate genetic diversity. Genetic diversity is a key prerequisite for species survival and the ability to tolerate new conditions. Using population genetic and distribution data from 96 plant species in the Third Pole (encompassing the Tibetan Plateau and adjacent mountains), we mapped patterns of genetic diversity, projected climate‐driven range dynamics and future genetic erosion, and designed an optimal conservation framework for the region. We identified several patches of high haplotype diversity ( H D ), with a relatively high number of haplotypes in southeastern Third Pole. Regression models revealed that climate and topography have interacted to shape patterns of genetic diversity, with latitude and precipitation being the best predictors for H D of cpDNA and nrDNA, respectively. Ecological niche modeling predicted an approximate 43 km northwestward and 86 m upward shift in suitable habitats under future climate scenarios, likely leading to a significant loss of up to 13.19% and 15.49% of cpDNA and nrDNA genetic diversity, respectively. Alarmingly, 71.20% of the newly identified conservation priority areas fall outside of the existing protected areas and planned National Park Clust</w:t>
      </w:r>
    </w:p>
    <w:p>
      <w:pPr/>
      <w:r>
        <w:rPr>
          <w:b/>
        </w:rPr>
        <w:t>POSSIBLE 2025:</w:t>
      </w:r>
      <w:r>
        <w:t xml:space="preserve"> Shifts in habitat suitability for harbour porpoises leads to reduced importance of marine protected areas — https://doi.org/10.1016/j.biocon.2025.111009</w:t>
      </w:r>
    </w:p>
    <w:p>
      <w:pPr/>
      <w:r>
        <w:rPr>
          <w:b/>
        </w:rPr>
        <w:t>Shared claim-specific concepts:</w:t>
      </w:r>
      <w:r>
        <w:t xml:space="preserve"> shifted, northwards, over; EU scope visible. This is a provisional connection, not an outcome finding.</w:t>
      </w:r>
    </w:p>
    <w:p>
      <w:pPr>
        <w:pStyle w:val="SourceNote"/>
      </w:pPr>
      <w:r>
        <w:rPr>
          <w:b/>
        </w:rPr>
        <w:t>Available abstract (not full text):</w:t>
      </w:r>
      <w:r>
        <w:t xml:space="preserve"> Marine ecosystems across the globe are under pressure requiring evaluations of whether marine protected areas (MPAs) remain effective in safeguarding marine life and critical habitats. Our objectives were to 1) estimate shifts in seasonal habitat suitability over a 25-year period (1997–2022) for the harbour porpoise ( Phocoena phocoena ) across the North Sea–Baltic Sea transition zone, and 2) quantify any spatiotemporal changes in the overlap between suitable habitats and an existing network of 62 MPAs (an area covering 16,404 km 2 ) dedicated to harbour porpoise protection. Habitat suitability was estimated using the maximum entropy (MaxEnt) algorithm, based on satellite tag data of 111 individuals and a range of dynamic and static environmental conditions as predictor variables. Model output revealed a northward shift of medium and high suitable habitats during winter (Nov–Apr) over the study period. Changes in habitat suitability during summer (May–Oct) were also evident though without clear directional shifts. A maximum of 14.5 % of the MPAs ( n = 9; area of 1096 km 2 ) were found to overlap with highly suitable habitat during the summers of 2005–2012, with a minimum of 6.4 % ( n = 4 MPAs; area of 194 km 2 ) during the winters of 2013–2022. These results clearly indicate a decline in the spatiotemporal overlap between habitat suitability during winter and the location of MP</w:t>
      </w:r>
    </w:p>
    <w:p>
      <w:pPr/>
      <w:r>
        <w:rPr>
          <w:b/>
        </w:rPr>
        <w:t>POSSIBLE 2025:</w:t>
      </w:r>
      <w:r>
        <w:t xml:space="preserve"> Postglacial history of a widespread forest fungus in Europe suggests migration out of multiple refugia followed by admixture — https://doi.org/10.22541/au.173768437.72531665/v1</w:t>
      </w:r>
    </w:p>
    <w:p>
      <w:pPr/>
      <w:r>
        <w:rPr>
          <w:b/>
        </w:rPr>
        <w:t>Shared claim-specific concepts:</w:t>
      </w:r>
      <w:r>
        <w:t xml:space="preserve"> third, northwards, several; EU scope visible. This is a provisional connection, not an outcome finding.</w:t>
      </w:r>
    </w:p>
    <w:p>
      <w:pPr>
        <w:pStyle w:val="SourceNote"/>
      </w:pPr>
      <w:r>
        <w:rPr>
          <w:b/>
        </w:rPr>
        <w:t>Available abstract (not full text):</w:t>
      </w:r>
      <w:r>
        <w:t xml:space="preserve"> While postglacial migration patterns have been well-studied in plants and animals in Europe, the same is not true for microorganisms such as fungi, and it remains unclear whether fungi have followed the same postglacial migration trajectories. In this study, we infer the postglacial history of the widespread wood-decay fungus Trichaptum abietinum in Europe. We investigate whether this fungus resided in multiple glacial refugia, as observed in many plants and animals, and how it migrated following the retreat of the ice. Population genomic analyses of T. abietinum suggest three glacial refugia in Europe: a western refugium, a southern refugium extending from Portugal to the Caucasus, and a third eastern refugium, resulting in what we call the Atlantic, Mediterranean, and Boreal groups, respectively. From the western and southern refugia, there have likely been northwards expansions, while the Boreal group probably expanded westwards from the eastern refugium. A contact zone is present in Central Europe, where the Mediterranean and Boreal groups are admixing. In admixed individuals here, the second half of their largest scaffold is entirely inherited from the Boreal group, indicating either strong selection or genomic incompatibilities. In Scandinavia, the Atlantic and Boreal groups are in close contact but with limited admixture. Demographic modelling and analyses of linkage dec</w:t>
      </w:r>
    </w:p>
    <w:p>
      <w:pPr>
        <w:pStyle w:val="Heading2"/>
      </w:pPr>
      <w:r>
        <w:t>793. Trends and forecast of obesity in Finland</w:t>
      </w:r>
    </w:p>
    <w:p>
      <w:pPr>
        <w:pStyle w:val="SourceNote"/>
      </w:pPr>
      <w:r>
        <w:rPr>
          <w:b/>
        </w:rPr>
        <w:t>Original source (2018):</w:t>
      </w:r>
      <w:r>
        <w:t xml:space="preserve"> https://doi.org/10.1093/eurpub/cky214.146</w:t>
      </w:r>
    </w:p>
    <w:p>
      <w:pPr/>
      <w:r>
        <w:t>Original wording (abstract; indexed_source_text_not_full_document_verified): The increase in the prevalence of obesity is projected to continue: every third adult is expected to be obese in 2028.</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The updated global burden of chronic kidney disease: one death every 20 seconds — https://doi.org/10.1093/ndt/gfag040</w:t>
      </w:r>
    </w:p>
    <w:p>
      <w:pPr/>
      <w:r>
        <w:rPr>
          <w:b/>
        </w:rPr>
        <w:t>Shared claim-specific concepts:</w:t>
      </w:r>
      <w:r>
        <w:t xml:space="preserve"> increase, prevalence, every, third;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2026:</w:t>
      </w:r>
      <w:r>
        <w:t xml:space="preserve"> Increasing Obesity Rates Worldwide from 1976 to 2016: The Obesity Epidemic — https://doi.org/10.3390/jcm15010394</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is a major health concern worldwide and the World Health Organization (WHO) has declared it a global epidemic. We aimed to analyze temporal trends of obesity prevalence worldwide. Methods: We used data of “The Global Health Observatory” of the WHO and analyzed data from the Global Burden of Disease (GBD) Study 2023. Obesity prevalence (crude estimates) among adults in different worldwide WHO regions and temporal trends from 1976 and 2016 were analyzed. Results: Obesity prevalence showed large regional differences. In 2016, obesity prevalence was highest in the WHO European region and the region of the Americas, at more than 20%, whereas prevalence was lower in the WHO African region, the WHO Western Pacific region and the WHO South-East Asia region, at less than 10%. The absolute increase from 1976 to 2016 comprised an increase of 19.7% in the region of the Americas, of 14.8% and 14.2% in the WHO European region and the WHO Eastern Mediterranean region, followed by 7.3% in the WHO African region, 6.0% in the WHO Western Pacific region, and 4.2% in the WHO South-East Asia region. We observed a substantially higher prevalence of obesity in females. High BMI has risen sharply in rank worldwide, now ranging among the top six global risk factors for death. Major BMI-related causes include ischemic heart disease, type 2 diabetes mellitus, hypertensive heart diseas</w:t>
      </w:r>
    </w:p>
    <w:p>
      <w:pPr/>
      <w:r>
        <w:rPr>
          <w:b/>
        </w:rPr>
        <w:t>POSSIBLE 2026:</w:t>
      </w:r>
      <w:r>
        <w:t xml:space="preserve"> Prevalence of Postural Sway in Obese Individuals — https://doi.org/10.25258/ijddt.16.34s.83</w:t>
      </w:r>
    </w:p>
    <w:p>
      <w:pPr/>
      <w:r>
        <w:rPr>
          <w:b/>
        </w:rPr>
        <w:t>Shared claim-specific concepts:</w:t>
      </w:r>
      <w:r>
        <w:t xml:space="preserve"> prevalence, obesity, obese; EU scope not established. This is a provisional connection, not an outcome finding.</w:t>
      </w:r>
    </w:p>
    <w:p>
      <w:pPr>
        <w:pStyle w:val="SourceNote"/>
      </w:pPr>
      <w:r>
        <w:rPr>
          <w:b/>
        </w:rPr>
        <w:t>Available abstract (not full text):</w:t>
      </w:r>
      <w:r>
        <w:t xml:space="preserve"> Posture is the way our body holds itself, whether it is in still or in motion, and it depend highly on the coordination of muscles and the response to gravity. Good posture allows for enough movement with minimal stress on muscles and joints. To maintaining posture balance and stability are key to it and depend on factors like the base of support, center of mass, and the body's neuromuscular control. Obesity, is growing health problem, that affects posture by shifting the center of gravity often forward due to excess abdominal weight which increases stress on the musculoskeletal system and it contributes to postural sway. The sway can raise the risk of falls, particularly in older individual. Obesity is leads to muscular fatigue, joint stress, and altered the body alignment, that can lead to decrease in balance and mobility. This study aims to see how different levels of obesity based on BMI grades Ⅰ, Ⅱ, and Ⅲ affect postural stability and sway. Objective: To find out prevalence of postural sway in obese individuals, to find out prevalence of postural sway in BMI obese grade Ⅰ, Ⅱ and Ⅲ. Methods: An observation survey was conducted among 100. Obese individuals with BMI obese grade Ⅰ, Ⅱ and Ⅲ. Inclusion criteria included both the gender male and female, with age between 40 to 60 years, BMI obese grade Ⅰ, Ⅱ and Ⅲ. Exclusion criteria included Subjects with lower extremity condition</w:t>
      </w:r>
    </w:p>
    <w:p>
      <w:pPr/>
      <w:r>
        <w:rPr>
          <w:b/>
        </w:rPr>
        <w:t>POSSIBLE 2025:</w:t>
      </w:r>
      <w:r>
        <w:t xml:space="preserve"> Global prevalence of obesity in the older adults: A meta-analysis — https://doi.org/10.1016/j.puhip.2025.100585</w:t>
      </w:r>
    </w:p>
    <w:p>
      <w:pPr/>
      <w:r>
        <w:rPr>
          <w:b/>
        </w:rPr>
        <w:t>Shared claim-specific concepts:</w:t>
      </w:r>
      <w:r>
        <w:t xml:space="preserve"> increase, prevalence, obesity, adult; EU scope visible. This is a provisional connection, not an outcome finding.</w:t>
      </w:r>
    </w:p>
    <w:p>
      <w:pPr>
        <w:pStyle w:val="SourceNote"/>
      </w:pPr>
      <w:r>
        <w:rPr>
          <w:b/>
        </w:rPr>
        <w:t>Available abstract (not full text):</w:t>
      </w:r>
      <w:r>
        <w:t xml:space="preserve">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pPr/>
      <w:r>
        <w:rPr>
          <w:b/>
        </w:rPr>
        <w:t>POSSIBLE 2025:</w:t>
      </w:r>
      <w:r>
        <w:t xml:space="preserve"> European rose chafer prevalence on cultivated highbush blueberries — https://doi.org/10.17221/28/2024-hortsci</w:t>
      </w:r>
    </w:p>
    <w:p>
      <w:pPr/>
      <w:r>
        <w:rPr>
          <w:b/>
        </w:rPr>
        <w:t>Shared claim-specific concepts:</w:t>
      </w:r>
      <w:r>
        <w:t xml:space="preserve"> prevalence, every, third; EU scope visible. This is a provisional connection, not an outcome finding.</w:t>
      </w:r>
    </w:p>
    <w:p>
      <w:pPr>
        <w:pStyle w:val="SourceNote"/>
      </w:pPr>
      <w:r>
        <w:rPr>
          <w:b/>
        </w:rPr>
        <w:t>Available abstract (not full text):</w:t>
      </w:r>
      <w:r>
        <w:t xml:space="preserve"> The purpose of this study was to detect the prevalence rate of European rose chafer (Cetonia aurata) on American highbush blueberries (Vaccinium corymbosum). The observation was made from the beginning of flowering to the end of harvest of the blueberry cultivars ‘Duke’, ‘Legacy’, and ‘Huron’. The incidence occurs during the first harvest of the ‘Duke’ cultivar. Three rows per cultivar, with 90 plants per row, were monitored during the research. Insects were collected on 15 infested plants per row, randomly selected, and counted. This procedure was repeated every second day, 3 times a day: in the morning, at noon, and in the afternoon. The highest presence of the insect was recorded at the full ripening phase of the ‘Duke’ cultivar, with 25.5% of bushes being infested and an average of 12.7 beetles per bush counted. The damage percentage varied over the harvesting periods: 29% of the fruits were damaged in the first harvest, 13% in the second harvest, and 8% during the third harvest. While ‘Legacy’ and ‘Huron’ stood out with 5.55% and 3.33% of infected bushes, respectively, and minor fruit damage. This research proves that the European rose chafer in the area of the experiment is a harmful pest of early cultivated blueberry cultivars.</w:t>
      </w:r>
    </w:p>
    <w:p>
      <w:pPr/>
      <w:r>
        <w:rPr>
          <w:b/>
        </w:rPr>
        <w:t>POSSIBLE 2025:</w:t>
      </w:r>
      <w:r>
        <w:t xml:space="preserve"> Disorders of the gut‐brain interaction among European people with obesity: Prevalence and burden of compatible symptoms — https://doi.org/10.1002/ueg2.12700</w:t>
      </w:r>
    </w:p>
    <w:p>
      <w:pPr/>
      <w:r>
        <w:rPr>
          <w:b/>
        </w:rPr>
        <w:t>Shared claim-specific concepts:</w:t>
      </w:r>
      <w:r>
        <w:t xml:space="preserve"> prevalence, obesity, obese; EU scope visible. This is a provisional connection, not an outcome finding.</w:t>
      </w:r>
    </w:p>
    <w:p>
      <w:pPr>
        <w:pStyle w:val="SourceNote"/>
      </w:pPr>
      <w:r>
        <w:rPr>
          <w:b/>
        </w:rPr>
        <w:t>Available abstract (not full text):</w:t>
      </w:r>
      <w:r>
        <w:t xml:space="preserve"> Abstract Introduction The prevalence of disorders of the gut‐brain interaction (DGBI) among people with obesity in the general population is unknown. Our aim was to assess the prevalence of DGBI among obese subjects in the general population in comparison with normal or overweight subjects, as well as exploring factors associated with DGBI in obesity in Europe. Methods We included subjects who completed the internet‐based survey of the Rome Foundation Global Epidemiology study in 11 European countries. Obesity was defined as a BMI&gt;30 kg/m2 and participants were divided into three classes: 1: BMI 30 to &lt;35 kg/m2, 2: BMI 35 to &lt;40 kg/m2, and 3: BMI 40 kg/m2 or higher. The prevalence of symptoms compatible with DGBI was reported and compared between obese and normal or overweight (BMI between 18.5 and &lt;30 kg/m2) participants. Factors potentially associated with DGBI and obesity including demographics, psychological distress (PHQ‐4), non‐GI somatic symptoms (PHQ–12), quality of life (PROMIS‐10), healthcare access, medication and food consumption were assessed. Results We included 20,117 participants in our analysis. The prevalence of obesity was 17.8% (95% CI 17.3, 18.4), with 12.6%, 3.7% and 1.6% in obesity classes 1, 2 and 3, respectively. The prevalence of any DGBI was 44.2% in the obese group versus 39.6% in the normal or overweight group (OR = 1.20 (1.12, 1.30)), with all DGBI</w:t>
      </w:r>
    </w:p>
    <w:p>
      <w:pPr/>
      <w:r>
        <w:rPr>
          <w:b/>
        </w:rPr>
        <w:t>POSSIBLE 2025:</w:t>
      </w:r>
      <w:r>
        <w:t xml:space="preserve"> Trends in stroke prevalence caused by an elevated BMI in the European population — https://doi.org/10.5114/aoms/199362</w:t>
      </w:r>
    </w:p>
    <w:p>
      <w:pPr/>
      <w:r>
        <w:rPr>
          <w:b/>
        </w:rPr>
        <w:t>Shared claim-specific concepts:</w:t>
      </w:r>
      <w:r>
        <w:t xml:space="preserve"> increase, prevalence, obesity, continue, expected; EU scope visible. This is a provisional connection, not an outcome finding.</w:t>
      </w:r>
    </w:p>
    <w:p>
      <w:pPr>
        <w:pStyle w:val="SourceNote"/>
      </w:pPr>
      <w:r>
        <w:rPr>
          <w:b/>
        </w:rPr>
        <w:t>Available abstract (not full text):</w:t>
      </w:r>
      <w:r>
        <w:t xml:space="preserve"> Introduction: This study investigated the complex relationship between an elevated body mass index (BMI) and stroke risk in Europe amidst rising obesity rates and an aging population. Material and methods: A joinpoint regression model was used to fit the data on stroke mortality rates attributed to an elevated BMI. The age period cohort model was used to analyze the effects of age, period, and birth cohort on trends in stroke prevalence related to an elevated BMI from 1990-2019 in the European context. A Bayesian age-period-cohort model was used to project age-standardized stroke mortality attributed to elevated BMI in Europe from 2020 to 2044. Results: &lt; 0.001). Male mortality rates decreased from 21.48/100,000 in 1990 to 15.45/100,000 in 2019, while female rates declined more significantly from 21.40/100,000 in 1990 to 12.48/100,000 in 2019. Age-standardized stroke mortality due to elevated BMI is projected to decline in Europe over the next 25 years. Age-standardized stroke mortality due to increased BMI is expected to continue declining in Europe over the next 25 years, with projected reductions of 12.99% in males and 13.01% in females by 2044. Conclusions: From 1990 to 2019, stroke mortality rates associated with elevated BMI in Europe steadily increased. However, projections suggest a slight decline in the near future. Given these trends, there is an urgent need to enhanc</w:t>
      </w:r>
    </w:p>
    <w:p>
      <w:pPr/>
      <w:r>
        <w:rPr>
          <w:b/>
        </w:rPr>
        <w:t>POSSIBLE 2025:</w:t>
      </w:r>
      <w:r>
        <w:t xml:space="preserve"> Trends in the Prevalence of Overweight, Obesity and Severe Obesity in Primary School Children in Croatia from 2003 to 2022 — https://doi.org/10.3390/children12101299</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Childhood obesity remains a significant public health challenge globally. Croatia ranks among the leading European countries in terms of childhood overweight and obesity prevalence. Methods: The present cross-sectional study analysed overweight and obesity prevalence trends from 2003 to 2022 on a nationally representative sample containing data from five studies, two independent studies and three WHO COSI rounds. Data from a total of 11,817 children aged 7.00–8.99 were analysed. Weight categories were defined using the IOTF and WHO cut-offs. Overweight and obesity prevalence rates and trends overall and by sex and region were calculated, and binary regression models applied to investigate the relationship between the risk of overweight and several variables. p-value &lt; 0.05 was used to define statistical significance. Results: Temporal trends and associations were investigated using the IOTF reference values. The prevalence of overweight (including obesity) had increased steadily from 2003 to 2015, thereafter continuing to increase at a slower rate, whereas the prevalence of severe obesity reduced over time. Even though boys had slightly higher prevalence rates of overweight, the growth in overweight prevalence in girls over time was significant. At the regional level, the lowest prevalence rates were detected in the capital (City of Zagreb region). The risk of overw</w:t>
      </w:r>
    </w:p>
    <w:p>
      <w:pPr/>
      <w:r>
        <w:rPr>
          <w:b/>
        </w:rPr>
        <w:t>POSSIBLE 2025:</w:t>
      </w:r>
      <w:r>
        <w:t xml:space="preserve"> Prevalence of Undiagnosed Diabetes and Prediabetes according to Age and Obesity Status in Central Europe — https://doi.org/10.1159/000547108</w:t>
      </w:r>
    </w:p>
    <w:p>
      <w:pPr/>
      <w:r>
        <w:rPr>
          <w:b/>
        </w:rPr>
        <w:t>Shared claim-specific concepts:</w:t>
      </w:r>
      <w:r>
        <w:t xml:space="preserve"> prevalence, obesity, adult; EU scope visible. This is a provisional connection, not an outcome finding.</w:t>
      </w:r>
    </w:p>
    <w:p>
      <w:pPr>
        <w:pStyle w:val="SourceNote"/>
      </w:pPr>
      <w:r>
        <w:rPr>
          <w:b/>
        </w:rPr>
        <w:t>Available abstract (not full text):</w:t>
      </w:r>
      <w:r>
        <w:t xml:space="preserve"> Introduction: Data on prevalence of prediabetes, a high-risk condition for developing diabetes and undiagnosed diabetes, are scarce for Central Europe and lacking for Austria. Hence, we report prevalence data for prediabetes and undiagnosed diabetes in relation to age and BMI categories over a period of 7 years. METHODS: We conducted an analysis of two databases: the national health insurance health check-up data 2017-2023 and the cross-sectional AUSTRO-PROFIT cohort study in people undergoing health check-ups that collected more detailed clinical data and health-related quality of life. Prediabetes and undiagnosed diabetes were diagnosed using fasting glucose values according to the American Diabetes Association criteria. RESULTS: We investigated 6,412,591 (3,556,116 females) entries of people without previously known diabetes undergoing health check-ups from 2017 to 2023 in Austria. The crude prevalence of prediabetes was 21.084% (95% CI: 21.048-21.119) and undiagnosed diabetes was 2.950% (95% CI: 2.936-2.963), with age-standardised prevalence of 19.709% (19.708-19.710) and 2.741% (2.740-2.742), respectively. Prevalence rates for both prediabetes and diabetes remained stable over the time period of 7 years. In the AUSTRO-PROFIT cohort (N = 620), the prevalence rates were comparable with health check-up data (26.6% for prediabetes and 3.4% for diabetes). Health-related quality</w:t>
      </w:r>
    </w:p>
    <w:p>
      <w:pPr/>
      <w:r>
        <w:rPr>
          <w:b/>
        </w:rPr>
        <w:t>POSSIBLE 2024:</w:t>
      </w:r>
      <w:r>
        <w:t xml:space="preserve"> Global trends in prevalence of maternal overweight and obesity: A systematic review and meta-analysis of routinely collected data retrospective cohorts — https://doi.org/10.23889/ijpds.v9i2.2401</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Pregnant women with obesity are at greater risk of complications during pregnancy, peripartum and post-partum, compared to women with healthy BMI. Worldwide data demonstrating the changes in trends of maternal overweight and obesity prevalence informs service development to address maternal obesity, while directing resources to areas of greatest need. This systematic review and meta-analysis of population level data sought to evaluate global temporal changes in prevalence of maternal obesity and overweight/obesity, and compare trends between regions. Pooled prevalence of obesity and overweight/obesity was estimated using random effects meta-analysis. Temporal and geographical trends in prevalence of obesity and overweight/obesity were examined using linear regression. From 11,684 publications, 94 met inclusion criteria representing 121 study cohorts (Europe n = 71; North America n = 23; Australia/Oceania n = 10; Asia n = 5; South America n = 12), totalling 49,009,168 pregnancies. No studies from Africa met the inclusion criteria. Eighty studies (85.1%) were evaluated as having a low risk of bias and 14 studies (14.9%) moderate. In the most recent full decade (2010-2019), global prevalence of maternal obesity was estimated as 16.3% (95% confidence interval (CI): 15.1-17.5%), or approximately one in six pregnancies. Combined overweight/obesity in pregnancy had a pooled prevalence</w:t>
      </w:r>
    </w:p>
    <w:p>
      <w:pPr/>
      <w:r>
        <w:rPr>
          <w:b/>
        </w:rPr>
        <w:t>POSSIBLE 2024:</w:t>
      </w:r>
      <w:r>
        <w:t xml:space="preserve"> Prevalence and Factors Related to Physical Activity in Spanish Adults with Obesity and Overweight: Analysis of the European Health Surveys for the Years 2014 and 2020 — https://doi.org/10.3390/healthcare12141382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(1) Background: To analyze the prevalence of physical activity (PA) according to the presence of overweight or obesity and other sociodemographic factors in the Spanish adult population. (2) Methods: Cross-sectional study using the European Health Interview Surveys for Spain from 2014 and 2020. (3) Results: In overweight and obese people, the percentage of those who reported not performing any type of PA remained constant between 2014 and 2020, while a statistically significant increase was observed in the percentage of people who walked for 10 min a day and exercised at least 2 days a week. The probability of being obese with respect to normal weight was higher in individuals who reported not engaging in PA during leisure time (OR 1.42; 95% CI 1.31-1.53), those who did not walk 10 min a day at least 2 days a week (OR 1.25; 95% CI 1.15-1.35), and those who did not exercise at least 2 days a week (OR 1.42; 95% CI 1.32-1.53). The probability of being overweight was higher in individuals who reported not performing PA during leisure time (OR 1.07; 95% CI 1.02-1.15) and in those who did not exercise at least 2 days per week (OR 1.15; 95% CI 1.09-1.22). (4) Conclusions: Small increases in PA have been observed in both overweight and obese individuals from 2014 to 2020.</w:t>
      </w:r>
    </w:p>
    <w:p>
      <w:pPr>
        <w:pStyle w:val="Heading2"/>
      </w:pPr>
      <w:r>
        <w:t>794. UK-EU RELATIONSHIP AFTER BREXIT: AN EXERCISE IN SCENARIO-BUILDING</w:t>
      </w:r>
    </w:p>
    <w:p>
      <w:pPr>
        <w:pStyle w:val="SourceNote"/>
      </w:pPr>
      <w:r>
        <w:rPr>
          <w:b/>
        </w:rPr>
        <w:t>Original source (2018):</w:t>
      </w:r>
      <w:r>
        <w:t xml:space="preserve"> https://doi.org/10.9770/jssi.2018.8.1(3)</w:t>
      </w:r>
    </w:p>
    <w:p>
      <w:pPr/>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POSSIBLE 2026:</w:t>
      </w:r>
      <w:r>
        <w:t xml:space="preserve"> The Marginalisation and Mainstreaming of Feminist Philosophy — https://openalex.org/W7167998293</w:t>
      </w:r>
    </w:p>
    <w:p>
      <w:pPr/>
      <w:r>
        <w:rPr>
          <w:b/>
        </w:rPr>
        <w:t>Shared claim-specific concepts:</w:t>
      </w:r>
      <w:r>
        <w:t xml:space="preserve"> mainstream, academic, but; EU scope not established. This is a provisional connection, not an outcome finding.</w:t>
      </w:r>
    </w:p>
    <w:p>
      <w:pPr>
        <w:pStyle w:val="SourceNote"/>
      </w:pPr>
      <w:r>
        <w:rPr>
          <w:b/>
        </w:rPr>
        <w:t>Available abstract (not full text):</w:t>
      </w:r>
      <w:r>
        <w:t xml:space="preserve"> Feminist philosophy has long been marginalized in philosophy. In response, some feminist philosophers have called for and carried out efforts to mainstream feminist philosophy. In some cases, this mainstreaming has paid off. This paper considers the case of the mainstreaming of feminist philosophy of science, which in the last two decades has assumed an important place in mainstream philosophy of science. Mainstreaming has significant benefits, but it also comes at a cost. I identify two problems: the persistent marginalisation of some strands of feminist research, and a loss of connections to feminist philosophy. By developing an account of disciplinary marginalisation and mainstreaming, this paper contributes to our understanding of the structure of academic disciplines and identifies lessons for the discipline of philosophy.</w:t>
      </w:r>
    </w:p>
    <w:p>
      <w:pPr/>
      <w:r>
        <w:rPr>
          <w:b/>
        </w:rPr>
        <w:t>POSSIBLE 2026:</w:t>
      </w:r>
      <w:r>
        <w:t xml:space="preserve"> Reviewing former critical analyses of subsidy policies in Europe — https://doi.org/10.14267/retp2026.02.06</w:t>
      </w:r>
    </w:p>
    <w:p>
      <w:pPr/>
      <w:r>
        <w:rPr>
          <w:b/>
        </w:rPr>
        <w:t>Shared claim-specific concepts:</w:t>
      </w:r>
      <w:r>
        <w:t xml:space="preserve"> mainstream, academic, debate, but; EU scope visible. This is a provisional connection, not an outcome finding.</w:t>
      </w:r>
    </w:p>
    <w:p>
      <w:pPr>
        <w:pStyle w:val="SourceNote"/>
      </w:pPr>
      <w:r>
        <w:rPr>
          <w:b/>
        </w:rPr>
        <w:t>Available abstract (not full text):</w:t>
      </w:r>
      <w:r>
        <w:t xml:space="preserve"> Academic research on subsidy policies has expanded considerably over the past five decades, yet the literature remains fragmented across regional development, industrial policy, innovation economics, and cohesion studies. This paper reviews the principal academic critiques and theoretical debates concerning subsidy-based development strategies in Europe, rather than addressing political controversies; the analysis focuses solely on the long-term economic and institutional implications identified in mainstream scholarship.The historical experiences of Greece, Spain and Portugal represent some of the most significant regional convergence projects in modern European history. These countries received substantial Structural and Cohesion Fund transfers intended to modernize infrastructure, improve competitiveness, and reduce territorial inequalities. The literature consistently demonstrates that infrastructure modernization did not automatically produce sustainable productive convergence, weak governance capacity, fragmented administration, and clientelist structures constrain the long-term effectiveness of transfers. Another central debate within the literature concerns the effectiveness of innovation and SME subsidies, derived primarily from market-failure arguments. The Mezzogiorno programs in Southern Italy improved infrastructure and industrial capacity but failed to generate se</w:t>
      </w:r>
    </w:p>
    <w:p>
      <w:pPr/>
      <w:r>
        <w:rPr>
          <w:b/>
        </w:rPr>
        <w:t>POSSIBLE 2026:</w:t>
      </w:r>
      <w:r>
        <w:t xml:space="preserve"> From memes to mainstream — https://doi.org/10.5282/edoc.37238</w:t>
      </w:r>
    </w:p>
    <w:p>
      <w:pPr/>
      <w:r>
        <w:rPr>
          <w:b/>
        </w:rPr>
        <w:t>Shared claim-specific concepts:</w:t>
      </w:r>
      <w:r>
        <w:t xml:space="preserve"> mainstream, recent, process; EU scope not established. This is a provisional connection, not an outcome finding.</w:t>
      </w:r>
    </w:p>
    <w:p>
      <w:pPr>
        <w:pStyle w:val="SourceNote"/>
      </w:pPr>
      <w:r>
        <w:rPr>
          <w:b/>
        </w:rPr>
        <w:t>Available abstract (not full text):</w:t>
      </w:r>
      <w:r>
        <w:t xml:space="preserve"> This dissertation addresses the combination of hate speech and humor, resulting in so-called humorous hate speech—a long-standing yet topical phenomenon. Humorous hate speech is understood as a form of covered hate speech and suspected of facilitating the mainstreaming of online hostility. To examine this phenomenon, approaches from communication studies and psychology are systematically combined, allowing for content- and audience-centered perspectives. In the first part of this synopsis, the term humorous hate speech is defined, building on recent research of both humor and hate speech scholarship. After that, an analysis of different stages and dimensions of the communication process of humorous hate speech follows. Using the mainstreaming of hate speech as a central case, the work follows Lasswell’s communication formula and focuses on far-right actors (sender) who disseminate humorous hate speech in text-image macro memes (message) on broadly used social media platforms (channel). This specification informed the first empirical article, which examined the prevalence and the content dimension of the phenomenon (Article 1). Subsequently, the focus shifts to the audience side, addressing the reception of humorous hate speech by a mainstream audience, with particular attention to non-radical and predominantly young and frequent social media users (receiver). Informed by theori</w:t>
      </w:r>
    </w:p>
    <w:p>
      <w:pPr/>
      <w:r>
        <w:rPr>
          <w:b/>
        </w:rPr>
        <w:t>POSSIBLE 2025:</w:t>
      </w:r>
      <w:r>
        <w:t xml:space="preserve"> Re-imagining a multicultural Europe: the experience of the R.E.D. (Reframing the European Dream) Carpet — https://doi.org/10.4337/9781035310036.00032</w:t>
      </w:r>
    </w:p>
    <w:p>
      <w:pPr/>
      <w:r>
        <w:rPr>
          <w:b/>
        </w:rPr>
        <w:t>Shared claim-specific concepts:</w:t>
      </w:r>
      <w:r>
        <w:t xml:space="preserve"> mainstream, academic, debate; EU scope visible. This is a provisional connection, not an outcome finding.</w:t>
      </w:r>
    </w:p>
    <w:p>
      <w:pPr>
        <w:pStyle w:val="SourceNote"/>
      </w:pPr>
      <w:r>
        <w:rPr>
          <w:b/>
        </w:rPr>
        <w:t>Available abstract (not full text):</w:t>
      </w:r>
      <w:r>
        <w:t xml:space="preserve"> This chapter examines the political and academic debate on multiculturalism and cosmopolitanism, going so far as to argue that a false dichotomy has been drawn between the two. By exploring the narratives through which migration processes – and the mixture of different cultures they promote – are framed in European mainstream media discourse, the authors highlight the ambiguous recognition of difference and respect for the ‘other’ emerging from a cosmopolitanism devoid of multicultural ethos. Taking the art installation R.E.D. (Reframing the European Dream) Carpet – resulting from the collaboration between researchers, migrants, first-line practitioners and artists – as a case study, this chapter reflects on the role of art in challenging both the assimilationist logic and the processes of othering. Aesthetic practices show their potential as critical tools able to re-politicize the role of migration and diversity in a multicultural society while fostering the re-imagination of the political order that enables cosmopolitanism.</w:t>
      </w:r>
    </w:p>
    <w:p>
      <w:pPr/>
      <w:r>
        <w:rPr>
          <w:b/>
        </w:rPr>
        <w:t>POSSIBLE 2025:</w:t>
      </w:r>
      <w:r>
        <w:t xml:space="preserve"> Academic mainstream, applied alternative? Arguing a case for ‘second chances’, real-world learning and rethinking assessment — https://doi.org/10.1080/13596748.2025.2469007</w:t>
      </w:r>
    </w:p>
    <w:p>
      <w:pPr/>
      <w:r>
        <w:rPr>
          <w:b/>
        </w:rPr>
        <w:t>Shared claim-specific concepts:</w:t>
      </w:r>
      <w:r>
        <w:t xml:space="preserve"> mainstream, academic, but, provides; EU scope not established. This is a provisional connection, not an outcome finding.</w:t>
      </w:r>
    </w:p>
    <w:p>
      <w:pPr>
        <w:pStyle w:val="SourceNote"/>
      </w:pPr>
      <w:r>
        <w:rPr>
          <w:b/>
        </w:rPr>
        <w:t>Available abstract (not full text):</w:t>
      </w:r>
      <w:r>
        <w:t xml:space="preserve"> England’s mainstream upper secondary curriculum is driven by academic, exam-based GCSEs and A levels, with applied learning qualifications an alternative for ‘less-academic’ 16–18-year-olds. This paper elides two studies of the impact of the BTEC National Diploma on employment and career trajectories, one from the perspective of 16–22-year-olds, another of mature adults. Study 1 explored medium-term impact as students progressed from school to university or work-based learning. Study 2 explored longer-term impact through a life history project spanning 1986–2022 across 10 different industries. Synthesis of the data identified three factors underpinning BTEC’s success: a genuine second chance; teaching and assessment that enabled understanding and promoted learning; strong education/employer links providing real-world experience. Bronfenbrenner’s Bioecological Model provides a theoretical lens, illustrating how knowledge, skills and competences develop best when the educational environment meets the needs of each learner: one-size-fits-all does not work. This paper concludes that all three factors should be mainstream, but significant challenges include our highly politicised policy environment, enduring belief that only exams offer rigorous assessment and lack of an employer engagement system that could support real-world learning. Extra-curricular activities and project qualif</w:t>
      </w:r>
    </w:p>
    <w:p>
      <w:pPr/>
      <w:r>
        <w:rPr>
          <w:b/>
        </w:rPr>
        <w:t>POSSIBLE 2025:</w:t>
      </w:r>
      <w:r>
        <w:t xml:space="preserve"> ‘Jazz populism’ in London and the counter-hegemonic mainstream — https://doi.org/10.1017/s0261143026101299</w:t>
      </w:r>
    </w:p>
    <w:p>
      <w:pPr/>
      <w:r>
        <w:rPr>
          <w:b/>
        </w:rPr>
        <w:t>Shared claim-specific concepts:</w:t>
      </w:r>
      <w:r>
        <w:t xml:space="preserve"> mainstream, recent, provides; EU scope visible. This is a provisional connection, not an outcome finding.</w:t>
      </w:r>
    </w:p>
    <w:p>
      <w:pPr>
        <w:pStyle w:val="SourceNote"/>
      </w:pPr>
      <w:r>
        <w:rPr>
          <w:b/>
        </w:rPr>
        <w:t>Available abstract (not full text):</w:t>
      </w:r>
      <w:r>
        <w:t xml:space="preserve"> Abstract This paper re-animates debates over the unsettled relationship between jazz and popular music through an exploration of the recent ‘London jazz explosion’. It explores the framing of London jazz’s mainstreaming as counter-hegemonic in press/promotional coverage, showing how the prominence of Black musicians and Black popular musics in ‘new London jazz’ is widely interpreted as a rejoinder to perceived elitism and institutional whiteness in British and European jazz ‘establishments’. It also examines interpretations of the scene’s relative commercial success as a meaningful reversal of jazz’s institutionalisation as art music since the 1980s. I define this discourse as ‘jazz populism’, through which the very fact of the scene’s mainstream appeal is used to promote London jazz as a musical – and cultural-political – ‘alternative’. The paper provides overdue analysis of a significant development in 2020s European popular music, and deepens our understanding of the complexities of contemporary musical mainstreams.</w:t>
      </w:r>
    </w:p>
    <w:p>
      <w:pPr/>
      <w:r>
        <w:rPr>
          <w:b/>
        </w:rPr>
        <w:t>POSSIBLE 2025:</w:t>
      </w:r>
      <w:r>
        <w:t xml:space="preserve"> Exploring the Presence and Absence of Academic Discourse on Public Participation in the European Green Deal: A Central and Eastern European Perspective — https://doi.org/10.3390/soc15030049</w:t>
      </w:r>
    </w:p>
    <w:p>
      <w:pPr/>
      <w:r>
        <w:rPr>
          <w:b/>
        </w:rPr>
        <w:t>Shared claim-specific concepts:</w:t>
      </w:r>
      <w:r>
        <w:t xml:space="preserve"> mainstream, academic, but, process; EU scope visible. This is a provisional connection, not an outcome finding.</w:t>
      </w:r>
    </w:p>
    <w:p>
      <w:pPr>
        <w:pStyle w:val="SourceNote"/>
      </w:pPr>
      <w:r>
        <w:rPr>
          <w:b/>
        </w:rPr>
        <w:t>Available abstract (not full text):</w:t>
      </w:r>
      <w:r>
        <w:t xml:space="preserve"> The European Green Deal (EGD), a complex policy program meant to address climate change and ensure a “just, fair and inclusive” transition into a more sustainable and greener Europe, was launched by the EU in 2019. It was clear from the very beginning that the opportunities and costs of the ambitious green transition would be very uneven geographically, not only within the EU but also among its regions and locations. Regions with higher environmental stress and/or less technological and economic capacities will inevitably be disadvantaged. The EGD requires large-scale public acceptance, which comes with democratic innovations and participative practices, which are less embedded in many regions. The former socialist bloc still struggles today with establishing decent levels of public participation, as well as with adopting and implementing democratic community principles in practice. The main aim of this paper is twofold. On the one hand, we intend to give an assessment of where Central and Eastern European (CEE) countries stand in the process of the green transition and what the major focus areas affecting them are, based on the existing academic literature. On the other hand, we intend to give a clear overview of the causes for and aspects of the weakness of civil society in the post-communist bloc and reasons why the adaptation of democratic innovations is lagging in this reg</w:t>
      </w:r>
    </w:p>
    <w:p>
      <w:pPr/>
      <w:r>
        <w:rPr>
          <w:b/>
        </w:rPr>
        <w:t>POSSIBLE 2024:</w:t>
      </w:r>
      <w:r>
        <w:t xml:space="preserve"> Unsettling mainstream academic debates on community-based energy governance: Exploring the Japanese experience — https://doi.org/10.1016/j.rser.2024.114994</w:t>
      </w:r>
    </w:p>
    <w:p>
      <w:pPr/>
      <w:r>
        <w:rPr>
          <w:b/>
        </w:rPr>
        <w:t>Shared claim-specific concepts:</w:t>
      </w:r>
      <w:r>
        <w:t xml:space="preserve"> mainstream, academic, provides; EU scope visible. This is a provisional connection, not an outcome finding.</w:t>
      </w:r>
    </w:p>
    <w:p>
      <w:pPr>
        <w:pStyle w:val="SourceNote"/>
      </w:pPr>
      <w:r>
        <w:rPr>
          <w:b/>
        </w:rPr>
        <w:t>Available abstract (not full text):</w:t>
      </w:r>
      <w:r>
        <w:t xml:space="preserve">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pPr/>
      <w:r>
        <w:rPr>
          <w:b/>
        </w:rPr>
        <w:t>POSSIBLE 2024:</w:t>
      </w:r>
      <w:r>
        <w:t xml:space="preserve"> Academic freedom in Europe: Limitations and judicial remedies — https://doi.org/10.1017/s2045381724000091</w:t>
      </w:r>
    </w:p>
    <w:p>
      <w:pPr/>
      <w:r>
        <w:rPr>
          <w:b/>
        </w:rPr>
        <w:t>Shared claim-specific concepts:</w:t>
      </w:r>
      <w:r>
        <w:t xml:space="preserve"> academic, union, provides; EU scope visible. This is a provisional connection, not an outcome finding.</w:t>
      </w:r>
    </w:p>
    <w:p>
      <w:pPr>
        <w:pStyle w:val="SourceNote"/>
      </w:pPr>
      <w:r>
        <w:rPr>
          <w:b/>
        </w:rPr>
        <w:t>Available abstract (not full text):</w:t>
      </w:r>
      <w:r>
        <w:t xml:space="preserve"> Abstract Europe has recently struggled with democratic backsliding and autocratization. This autocratization has accompanied a decline in academic freedom in many backsliding countries, as reported by the Academic Freedom Index. Can the standards set by the European supranational courts effectively safeguard academic freedom? This article provides answers to this question. It argues that despite differences in their approaches, the theoretical conceptions of scholarship held by the European Court of Human Rights (ECtHR) and the Court of Justice of the European Union (ECJ) share an essential feature: both have moved towards embracing the ‘liberal science script’ by protecting academic freedom. The main difference between the two courts’ approaches is the subject of protection. The ECtHR focuses on the individual rights of academics: It protects free speech in the academic context by establishing a high standard for holding academics liable for publicly expressing their views inside and outside of academia. The ECJ has applied the concept of institutional autonomy, thereby setting a high standard for safeguarding the freedom of academic institutions. This standard can be applied with regard to the demands placed by policy-makers on academia regarding its role in democracy, including gender equality requirements for EU research funding.</w:t>
      </w:r>
    </w:p>
    <w:p>
      <w:pPr/>
      <w:r>
        <w:rPr>
          <w:b/>
        </w:rPr>
        <w:t>POSSIBLE 2024:</w:t>
      </w:r>
      <w:r>
        <w:t xml:space="preserve"> Chapter 1 Against the Mainstream? — https://openalex.org/W7137538783</w:t>
      </w:r>
    </w:p>
    <w:p>
      <w:pPr/>
      <w:r>
        <w:rPr>
          <w:b/>
        </w:rPr>
        <w:t>Shared claim-specific concepts:</w:t>
      </w:r>
      <w:r>
        <w:t xml:space="preserve"> mainstream, union, provides; EU scope visible. This is a provisional connection, not an outcome finding.</w:t>
      </w:r>
    </w:p>
    <w:p>
      <w:pPr>
        <w:pStyle w:val="SourceNote"/>
      </w:pPr>
      <w:r>
        <w:rPr>
          <w:b/>
        </w:rPr>
        <w:t>Available abstract (not full text):</w:t>
      </w:r>
      <w:r>
        <w:t xml:space="preserve"> This book provides a comprehensive overview of the regulation of party finance in post-Soviet countries by leading academics and practitioners in the field. Through a series of cutting-edge chapters, using both original quantitative and qualitative data, it systematically sheds theoretical and empirical light on the way party funding regulation has evolved since the fall of the Soviet Union in 1991, as well as on the manner in which the legal regulation of party finances has had an impact (or not) on the evolution of party politics and democratic consolidation in the region. The book examines regulation in post-Soviet countries like Armenia, Georgia, Kazakhstan, Kyrgyzstan, Moldova, Mongolia, Russia and Ukraine. In analysing the various dimensions of party funding regulation and their impact on political parties, party systems and democracy, it looks at the past and future, and makes recommendations on how legislation could be improved in order to further party development, party system stabilisation and democratic consolidation for all the countries in the region. This book will be of key interest to scholars, students, practitioners and journalists interested in political party finance and anti-corruption, and more broadly to political parties, democracy and democratic governance, and post-Soviet/Russian and East European politics.</w:t>
      </w:r>
    </w:p>
    <w:p>
      <w:pPr/>
      <w:r>
        <w:rPr>
          <w:b/>
        </w:rPr>
        <w:t>POSSIBLE 2024:</w:t>
      </w:r>
      <w:r>
        <w:t xml:space="preserve"> The future of tourism: interview with Bernadett Papp on bringing equity into debates on tourism development and destination governance — https://doi.org/10.1108/jtf-09-2024-0212</w:t>
      </w:r>
    </w:p>
    <w:p>
      <w:pPr/>
      <w:r>
        <w:rPr>
          <w:b/>
        </w:rPr>
        <w:t>Shared claim-specific concepts:</w:t>
      </w:r>
      <w:r>
        <w:t xml:space="preserve"> mainstream, academic, recent, provides; EU scope visible. This is a provisional connection, not an outcome finding.</w:t>
      </w:r>
    </w:p>
    <w:p>
      <w:pPr>
        <w:pStyle w:val="SourceNote"/>
      </w:pPr>
      <w:r>
        <w:rPr>
          <w:b/>
        </w:rPr>
        <w:t>Available abstract (not full text):</w:t>
      </w:r>
      <w:r>
        <w:t xml:space="preserve"> Purpose As the Journal of Tourism Futures celebrates its 10th Anniversary, Dr Stefan Hartman (head of department at the European Tourism Futures Institute, NHL Stenden University of Applied Sciences) interviews Bernadett Papp (senior researcher at the European Tourism Futures Institute (ETFI) at NHL Stenden University of Applied Sciences) about her recent work in tourism practice and academic and future perspectives on topics relevant to the future of tourism. Design/methodology/approach A personal interview was held on September 16, 2024. Findings Bernadett Papp draws attention to the importance of bringing equity into debates on tourism development and destination governance. She sees a crucial role for governments, the redesign of institutional frameworks, monitoring and data collection and rethinking systems of governance. Originality/value The interview provides unique insights into the viewpoints of Papp, highlighting the importance of the still understudied topic of equitable tourism. A topic that still requires a lot of work before hitting mainstream approaches to destination development, even though it should have been on the policy agendas for many years already.</w:t>
      </w:r>
    </w:p>
    <w:p>
      <w:pPr/>
      <w:r>
        <w:rPr>
          <w:b/>
        </w:rPr>
        <w:t>POSSIBLE 2024:</w:t>
      </w:r>
      <w:r>
        <w:t xml:space="preserve"> Shifting Academic Paradigms in Response to Global Crises: Opportunities and Pitfalls — https://doi.org/10.1093/fmls/cqae039</w:t>
      </w:r>
    </w:p>
    <w:p>
      <w:pPr/>
      <w:r>
        <w:rPr>
          <w:b/>
        </w:rPr>
        <w:t>Shared claim-specific concepts:</w:t>
      </w:r>
      <w:r>
        <w:t xml:space="preserve"> academic, but, crisis, provides; EU scope visible. This is a provisional connection, not an outcome finding.</w:t>
      </w:r>
    </w:p>
    <w:p>
      <w:pPr>
        <w:pStyle w:val="SourceNote"/>
      </w:pPr>
      <w:r>
        <w:rPr>
          <w:b/>
        </w:rPr>
        <w:t>Available abstract (not full text):</w:t>
      </w:r>
      <w:r>
        <w:t xml:space="preserve"> Academic knowledge develops through paradigm shifts, which can be facilitated by world-changing events. I am writing this piece thinking about my own research on an earlier shift, spearheaded by scholars from Eastern and Central Europe a hundred years ago, when old certainties were productively questioned in a range of academic fields.1 Some epistemological issues that are raised today echo what was said in the early twentieth century, when Euro-/West-centric understandings of cultures began to be creatively critiqued.2 World War I facilitated imperial disintegrations and early Soviet actors used decolonization discourse to describe the demise of the tsarist empire.3 During the 1928–31 Soviet ‘cultural revolution’ decolonization discourse reached its peak, while also acquiring destructive forms under intense political pressure. Notably, it is not only under totalitarianism that ideologically charged campaigns can affect academic research. I remember how the heightened politicization of what used to be called Soviet Studies played out in Western academia in my lifetime. This contradictory history informs my response to the article by Byford, Doak and Hutchings in relation to the three main issues it raises: the relationship between political activism and academic research, what ‘Russian Studies’ is and the field’s relationship to the ‘decolonization agenda’, which is salient aga</w:t>
      </w:r>
    </w:p>
    <w:p>
      <w:pPr>
        <w:pStyle w:val="Heading2"/>
      </w:pPr>
      <w:r>
        <w:t>795. Using urban foresight techniques in city visioning: Lessons from the Reading 2050 vision</w:t>
      </w:r>
    </w:p>
    <w:p>
      <w:pPr>
        <w:pStyle w:val="SourceNote"/>
      </w:pPr>
      <w:r>
        <w:rPr>
          <w:b/>
        </w:rPr>
        <w:t>Original source (2018):</w:t>
      </w:r>
      <w:r>
        <w:t xml:space="preserve"> https://doi.org/10.1177/0269094218800677</w:t>
      </w:r>
    </w:p>
    <w:p>
      <w:pPr/>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POSSIBLE 2026:</w:t>
      </w:r>
      <w:r>
        <w:t xml:space="preserve"> Between Planning and Informality: The Emergence of Hybrid Urbanism in Lebanese Cities — https://doi.org/10.51584/ijrias.2026.11013sp0015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pPr/>
      <w:r>
        <w:rPr>
          <w:b/>
        </w:rPr>
        <w:t>POSSIBLE 2026:</w:t>
      </w:r>
      <w:r>
        <w:t xml:space="preserve"> Exploring the emergence of innovation districts as volumetric urban projects in Taipei City — https://doi.org/10.1080/12265934.2026.2637658</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pPr/>
      <w:r>
        <w:rPr>
          <w:b/>
        </w:rPr>
        <w:t>POSSIBLE 2026:</w:t>
      </w:r>
      <w:r>
        <w:t xml:space="preserve"> Cities As Interfaces of Zoonotic Hazard Emergence: Development of the New York City Tick and Wildlife Urban Surveillance System — https://doi.org/10.3791/69755</w:t>
      </w:r>
    </w:p>
    <w:p>
      <w:pPr/>
      <w:r>
        <w:rPr>
          <w:b/>
        </w:rPr>
        <w:t>Shared claim-specific concepts:</w:t>
      </w:r>
      <w:r>
        <w:t xml:space="preserve"> emergence, urban, city, long-term; EU scope not established. This is a provisional connection, not an outcome finding.</w:t>
      </w:r>
    </w:p>
    <w:p>
      <w:pPr>
        <w:pStyle w:val="SourceNote"/>
      </w:pPr>
      <w:r>
        <w:rPr>
          <w:b/>
        </w:rPr>
        <w:t>Available abstract (not full text):</w:t>
      </w:r>
      <w:r>
        <w:t xml:space="preserve">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pPr/>
      <w:r>
        <w:rPr>
          <w:b/>
        </w:rPr>
        <w:t>POSSIBLE 2026:</w:t>
      </w:r>
      <w:r>
        <w:t xml:space="preserve"> Emergence of Wetland Neighbourhoods in Port Harcourt and the Challenge to the Urban Planner — https://openalex.org/W7154801030</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Emergence of Wetland Neighbourhoods in Port Harcourt and the Challenge to the Urban Planner — https://doi.org/10.9734/jgeesi/2026/v30i41039</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Urban historical analysis of the emergence and development of Bishkek — https://doi.org/10.63621/as./1.2025.22</w:t>
      </w:r>
    </w:p>
    <w:p>
      <w:pPr/>
      <w:r>
        <w:rPr>
          <w:b/>
        </w:rPr>
        <w:t>Shared claim-specific concepts:</w:t>
      </w:r>
      <w:r>
        <w:t xml:space="preserve"> emergence, urban, city, plan; EU scope not established. This is a provisional connection, not an outcome finding.</w:t>
      </w:r>
    </w:p>
    <w:p>
      <w:pPr>
        <w:pStyle w:val="SourceNote"/>
      </w:pPr>
      <w:r>
        <w:rPr>
          <w:b/>
        </w:rPr>
        <w:t>Available abstract (not full text):</w:t>
      </w:r>
      <w:r>
        <w:t xml:space="preserve"> Following the Presidential Decree of the Kyrgyz Republic dated 29 December 2023 on the expansion of the administrative-territorial boundaries of Bishkek, by analogy with cities such as Moscow, New Delhi, and Greater London, this territorial enlargement has given rise to numerous urban planning challenges and has exacerbated existing issues affecting the vital interests of the population. With the extension of the urban area, multiple questions emerge regarding the city’s historical reference framework, including the integration of newly incorporated monuments of historical, cultural, landscape, and other significance. The aim of this study was to establish the theoretical foundations for the rational, economically efficient, and anticipatory development of the capital of Kyrgyzstan. The research employed historical-chronological and historical-urban analyses (comparing master plans from 1878 to 2025), a systematic interdisciplinary approach (considering natural, climatic, and seismic factors), a comparative-historical method, and critical analysis of primary sources. The study revealed that the regular rectangular street grid of Pishpek in 1878 established a resilient framework for contemporary Bishkek. It analysed the stages of transformation of the urban layout during the Soviet and post-Soviet periods, and examined the influence of natural and geographical conditions (topogr</w:t>
      </w:r>
    </w:p>
    <w:p>
      <w:pPr/>
      <w:r>
        <w:rPr>
          <w:b/>
        </w:rPr>
        <w:t>POSSIBLE 2026:</w:t>
      </w:r>
      <w:r>
        <w:t xml:space="preserve"> Density as verb: on the emergence and circulation of a category in Swiss urban development — https://doi.org/10.1080/02723638.2026.2699805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This paper examines the emergence and circulation of “density” as an expert category in Swiss urban development, arguing that it operates as a boundary object that shapes planning practices, policies and urban imaginaries. Drawing on policy documents, expert interviews and case studies, the paper traces how “density” has evolved from a technical parameter to a contested and malleable notion mobilized across different planning and political arenas. By analysing its use in planning debates, political arenas, legal frameworks and participatory workshops, I highlight how density functions as a verb: actively structuring urban transformation, mediating conflicts, provoking resistance and legitimizing interventions. The Swiss case illustrates how density, as a flexible yet impactful category, adapts to shifting governance regimes, development imperatives and techno-political negotiations.</w:t>
      </w:r>
    </w:p>
    <w:p>
      <w:pPr/>
      <w:r>
        <w:rPr>
          <w:b/>
        </w:rPr>
        <w:t>POSSIBLE 2026:</w:t>
      </w:r>
      <w:r>
        <w:t xml:space="preserve"> Exophiala as a polyextremotolerant fungal model: Ecology, adaptive strategies, and the emergence of “urban oligotrophic specialists” — https://doi.org/10.1016/j.fbr.2026.100487</w:t>
      </w:r>
    </w:p>
    <w:p>
      <w:pPr/>
      <w:r>
        <w:rPr>
          <w:b/>
        </w:rPr>
        <w:t>Shared claim-specific concepts:</w:t>
      </w:r>
      <w:r>
        <w:t xml:space="preserve"> emergence, urban, reviews; EU scope not established. This is a provisional connection, not an outcome finding.</w:t>
      </w:r>
    </w:p>
    <w:p>
      <w:pPr>
        <w:pStyle w:val="SourceNote"/>
      </w:pPr>
      <w:r>
        <w:rPr>
          <w:b/>
        </w:rPr>
        <w:t>Available abstract (not full text):</w:t>
      </w:r>
      <w:r>
        <w:t xml:space="preserve"> The genus Exophiala , a group of black yeasts, exemplifies the resilience of polyextremotolerant fungi, which thrive in diverse habitats, including polluted industrial sites, saline waters, and human-associated environments. Characterized by their ability to overcome fluctuations in pH, high salinity, temperature extremes, chaotropic conditions, and nutrient scarcity, Exophiala species serve as models for understanding fungal adaptations to polyextreme conditions. This perspective article reviews current knowledge on the Exophiala genus, highlighting key adaptations, including melanin-mediated protection against radiation and oxidative stress, the emerging role of extracellular vesicles in cellular communication, the influence of polymorphic transitions on environmental resilience and pathogenicity, and the molecular basis of Exophiala 's adaptability and resilience. A central focus of this work is E . dermatitidis , which we propose as a model species for studying fungal adaptation to both natural and anthropogenic environments. Here, we introduce the concept of “urban oligotrophic specialist” to describe E. dermatitidis , emphasizing its ability to thrive in nutrient-limited human-made environments, including kitchens, dishwashers, bathrooms, and hydrocarbon-polluted sites. This unique ecological positioning reflects its adaptation to the Anthropocene, where increasing urbani</w:t>
      </w:r>
    </w:p>
    <w:p>
      <w:pPr/>
      <w:r>
        <w:rPr>
          <w:b/>
        </w:rPr>
        <w:t>POSSIBLE 2026:</w:t>
      </w:r>
      <w:r>
        <w:t xml:space="preserve"> The Emergence of the Periphery Urban Satellite Suburbs Due to the New Government Housing Projects in Saudi Cities — https://doi.org/10.5539/jsd.v19n5p1</w:t>
      </w:r>
    </w:p>
    <w:p>
      <w:pPr/>
      <w:r>
        <w:rPr>
          <w:b/>
        </w:rPr>
        <w:t>Shared claim-specific concepts:</w:t>
      </w:r>
      <w:r>
        <w:t xml:space="preserve"> emergence, urban, vision; EU scope not established. This is a provisional connection, not an outcome finding.</w:t>
      </w:r>
    </w:p>
    <w:p>
      <w:pPr>
        <w:pStyle w:val="SourceNote"/>
      </w:pPr>
      <w:r>
        <w:rPr>
          <w:b/>
        </w:rPr>
        <w:t>Available abstract (not full text):</w:t>
      </w:r>
      <w:r>
        <w:t xml:space="preserve"> The government has been rapidly expanding large-scale housing initiatives to meet the goals of Saudi Vision 2030, such as boosting house ownership to 70% by 2030, in Saudi Arabia. This research compares the sustainability of the spatial development of mega government housing projects with existing inner-city residential neighbourhoods in Riyadh, Jeddah and Alhofuf. A comparative multiple-case study design was employed, drawing upon the SPECTRUM neighbourhood sustainability assessment framework to assess six case studies against the 10 dimensions of sustainability: accessibility, connectivity, infrastructure, public transport, housing provision, environmental quality, and public services. The results show that well-developed inner-city neighbourhoods routinely scored significantly higher in terms of sustainability than recent suburban housing developments. The suburban developments helped provide housing, but were overall less connected with cities, had poorer access to public transport, and more dependent upon existing cities for employment and essential services. The study concludes that future developments by the government should focus on infill development, phased urban development, integrated public transport provision and comprehensive infrastructure to enhance the sustainability of neighbourhoods and meet longer-term goals of Saudi Vision 2030.</w:t>
      </w:r>
    </w:p>
    <w:p>
      <w:pPr/>
      <w:r>
        <w:rPr>
          <w:b/>
        </w:rPr>
        <w:t>POSSIBLE 2026:</w:t>
      </w:r>
      <w:r>
        <w:t xml:space="preserve"> The Emergence of the 15-Minute City Framework from Problem-Based Learning in the Regional/Urban Planning Studio — https://doi.org/10.58230/edutech.v4i1.115</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The 15-minute city concept emphasizes proximity to daily needs through accessibility, mobility, connectivity, and diverse spatial functions. This study uses a qualitative reflective case study design to examine how Problem-Based Learning (PBL) characteristics embedded in a Regional/Urban Planning Studio workflow can generate a 15-minute city framework. The framework is reconstructed through problem orientation, identification, analysis, formulation of alternatives, and evaluation, using studio documents, observations, secondary data, and reflective notes. As complementary empirical evidence, scalogram and Weighted Centrality Index (WCI) data covering 23 subdistricts in Bekasi Regency were examined. The analysis recorded 332 facility occurrences and 24 errors, producing a Coefficient of Reproducibility (COR) of 0.92. Among the five contextual subdistricts, Tambun Selatan had the highest facility weight (157.82; Hierarchy I). The findings indicate that PBL can generate a conceptual framework linking daily needs, facilities, accessibility, mobility, networks, spatial structure, environmental quality, and equitable service distribution.</w:t>
      </w:r>
    </w:p>
    <w:p>
      <w:pPr/>
      <w:r>
        <w:rPr>
          <w:b/>
        </w:rPr>
        <w:t>POSSIBLE 2026:</w:t>
      </w:r>
      <w:r>
        <w:t xml:space="preserve"> Emergence of AI New Urbanism as a Synthesis Science Where AI Meets Cities: AI Optimism for Data-Driven City Climate Planning — https://doi.org/10.1007/978-3-032-21940-4_2</w:t>
      </w:r>
    </w:p>
    <w:p>
      <w:pPr/>
      <w:r>
        <w:rPr>
          <w:b/>
        </w:rPr>
        <w:t>Shared claim-specific concepts:</w:t>
      </w:r>
      <w:r>
        <w:t xml:space="preserve"> emergence, city;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Cellular Automata Simulation of Complex Systems Emergence — https://doi.org/10.5281/zenodo.22575417</w:t>
      </w:r>
    </w:p>
    <w:p>
      <w:pPr/>
      <w:r>
        <w:rPr>
          <w:b/>
        </w:rPr>
        <w:t>Shared claim-specific concepts:</w:t>
      </w:r>
      <w:r>
        <w:t xml:space="preserve"> emergence, urban, techniques, focuses, local; EU scope not established. This is a provisional connection, not an outcome finding.</w:t>
      </w:r>
    </w:p>
    <w:p>
      <w:pPr>
        <w:pStyle w:val="SourceNote"/>
      </w:pPr>
      <w:r>
        <w:rPr>
          <w:b/>
        </w:rPr>
        <w:t>Available abstract (not full text):</w:t>
      </w:r>
      <w:r>
        <w:t xml:space="preserve"> This paper investigates the application of cellular automata (CA) to simulate emergent phenomena within complex systems. Traditional approaches to modeling complex systems, such as system dynamics, often struggle to capture the dynamic and unpredictable nature of emergent behavior. Cellular automata provide a discrete, agent-based framework that allows for the explicit representation of interactions between individual components, facilitating the observation of system-level patterns and self-organization. This work focuses on demonstrating the efficacy of CA models in capturing emergent behavior across diverse domains, including urban development, social evolution, and ecological dynamics. The core methodology involves defining cell states, interaction rules, and neighborhood configurations, followed by the simulation of the system's evolution over time. The results highlight the potential of CA as a powerful tool for understanding and predicting emergent phenomena, offering a complementary approach to more established modeling techniques. Key concepts explored include local rules, spatial dynamics, and the emergence of global patterns. The paper provides a foundational understanding of CA simulation and its relevance to complex system research.</w:t>
      </w:r>
    </w:p>
    <w:p>
      <w:pPr>
        <w:pStyle w:val="Heading2"/>
      </w:pPr>
      <w:r>
        <w:t>796. Varying soil moisture–atmosphere feedbacks explain divergent temperature extremes and precipitation projections in central Europe</w:t>
      </w:r>
    </w:p>
    <w:p>
      <w:pPr>
        <w:pStyle w:val="SourceNote"/>
      </w:pPr>
      <w:r>
        <w:rPr>
          <w:b/>
        </w:rPr>
        <w:t>Original source (2018):</w:t>
      </w:r>
      <w:r>
        <w:t xml:space="preserve"> https://doi.org/10.5194/esd-9-1107-2018</w:t>
      </w:r>
    </w:p>
    <w:p>
      <w:pPr/>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POSSIBLE 2026:</w:t>
      </w:r>
      <w:r>
        <w:t xml:space="preserve"> Civilizational Temperature: A CRTI-Based Heuristic Exploration of Long-Term System Dynamics (1000 BCE–2025 CE) — https://doi.org/10.5281/zenodo.19058865</w:t>
      </w:r>
    </w:p>
    <w:p>
      <w:pPr/>
      <w:r>
        <w:rPr>
          <w:b/>
        </w:rPr>
        <w:t>Shared claim-specific concepts:</w:t>
      </w:r>
      <w:r>
        <w:t xml:space="preserve"> long-term, temperature, divergent; EU scope visible. This is a provisional connection, not an outcome finding.</w:t>
      </w:r>
    </w:p>
    <w:p>
      <w:pPr>
        <w:pStyle w:val="SourceNote"/>
      </w:pPr>
      <w:r>
        <w:rPr>
          <w:b/>
        </w:rPr>
        <w:t>Available abstract (not full text):</w:t>
      </w:r>
      <w:r>
        <w:t xml:space="preserve">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pPr/>
      <w:r>
        <w:rPr>
          <w:b/>
        </w:rPr>
        <w:t>POSSIBLE 2026:</w:t>
      </w:r>
      <w:r>
        <w:t xml:space="preserve"> Vegetation Responses to Climate Extremes Across China: Lagged Effects and Dominant Drivers Revealed by Long-Term kNDVI Observations — https://doi.org/10.3390/atmos17030227</w:t>
      </w:r>
    </w:p>
    <w:p>
      <w:pPr/>
      <w:r>
        <w:rPr>
          <w:b/>
        </w:rPr>
        <w:t>Shared claim-specific concepts:</w:t>
      </w:r>
      <w:r>
        <w:t xml:space="preserve"> long-term, temperature, txx, precipitation; EU scope not established. This is a provisional connection, not an outcome finding.</w:t>
      </w:r>
    </w:p>
    <w:p>
      <w:pPr>
        <w:pStyle w:val="SourceNote"/>
      </w:pPr>
      <w:r>
        <w:rPr>
          <w:b/>
        </w:rPr>
        <w:t>Available abstract (not full text):</w:t>
      </w:r>
      <w:r>
        <w:t xml:space="preserve"> Quantifying the relative roles of climate change and human activities in vegetation change is essential for sustainable restoration planning, yet the impacts of extreme climate events and their time-lagged effects are often overlooked, biasing assessments of climatic controls. Here, we developed an integrated pattern–process–attribution framework to evaluate vegetation dynamics across China’s four major climatic zones using a long-term, high-resolution kernel normalized difference vegetation index (kNDVI) dataset for 2000–2024. Theil–Sen trend estimation and the coefficient of variation (CV) were used to characterize long-term changes and interannual stability. Partial correlation analysis was applied to isolate the independent associations between kNDVI and extreme climate indices while controlling for background mean temperature and precipitation, and lagged correlation analysis with 0–3-month lags was used to quantify delayed responses. A regression-based residual attribution was further used to decompose observed kNDVI changes into a climate-driven component and a human-activity-related component (approximated by the residual not explained by temperature and precipitation). Results show widespread greening with pronounced spatial heterogeneity, with the most extensive improvement in the Tropical and Subtropical Humid Region and the Temperate Humid and Semi-humid Region. Veg</w:t>
      </w:r>
    </w:p>
    <w:p>
      <w:pPr/>
      <w:r>
        <w:rPr>
          <w:b/>
        </w:rPr>
        <w:t>POSSIBLE 2026:</w:t>
      </w:r>
      <w:r>
        <w:t xml:space="preserve"> Long-Term Changes in Temperature Extremes Based on Climate Indices in Different Physical-Geographical Conditions of Georgia, 1961–2020 — https://doi.org/10.3390/atmos17070678</w:t>
      </w:r>
    </w:p>
    <w:p>
      <w:pPr/>
      <w:r>
        <w:rPr>
          <w:b/>
        </w:rPr>
        <w:t>Shared claim-specific concepts:</w:t>
      </w:r>
      <w:r>
        <w:t xml:space="preserve"> long-term, temperature, summer; EU scope not established. This is a provisional connection, not an outcome finding.</w:t>
      </w:r>
    </w:p>
    <w:p>
      <w:pPr>
        <w:pStyle w:val="SourceNote"/>
      </w:pPr>
      <w:r>
        <w:rPr>
          <w:b/>
        </w:rPr>
        <w:t>Available abstract (not full text):</w:t>
      </w:r>
      <w:r>
        <w:t xml:space="preserve"> We studied long-term changes in temperature extremes in Georgia against the backdrop of ongoing global warming within 1961–2020. Using observational data from 20 meteorological stations from different physical-geographic regions of the country, we analyzed the main climate temperature indices recommended by the WMO and the Expert Team on Climate Change Detection and Indices (ETCCDI). Indices characterizing extremely cold and warm conditions (ice days, frost days, summer days, and tropical nights); growing season length; as well as indices of absolute extremes and percentile temperature characteristics were considered. The results show that along the Black Sea coast and the Kolkheti Lowland, changes in temperature indices are less pronounced due to the moderating influence of the sea and humid landscapes; however, a significant increase in the number of tropical nights is observed. In areas with a more continental climate (Eastern Georgia, the South Georgian Highlands, and the mid-mountain zone of the Greater Caucasus), a general decrease in the number of ice days and frost days was observed, along with a simultaneous increase in the number of hot summer days, tropical nights, and growing season length. Tropical nights and percentile temperature indices were found to be the most sensitive to global warming. Overall, the results indicate widespread long-term tendencies consistent</w:t>
      </w:r>
    </w:p>
    <w:p>
      <w:pPr/>
      <w:r>
        <w:rPr>
          <w:b/>
        </w:rPr>
        <w:t>POSSIBLE 2026:</w:t>
      </w:r>
      <w:r>
        <w:t xml:space="preserve"> The Impacts of Climate Change on Temperate Forests in Europe and Adaptation Options — https://doi.org/10.70917/ijcisim-2026-1011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Vegetation phenology is a sensitive indicator of climate change, and its changes directly reflect the response of vegetation growth to climate change. The study of vegetation phenology is of great significance to understand the impact of global climate change on terrestrial ecosystems. In this paper, the impact of climate change on temperate forests in Europe was investigated using biased correlation analysis and multiple regression analysis based on NDVI extracted vegetation phenology parameters and climate data from the German Weather Service (DWD) observation network in the Hartz Mountains forest study area. It was found that the interannual variability of forest phenology in the Hartz Mountains from 2001 to 2020 was characterized by summer and fall temperatures as well as fall precipitation as the main factors affecting EOS in the study area. Changes in the sensitivity of forest vegetation EOS to temperature and precipitation were strongly correlated. The effects of both temperature and precipitation on forest EOS showed a trend from negative to positive, in which every 1 mm increase in precipitation from April to August would advance the forest by 0.15 d on average. The correlation between NPP and temperature and precipitation was gradually significant with the increase of time scale. In order to cope with the problem of climate change, it is reasonable to meet the urgent </w:t>
      </w:r>
    </w:p>
    <w:p>
      <w:pPr/>
      <w:r>
        <w:rPr>
          <w:b/>
        </w:rPr>
        <w:t>POSSIBLE 2026:</w:t>
      </w:r>
      <w:r>
        <w:t xml:space="preserve"> Projected climate memory and inherited warm-tail risk in accelerated European summer warming — https://doi.org/10.48550/arxiv.2608.09966</w:t>
      </w:r>
    </w:p>
    <w:p>
      <w:pPr/>
      <w:r>
        <w:rPr>
          <w:b/>
        </w:rPr>
        <w:t>Shared claim-specific concepts:</w:t>
      </w:r>
      <w:r>
        <w:t xml:space="preserve"> temperature, about, find, summer; EU scope visible. This is a provisional connection, not an outcome finding.</w:t>
      </w:r>
    </w:p>
    <w:p>
      <w:pPr>
        <w:pStyle w:val="SourceNote"/>
      </w:pPr>
      <w:r>
        <w:rPr>
          <w:b/>
        </w:rPr>
        <w:t>Available abstract (not full text):</w:t>
      </w:r>
      <w:r>
        <w:t xml:space="preserve"> European summer warming reflects interactions among background change, persistent ocean--land--circulation states, and same-season variability. We develop an empirical reduced-dynamics framework that decomposes regional summer indicators into inherited slow-state memory, its predictable component, and contemporaneous innovation. Projection-operator theory motivates the decomposition, implemented with finite causal filters, ridge-regularised prediction, and logistic risk models. Using ERA5-derived summer indicators for 28 IPCC AR6 European sub-regions over 1950--2024, with validation on 2006--2024, we find that Mediterranean-state memory improves mean summer-temperature prediction relative to trend-only and ARX baselines. The gain over ARX is modest, while moving-average, exponentially weighted, and tempered filters contain similar annual information, indicating that the data identify useful slow-state memory more robustly than a unique kernel shape. Predictable-state reconstruction is ridge-sensitive and therefore treated diagnostically rather than as a forecasting model. The strongest result concerns warm-tail risk. In parsimonious logistic models, high accumulated Mediterranean memory raises predicted upper-tail event probability by about 8--11 percentage points for annual maximum summer temperature, warm-day frequency, and warm-spell duration at 1-, 3-, and 5-year horizons. </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temperature, ensemble, behavior, projections, precipitation, until;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Global characterisation of the vertical temperature anomaly structure of heat extremes over land in ERA5 — https://doi.org/10.5194/wcd-7-1875-2026</w:t>
      </w:r>
    </w:p>
    <w:p>
      <w:pPr/>
      <w:r>
        <w:rPr>
          <w:b/>
        </w:rPr>
        <w:t>Shared claim-specific concepts:</w:t>
      </w:r>
      <w:r>
        <w:t xml:space="preserve"> temperature, txx, about, median, full, find; EU scope not established. This is a provisional connection, not an outcome finding.</w:t>
      </w:r>
    </w:p>
    <w:p>
      <w:pPr>
        <w:pStyle w:val="SourceNote"/>
      </w:pPr>
      <w:r>
        <w:rPr>
          <w:b/>
        </w:rPr>
        <w:t>Available abstract (not full text):</w:t>
      </w:r>
      <w:r>
        <w:t xml:space="preserve"> Abstract. The formation of surface heat extremes is usually described in terms of surface processes and upper-level dynamics. However, their full vertical temperature profile contains additional essential information about the involved processes. So far, it is an open question whether heat extremes are associated with characteristic vertical temperature anomaly profiles and, if they exist, how they vary across the globe. In this study, we globally and systematically classify vertical temperature anomaly profiles during annual maximum 2-m temperature events (TXx) using a k-means clustering approach. After normalising and scaling the anomaly profiles, we find three clusters whose global distribution closely follows the polar, mid-latitude, and tropical climate zones. The three clusters capture key structural differences of heat extremes. Within the tropical cluster, positive temperature anomalies during TXx events are vertically confined to the (often deep) boundary layer and intensify progressively in the days leading up to the event, while the upper troposphere is not deviating from its climatological mean. The mid-latitude cluster also exhibits bottom-heavy temperature anomalies, which, however, extend throughout the full troposphere, showing a strong vertical coupling during TXx events. In the polar cluster, the events are characterised by deep tropospheric warm anomalies, ac</w:t>
      </w:r>
    </w:p>
    <w:p>
      <w:pPr/>
      <w:r>
        <w:rPr>
          <w:b/>
        </w:rPr>
        <w:t>POSSIBLE 2026:</w:t>
      </w:r>
      <w:r>
        <w:t xml:space="preserve"> A Diagnostic Framework for Hot Temperature Trends over Midlatitude Land — https://doi.org/10.22541/essoar.176808203.32286610/v1</w:t>
      </w:r>
    </w:p>
    <w:p>
      <w:pPr/>
      <w:r>
        <w:rPr>
          <w:b/>
        </w:rPr>
        <w:t>Shared claim-specific concepts:</w:t>
      </w:r>
      <w:r>
        <w:t xml:space="preserve"> temperature, txx, behavior, summer; EU scope visible. This is a provisional connection, not an outcome finding.</w:t>
      </w:r>
    </w:p>
    <w:p>
      <w:pPr>
        <w:pStyle w:val="SourceNote"/>
      </w:pPr>
      <w:r>
        <w:rPr>
          <w:b/>
        </w:rPr>
        <w:t>Available abstract (not full text):</w:t>
      </w:r>
      <w:r>
        <w:t xml:space="preserve"> Observations over the past four decades show that the annual hottest temperatures (TXx) over Northern Hemisphere midlatitude land have warmed at nearly twice the rate of globalmean surface temperature (GMST), whereas global climate models span a broad range of TXx-to-GMST sensitivities from approximately 1 to 4.5.To interpret model spread in terms of physical processes, we propose a diagnostic framework based on the near-convective neutrality assumption for hot days in Zhang and Boos (2023).This framework decomposes the sensitivity of TXx to GMST into two factors: the sensitivity of TXx to mid-tropospheric temperature 𝑇 500 , and the sensitivity of 𝑇 500 to GMST.For the first factor, ERA5 indicates stronger near-surface warming per unit midtropospheric warming than most CMIP6 members, which is consistent with its smaller increases in near-surface specific humidity on the hottest days than models.The second factor shows substantial inter-experiment spread, to which aerosol forcing makes an important contribution.The framework also extends to summer means and helps interpret regional behavior, including amplified TXx warming over western Europe and muted warming over the U.S. Midwest.SIGNIFICANCE STATEMENT: This study develops a physically grounded diagnostic framework for hot extremes in near-surface air temperatures.It decomposes trends in the annual hottest temperatures into c</w:t>
      </w:r>
    </w:p>
    <w:p>
      <w:pPr/>
      <w:r>
        <w:rPr>
          <w:b/>
        </w:rPr>
        <w:t>POSSIBLE 2026:</w:t>
      </w:r>
      <w:r>
        <w:t xml:space="preserve"> EMO-1: an improved version of the high-resolution multi-variable gridded meteorological dataset for Europe. Evaluation against reanalyses and observational datasets — https://doi.org/10.22541/essoar.15010719/v1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The updated version of the European Meteorological Observations (EMO-1) dataset is evaluated through comparison with three widely used datasets: the fifth-generation atmospheric reanalysis (ERA5), the High-resolution Pan-European Hydrological Reanalysis (HERA), and the station-based ENSEMBLES daily gridded observational dataset for Europe (E-OBS). We also compare the ability of these datasets to represent historical climate across Europe by analysing indices of mean and extreme precipitation and minimum and maximum temperature for 1961–1990 and 1991–2020, as well as the changes between these periods. Overall, EMO-1 generally agrees more closely with ERA5 than E-OBS for both temperature and precipitation. For temperature, EMO-1 exhibits smaller and more spatially coherent biases than E-OBS in both winter minimum and summer maximum temperatures, while capturing regional extremes more effectively due to its higher spatial resolution. For precipitation, EMO-1 reproduces the large-scale spatial patterns observed in ERA5 while showing greater regional variability than the reanalysis, particularly over complex terrain and the Mediterranean. All datasets show a robust warming trend over the past six decades, with increasing winter minimum temperatures and intensified summer heat extremes. In contrast, precipitation trends are weaker and more spatially heterogeneous, with the clearest s</w:t>
      </w:r>
    </w:p>
    <w:p>
      <w:pPr/>
      <w:r>
        <w:rPr>
          <w:b/>
        </w:rPr>
        <w:t>POSSIBLE 2026:</w:t>
      </w:r>
      <w:r>
        <w:t xml:space="preserve"> Changing Antecedent Land‐Surface Conditions Can Amplify Future Heat Extremes Across New Zealand — https://doi.org/10.1029/2026gl124647</w:t>
      </w:r>
    </w:p>
    <w:p>
      <w:pPr/>
      <w:r>
        <w:rPr>
          <w:b/>
        </w:rPr>
        <w:t>Shared claim-specific concepts:</w:t>
      </w:r>
      <w:r>
        <w:t xml:space="preserve"> txx, projections, century; EU scope not established. This is a provisional connection, not an outcome finding.</w:t>
      </w:r>
    </w:p>
    <w:p>
      <w:pPr>
        <w:pStyle w:val="SourceNote"/>
      </w:pPr>
      <w:r>
        <w:rPr>
          <w:b/>
        </w:rPr>
        <w:t>Available abstract (not full text):</w:t>
      </w:r>
      <w:r>
        <w:t xml:space="preserve"> Abstract Extreme heat in New Zealand is projected to intensify faster than mean warming, but the mechanisms remain unclear. Using dynamically downscaled CMIP6 projections, we investigate whether land–surface moisture constraints contributes to future heat‐extreme intensification in a maritime climate. Across six downscaled models, evaporative fraction (EF), a measure of surface energy partitioning, exhibits a robust negative relationship with the hottest day of the year (TXx), with the strongest coupling occurring approximately 2 months prior to TXx days. This highlights the importance of antecedent land‐surface conditions and land‐surface memory in preconditioning extreme heat. Future projections show widespread reductions in EF across New Zealand. These EF reductions are associated with additional TXx amplification of approximately 1°C–2°C across much of the North Island by the late 21st century. In contrast, projected circulation changes show limited spatial consistency across models. Our results demonstrate that land–atmosphere feedbacks can substantially amplify extreme heat even in maritime climates.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suggest, temperature, median, find;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Long-term detection data reveals widespread range contractions in Spanish herpetofauna — https://doi.org/10.1016/j.biocon.2026.112056</w:t>
      </w:r>
    </w:p>
    <w:p>
      <w:pPr/>
      <w:r>
        <w:rPr>
          <w:b/>
        </w:rPr>
        <w:t>Shared claim-specific concepts:</w:t>
      </w:r>
      <w:r>
        <w:t xml:space="preserve"> suggest, long-term, temperature, distribution; EU scope visible. This is a provisional connection, not an outcome finding.</w:t>
      </w:r>
    </w:p>
    <w:p>
      <w:pPr>
        <w:pStyle w:val="SourceNote"/>
      </w:pPr>
      <w:r>
        <w:rPr>
          <w:b/>
        </w:rPr>
        <w:t>Available abstract (not full text):</w:t>
      </w:r>
      <w:r>
        <w:t xml:space="preserve"> Populations of amphibians and reptiles have undergone substantial declines in recent decades worldwide. The Iberian Peninsula, a European diversity hotspot for this group, is suffering severe droughts, rising temperatures, and abandonment of traditional agricultural practices. Despite the importance and sensitivity of Iberian herpetofauna, a data-driven, national, long-term, and multi-species analysis of the distribution and demographic situation of amphibians and reptiles has been lacking. We used dynamic occupancy models to study how the distributions of 25 amphibian and 37 reptile species have changed over the last three decades in Spain. We analysed a detection dataset compiled from multiple sources including citizen science, monitoring programmes and opportunistic observations. Our results showed widespread declines in amphibian and reptile occupancy, which could also suggest generalised population declines. Moreover, we observed a mismatch between the IUCN Red List categories and the estimated occupancy trend, with some species appearing stable at the IUCN global level but presenting substantial range contractions at the regional level. The causes for these declines are unclear. According to our models, amphibian persistence was negatively correlated with rainfall and colonization negatively correlated with altitude. Reptile persistence was negatively correlated with temp</w:t>
      </w:r>
    </w:p>
    <w:p>
      <w:pPr>
        <w:pStyle w:val="Heading2"/>
      </w:pPr>
      <w:r>
        <w:t>797. A road map for explorative scenario creation on Belgian rail freight transport development</w:t>
      </w:r>
    </w:p>
    <w:p>
      <w:pPr>
        <w:pStyle w:val="SourceNote"/>
      </w:pPr>
      <w:r>
        <w:rPr>
          <w:b/>
        </w:rPr>
        <w:t>Original source (2017):</w:t>
      </w:r>
      <w:r>
        <w:t xml:space="preserve"> https://doi.org/10.1177/1783591717734792</w:t>
      </w:r>
    </w:p>
    <w:p>
      <w:pPr/>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POSSIBLE 2026:</w:t>
      </w:r>
      <w:r>
        <w:t xml:space="preserve"> An Analysis of Interdisciplinary Thematic Clusters and Evolutionary Paths in Research on AI Music Creation — https://doi.org/10.17548/ksaf.2026.06.30.285</w:t>
      </w:r>
    </w:p>
    <w:p>
      <w:pPr/>
      <w:r>
        <w:rPr>
          <w:b/>
        </w:rPr>
        <w:t>Shared claim-specific concepts:</w:t>
      </w:r>
      <w:r>
        <w:t xml:space="preserve"> interdisciplinary, creation, integrated; EU scope not established. This is a provisional connection, not an outcome finding.</w:t>
      </w:r>
    </w:p>
    <w:p>
      <w:pPr>
        <w:pStyle w:val="SourceNote"/>
      </w:pPr>
      <w:r>
        <w:rPr>
          <w:b/>
        </w:rPr>
        <w:t>Available abstract (not full text):</w:t>
      </w:r>
      <w:r>
        <w:t xml:space="preserve"> With the continuous advancement of artificial intelligence, deep learning, and generative models, AI-driven music creation has emerged as an important interdisciplinary field integrating computer science, musicology, and interactive creative design. To systematically examine its knowledge structure, research hotspots, and evolutionary trends, this study analyzed 1,308 publications indexed in the Web of Science Core Collection from 2000 to 2026. CiteSpace was employed to conduct a visualized bibliometric analysis of publication trends, collaboration networks, keyword co-occurrence, clustering, and burst detection. The results reveal that research on AI-driven music creation demonstrates a clear stage-based developmental trajectory, evolving from gradual accumulation to rapid expansion. The knowledge production landscape has formed a multi-centered structure dominated by China and the United States, although hierarchical characteristics remain evident in global collaboration. Research hotspots gradually developed into a three-layer framework consisting of technological methods, creative mechanisms, and application expansion, with major themes including deep learning, algorithmic composition, music generation, music education, music therapy, and human–computer interaction. In addition, the research frontier shows a transition from a “model-driven” paradigm to a “data-driven” and f</w:t>
      </w:r>
    </w:p>
    <w:p>
      <w:pPr/>
      <w:r>
        <w:rPr>
          <w:b/>
        </w:rPr>
        <w:t>POSSIBLE 2026:</w:t>
      </w:r>
      <w:r>
        <w:t xml:space="preserve"> Integrating Global Knowledge for Dual Value Creation An Interdisciplinary Framework for Practice-Informed Social Entrepreneurship Education — https://doi.org/10.20381/ruor-32260</w:t>
      </w:r>
    </w:p>
    <w:p>
      <w:pPr/>
      <w:r>
        <w:rPr>
          <w:b/>
        </w:rPr>
        <w:t>Shared claim-specific concepts:</w:t>
      </w:r>
      <w:r>
        <w:t xml:space="preserve"> interdisciplinary, creation, three, integrated; EU scope visible. This is a provisional connection, not an outcome finding.</w:t>
      </w:r>
    </w:p>
    <w:p>
      <w:pPr>
        <w:pStyle w:val="SourceNote"/>
      </w:pPr>
      <w:r>
        <w:rPr>
          <w:b/>
        </w:rPr>
        <w:t>Available abstract (not full text):</w:t>
      </w:r>
      <w:r>
        <w:t xml:space="preserve"> Social entrepreneurship (SE) has long demonstrated that social and economic value can be created simultaneously through enterprises generating both community benefit and financial sustainability. Despite the persistence of this practice across cultures, regions, and historical periods, SE scholarship and Social Entrepreneurship Education (SEE) remain fragmented by disciplinary boundaries, competing definitions, and regionally specific models that limit the scaling of SE practice and the development of a coherent and globally applicable SEE approach capable of supporting solutions to complex global problems. This dissertation addresses the absence of an integrated, interdisciplinary, and globally transferable SEE framework aligned with a complementary pedagogical design. Guided by the Interdisciplinary Research Process (IRP) (Repko &amp; Szostak, 2025), the research integrates disciplinary scholarship, regional educational practice, cultural philosophies, and practitioner knowledge. The study was conducted across three research phases, including interdisciplinary theoretical integration, comparative empirical investigation of SEE ecosystems in Manitoba, Prince Edward Island, Croatia, and Slovenia, and iterative implementation and evaluation of the resulting SEE approach across multicultural and multidisciplinary learning environments. The dissertation applies redefinition as an IRP </w:t>
      </w:r>
    </w:p>
    <w:p>
      <w:pPr/>
      <w:r>
        <w:rPr>
          <w:b/>
        </w:rPr>
        <w:t>POSSIBLE 2026:</w:t>
      </w:r>
      <w:r>
        <w:t xml:space="preserve"> The Long Road Back: An Integrative and Interdisciplinary Approach to Care After Traumatic Brain Injury — https://doi.org/10.1097/hrp.0000000000000457</w:t>
      </w:r>
    </w:p>
    <w:p>
      <w:pPr/>
      <w:r>
        <w:rPr>
          <w:b/>
        </w:rPr>
        <w:t>Shared claim-specific concepts:</w:t>
      </w:r>
      <w:r>
        <w:t xml:space="preserve"> interdisciplinary, road, case; EU scope not established. This is a provisional connection, not an outcome finding.</w:t>
      </w:r>
    </w:p>
    <w:p>
      <w:pPr>
        <w:pStyle w:val="SourceNote"/>
      </w:pPr>
      <w:r>
        <w:rPr>
          <w:b/>
        </w:rPr>
        <w:t>Available abstract (not full text):</w:t>
      </w:r>
      <w:r>
        <w:t xml:space="preserve"> Traumatic brain injury (TBI) is frequently associated with significant neuropsychiatric sequelae. Recovery trajectories are highly variable; injury severity is only one influence. Other factors, including preexisting psychiatric or psychological factors and psychosocial contexts also influence recovery. In this clinical challenge, we present the case of a young woman with a history of psychiatric comorbidity who developed complex neuropsychiatric symptoms after sustaining a TBI following a motor vehicle accident. Her clinical presentation included posttraumatic headache, chronic pain, visual disturbances, difficulty returning to work, and prominent anxiety and posttraumatic stress disorder symptoms. These challenges required a coordinated, multidisciplinary approach to treatment, focused both on symptom management and functional recovery. Psychotherapy played a central role, with a modified exposure-based approach augmented by biofeedback tools and pharmacotherapy. Over time, this integrative strategy resulted in meaningful improvement in the patient's neuropsychiatric symptoms and functional recovery. This case highlights the role of collaborative, tailored treatment for patients with overlapping neurological and psychiatric sequelae of TBI. It also underscores the unique contribution of psychotherapy when combined with medication and technology-enabled interventions, demonstr</w:t>
      </w:r>
    </w:p>
    <w:p>
      <w:pPr/>
      <w:r>
        <w:rPr>
          <w:b/>
        </w:rPr>
        <w:t>POSSIBLE 2026:</w:t>
      </w:r>
      <w:r>
        <w:t xml:space="preserve"> Undisciplined Learning Spaces: An Environmental Model for Interdisciplinary Education — https://doi.org/10.1007/s42438-026-00645-5</w:t>
      </w:r>
    </w:p>
    <w:p>
      <w:pPr/>
      <w:r>
        <w:rPr>
          <w:b/>
        </w:rPr>
        <w:t>Shared claim-specific concepts:</w:t>
      </w:r>
      <w:r>
        <w:t xml:space="preserve"> interdisciplinary, creation, three, case; EU scope not established. This is a provisional connection, not an outcome finding.</w:t>
      </w:r>
    </w:p>
    <w:p>
      <w:pPr>
        <w:pStyle w:val="SourceNote"/>
      </w:pPr>
      <w:r>
        <w:rPr>
          <w:b/>
        </w:rPr>
        <w:t>Available abstract (not full text):</w:t>
      </w:r>
      <w:r>
        <w:t xml:space="preserve"> Abstract This article introduces an environmental model for interdisciplinary education that recognises learning spaces as dynamic and relational. By looking for alternatives to traditional modes of critical and integrative interdisciplinarity, it promotes the creation of ‘undisciplined’ spaces that foster creativity and unpredictability in learning processes. Interdisciplinary education is situated within physical, digital, and conceptual spaces. Three case studies—the city of Edinburgh, Edinburgh Futures Institute, and the postdigital classroom—explore how each of these spaces embodies relationality and the entanglements of agential realism. These examples illustrate how interdisciplinary activities are deeply intertwined with their contexts, contributing to the ongoing ‘constructedness’ of learning environments. The study argues for an entangled pedagogy that embraces pluralism, informed by a holistic understanding of environments as assemblages of interconnected and vibrant elements. This perspective encourages educational practices that are adaptable and responsive, allowing diverse forms of interdisciplinarity to emerge. The article proposes three strategies for designing, developing, and operating within undisciplined learning spaces: place-based education , transdisciplinary collaboration , and hybrid learning .</w:t>
      </w:r>
    </w:p>
    <w:p>
      <w:pPr/>
      <w:r>
        <w:rPr>
          <w:b/>
        </w:rPr>
        <w:t>POSSIBLE 2026:</w:t>
      </w:r>
      <w:r>
        <w:t xml:space="preserve"> Qur’anic Perspectives on Human Creation and Contemporary Reproductive Ethics: A Thematic and Interdisciplinary Study — https://doi.org/10.58363/alfahmu.v5i1.1014</w:t>
      </w:r>
    </w:p>
    <w:p>
      <w:pPr/>
      <w:r>
        <w:rPr>
          <w:b/>
        </w:rPr>
        <w:t>Shared claim-specific concepts:</w:t>
      </w:r>
      <w:r>
        <w:t xml:space="preserve"> interdisciplinary, map, creation; EU scope not established. This is a provisional connection, not an outcome finding.</w:t>
      </w:r>
    </w:p>
    <w:p>
      <w:pPr>
        <w:pStyle w:val="SourceNote"/>
      </w:pPr>
      <w:r>
        <w:rPr>
          <w:b/>
        </w:rPr>
        <w:t>Available abstract (not full text):</w:t>
      </w:r>
      <w:r>
        <w:t xml:space="preserve"> The development of modern reproductive technologies such as In Vitro Fertilization (IVF), genetic engineering, and contraception presents ethical challenges that demand a normative response from the interpretation of the Qur’an. This research aims to analyze the verses of human creation through thematic interpretation and examine their relevance to modern reproductive issues within the framework of Islamic bioethics. The research uses a literature study approach with qualitative methods, sourced from classical and contemporary tafsir books, especially Tafsir Al-Misbah and Tafsir Al-Azhar, and supported by scientific literature in the fields of embryology and reproductive medicine. The results of the study show that QS. Al-Mu’minun verses 12-14 describe the successive stages of human creation that are in harmony with modern embryology. The map of the verses of human creation in the Qur’an includes the phases of nutfah, ‘alaqah, mudhghah, and the formation of bones and flesh scattered in various surahs. These findings confirm that IVF is acceptable as long as it does not violate the principle of nasab, genetic engineering is permissible for benefit-oriented therapeutic purposes, and contraception is seen as responsible reproductive planning. This study also found a paradigm shift in interpretation from textual-descriptive to contextual-reflective as the foundation of modern repro</w:t>
      </w:r>
    </w:p>
    <w:p>
      <w:pPr/>
      <w:r>
        <w:rPr>
          <w:b/>
        </w:rPr>
        <w:t>POSSIBLE 2026:</w:t>
      </w:r>
      <w:r>
        <w:t xml:space="preserve"> Rockin’ Rover on the Rainbow Road — https://openalex.org/W7201918227</w:t>
      </w:r>
    </w:p>
    <w:p>
      <w:pPr/>
      <w:r>
        <w:rPr>
          <w:b/>
        </w:rPr>
        <w:t>Shared claim-specific concepts:</w:t>
      </w:r>
      <w:r>
        <w:t xml:space="preserve"> interdisciplinary, road, map; EU scope not established. This is a provisional connection, not an outcome finding.</w:t>
      </w:r>
    </w:p>
    <w:p>
      <w:pPr>
        <w:pStyle w:val="SourceNote"/>
      </w:pPr>
      <w:r>
        <w:rPr>
          <w:b/>
        </w:rPr>
        <w:t>Available abstract (not full text):</w:t>
      </w:r>
      <w:r>
        <w:t xml:space="preserve"> This paper presents a progressive series of age-appropriate lesson plans for grades K-12 that all use the same interdisciplinary activity to educate students about Science, Technology, Engineering, Art, and Mathematics (STEAM) simultaneously. Technology from Texas Instruments (TI) was employed including a TI Nspire graphing calculator that can run Python programs, a TI Innovator Hub, and a TI Rover. The TI Rover is a small, robotic car that has sensors and is controlled by the calculator via the Hub hardware interface. A Python program was developed that uses the color sensor in the Rover to detect the color on colored paper that is directly underneath the Rover. We then map each color to a musical note in the C major scale. As the Rover drives forward, it encounters new colors and plays the corresponding note. The placement and size of each color block (Rainbow Road) determines the timing and duration of the notes, thus turning the Rover into a musician of sorts (Rockin’ Rover). Via this novel activity, students experience not only all of the components of STEAM but also creative connections between them.</w:t>
      </w:r>
    </w:p>
    <w:p>
      <w:pPr/>
      <w:r>
        <w:rPr>
          <w:b/>
        </w:rPr>
        <w:t>POSSIBLE 2026:</w:t>
      </w:r>
      <w:r>
        <w:t xml:space="preserve"> The West Uighur Kingdom on the Silk Road — https://doi.org/10.4324/9781003751694</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Drawing on multilingual and cross-regional historical and archaeological materials, this book uses an interdisciplinary approach to reconstruct the historical landscape of the West Uighur Kingdom along the eastern Silk Road from the ninth to the thirteenth centuries. In pre-modern times, the Silk Road connected Chinese civilisation with other major world civilisations, through an expansive trade network running through western and eastern Central Asia, known collectively in China as the Western Regions. Various ethnic groups living in this vast area were responsible for maintaining the infrastructure of the Silk Road and facilitating commercial and cultural exchange between East and West. The West Uighur Kingdom, established in the eastern Tianshan, played a pivotal role in these exchanges between the ninth and thirteenth centuries. This study explores the origins and development of the kingdom through multiple lenses, covering political processes, ethnic identity, urban development and cultural heritage. It argues that the West Uighur inheritance of the Tang Dynasty’s legacy in the region was one of the key factors in sustaining and developing the Silk Road. This work makes a significant contribution to Silk Road studies and the history of the Western Regions, addressing gaps in previous historical narratives. The volume is essential reading for historians, scholars and studen</w:t>
      </w:r>
    </w:p>
    <w:p>
      <w:pPr/>
      <w:r>
        <w:rPr>
          <w:b/>
        </w:rPr>
        <w:t>POSSIBLE 2026:</w:t>
      </w:r>
      <w:r>
        <w:t xml:space="preserve"> Gateway to Research: Co-Creation of a Cross-Institutional Interdisciplinary Course Introducing Undergraduates to Scientific Research — https://doi.org/10.63504/jstem.v27i2.2753</w:t>
      </w:r>
    </w:p>
    <w:p>
      <w:pPr/>
      <w:r>
        <w:rPr>
          <w:b/>
        </w:rPr>
        <w:t>Shared claim-specific concepts:</w:t>
      </w:r>
      <w:r>
        <w:t xml:space="preserve"> interdisciplinary, creation, based; EU scope not established. This is a provisional connection, not an outcome finding.</w:t>
      </w:r>
    </w:p>
    <w:p>
      <w:pPr>
        <w:pStyle w:val="SourceNote"/>
      </w:pPr>
      <w:r>
        <w:rPr>
          <w:b/>
        </w:rPr>
        <w:t>Available abstract (not full text):</w:t>
      </w:r>
      <w:r>
        <w:t xml:space="preserve"> “Introduction to Research” (or “Gateway”) courses play a critical role in introducing undergraduates, especially those from historically underrepresented backgrounds, to scientific research norms and skills. This paper describes the co-creation of a model Gateway course by ten institutions located across [area]. Designed to be interdisciplinary, offered to lower division students, and adaptable for both two-year and four-year colleges, the course introduces basic research techniques alongside the customs of scientific research. Developed as part of an undergraduate research training program, the course was intended to prepare students for entering research placements. We report on the collaborative process of course creation, adaptation to individual institutions, and modification over time. Preliminary evaluations suggested positive outcomes for Gateway students. A program-wide evaluation (n = 55) indicated students on average “agreed” or “strongly agreed” they had met guidelines based on the course learning objectives. Pre/post assessments at a pilot site (n = 57) found that participants had significantly higher research knowledge and self-efficacy scores after taking the course. Qualitative student course feedback suggested that students valued the course for the research skills it gave them and thought the curriculum should be more widely available. Overall, this suggests t</w:t>
      </w:r>
    </w:p>
    <w:p>
      <w:pPr/>
      <w:r>
        <w:rPr>
          <w:b/>
        </w:rPr>
        <w:t>POSSIBLE 2026:</w:t>
      </w:r>
      <w:r>
        <w:t xml:space="preserve"> Between Creation and Destruction:A Philosophical and Interdisciplinary Inquiry into Human Attraction to Destruction, Discipline, and the Bhagavad Gita — https://doi.org/10.52416/ijrapp.2026.10102</w:t>
      </w:r>
    </w:p>
    <w:p>
      <w:pPr/>
      <w:r>
        <w:rPr>
          <w:b/>
        </w:rPr>
        <w:t>Shared claim-specific concepts:</w:t>
      </w:r>
      <w:r>
        <w:t xml:space="preserve"> interdisciplinary, creation, three; EU scope not established. This is a provisional connection, not an outcome finding.</w:t>
      </w:r>
    </w:p>
    <w:p>
      <w:pPr>
        <w:pStyle w:val="SourceNote"/>
      </w:pPr>
      <w:r>
        <w:rPr>
          <w:b/>
        </w:rPr>
        <w:t>Available abstract (not full text):</w:t>
      </w:r>
      <w:r>
        <w:t xml:space="preserve"> This paper examines a claim rooted in the Bhagavad Gita: that human beings carry a latent inclination toward destruction, and that disciplined living (nishkama karma, detached action) is the Gita's prescribed corrective. The Gita frames this through the doctrine of the three gunas -sattva, rajas, and tamas -where tamas (inertia, delusion) and unbridled rajas (craving) pull the undisciplined self toward ruin, illustrated through figures such as Ravana [1]. The paper situates that claim alongside two secularbodies of thought sometimes invoked in support of it: Freud's theory of the death drive (Thanatos), and the quantum-physics-and-Eastern-philosophy discourse popularised by Fritjof Capra. Using a qualitative, hermeneutic and comparative-thematic method, itreads the Gita's claims against Freud's clinical theory and quantum-mysticism literature, separating verified psychological theory from contested, largely metaphorical physics analogies. It argues the Gita's claim finds a genuine parallel in psychoanalytic theory, and only a loose, interpretive parallel in physics discourse -a distinction essential to intellectual honesty ,and concludes that the Gita's prescription of disciplined, non-attached action remains coherent and defensible, proposing directions for future interdisciplinary and empirical research.</w:t>
      </w:r>
    </w:p>
    <w:p>
      <w:pPr/>
      <w:r>
        <w:rPr>
          <w:b/>
        </w:rPr>
        <w:t>POSSIBLE 2026:</w:t>
      </w:r>
      <w:r>
        <w:t xml:space="preserve"> Reframing India's Development Path: Challenges, Transformation and a Road to a Developed Future — https://doi.org/10.5281/zenodo.18920235</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India has been getting huge success in its developmental trajectory. With rapid economic growth, population advantages, and technological progress, due to all this India holds significant promise for achieving developed-nation status. However, structural barriers, persistent inequalities, and global economic uncertainties pose enduring challenges. This research paper examines India’s current development model, analyses the key barriers to sustained and inclusive progress, and shows a comprehensive roadmap to accelerate transformation toward a developed future. This research paper highlights interdisciplinary insights from economics, governance, technology, and social policy, this research underscores the importance of reforms in education, infrastructure, climate resilience, and institutional governance. Ultimately, the paper argues that India’s transition to a high-income, equitable, and sustainable economy requires a reframing of traditional development paradigms anchored in innovation, human capital, and sustainability</w:t>
      </w:r>
    </w:p>
    <w:p>
      <w:pPr/>
      <w:r>
        <w:rPr>
          <w:b/>
        </w:rPr>
        <w:t>POSSIBLE 2026:</w:t>
      </w:r>
      <w:r>
        <w:t xml:space="preserve"> DEVELOPING AND IMPLEMENTING AN INTERDISCIPLINARY EDUCATION MODEL FOR ENGLISH MAJORS IN THE DIGITAL INTELLIGENCE ERA — https://doi.org/10.46827/ejes.v13i4.6624</w:t>
      </w:r>
    </w:p>
    <w:p>
      <w:pPr/>
      <w:r>
        <w:rPr>
          <w:b/>
        </w:rPr>
        <w:t>Shared claim-specific concepts:</w:t>
      </w:r>
      <w:r>
        <w:t xml:space="preserve"> interdisciplinary, case; EU scope not established. This is a provisional connection, not an outcome finding.</w:t>
      </w:r>
    </w:p>
    <w:p>
      <w:pPr>
        <w:pStyle w:val="SourceNote"/>
      </w:pPr>
      <w:r>
        <w:rPr>
          <w:b/>
        </w:rPr>
        <w:t>Available abstract (not full text):</w:t>
      </w:r>
      <w:r>
        <w:t xml:space="preserve"> This study aimed to design and implement a blended interdisciplinary learning program for senior English majors in China, which integrates artificial intelligence (AI) assistance. The program focused on relevant themed micro courses, supplemented by real-time guidance from intelligent tools, real-life case exercises, group collaborative discussions, and real-time online interactive support from mentor teams. A comparative teaching experiment was conducted on selected classes over two complete semesters. Students who participated in the experiment voluntarily registered for the series of courses online, while students in parallel classes who did not take the electives followed their regular curriculum. Through systematic collection and analysis of questionnaire feedback and in-depth interviews with students in the experimental group and corresponding employers, the results showed that the experimental group generally reported that this model significantly strengthened their competencies in the use of artificial intelligence tools, applied English skills, and problem-solving in multiple fields, effectively enhancing their workplace adaptability and employability. As a result, many students successfully secured positions that were highly matched with their majors and offered better salaries. In contrast, the experimental group was significantly better than the control group in ter</w:t>
      </w:r>
    </w:p>
    <w:p>
      <w:pPr/>
      <w:r>
        <w:rPr>
          <w:b/>
        </w:rPr>
        <w:t>POSSIBLE 2026:</w:t>
      </w:r>
      <w:r>
        <w:t xml:space="preserve"> Interdisciplinary OER Development: Virtual Microscope — https://doi.org/10.7275/x2wf-1386</w:t>
      </w:r>
    </w:p>
    <w:p>
      <w:pPr/>
      <w:r>
        <w:rPr>
          <w:b/>
        </w:rPr>
        <w:t>Shared claim-specific concepts:</w:t>
      </w:r>
      <w:r>
        <w:t xml:space="preserve"> interdisciplinary, road, best, obtained; EU scope not established. This is a provisional connection, not an outcome finding.</w:t>
      </w:r>
    </w:p>
    <w:p>
      <w:pPr>
        <w:pStyle w:val="SourceNote"/>
      </w:pPr>
      <w:r>
        <w:rPr>
          <w:b/>
        </w:rPr>
        <w:t>Available abstract (not full text):</w:t>
      </w:r>
      <w:r>
        <w:t xml:space="preserve"> How to work in an interdisciplinary manner to create an OER that uses computer programming to replicate common lab processes and procedures used in multiple biology lab classes. Learn best practices around working collaboratively across disciplines to program a complex tool for integration into an open source repository. Name: Dorothy Salinas Email: dsalinas@ccm.edu Phone: 973-328-5375 Dorothy Salinas is an Assistant Professor of Biology in the Biology and Chemistry Department at County College of Morris (CCM), Randolph, NJ. The primary courses she instructs are Concepts in Biology (BIO 132) and Biology of Environmental Concerns (BIO 127) and she serves as the co-advisor of the CCM Environmental Club. Salinas has obtained a B.S. in Biology from The College of New Jersey, M.S. in Biology from the University of Nebraska at Kearney and is currently enrolled in an Ed.D. in Educational Sustainability program at the University of Wisconsin at Stevens Point. In addition to the Open Educational Resource (OER) Virtual Microscope, Salinas has developed a low-cost, online option for non-major students to satisfy their 4-credit general education science requirement. Cost was limited by the implementation of an OER textbook and the elimination of a required laboratory kit. Students complete hands-on laboratories, at home, utilizing common household items. Presenter 2 Name: Caitlin Burns Ema</w:t>
      </w:r>
    </w:p>
    <w:p>
      <w:pPr>
        <w:pStyle w:val="Heading2"/>
      </w:pPr>
      <w:r>
        <w:t>798. Animal Health Surveillance in Scotland in 2030: Using Scenario Planning to Develop Strategies in the Context of “Brexit”</w:t>
      </w:r>
    </w:p>
    <w:p>
      <w:pPr>
        <w:pStyle w:val="SourceNote"/>
      </w:pPr>
      <w:r>
        <w:rPr>
          <w:b/>
        </w:rPr>
        <w:t>Original source (2017):</w:t>
      </w:r>
      <w:r>
        <w:t xml:space="preserve"> https://doi.org/10.3389/fvets.2017.00201</w:t>
      </w:r>
    </w:p>
    <w:p>
      <w:pPr/>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POSSIBLE 2026:</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pPr/>
      <w:r>
        <w:rPr>
          <w:b/>
        </w:rPr>
        <w:t>POSSIBLE 2026:</w:t>
      </w:r>
      <w:r>
        <w:t xml:space="preserve"> Music Creation as a Tool for Postpartum Mothers — https://doi.org/10.20381/ruor-32316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This dissertation uses Artistic Practice as Research to investigate the potential use of music creation as a tool for mothers with postpartum depression (PPD), incorporating my own experiences as a composer and mother with PPD through retrospective autoethnography, and culminating in the creation of a new music composition. To inform this work, I conducted an analysis of research into music-based therapies for postpartum depression, which revealed gaps, as well as inconsistent use of terms and practices. This dissertation argues that active music creation deserves further study as a distinct form of music-based intervention and identifies maternal self-efficacy and functional connectivity as pathways for further investigation. I developed a method of teaching music creation to postpartum mothers, combining principles of Neurologic Music Therapy, music pedagogy, and compositional practices, and conducted an exploratory case study with one mother. Using the same method, I created a new musical piece to process and artistically communicate my own past experiences with PPD. By investigating interdisciplinary connections between neuroscience, pedagogy, and artistic practice, this dissertation explores a music creation-based therapeutic approach centered on maternal lived experience, and identifies directions for future empirical research.</w:t>
      </w:r>
    </w:p>
    <w:p>
      <w:pPr/>
      <w:r>
        <w:rPr>
          <w:b/>
        </w:rPr>
        <w:t>POSSIBLE 2026:</w:t>
      </w:r>
      <w:r>
        <w:t xml:space="preserve"> Knowledge Graphs as Files: An Agent Harness Where Tool Creation and Tool Use Co-Evolve — https://doi.org/10.48550/arxiv.2610.18616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Searching text-rich knowledge graphs requires following relations while examining textual evidence. Predefined graph interfaces constrain what evidence agents can access, even when they write code to combine tool calls or process retrieved subgraphs. We propose direct knowledge graph interaction (DKGI), a harness in which language model agents create graph access tools directly over complete node and edge files. The agent writes Python code to follow relations, combine node sets, and select textual evidence, interleaving execution with shell search and file inspection. This lets agents process large node sets in bulk while returning selected text for the model to assess. Execution feedback guides tool creation and revision, while the evolving tools determine what evidence the agent gathers next. On benchmark datasets spanning three domains, training-free DKGI exceeds the strongest published baseline by at least 6.7 Hit@1 points on every graph, even with a minimal harness. Controlled ablations show the benefits of multi-turn programming over shell-only access and predefined graph tools, while trajectories show agents revising code to extend searches or address errors. These findings highlight the value of allowing tool creation and tool use to co-evolve during graph search. Our code and data are available at https://github.com/leopoldwhite/DKGI.</w:t>
      </w:r>
    </w:p>
    <w:p>
      <w:pPr/>
      <w:r>
        <w:rPr>
          <w:b/>
        </w:rPr>
        <w:t>POSSIBLE 2026:</w:t>
      </w:r>
      <w:r>
        <w:t xml:space="preserve"> Joint Optimization of Tool Creation and Use for Large Language Model Agents — https://doi.org/10.48550/arxiv.2608.24571</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Tool-augmented language models are bounded by the APIs humans bothered to write; existing tool-creation systems patch this by prompting a frozen LLM at inference time, leaving the model that writes a tool decoupled from the one that uses it, with no signal that the schemas it produces are schemas it can invoke. We propose SMITH (Schema-grounded Multi-task Iterative Tool Honing), a reinforcement learning framework that jointly trains tool creation and tool use inside a single policy. Each rollout is either a build task (write a tool from a few examples) or a use task (invoke a pooled tool on a held-out question). Three separate reward axes catch schema, code, and outcome failures independently, so each failure mode contributes its own gradient. A 4B Qwen3 trained with SMITH on 13 procedural reasoning tasks with exact verifiers reaches 79.8 macro-average accuracy on held-out tasks, the best across all evaluated methods and ahead of an untrained 30B-A3B tool-writer. It also reaches 40.4 on TabMWP-Hard and 42.6 on out-of-domain GQA (+7.6 over the best same-backbone inference-time baseline), without any visual or tabular training data. Tools written by our 4B models also lifted the performance of LFM-2.5-350M and Qwen3-30B-A3B under same reasoning tasks.</w:t>
      </w:r>
    </w:p>
    <w:p>
      <w:pPr/>
      <w:r>
        <w:rPr>
          <w:b/>
        </w:rPr>
        <w:t>POSSIBLE 2026:</w:t>
      </w:r>
      <w:r>
        <w:t xml:space="preserve"> Entrepreneurship Development –A tool for employment creation — https://openalex.org/W7217960134</w:t>
      </w:r>
    </w:p>
    <w:p>
      <w:pPr/>
      <w:r>
        <w:rPr>
          <w:b/>
        </w:rPr>
        <w:t>Shared claim-specific concepts:</w:t>
      </w:r>
      <w:r>
        <w:t xml:space="preserve"> tool, creation; EU scope not established. This is a provisional connection, not an outcome finding.</w:t>
      </w:r>
    </w:p>
    <w:p>
      <w:pPr>
        <w:pStyle w:val="SourceNote"/>
      </w:pPr>
      <w:r>
        <w:rPr>
          <w:b/>
        </w:rPr>
        <w:t>Available abstract (not full text):</w:t>
      </w:r>
      <w:r>
        <w:t xml:space="preserve"> This paper is a thought paper and begins by giving a brief review of the developments achieved in the field of entrepreneurship development up to mid-80s. The two significant contributions of 60s were establishment of positive connection between entrepreneurship and economic prosperity and also surfacing of strong planned effort. Likewise types of EDP strategy and models were established and put to test in 70s. The past analysis allowed foreseeing the possible and issues that the development of entrepreneurship is most likely to encounter in the 2020s. The region was associated with fast vertical and horizontal expansion, increased institutionalization and entrepreneurisation of society. The change in approach to a generalist to extension specialist and the creation of more specific EDP strategies harmonizing high-tech and technology transfer are also among several others covered within the paper. The paper ends with the note of caution towards such tendencies that are only sure to water down the efforts of EDPs hence might end up losing credibility.</w:t>
      </w:r>
    </w:p>
    <w:p>
      <w:pPr/>
      <w:r>
        <w:rPr>
          <w:b/>
        </w:rPr>
        <w:t>POSSIBLE 2026:</w:t>
      </w:r>
      <w:r>
        <w:t xml:space="preserve"> Lifestyle medicine: A tool for health creation and equity — https://doi.org/10.66794/2bd5</w:t>
      </w:r>
    </w:p>
    <w:p>
      <w:pPr/>
      <w:r>
        <w:rPr>
          <w:b/>
        </w:rPr>
        <w:t>Shared claim-specific concepts:</w:t>
      </w:r>
      <w:r>
        <w:t xml:space="preserve"> use, effective, tool, creation; EU scope not established. This is a provisional connection, not an outcome finding.</w:t>
      </w:r>
    </w:p>
    <w:p>
      <w:pPr>
        <w:pStyle w:val="SourceNote"/>
      </w:pPr>
      <w:r>
        <w:rPr>
          <w:b/>
        </w:rPr>
        <w:t>Available abstract (not full text):</w:t>
      </w:r>
      <w:r>
        <w:t xml:space="preserve"> Motivational interviewing techniquesFacilitating behaviour change in the general practice setting BackgroundOne of the biggest challenges that primary care practitioners face is helping people change longstanding behaviours that pose significant health risks. ObjectiveTo explore current understanding regarding how and why people change, and the potential role of motivational interviewing in facilitating behaviour change in the general practice setting. DiscussionResearch into health related behaviour change highlights the importance of motivation, ambivalence and resistance.Motivational interviewing is a counselling method that involves enhancing a patient's motivation to change by means of four guiding principles, represented by the acronym RULE: Resist the righting reflex; Understand the patient's own motivations; Listen with empathy; and Empower the patient.Recent meta-analyses show that motivational interviewing is effective for decreasing alcohol and drug use in adults and adolescents and evidence is accumulating in others areas of health including smoking cessation, reducing sexual risk behaviours, improving adherence to treatment and medication and diabetes management.</w:t>
      </w:r>
    </w:p>
    <w:p>
      <w:pPr/>
      <w:r>
        <w:rPr>
          <w:b/>
        </w:rPr>
        <w:t>POSSIBLE 2025:</w:t>
      </w:r>
      <w:r>
        <w:t xml:space="preserve"> Overview of the Use of Co-creation Tools for the Design of Sustainable Buildings — https://doi.org/10.1007/978-3-032-09040-9_12</w:t>
      </w:r>
    </w:p>
    <w:p>
      <w:pPr/>
      <w:r>
        <w:rPr>
          <w:b/>
        </w:rPr>
        <w:t>Shared claim-specific concepts:</w:t>
      </w:r>
      <w:r>
        <w:t xml:space="preserve"> use, effective, capacity; EU scope not established. This is a provisional connection, not an outcome finding.</w:t>
      </w:r>
    </w:p>
    <w:p>
      <w:pPr>
        <w:pStyle w:val="SourceNote"/>
      </w:pPr>
      <w:r>
        <w:rPr>
          <w:b/>
        </w:rPr>
        <w:t>Available abstract (not full text):</w:t>
      </w:r>
      <w:r>
        <w:t xml:space="preserve"> Abstract The transition toward sustainable building design increasingly emphasizes participatory approaches, where diverse stakeholders contribute to shaping solutions that balance environmental performance, social needs, and economic viability. This study provides an overview of the application of co-creation tools in the design process of sustainable buildings. Drawing on recent literature and practice-based examples, we examine how tools such as participatory design workshops, digital twins, virtual and augmented reality environments, and collaborative BIM platforms enable deeper engagement of users, designers, and decision-makers. The analysis identifies key benefits of co-creation, including improved user satisfaction, enhanced design adaptability, and stronger alignment with sustainability goals. It also explores challenges such as stakeholder coordination, data interoperability, and the need for capacity building in participatory methods. The study synthesizes findings across academic, professional, and policy domains to propose a typology of co-creation tools most relevant to sustainable architecture. The insights aim to inform both practitioners and researchers seeking to implement inclusive and effective design strategies in the built environment.</w:t>
      </w:r>
    </w:p>
    <w:p>
      <w:pPr/>
      <w:r>
        <w:rPr>
          <w:b/>
        </w:rPr>
        <w:t>POSSIBLE 2025:</w:t>
      </w:r>
      <w:r>
        <w:t xml:space="preserve"> Joint Localization and Planning Using Diffusion — https://doi.org/10.1109/icra55743.2025.11127640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Diffusion models have been successfully applied to robotics problems such as manipulation and vehicle path planning. In this work, we explore their application to end-to-end navigation - including both perception and planning - by considering the problem of jointly performing global localization and path planning in known but arbitrary 2D environments. In particular, we introduce a diffusion model which produces collision-free paths in a global reference frame given an egocentric LIDAR scan, an arbitrary map, and a desired goal position. To this end, we implement diffusion in the space of paths in$\text{SE}(2)$, and describe how to condition the denoising process on both obstacles and sensor observations. In our evaluation, we show that the proposed conditioning techniques enable generalization to realistic maps of considerably different appearance than the training environment, demonstrate our model's ability to accurately describe ambiguous solutions, and run extensive simulation experiments showcasing our model's use as a real-time, end-to-end localization and planning stack.</w:t>
      </w:r>
    </w:p>
    <w:p>
      <w:pPr/>
      <w:r>
        <w:rPr>
          <w:b/>
        </w:rPr>
        <w:t>POSSIBLE 2025:</w:t>
      </w:r>
      <w:r>
        <w:t xml:space="preserve"> Co-design of technological tools and co-creation of intervention strategies to promote a healthy lifestyle: an Italian case study — https://doi.org/10.1108/jices-01-2025-0015</w:t>
      </w:r>
    </w:p>
    <w:p>
      <w:pPr/>
      <w:r>
        <w:rPr>
          <w:b/>
        </w:rPr>
        <w:t>Shared claim-specific concepts:</w:t>
      </w:r>
      <w:r>
        <w:t xml:space="preserve"> describe, planning, tool, creation; EU scope visible. This is a provisional connection, not an outcome finding.</w:t>
      </w:r>
    </w:p>
    <w:p>
      <w:pPr>
        <w:pStyle w:val="SourceNote"/>
      </w:pPr>
      <w:r>
        <w:rPr>
          <w:b/>
        </w:rPr>
        <w:t>Available abstract (not full text):</w:t>
      </w:r>
      <w:r>
        <w:t xml:space="preserve"> Purpose This paper aims to describe the case study carried out in Italy as part of the HealthyW8 project. In particular, it describes the methodology used in the participatory workshops held in Italy in 2023–2024 and the results obtained. Design/methodology/approach Using design thinking and user-centred design methodologies, the workshops aimed to develop intervention strategies and digital tool functionalities suitable for different user needs and local contexts. Findings Intervention strategies identified by the Italian stakeholders included the development of tools (e.g. corporate bonuses, reward schemes and applications) that encourage healthy living and physical activity and the creation of educational cartoons that address healthy lifestyles, diets and physical activity. The study underlined the importance of multi-level interventions combining education, public policy and user-centred technological innovations. Originality/value Stakeholders also suggested innovative digital tool functionalities such as the integration with existing shopping list apps to streamline healthy food planning and the connection to real-life community-building events to promote active participation.</w:t>
      </w:r>
    </w:p>
    <w:p>
      <w:pPr/>
      <w:r>
        <w:rPr>
          <w:b/>
        </w:rPr>
        <w:t>POSSIBLE 2024:</w:t>
      </w:r>
      <w:r>
        <w:t xml:space="preserve"> Conditions for Co-creation: Lessons from a planning tool for rural facility decline — https://doi.org/10.1016/j.jrurstud.2024.103512</w:t>
      </w:r>
    </w:p>
    <w:p>
      <w:pPr/>
      <w:r>
        <w:rPr>
          <w:b/>
        </w:rPr>
        <w:t>Shared claim-specific concepts:</w:t>
      </w:r>
      <w:r>
        <w:t xml:space="preserve"> use, planning, tool, five, private; EU scope visible. This is a provisional connection, not an outcome finding.</w:t>
      </w:r>
    </w:p>
    <w:p>
      <w:pPr>
        <w:pStyle w:val="SourceNote"/>
      </w:pPr>
      <w:r>
        <w:rPr>
          <w:b/>
        </w:rPr>
        <w:t>Available abstract (not full text):</w:t>
      </w:r>
      <w:r>
        <w:t xml:space="preserve"> Declining levels of facilities and services are a major source of concern in rural areas across Europe. Local facilities can have different individual or communal meanings, and closure can lead to a sense of loss. While many scholars advocate for empowering rural communities in the collective coping process, few studies analyse examples of co-creative planning tools. This paper describes and evaluates the development and implementation of ‘Facility-Wise’, an analogue serious game for co-creative planning and self-organization of facilities and services. The development of Facility-Wise followed an abductive and design-led approach through a participatory process. Five real cases in North-West Fryslân (Netherlands), and one fictional case, were used for prototyping. In the final format a moderator leads participants through various discussion-elements and helps them to explore future scenarios for health care, education, sports, cultural or private facilities. This paper provides a roadmap for how to develop and use co-creative planning tools, and critically reflects on the prerequisites that are needed for successful implementation. Six prerequisites to successfully implement tools for co-creation are discussed. When these conditions are met, it is possible to mitigate negative experiences of rural facility-decline and empower communities in the collective coping process. Howev</w:t>
      </w:r>
    </w:p>
    <w:p>
      <w:pPr/>
      <w:r>
        <w:rPr>
          <w:b/>
        </w:rPr>
        <w:t>POSSIBLE 2024:</w:t>
      </w:r>
      <w:r>
        <w:t xml:space="preserve"> The Tools of Land-Use Planning — https://doi.org/10.4324/9781003291145-11</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Upon completing this chapter, you will be able to: Describe the importance of capital investment in shaping urban forms. Describe capital expenditures, capital budget, and types of municipal bonds. List the main regulations laid down to control land use. Define subdivision regulations. Define the term planned unit development . Distinguish between Euclidean zoning and planned unit development . Explain the term transfer of development rights . Explain the tenets of form-based zoning and contrast it with Euclidean zoning. Explain the process of combining capital investment and land-use controls.</w:t>
      </w:r>
    </w:p>
    <w:p>
      <w:pPr/>
      <w:r>
        <w:rPr>
          <w:b/>
        </w:rPr>
        <w:t>POSSIBLE 2024:</w:t>
      </w:r>
      <w:r>
        <w:t xml:space="preserve"> Metadata creation and enrichment using artificial intelligence at meemoo — https://doi.org/10.69554/ngff5280</w:t>
      </w:r>
    </w:p>
    <w:p>
      <w:pPr/>
      <w:r>
        <w:rPr>
          <w:b/>
        </w:rPr>
        <w:t>Shared claim-specific concepts:</w:t>
      </w:r>
      <w:r>
        <w:t xml:space="preserve"> describe, use, creation; EU scope not established. This is a provisional connection, not an outcome finding.</w:t>
      </w:r>
    </w:p>
    <w:p>
      <w:pPr>
        <w:pStyle w:val="SourceNote"/>
      </w:pPr>
      <w:r>
        <w:rPr>
          <w:b/>
        </w:rPr>
        <w:t>Available abstract (not full text):</w:t>
      </w:r>
      <w:r>
        <w:t xml:space="preserve"> This paper discusses the use of artificial intelligence (AI) applications for the creation and enrichment of descriptive metadata at meemoo, the Flemish Institute for Archives. We begin by explaining why we use AI tools for metadata creation and enrichment, and which AI applications we specifically employ. We then describe our evolution from small-scale pilots to large-scale projects, and how meemoo aims to transition from a project-based approach to a structural operation in using AI applications for metadata creation and enrichment. We provide details on our approach, results, lessons learned and future steps, and describe how the use of AI applications poses not only technical challenges but also raises a series of legal and ethical questions. This paper highlights our journey into AI as a service organisation supporting over 180 organisations in the cultural, media and government sectors in Flanders — not in isolation but in close collaboration with our partners, leading to shared solutions.</w:t>
      </w:r>
    </w:p>
    <w:p>
      <w:pPr>
        <w:pStyle w:val="Heading2"/>
      </w:pPr>
      <w:r>
        <w:t>799. Brexit adds to gloom over long‐term growth prospects</w:t>
      </w:r>
    </w:p>
    <w:p>
      <w:pPr>
        <w:pStyle w:val="SourceNote"/>
      </w:pPr>
      <w:r>
        <w:rPr>
          <w:b/>
        </w:rPr>
        <w:t>Original source (2017):</w:t>
      </w:r>
      <w:r>
        <w:t xml:space="preserve"> https://doi.org/10.1111/1468-0319.12257</w:t>
      </w:r>
    </w:p>
    <w:p>
      <w:pPr/>
      <w:r>
        <w:t>Original wording (abstract; indexed_source_text_not_full_document_verified): Our forecasts show potential output growth of just 1.6% a year from 2017–2030.</w:t>
      </w:r>
    </w:p>
    <w:p>
      <w:pPr/>
      <w:r>
        <w:rPr>
          <w:b/>
        </w:rPr>
        <w:t>POSSIBLE 2026:</w:t>
      </w:r>
      <w:r>
        <w:t xml:space="preserve"> Forecasting Quasi-Linear Convective System Tornado Potential Using the Warn-on-Forecast System (WoFS) — https://doi.org/10.1175/waf-d-25-0092.1</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Accurately forecasting mesovortex tornado potential within quasi-linear convective systems (QLCSs) remains a major challenge. One technique used to support QLCS tornado warning operations is the three ingredients method (3IM), which is based on system balance modulated by line-normal vertical wind shear. However, observational studies examining prolific mesovortex- and tornado-producing QLCSs have identified a substantial line-parallel component of the low-level environmental shear field, which is unaccounted for in the 3IM. Recent numerical studies suggest that line-parallel shear promotes the development of strong, cyclonic mesovortices, thereby increasing the overall likelihood of QLCS tornadoes. Motivated by these recent findings, this proof-of-concept study represents the first attempt to quantify the physical factors comprising the 3IM using a prototype composite forecast parameter QTor. QTor integrates near-storm environmental vertical wind shear components with leading-line geometry to generate system-relative probabilistic forecasts for mesovortex tornado potential. QTor is evaluated using three tornadic QLCS cases and one null case within the Warn-on-Forecast System (WoFS), leveraging object-based methods to identify QLCS structures and isolate their leading lines. Results indicate that QTor forecasts show promise in effectively identifying areas conducive to</w:t>
      </w:r>
    </w:p>
    <w:p>
      <w:pPr/>
      <w:r>
        <w:rPr>
          <w:b/>
        </w:rPr>
        <w:t>POSSIBLE 2025:</w:t>
      </w:r>
      <w:r>
        <w:t xml:space="preserve"> The ecological forecast limit revisited: Potential, absolute and relative system predictability — https://doi.org/10.1111/2041-210x.70049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Ecological forecasts are model‐based statements about currently unknown ecosystem states in time or space. For a forecast to be useful to inform decision makers, model validation and verification determine adequacy. The measure of forecast goodness that can be translated into a limit up to which a forecast is acceptable is known as the ‘forecast limit’. While verification in weather forecasting follows strict criteria with established metrics and forecast limits, assessments of ecological forecasts still remain experiment‐specific and forecast limits are rarely reported. As such, users of ecological forecasts remain uninformed of how far into the future statements can be trusted. In this work, we synthesise existing approaches to define empirical forecast limits in a unified framework for assessing ecological predictability and offer recipes for their computation. We distinguish the model's potential and absolute forecast limits, and show how a benchmark model can help determine its relative forecast limit. The approaches are demonstrated with three case studies from population, ecosystem and Earth system research. We found that forecast limits can be computed with three requirements: Verification data, a scoring function and a reference for predictive error tolerance. Within our framework, forecast limits are defined for practically any ecological forecast and support</w:t>
      </w:r>
    </w:p>
    <w:p>
      <w:pPr/>
      <w:r>
        <w:rPr>
          <w:b/>
        </w:rPr>
        <w:t>POSSIBLE 2024:</w:t>
      </w:r>
      <w:r>
        <w:t xml:space="preserve"> A Potential Vorticity Diagnosis of Tropical Cyclone Track Forecast Errors — https://doi.org/10.1029/2023ms004008</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Tropical cyclone (TC) track forecasting provides essential guidance for coastal communities. However, track forecast errors still occur, highlighting the need for continued research into error sources. Piecewise potential vorticity (PV) inversion is used systematically to quantitatively diagnose errors in track forecasts in four models during the 2017 Atlantic hurricane season. The deep layer mean steering flow (DLMSF) provides a sufficient proxy for hurricane movement, and DLMSF errors are correlated with TC track errors. Analysis of track forecasts for Hurricanes Harvey, Irma, and Maria reveals that their track errors are attributed to steering errors caused by misrepresentations of specific pressure systems. Harvey's westward track error in the GFS resulted from zonal wind errors from the Continental High, while Irma's northward track error in the SHiELD gfsIC resulted from meridional wind errors in the Bermuda High and Continental High. Maria's southward track error in the IFS resulted from meridional wind errors in the Bermuda High and a misrepresentation of Jose to Maria's northwest. The mean absolute error of the DLMSF shows that the Bermuda High contributed the most to steering flow errors in the cases examined. Our results show that piecewise PV inversion can identify the sources of biases in TC track forecasts. The correction of these biases may lead to impro</w:t>
      </w:r>
    </w:p>
    <w:p>
      <w:pPr/>
      <w:r>
        <w:rPr>
          <w:b/>
        </w:rPr>
        <w:t>POSSIBLE 2024:</w:t>
      </w:r>
      <w:r>
        <w:t xml:space="preserve"> Assessing the Potential for Medium‐Range Ice Forecasts in the Laurentian Great Lakes — https://doi.org/10.1029/2024wr037507</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Real‐time forecasted ice information for large lakes, such as the Great Lakes, is critical for essential operations, such as ice breaking, commercial navigation, search and rescue, and oil spill response. Existing forecast products for large lake ice conditions are not available for medium‐range time horizons (5–16 days out), yet they could provide important information for decision making, particularly for ice breaking and spill responses. In addition, ice forecasts for Earth's largest lakes at these timescales could be important for Medium‐Range Weather (MRW) forecasting. However, the skill of existing operational products in predicting ice conditions at MRW timescales has not been studied. This work aims to determine how well ice forecasts from a coupled large lake hydrodynamic‐ice model perform for MRW forecast horizons. Simulations were carried out for the 2022 Great Lakes ice season, using 8 different 16‐day forecast periods. Forecast results were compared to observations of meteorology and ice conditions from the U.S. National Ice Center. Results show the MRW ice forecasts in the Great Lakes outperform persistence‐based forecasts. These findings could inform the development or extension of lake operational ice forecasting and the potential of coupling between atmospheric and large lake models at medium‐range forecast time scales.</w:t>
      </w:r>
    </w:p>
    <w:p>
      <w:pPr/>
      <w:r>
        <w:rPr>
          <w:b/>
        </w:rPr>
        <w:t>POSSIBLE 2024:</w:t>
      </w:r>
      <w:r>
        <w:t xml:space="preserve"> Forecasting potential output for Greece — https://doi.org/10.52903/econbull20246003</w:t>
      </w:r>
    </w:p>
    <w:p>
      <w:pPr/>
      <w:r>
        <w:rPr>
          <w:b/>
        </w:rPr>
        <w:t>Shared claim-specific concepts:</w:t>
      </w:r>
      <w:r>
        <w:t xml:space="preserve"> potential, output; EU scope visible. This is a provisional connection, not an outcome finding.</w:t>
      </w:r>
    </w:p>
    <w:p>
      <w:pPr>
        <w:pStyle w:val="SourceNote"/>
      </w:pPr>
      <w:r>
        <w:rPr>
          <w:b/>
        </w:rPr>
        <w:t>Available abstract (not full text):</w:t>
      </w:r>
      <w:r>
        <w:t xml:space="preserve"> This paper presents a description of the current version of the production function methodology used at the Bank of Greece for assessing and forecasting potential output and the output gap. Medium-term projections are also presented: potential output growth is expected to be 1.9%, supported by Total Factor Productivity (TFP) and capital, while the negative demographics are soon to weigh on the productive capacity of the economy. At the end of the projection horizon, most of the potential output growth accrues from TFP, suggesting the need to continue implementing structural reforms. The paper concludes with a brief discussion regarding the complexities of estimating TFP.</w:t>
      </w:r>
    </w:p>
    <w:p>
      <w:pPr/>
      <w:r>
        <w:rPr>
          <w:b/>
        </w:rPr>
        <w:t>POSSIBLE 2024:</w:t>
      </w:r>
      <w:r>
        <w:t xml:space="preserve"> Forecast of Wildfire Potential Across California USA Using a Transformer — https://doi.org/10.1109/bigdata62323.2024.10825778</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Wildfires are a major issue facing the United States, a matter further exacerbated by an ever-changing climate. In California alone, wildfires are responsible for billions of dollars in damages and take lives each year. Accurately predicting fire danger conditions allows preparation awareness before wildfires start. Transformers are a class of deep learning models designed to identify patterns in sequential datasets. In recent years, transformers have gained popularity through their impressive performance in natural language processing and other applications of signal recognition. This analysis demonstrates the ability of a transformer with a residual connection to forecast fire danger potential over the state of California. Wildland fire potential index (WFPI) maps collected from the US Geological Survey database from January 1st 2020 to December 31st 2023 were used to tune, train and evaluate the transformer. Meteorological inputs (provided by Daymet daily weather and climatological summaries), the normalized difference vegetation index (NDVI) (calculated from the Moderate Resolution Imaging Spectroradiometer (MODIS)), and outputs from the Scott and Burgman fire behavior fuel models (to characterize maps of fuel types), were used as inputs. Our results show that a transformer can effectively emulate the US Forest Service modeled WFPI maps of California USA for four week long </w:t>
      </w:r>
    </w:p>
    <w:p>
      <w:pPr/>
      <w:r>
        <w:rPr>
          <w:b/>
        </w:rPr>
        <w:t>POSSIBLE 2024:</w:t>
      </w:r>
      <w:r>
        <w:t xml:space="preserve"> Analysis of the potential of CML data for nowcasting forecasts in Poland — https://doi.org/10.5194/ems2024-26</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The growing network of telecommunication stations and commercial microwave links (CMLs) in last years has opened a window into a new way of rainfall estimation. This is a relatively new approach in precipitation estimation field, and it gives reasonably good results, and so have become a valuable source of precipitation information which can successfully supplement other existing observations. The potential of CMLs lies in their high temporal resolution (reaching one minute) and high abundance, so they are increasingly used for short‐term forecasting (nowcasting). Like any type of data, data from commercial microwave links are subject to quality control to isolate non-functioning stations and those links that systematically give erroneous results. Such a pilot analysis and quality control was recently carried out on 66 CMLs from the Opole Voivodeship, Poland. It was analysed to what extent the precipitation derived from CML attenuation data is useful in estimation of the precipitation field with the high temporal and spatial resolution required in nowcasting models. Several methods were used to estimate precipitation field based on data from available links. The CML-based estimates were compared to point observations from manual rain gauges and multi-source precipitation fields using daily and half-hourly accumulations. The analyses conducted show that the CML-based precipitati</w:t>
      </w:r>
    </w:p>
    <w:p>
      <w:pPr/>
      <w:r>
        <w:rPr>
          <w:b/>
        </w:rPr>
        <w:t>POSSIBLE 2024:</w:t>
      </w:r>
      <w:r>
        <w:t xml:space="preserve"> The ecological forecast limit revisited: Potential, actual and relative system predictability — https://doi.org/10.48550/arxiv.2412.00753</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Ecological forecasts are model-based statements about currently unknown ecosystem states in time or space. For a model forecast to be useful to inform decision makers, model validation and verification determine adequateness. The measure of forecast goodness that can be translated into a limit up to which a forecast is acceptable is known as the 'forecast limit'. While verification in weather forecasting follows strict criteria with established metrics and forecast limits, assessments of ecological forecasting models still remain experiment-specific, and forecast limits are rarely reported. As such, users of ecological forecasts remain uninformed of how far into the future statements can be trusted. In this work, we synthesise existing approaches to define empirical forecast limits in a unified framework for assessing ecological predictability and offer recipes for their computation. We distinguish the model's potential and absolute forecast limit, and show how a benchmark model can help determine its relative forecast limit. The approaches are demonstrated with three case studies from population, ecosystem, and Earth system research. We found that forecast limits can be computed with three requirements: A verification reference, a scoring function, and a predictive error tolerance. Within our framework, forecast limits are defined for practically any ecological forecast and su</w:t>
      </w:r>
    </w:p>
    <w:p>
      <w:pPr/>
      <w:r>
        <w:rPr>
          <w:b/>
        </w:rPr>
        <w:t>POSSIBLE 2023:</w:t>
      </w:r>
      <w:r>
        <w:t xml:space="preserve"> Accurate medium-range global weather forecasting with 3D neural networks — https://doi.org/10.1038/s41586-023-06185-3</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pPr/>
      <w:r>
        <w:rPr>
          <w:b/>
        </w:rPr>
        <w:t>POSSIBLE 2023:</w:t>
      </w:r>
      <w:r>
        <w:t xml:space="preserve"> Forecasting Georgia Economic Growth 2020-2030 — https://doi.org/10.62343/cjss.2019.182</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Firms, households, government agencies, and non-government organizations rely on forecasts when making decisions regarding the allocation of scarce resources. This paper develops evidence-based forecasts for key macroeconomic variables for the Republic of Georgia. Sources of data include the International Monetary Fund’s World Economic Outlook, The World Bank, and others. We use, primarily, exponential smoothing models generated by the statistical application Forecast Pro 100 to generate forecasts with 95 percent confidence limits. Finally, recognizing the high degree of uncertainty associated with long-term forecasting, we include scenarios to generate high, middle, and low values for the key variables. Our analysis shows population, a key economic resource, to be declining, along with the labor force participation rate, after a considerable rise. Gross fixed capital formation appears to be rising, while total reserves (including gold) is holding steady. With real GDP rising at an average rate of about five percent over the past decade, our forecast shows GDP continuing to increase over the next decade, along with GDP per capita, indicating a rising level of general wellbeing. Georgia’s inflation rate is low, and there is no credible evidence that the rate of inflation will accelerate in the coming years. We develop three scenarios for economic growth for Georgia for the perio</w:t>
      </w:r>
    </w:p>
    <w:p>
      <w:pPr/>
      <w:r>
        <w:rPr>
          <w:b/>
        </w:rPr>
        <w:t>POSSIBLE 2023:</w:t>
      </w:r>
      <w:r>
        <w:t xml:space="preserve"> Forecasting NZ GDP With LSTM Modelling — https://openalex.org/W7131761963</w:t>
      </w:r>
    </w:p>
    <w:p>
      <w:pPr/>
      <w:r>
        <w:rPr>
          <w:b/>
        </w:rPr>
        <w:t>Shared claim-specific concepts:</w:t>
      </w:r>
      <w:r>
        <w:t xml:space="preserve"> forecasts, just; EU scope not established. This is a provisional connection, not an outcome finding.</w:t>
      </w:r>
    </w:p>
    <w:p>
      <w:pPr>
        <w:pStyle w:val="SourceNote"/>
      </w:pPr>
      <w:r>
        <w:rPr>
          <w:b/>
        </w:rPr>
        <w:t>Available abstract (not full text):</w:t>
      </w:r>
      <w:r>
        <w:t xml:space="preserve"> This thesis investigates traditional macroeconomic modelling technique’s forecasting ability of GDP growth rates against a Long Short Term Memory Neural Networks forecasting ability of GDP growth rates for the New Zealand economy. The main forecast time frame is from March 2012 to December 2019 just before Covid-19. The models use an 8-step quarterly time horizon which is two years ahead. The models use pseudo-real time data to train the models in this thesis. I use a Root Mean Squared Error (RMSE) to measure the performance of the models and compare the forecasts with a Diebold-Mariano test (DM test). After the pre-Covid-19 period I use the models to forecast the Covid-19 period from March 2020 to September 2022. Finally, I compare the LSTM models to ANZ forecasts. The research in this thesis shows that the traditional model Vector Autoregression (VAR) has the best performance across all 8-time horizons and the LSTM out performances the VARMAX model for most of the 8-time horizons for the pre-Covid-19 period. The LSTM model performed best over the Covid-19 period but the RMSE results were so high that no meaningful insights could be used from the models. Finally, the LSTM outperforms ANZ forecasting over the Covid-19 period and slightly under performs before Covid-19. This thesis contributes to the research that is just beginning in this area of testing traditional models to n</w:t>
      </w:r>
    </w:p>
    <w:p>
      <w:pPr/>
      <w:r>
        <w:rPr>
          <w:b/>
        </w:rPr>
        <w:t>POSSIBLE 2023:</w:t>
      </w:r>
      <w:r>
        <w:t xml:space="preserve"> A forecast on future raw material demand and recycling potential of lithium-ion batteries in electric vehicles — https://doi.org/10.1016/j.resconrec.2023.106920</w:t>
      </w:r>
    </w:p>
    <w:p>
      <w:pPr/>
      <w:r>
        <w:rPr>
          <w:b/>
        </w:rPr>
        <w:t>Shared claim-specific concepts:</w:t>
      </w:r>
      <w:r>
        <w:t xml:space="preserve"> show, potential; EU scope not established. This is a provisional connection, not an outcome finding.</w:t>
      </w:r>
    </w:p>
    <w:p>
      <w:pPr>
        <w:pStyle w:val="SourceNote"/>
      </w:pPr>
      <w:r>
        <w:rPr>
          <w:b/>
        </w:rPr>
        <w:t>Available abstract (not full text):</w:t>
      </w:r>
      <w:r>
        <w:t xml:space="preserve"> The market for electromobility has grown constantly in the last years. To ensure a future supply of raw materials for the production of new batteries for electric vehicles, it is essential to estimate the future demand for battery metals. This study focuses on the future demand for electric vehicle battery cathode raw materials lithium, cobalt, nickel, and manganese by considering different technology and growth scenarios. The results show that in 2040 the future material demand for lithium, cobalt, and nickel for Lithium-Ion Batteries in electric vehicles exceeds current raw material production. Depending on the growth and technology scenario, the future demand for lithium and cobalt exceeds today's production by up to 8 times in 2040. Nickel exceeds today's production in one scenario. For manganese, future demand in 2040 remains far below today's production. The recycling potential for lithium and nickel is more than half the raw material demand for Lithium-Ion Batteries in 2040. For cobalt, the recycling potential even exceeds the raw material demand in 2040. In conclusion, it remains a challenge for the industry to massively scale up resource production and focus on the recycling of battery metals in the future to meet the increasing consumption of electromobility.</w:t>
      </w:r>
    </w:p>
    <w:p>
      <w:pPr>
        <w:pStyle w:val="Heading2"/>
      </w:pPr>
      <w:r>
        <w:t>800. By 2050 the Mitigation Effects of EU Forests Could Nearly Double through Climate Smart Forestry</w:t>
      </w:r>
    </w:p>
    <w:p>
      <w:pPr>
        <w:pStyle w:val="SourceNote"/>
      </w:pPr>
      <w:r>
        <w:rPr>
          <w:b/>
        </w:rPr>
        <w:t>Original source (2017):</w:t>
      </w:r>
      <w:r>
        <w:t xml:space="preserve"> https://doi.org/10.3390/f8120484</w:t>
      </w:r>
    </w:p>
    <w:p>
      <w:pPr/>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2026:</w:t>
      </w:r>
      <w:r>
        <w:t xml:space="preserve"> Incentivizing social norm elicitation — https://doi.org/10.1017/eec.2025.10036</w:t>
      </w:r>
    </w:p>
    <w:p>
      <w:pPr/>
      <w:r>
        <w:rPr>
          <w:b/>
        </w:rPr>
        <w:t>Shared claim-specific concepts:</w:t>
      </w:r>
      <w:r>
        <w:t xml:space="preserve"> incentives, find, potential, mitigation; EU scope not established. This is a provisional connection, not an outcome finding.</w:t>
      </w:r>
    </w:p>
    <w:p>
      <w:pPr>
        <w:pStyle w:val="SourceNote"/>
      </w:pPr>
      <w:r>
        <w:rPr>
          <w:b/>
        </w:rPr>
        <w:t>Available abstract (not full text):</w:t>
      </w:r>
      <w:r>
        <w:t xml:space="preserve"> Abstract Across three studies involving more than 5,000 participants, we provide a comprehensive analysis of the effects of incentivizing responses in the Krupka-Weber norm elicitation task. We consider both the potential benefits of incentivization (higher response quality and mitigation of response biases) and its possible drawbacks (distortion of responses in the direction of norm-unrelated focal points and materialistic values). We find no evidence of undesirable effects of incentives. While we report only modest improvements in response quality, we also show that incentives effectively mitigate response biases that arise when participants’ self-serving motivations conflict with accurate responding.</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2025:</w:t>
      </w:r>
      <w:r>
        <w:t xml:space="preserve"> The Right to Abortion – Between the Need for Protection at the European Level and Respect for the Constitutional Traditions of the Member States — https://doi.org/10.54148/eltelj.2025.2.9</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This article examines the regulation of abortion within the European legal order, highlighting the interaction between the jurisprudence of the European Court of Human Rights (ECHR), the Court of Justice of the European Union (CJEU), and the concept of national constitutional identity. While no explicit right to abortion is enshrined at the EU level, the ECHR has developed an extensive jurisprudence based on Article 8 of the Convention (right to private life), granting states a wide margin of appreciation. At the same time, constitutional identity allows Member States to preserve national traditions, creating tensions with the EU’s common values enshrined in Article 2 TEU. This study analyses relevant case law and doctrinal perspectives, illustrating how abortion regulation exemplifies the dialectic between the preservation of constitutional traditions and the need for uniform protection at the EU level.</w:t>
      </w:r>
    </w:p>
    <w:p>
      <w:pPr/>
      <w:r>
        <w:rPr>
          <w:b/>
        </w:rPr>
        <w:t>POSSIBLE 2025:</w:t>
      </w:r>
      <w:r>
        <w:t xml:space="preserve"> Incentives for smoking cessation — https://doi.org/10.1002/14651858.cd004307.pub7</w:t>
      </w:r>
    </w:p>
    <w:p>
      <w:pPr/>
      <w:r>
        <w:rPr>
          <w:b/>
        </w:rPr>
        <w:t>Shared claim-specific concepts:</w:t>
      </w:r>
      <w:r>
        <w:t xml:space="preserve"> incentives, current, additional, published; EU scope not established. This is a provisional connection, not an outcome finding.</w:t>
      </w:r>
    </w:p>
    <w:p>
      <w:pPr>
        <w:pStyle w:val="SourceNote"/>
      </w:pPr>
      <w:r>
        <w:rPr>
          <w:b/>
        </w:rPr>
        <w:t>Available abstract (not full text):</w:t>
      </w:r>
      <w:r>
        <w:t xml:space="preserve"> BACKGROUND: Financial incentives (money, vouchers, or self-deposits) can be used to positively reinforce smoking cessation. They may be used as one-off rewards, or in various schedules to reward steps towards sustained smoking abstinence (known as contingency management). They have been used in workplaces, clinics, hospitals, and community settings, and to target particular populations. This is a review update. The previous version was published in 2019. OBJECTIVES: Primary To assess the long-term effects of incentives and contingency management programmes for smoking cessation in mixed and pregnant populations. Secondary To assess the long-term effects of incentives and contingency management programmes for smoking cessation in mixed populations, considering whether incentives were offered at the final follow-up point. To assess the difference in outcomes for pregnant populations, considering whether rewards were contingent on abstinence or guaranteed. SEARCH METHODS: For this update, we searched CENTRAL, MEDLINE, Embase, PsycINFO, and two trials registers on 2 November 2023, and the Cochrane Tobacco Addiction Group Specialised Register on March 2023, together with reference checking, citation searching, and contact with study authors to identify additional studies. SELECTION CRITERIA: We considered only randomised controlled trials (RCTs), allocating individuals, workplaces, </w:t>
      </w:r>
    </w:p>
    <w:p>
      <w:pPr/>
      <w:r>
        <w:rPr>
          <w:b/>
        </w:rPr>
        <w:t>POSSIBLE 2025:</w:t>
      </w:r>
      <w:r>
        <w:t xml:space="preserve"> Mechanisms for monitoring the implementation of the European Social Charter and their significance for the Member States — https://doi.org/10.63341/naia-herald/1.2025.60</w:t>
      </w:r>
    </w:p>
    <w:p>
      <w:pPr/>
      <w:r>
        <w:rPr>
          <w:b/>
        </w:rPr>
        <w:t>Shared claim-specific concepts:</w:t>
      </w:r>
      <w:r>
        <w:t xml:space="preserve"> set, member, states, additional; EU scope visible. This is a provisional connection, not an outcome finding.</w:t>
      </w:r>
    </w:p>
    <w:p>
      <w:pPr>
        <w:pStyle w:val="SourceNote"/>
      </w:pPr>
      <w:r>
        <w:rPr>
          <w:b/>
        </w:rPr>
        <w:t>Available abstract (not full text):</w:t>
      </w:r>
      <w:r>
        <w:t xml:space="preserve"> The foundation of the European system of ensuring social human rights is the European Social Charter, which is implemented under the auspices of the Council of Europe. However, formally, its provisions are not subject to strict implementation, which necessitates an increase in the effectiveness of the Charter’s implementation. The purpose of the present study was to investigate the shortcomings of the mechanisms for monitoring compliance with the European Social Charter, to assess their significance for the member states, and to develop recommendations for improving their effectiveness. The methodological framework of the study included a comprehensive analysis of the mechanisms for monitoring the implementation of the European Social Charter. The study analysed the decisions of the European Committee of Social Rights on violations of the European Social Charter by various states and their effects on the development of legislation and improvement of social policy in these countries. Attention was focused on the collective complaints mechanism set out in the Additional Protocol. The study found that expanding the influence of national NGOs and strengthening public control would substantially contribute to improving the implementation of the Charter. At the same time, the immediate publication of the Committee’s conclusions would positively influence the reputation component, as </w:t>
      </w:r>
    </w:p>
    <w:p>
      <w:pPr/>
      <w:r>
        <w:rPr>
          <w:b/>
        </w:rPr>
        <w:t>POSSIBLE 2024:</w:t>
      </w:r>
      <w:r>
        <w:t xml:space="preserve"> Harmonisation of Corporate Income Tax Incentives in SADC: Addressing the Challenges Posed by the Sovereign Right of SADC Member States to Set Their Own Economic and Tax Policies — https://doi.org/10.25159/2522-3062/15912</w:t>
      </w:r>
    </w:p>
    <w:p>
      <w:pPr/>
      <w:r>
        <w:rPr>
          <w:b/>
        </w:rPr>
        <w:t>Shared claim-specific concepts:</w:t>
      </w:r>
      <w:r>
        <w:t xml:space="preserve"> right, set, incentives, member, states, find; EU scope visible. This is a provisional connection, not an outcome finding.</w:t>
      </w:r>
    </w:p>
    <w:p>
      <w:pPr>
        <w:pStyle w:val="SourceNote"/>
      </w:pPr>
      <w:r>
        <w:rPr>
          <w:b/>
        </w:rPr>
        <w:t>Available abstract (not full text):</w:t>
      </w:r>
      <w:r>
        <w:t xml:space="preserve">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pPr/>
      <w:r>
        <w:rPr>
          <w:b/>
        </w:rPr>
        <w:t>POSSIBLE 2024:</w:t>
      </w:r>
      <w:r>
        <w:t xml:space="preserve"> Stronger Member States for a Stronger European Union — https://doi.org/10.62733/2024.2.143-161</w:t>
      </w:r>
    </w:p>
    <w:p>
      <w:pPr/>
      <w:r>
        <w:rPr>
          <w:b/>
        </w:rPr>
        <w:t>Shared claim-specific concepts:</w:t>
      </w:r>
      <w:r>
        <w:t xml:space="preserve"> member, states, current;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The European Green Deal and turbulence for non-member states — https://doi.org/10.1038/s44168-024-00173-7</w:t>
      </w:r>
    </w:p>
    <w:p>
      <w:pPr/>
      <w:r>
        <w:rPr>
          <w:b/>
        </w:rPr>
        <w:t>Shared claim-specific concepts:</w:t>
      </w:r>
      <w:r>
        <w:t xml:space="preserve"> member, states, find, literature; EU scope visible. This is a provisional connection, not an outcome finding.</w:t>
      </w:r>
    </w:p>
    <w:p>
      <w:pPr>
        <w:pStyle w:val="SourceNote"/>
      </w:pPr>
      <w:r>
        <w:rPr>
          <w:b/>
        </w:rPr>
        <w:t>Available abstract (not full text):</w:t>
      </w:r>
      <w:r>
        <w:t xml:space="preserve"> Abstract The European Green Deal (EGD) has had a significant impact on EU member states. In this article, we examine the extent to which it can also have large consequences for non-members. Based on a qualitative approach comparing Norway and the UK, and drawing on a burgeoning literature on ‘turbulence’, we ask whether the EGD creates turbulence in non-member states, what the nature of this turbulence is, and whether the extent and nature of turbulence varies with how closely affiliated a non-member is with the EU. Despite the ambitious climate policies of both countries, we identify a significant amount of turbulence generated by the EGD. Interestingly, we also find that turbulence increases with a closer EU-affiliation. However, our analysis also reveals an impressive capacity in both countries to adapt to their turbulent conditions, and a surprising durability of climate and energy policy in the face of turbulence.</w:t>
      </w:r>
    </w:p>
    <w:p>
      <w:pPr/>
      <w:r>
        <w:rPr>
          <w:b/>
        </w:rPr>
        <w:t>POSSIBLE 2024:</w:t>
      </w:r>
      <w:r>
        <w:t xml:space="preserve"> LEFT VS. RIGHT: THE FACES OF POPULISM IN CONTEMPORARY EUROPE AND LATIN AMERICA — https://doi.org/10.32782/2663-6170/2024.36.20</w:t>
      </w:r>
    </w:p>
    <w:p>
      <w:pPr/>
      <w:r>
        <w:rPr>
          <w:b/>
        </w:rPr>
        <w:t>Shared claim-specific concepts:</w:t>
      </w:r>
      <w:r>
        <w:t xml:space="preserve"> right, set, potential; EU scope visible. This is a provisional connection, not an outcome finding.</w:t>
      </w:r>
    </w:p>
    <w:p>
      <w:pPr>
        <w:pStyle w:val="SourceNote"/>
      </w:pPr>
      <w:r>
        <w:rPr>
          <w:b/>
        </w:rPr>
        <w:t>Available abstract (not full text):</w:t>
      </w:r>
      <w:r>
        <w:t xml:space="preserve"> This study presents a detailed comparative analysis of left-wing populism in Latin America, with a specific focus on Venezuela, Bolivia, Ecuador, Brazil and Argentina, and right-wing populism in Europe, centering particularly on the United Kingdom, Italy, Hungary, Poland, and Austria.It explores the nuanced socio-political, economic, and cultural dimensions of these movements, highlighting how they diverge and converge in various aspects.In Latin America, countries like Venezuela under Hugo Chávez and Bolivia under Evo Morales have witnessed populist policies centered around social equity and wealth redistribution, driven by ideologies that challenge traditional power structures and neoliberal economics.These policies have significantly reshaped the political and social landscape, aiming to empower marginalized groups and address deep-rooted inequalities.In contrast, the rise of right-wing populism in Europe, exemplified by the Brexit movement in the UK, reveals a different set of priorities and concerns.Here, the focus shifts to national sovereignty, cultural identity, and skepticism towards supranational entities like the European Union.Economic policies in this context tend to emphasize protectionism and prioritizing the native population, reflecting concerns about globalization's impact on national economies and cultures.The study also scrutinizes the varied approaches to i</w:t>
      </w:r>
    </w:p>
    <w:p>
      <w:pPr/>
      <w:r>
        <w:rPr>
          <w:b/>
        </w:rPr>
        <w:t>POSSIBLE 2024:</w:t>
      </w:r>
      <w:r>
        <w:t xml:space="preserve"> Waste management in Slovakia and Poland as European Union member states — https://doi.org/10.5937/sjm19-51705</w:t>
      </w:r>
    </w:p>
    <w:p>
      <w:pPr/>
      <w:r>
        <w:rPr>
          <w:b/>
        </w:rPr>
        <w:t>Shared claim-specific concepts:</w:t>
      </w:r>
      <w:r>
        <w:t xml:space="preserve"> set, member, states; EU scope visible. This is a provisional connection, not an outcome finding.</w:t>
      </w:r>
    </w:p>
    <w:p>
      <w:pPr>
        <w:pStyle w:val="SourceNote"/>
      </w:pPr>
      <w:r>
        <w:rPr>
          <w:b/>
        </w:rPr>
        <w:t>Available abstract (not full text):</w:t>
      </w:r>
      <w:r>
        <w:t xml:space="preserve"> The basic European Union (EU) waste legislation is regulated by European Waste Framework Directive (1975). Since then, this directive has been significantly revised and updated and all EU members are obliged to implement the EU waste legislation into their legislation. The article presents the most important issues related to waste management in Slovakia and Poland. The paper reviews national legislation along with EU legislation. The study includes relevant conclusions with a brief comparison of the analyses carried out. The obtained results shows that the main goal relating to municipal waste - significant deviation from waste landfilling, set in both states, was not achieved.</w:t>
      </w:r>
    </w:p>
    <w:p>
      <w:pPr/>
      <w:r>
        <w:rPr>
          <w:b/>
        </w:rPr>
        <w:t>POSSIBLE 2024:</w:t>
      </w:r>
      <w:r>
        <w:t xml:space="preserve"> The Impact of the Rule of Law on Energy Policy in European Union Member States — https://doi.org/10.3390/en17030739</w:t>
      </w:r>
    </w:p>
    <w:p>
      <w:pPr/>
      <w:r>
        <w:rPr>
          <w:b/>
        </w:rPr>
        <w:t>Shared claim-specific concepts:</w:t>
      </w:r>
      <w:r>
        <w:t xml:space="preserve"> member, states, literature; EU scope visible. This is a provisional connection, not an outcome finding.</w:t>
      </w:r>
    </w:p>
    <w:p>
      <w:pPr>
        <w:pStyle w:val="SourceNote"/>
      </w:pPr>
      <w:r>
        <w:rPr>
          <w:b/>
        </w:rPr>
        <w:t>Available abstract (not full text):</w:t>
      </w:r>
      <w:r>
        <w:t xml:space="preserve"> Research pertaining to the dual-tier political system within the European Union (EU), specifically concerning the genesis and execution of EU policies, has garnered substantial scholarly attention. These inquiries delve into multifaceted dimensions, encompassing institutional dynamics, procedural intricacies, questions of legitimacy, and intricate relational dynamics entailing international diplomacy with other actors within the realm of international law. Nonetheless, a particularly intriguing and underexplored facet remains: the influence of member states’ compliance with the rule of law on the implementation of EU policies, particularly within the realm of energy policy. This article aims to elucidate the nexus between the realization of energy policy objectives in EU member states and fidelity to the rule of law. The conundrum of establishing a correlation between the indicators of environmentally sustainable energy policy and commitment to upholding the rule of law remains uncharted territory within the existing body of literature. Our analysis centers on a dataset derived from publicly accessible sources, reflecting data from the year 2020.</w:t>
      </w:r>
    </w:p>
    <w:p>
      <w:pPr>
        <w:pStyle w:val="Heading2"/>
      </w:pPr>
      <w:r>
        <w:t>801. Clean Disruption for Abundant Futures - Neo-Carbon Energy Futures Clinique III</w:t>
      </w:r>
    </w:p>
    <w:p>
      <w:pPr>
        <w:pStyle w:val="SourceNote"/>
      </w:pPr>
      <w:r>
        <w:rPr>
          <w:b/>
        </w:rPr>
        <w:t>Original source (2017):</w:t>
      </w:r>
      <w:r>
        <w:t xml:space="preserve"> https://doi.org/10.13140/rg.2.2.25471.87200</w:t>
      </w:r>
    </w:p>
    <w:p>
      <w:pPr/>
      <w:r>
        <w:t>Original wording (abstract; indexed_source_text_not_full_document_verified): The four transformational scenarios of the Neo-Carbon Energy project were used as material for the groups’ foresight work.</w:t>
      </w:r>
    </w:p>
    <w:p>
      <w:pPr/>
      <w:r>
        <w:rPr>
          <w:b/>
        </w:rPr>
        <w:t>POSSIBLE 2026:</w:t>
      </w:r>
      <w:r>
        <w:t xml:space="preserve"> Finance Transformation Is Not an IT Project. It Is a Leadership Decision. — https://doi.org/10.5281/zenodo.23400498</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Bilingual (English/German) practitioner article on building an international finance function from the ground up. Drawing on more than fifteen years in international finance, from Big Four audit and advisory to finance leadership in construction, logistics, aviation and energy, the author argues that finance transformation is a leadership decision rather than an IT project. The article covers establishing one financial language across entities and borders (consistent cost classifications, named data owners, harmonised cut-offs), disciplined daily cash and liquidity management, ERP implementation as a process and governance exercise, and the responsible use of AI in finance, with the aim of moving Finance from documenting what happened to helping the business decide what should happen next.</w:t>
      </w:r>
    </w:p>
    <w:p>
      <w:pPr/>
      <w:r>
        <w:rPr>
          <w:b/>
        </w:rPr>
        <w:t>POSSIBLE 2026:</w:t>
      </w:r>
      <w:r>
        <w:t xml:space="preserve"> DRIVERS OF AGILE TRANSFORMATION IN PREDICTIVE PROJECT MANAGEMENT ENVIRONMENTS — https://doi.org/10.32782/bses.100-20</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The article reviews the core drivers of Agile transformation within modern organizations that use predictive project management approaches. The purpose of the research is to identify and outline key factors that stimulate enterprises to transition from predictive management methods to the Agile concept of working. In that regard, the article suggests four principal drivers of agile transformation – market volatility, delayed value realization, limited capability to validate business assumptions, and people-related organizational factors related to employee engagement. The obtained results provide an extended theoretical understanding of the transformational drivers that exist within the waterfall paradigm and lead to the integration of Agile approaches into daily work, which may serve as a conceptual foundation for further development in the agile transformation domain, reflecting core business motivators to perform agile transition in general.</w:t>
      </w:r>
    </w:p>
    <w:p>
      <w:pPr/>
      <w:r>
        <w:rPr>
          <w:b/>
        </w:rPr>
        <w:t>POSSIBLE 2026:</w:t>
      </w:r>
      <w:r>
        <w:t xml:space="preserve"> Leading Digital Transformation Project: A Case of NADRA — https://openalex.org/W7213482378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Digital transformation in public-sector organizations is not only about the adoption of new technologies, but also about transformations in leadership, organizational practices, employee competencies, and citizen relationships. This thesis explores the interaction between leadership, organizational culture, and societal culture in the digital transformation of the public sector in Pakistan, utilizing the National Database and Registration Authority (NADRA) as a case study of quality. The research is based on constructivist-interpretivist worldview and single-case qualitative study design. Purposive sampling and semi-structured guide were used to select and interview four NADRA employees of 10-15 years organizational experience. Thematic analysis was applied to the interview content. Three themes were identified that interrelated: leadership and institutionalization; organizational adaptation; and societal legitimacy and adaptive implementation. The results indicate that the leadership institutionalized the digitalization into policy, hierarchy, training, procedures, technical expertise, communication and operational problem solving. Formal hierarchy coupled with cooperation, peer learning, service orientation and structured communication were incorporated into organizational culture and assisted employees to adjust in the face of new digital practices that were unfamiliar to th</w:t>
      </w:r>
    </w:p>
    <w:p>
      <w:pPr/>
      <w:r>
        <w:rPr>
          <w:b/>
        </w:rPr>
        <w:t>POSSIBLE 2026:</w:t>
      </w:r>
      <w:r>
        <w:t xml:space="preserve"> Climate Revolution or long march? The politics of low carbon transformation in China (1992-2015) : the power sector as case study — https://doi.org/10.82444/warw.33754987</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thesis analyses the role of the Chinese state in overseeing the low-carbon transformation of its economy. It looks more particularly at the changing power dynamics surrounding the production of electric power provoked by the combination of market reforms and the rise of environmental concerns since 1978. The Chinese case is not only relevant for global environmental change, but also because it interrogates the classical understanding of developmental and environmental politics. The thesis explores how, in China, the necessity to address environmental issues has transformed the way in which the state exercises power over the economy, particularly over the electric power system. The research method pursues a historical analysis of the normative and distributive struggles involved in the transformation of the Chinese Party-state institutions in relation to economic development and environmental protection, especially the field of energy. This approach stems from a definition of low-carbon transformations as complex processes of change unfolding over long periods of time, involving not only technological innovations, but also contentious confrontations of interests and ideologies. Consequently, in the thesis, environmental goals, as well as different modes of exercising political power in the economy, such as the developmental state and a regulatory state, are taken as ideatio</w:t>
      </w:r>
    </w:p>
    <w:p>
      <w:pPr/>
      <w:r>
        <w:rPr>
          <w:b/>
        </w:rPr>
        <w:t>POSSIBLE 2026:</w:t>
      </w:r>
      <w:r>
        <w:t xml:space="preserve"> Globalization and digital transformation: are impacts on skills and inequality in four future scenarios converging? — https://doi.org/10.1080/13511610.2026.2656886</w:t>
      </w:r>
    </w:p>
    <w:p>
      <w:pPr/>
      <w:r>
        <w:rPr>
          <w:b/>
        </w:rPr>
        <w:t>Shared claim-specific concepts:</w:t>
      </w:r>
      <w:r>
        <w:t xml:space="preserve"> four, project, used, groups; EU scope visible. This is a provisional connection, not an outcome finding.</w:t>
      </w:r>
    </w:p>
    <w:p>
      <w:pPr>
        <w:pStyle w:val="SourceNote"/>
      </w:pPr>
      <w:r>
        <w:rPr>
          <w:b/>
        </w:rPr>
        <w:t>Available abstract (not full text):</w:t>
      </w:r>
      <w:r>
        <w:t xml:space="preserve"> This research examines how varying degrees of globalization and digital transformation affect skill demand, socioeconomic inequality and convergence in the EU by 2030. The study employs a comprehensive scenario-mapping approach using state-of-the-art literature, existing econometric analyses conducted within the GI-NI project used as contextual inputs and expert insights. Four scenarios are developed based on potential trends in digital transformation (stagnation or acceleration) and globalization (further globalization or deglobalization). These scenarios highlight essential changes needed to improve skills and alleviate inequality. In all scenarios, the future labour market demands a rapidly evolving skill set, with persistent risks of skills mismatch across educational groups and a strong focus on digital, technical, analytical and communication skills. Three scenarios suggest worsening inequality, particularly affecting low-skilled workers, women and older individuals, while high-skilled workers adapt more quickly. The study shows that communication technology can drive between-region economic convergence, depending on the interaction with globalization and the pace of digital transformation. However, accelerated digital transformation with deglobalization poses divergence risks, as some EU regions may struggle to adapt quickly. The scenarios underscore the complex interpla</w:t>
      </w:r>
    </w:p>
    <w:p>
      <w:pPr/>
      <w:r>
        <w:rPr>
          <w:b/>
        </w:rPr>
        <w:t>POSSIBLE 2026:</w:t>
      </w:r>
      <w:r>
        <w:t xml:space="preserve"> Interpretive structural modeling of factors influencing transition and transformation project management framework — https://doi.org/10.1007/s43621-026-03632-9</w:t>
      </w:r>
    </w:p>
    <w:p>
      <w:pPr/>
      <w:r>
        <w:rPr>
          <w:b/>
        </w:rPr>
        <w:t>Shared claim-specific concepts:</w:t>
      </w:r>
      <w:r>
        <w:t xml:space="preserve"> four, project, work; EU scope not established. This is a provisional connection, not an outcome finding.</w:t>
      </w:r>
    </w:p>
    <w:p>
      <w:pPr>
        <w:pStyle w:val="SourceNote"/>
      </w:pPr>
      <w:r>
        <w:rPr>
          <w:b/>
        </w:rPr>
        <w:t>Available abstract (not full text):</w:t>
      </w:r>
      <w:r>
        <w:t xml:space="preserve"> This article examines the factors influencing the adoption of Transition and Transformation (T&amp;T) Project Management among IT Firms. The study address two critical gaps, firstly the sequencing gap in organisational change during Disruptive Technology adoption and secondly, the VUCA-to-action gap that leads the discussion of transitioning from environmental diagnosis to the organisational response. Eight enablers for T&amp;T project management adoption are identified from the extant literature and from data collected from 34 project managers or leaders. Detailed analysis of enablers helped develop the Interpretative Structural Modelling (ISM) framework and categorise those enablers using the “Matrice d’impacts Croises multiplication appliquee a un classment” (MICMAC) analysis. The study proposed the transformation-based framework for IT firms in developing economies. The research aligns SDG-8 refers to productivity and decent work, SDG-9 align strengthening innovation and infrastructure capabilities, and SDG 17 emphasized consistent collaboration and stakeholder coordination. The results of the study show that there are four different levels in the ISM model, where F1 (Project Success Factors) at the topmost level in the model signifies being highly dependent, while enablers Training &amp; Education (F3), Disruptive Technology (F7) and VUCA Environment (F8) at the bottom signifies the k</w:t>
      </w:r>
    </w:p>
    <w:p>
      <w:pPr/>
      <w:r>
        <w:rPr>
          <w:b/>
        </w:rPr>
        <w:t>POSSIBLE 2026:</w:t>
      </w:r>
      <w:r>
        <w:t xml:space="preserve"> Bridging change and project management by enhancing stakeholder engagement and adaptability in digital transformation — https://doi.org/10.1108/ijmpb-08-2025-0346</w:t>
      </w:r>
    </w:p>
    <w:p>
      <w:pPr/>
      <w:r>
        <w:rPr>
          <w:b/>
        </w:rPr>
        <w:t>Shared claim-specific concepts:</w:t>
      </w:r>
      <w:r>
        <w:t xml:space="preserve"> four, project, groups; EU scope not established. This is a provisional connection, not an outcome finding.</w:t>
      </w:r>
    </w:p>
    <w:p>
      <w:pPr>
        <w:pStyle w:val="SourceNote"/>
      </w:pPr>
      <w:r>
        <w:rPr>
          <w:b/>
        </w:rPr>
        <w:t>Available abstract (not full text):</w:t>
      </w:r>
      <w:r>
        <w:t xml:space="preserve"> Purpose This article explores how digital transformation is reshaping organizations by changing stakeholder roles, organizational structures and ways of working. While both project management and change management are recognized as crucial drivers of transformation, their integration remains insufficiently theorized and empirically examined. The purpose of this study is to investigate how aligning these two disciplines can strengthen stakeholder inclusion and organizational adaptability during digital transformation. By focusing on the cultural, organizational and role-based challenges created by new technologies, the article seeks to uncover the mechanisms through which project and change management are integrated and to identify practical strategies that help organizations successfully navigate and sustain transformation in dynamic, technology-driven environments. Design/methodology/approach A single case study was employed to explore the digital transformation of tramway operations through the introduction of automatic train operation. Data collection occurred in two rounds: 25 semi-structured interviews in February 2024 and 16 interviews in November 2024. Interviews were recorded, supported by field notes. Workshops with senior management were held to validate preliminary findings and generate further insights. Data was analyzed using NVivo software, combining deductive cod</w:t>
      </w:r>
    </w:p>
    <w:p>
      <w:pPr/>
      <w:r>
        <w:rPr>
          <w:b/>
        </w:rPr>
        <w:t>POSSIBLE 2026:</w:t>
      </w:r>
      <w:r>
        <w:t xml:space="preserve"> Digital Transformation of Project Management in a Large Energy Holding Company: An Organizational and Technological Model — https://doi.org/10.12737/3033-8166-2026-2-3-10</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The article proposes an organizational and technological model for improving project management in a large diversified energy holding company, aimed at enhancing the efficiency of the corporate project management system (CPMS) under conditions of accelerated digital transformation, software import substitution, and tightening requirements for critical information infrastructure (CII) facilities. Based on an analysis of IT project management approaches at four of Russia\'s largest energy companies (PJSC Rosseti, En+ Group, PJSC Gazprom, PJSC Inter RAO), systemic limitations of current practice are identified, and a three-level improvement model is substantiated: at the organizational level – the introduction of the Digital Asset Owner (VCA) role; at the technological level – a transition to a domestic PPM platform with dual-circuit integration of the production and financialeconomic circuits; at the financial level – bank monitoring of projects using the digital ruble and smart contracts. Individual components of the model have been piloted at PJSC Inter RAO taking into account industry-specific factors and regulatory requirements.</w:t>
      </w:r>
    </w:p>
    <w:p>
      <w:pPr/>
      <w:r>
        <w:rPr>
          <w:b/>
        </w:rPr>
        <w:t>POSSIBLE 2026:</w:t>
      </w:r>
      <w:r>
        <w:t xml:space="preserve"> Final report: Project 2.4.2 Accelerating Food Transformation — https://doi.org/10.5204/eprints.264226</w:t>
      </w:r>
    </w:p>
    <w:p>
      <w:pPr/>
      <w:r>
        <w:rPr>
          <w:b/>
        </w:rPr>
        <w:t>Shared claim-specific concepts:</w:t>
      </w:r>
      <w:r>
        <w:t xml:space="preserve"> four, project, used, groups; EU scope not established. This is a provisional connection, not an outcome finding.</w:t>
      </w:r>
    </w:p>
    <w:p>
      <w:pPr>
        <w:pStyle w:val="SourceNote"/>
      </w:pPr>
      <w:r>
        <w:rPr>
          <w:b/>
        </w:rPr>
        <w:t>Available abstract (not full text):</w:t>
      </w:r>
      <w:r>
        <w:t xml:space="preserve"> "Australia faces a significant challenge in managing food waste, with approximately 2.96 million tonnes of food wasted annually in primary production and manufacturing (FIAL, 2021). In response, the concept of upcycled food – transforming surplus or waste food into new, value-added products – has emerged as a promising solution. This final report synthesises findings from a multi-phase research project aimed at accelerating food transformation through upcycling, offering insights into the regulatory, socio-technical, and consumer landscapes that shape, or may shape, the sector. Overall, the project had three key aims: 1.Advance understanding of the regulatory and socio-technical environment for upcycled food in Queensland. 2.Develop regulatory and market pathways to facilitate the upcycled food sector. 3.Provide advice to industry and government on consumer perspectives and strategies to improve acceptance of upcycled food. To achieve these aims, the project was structured into four phases: Phase 1 - literature review and stakeholder interviews, Phase 2 - regulatory analysis, Phase 3 - case studies, and Phase 4 - consumer study. Each of these phases is briefly summarised below. Phase 1: Literature review and stakeholder interviews The literature review revealed that while technical research on upcycled food is growing, there is limited social science analysis, particularly in t</w:t>
      </w:r>
    </w:p>
    <w:p>
      <w:pPr/>
      <w:r>
        <w:rPr>
          <w:b/>
        </w:rPr>
        <w:t>POSSIBLE 2026:</w:t>
      </w:r>
      <w:r>
        <w:t xml:space="preserve"> The Path to Zero-Carbon: Analyzing How Green Finance and Financial Innovation Impact Environmental Performance: Analysis of Four Asian Developing Economies — https://doi.org/10.1177/10704965261447902</w:t>
      </w:r>
    </w:p>
    <w:p>
      <w:pPr/>
      <w:r>
        <w:rPr>
          <w:b/>
        </w:rPr>
        <w:t>Shared claim-specific concepts:</w:t>
      </w:r>
      <w:r>
        <w:t xml:space="preserve"> four, energy; EU scope not established. This is a provisional connection, not an outcome finding.</w:t>
      </w:r>
    </w:p>
    <w:p>
      <w:pPr>
        <w:pStyle w:val="SourceNote"/>
      </w:pPr>
      <w:r>
        <w:rPr>
          <w:b/>
        </w:rPr>
        <w:t>Available abstract (not full text):</w:t>
      </w:r>
      <w:r>
        <w:t xml:space="preserve"> Carbon neutrality is an international agenda that must be accomplished in the framework of the COP requirements. To go beyond the metrics of traditional investment orientation, this paper explores how the output of clean energy, sustainable finance, eco-regulations, and financial innovation affects the possibility of the four developing Asian economies becoming carbon-neutral between 2010 and 2021. The study confirms the Environmental Kuznets Curve (EKC) theory, through the prism of zero-carbon objectives, using panel unit root and validates mean group tests. Results indicate that the production of clean energy on a large scale can tremendously lower the rate of carbon emissions. Moreover, eco-regulations, green finance, and financial innovation also increase national abilities to achieve zero-carbon goals, reduce the risks in the sector, and create sustainable environments. This study offers practical recommendations and abstract implications to policymakers who switch to a carbon-neutral society by pointing out the transformation of energy inputs to quantifiable clean outputs.</w:t>
      </w:r>
    </w:p>
    <w:p>
      <w:pPr/>
      <w:r>
        <w:rPr>
          <w:b/>
        </w:rPr>
        <w:t>POSSIBLE 2025:</w:t>
      </w:r>
      <w:r>
        <w:t xml:space="preserve"> Research on Critical Path and Duration Optimization of Power Transmission and Transformation Project Based on WBS-IAHP — https://doi.org/10.1109/psgai68158.2025.11413362</w:t>
      </w:r>
    </w:p>
    <w:p>
      <w:pPr/>
      <w:r>
        <w:rPr>
          <w:b/>
        </w:rPr>
        <w:t>Shared claim-specific concepts:</w:t>
      </w:r>
      <w:r>
        <w:t xml:space="preserve"> four, project, used, work; EU scope not established. This is a provisional connection, not an outcome finding.</w:t>
      </w:r>
    </w:p>
    <w:p>
      <w:pPr>
        <w:pStyle w:val="SourceNote"/>
      </w:pPr>
      <w:r>
        <w:rPr>
          <w:b/>
        </w:rPr>
        <w:t>Available abstract (not full text):</w:t>
      </w:r>
      <w:r>
        <w:t xml:space="preserve"> The critical path and reference period of power transmission and transformation project are crucial to the timely delivery of the project, which is related to resource allocation and cost control. In this paper, the Work Breakdown Structure (WBS) model is used to divide the project into four stages: the early stage of the project, the design stage of the project, the construction of the project, and the final settlement of the project, which are further divided into small work packages. Then the Improved Analytic Hierarchy Process (IAHP) model is used to weight nodes and screen nodes with long reference duration. Finally, the Delphi method is used to collect expert opinions and give reference duration to key nodes. After calculations using the aforementioned model, the reference duration for indoor substation projects is determined to be within the range of [1630, 2040] days, and for outdoor substation projects, it is within the range of [1645, 2070] days. Comparison with historical data has confirmed that the results of this study's model are essentially consistent with reality, holding significant guidance value for future power transmission and transformation projects.</w:t>
      </w:r>
    </w:p>
    <w:p>
      <w:pPr/>
      <w:r>
        <w:rPr>
          <w:b/>
        </w:rPr>
        <w:t>POSSIBLE 2025:</w:t>
      </w:r>
      <w:r>
        <w:t xml:space="preserve"> Research on Carbon Emission Accounting of Power Transmission and Transformation Projects Based on Life Cycle Approach — https://doi.org/10.1109/iceeps66790.2025.11239571</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This paper systematically studies the carbon emission accounting of power transmission and transformation projects based on the life cycle theory. Through a literature review, it summarizes the latest achievements in the accounting methods of life cycle carbon emissions of substation buildings, key links and decarbonization strategies for carbon emissions in power transmission and transformation projects, and influencing factors and optimization design of carbon emissions. Taking a 220kV power transmission and transformation project in Anhui Province as a case study, it analyzes the carbon emission characteristics of the project in four stages: building materials production and transportation, construction, operation and maintenance, and demolition and recycling. It also uses a "bottom-up" model to account for the life cycle carbon emissions of the project. The study finds that the building materials production and transportation stage and the operation and maintenance stage are the key links of carbon emissions in the power transmission and transformation project, accounting for 34.7% and 64.1%, respectively. Based on this, the paper proposes decarbonization paths such as optimizing the selection of building materials, improving equipment energy efficiency and energy-saving transformation, establishing intelligent operation and maintenance systems, and using low-carbon demolit</w:t>
      </w:r>
    </w:p>
    <w:p>
      <w:pPr>
        <w:pStyle w:val="Heading2"/>
      </w:pPr>
      <w:r>
        <w:t>802. Conditional forecasts of tourism exports and tourism export prices of the EU-15 within a global vector autoregression framework</w:t>
      </w:r>
    </w:p>
    <w:p>
      <w:pPr>
        <w:pStyle w:val="SourceNote"/>
      </w:pPr>
      <w:r>
        <w:rPr>
          <w:b/>
        </w:rPr>
        <w:t>Original source (2017):</w:t>
      </w:r>
      <w:r>
        <w:t xml:space="preserve"> https://doi.org/10.1108/jtf-01-2017-0001</w:t>
      </w:r>
    </w:p>
    <w:p>
      <w:pPr/>
      <w:r>
        <w:t>Original wording (abstract; indexed_source_text_not_full_document_verified):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POSSIBLE 2026:</w:t>
      </w:r>
      <w:r>
        <w:t xml:space="preserve"> Social Media Impact on Baguio Tourism: Arrivals and Perceptions Analyzed — https://doi.org/10.47760/cognizance.2026.v06i04.010</w:t>
      </w:r>
    </w:p>
    <w:p>
      <w:pPr/>
      <w:r>
        <w:rPr>
          <w:b/>
        </w:rPr>
        <w:t>Shared claim-specific concepts:</w:t>
      </w:r>
      <w:r>
        <w:t xml:space="preserve"> real, tourism, provided; EU scope not established. This is a provisional connection, not an outcome finding.</w:t>
      </w:r>
    </w:p>
    <w:p>
      <w:pPr>
        <w:pStyle w:val="SourceNote"/>
      </w:pPr>
      <w:r>
        <w:rPr>
          <w:b/>
        </w:rPr>
        <w:t>Available abstract (not full text):</w:t>
      </w:r>
      <w:r>
        <w:t xml:space="preserve"> Social media have become a powerful influence on how travelers make decisions, shape perceptions, and choose destinations in the Philippines, particularly Baguio City. This study examined how social media platforms affect tourism by exploring how online promotions influence expectations, trust, emotional connection, and travel intentions toward the city. Anchored on the Uses and Gratifications Theory, Theory of Planned Behavior, and Expectation Confirmation Theory, the research used a qualitative descriptive approach through semi-structured interviews and observation. Fifteen tourists (15) aged eighteen (18) and above who had visited Baguio City and actively used social media for travel information were purposively selected, with data gathered at Mines View Park, the Botanical Garden, and The Mansion. Interviews were recorded, transcribed verbatim, and analyzed thematically to identify common patterns in social media use and decision-making. Findings revealed that social media strongly shapes how Baguio City is marketed and perceived, with TikTok emerging as the most influential platform due to its short, authentic, and visually engaging travel content. Facebook served as a trusted information source by offering community feedback, reviews, and travel guidance, while Instagram mainly provided visual inspiration with less impact on final decisions. Tourists showed strong trust i</w:t>
      </w:r>
    </w:p>
    <w:p>
      <w:pPr/>
      <w:r>
        <w:rPr>
          <w:b/>
        </w:rPr>
        <w:t>POSSIBLE 2026:</w:t>
      </w:r>
      <w:r>
        <w:t xml:space="preserve"> Tourism dynamics in South-East Europe: Similarities and predictability — https://doi.org/10.5937/menhottur2600007a</w:t>
      </w:r>
    </w:p>
    <w:p>
      <w:pPr/>
      <w:r>
        <w:rPr>
          <w:b/>
        </w:rPr>
        <w:t>Shared claim-specific concepts:</w:t>
      </w:r>
      <w:r>
        <w:t xml:space="preserve"> purpose, tourism, forecasts; EU scope visible. This is a provisional connection, not an outcome finding.</w:t>
      </w:r>
    </w:p>
    <w:p>
      <w:pPr>
        <w:pStyle w:val="SourceNote"/>
      </w:pPr>
      <w:r>
        <w:rPr>
          <w:b/>
        </w:rPr>
        <w:t>Available abstract (not full text):</w:t>
      </w:r>
      <w:r>
        <w:t xml:space="preserve"> Purpose - This study investigates the dynamics and common tourism patterns of selected countries in South-East Europe in the post-COVID-19 period. The main goal is to classify the countries by inter-country similarities and differences in tourist flows while assessing predictability in tourism demand across the region. Methodology - The research analyzes monthly tourist arrivals for the period 2022-2025 in Albania, Bosnia and Herzegovina, Bulgaria, Croatia, Greece, Montenegro, North Macedonia, Serbia, and Slovenia. It employs K-means and Density-Based Spatial Clustering of Applications with Noise (DBSCAN) clustering to identify time series patterns, while a Seasonal AutoRegressive Integrated Moving Average (SARIMA) panel data model provides a one-year forecast to 2026. Findings - Results reveal three groups: Cluster 0 (Albania, Bulgaria, Croatia, North Macedonia, Slovenia) with similar patterns; Cluster 1 (Bosnia and Herzegovina, Greece, Montenegro); and Serbia as an outlier. Seasonality is lowest in Serbia and highest in Albania and Bulgaria. Forecasts predict the largest growth in Albania (21%), moderate gains in Bosnia and Herzegovina, Bulgaria and Montenegro (6-8%), modest increases in Serbia and Greece (2-3%), slow growth for Croatia (1%) and stagnation for North Macedonia. Implications - This research advances the literature on regional tourism forecasting and supports po</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2025:</w:t>
      </w:r>
      <w:r>
        <w:t xml:space="preserve"> Lagged effect of tourism on environmental pollution: a comparative analysis among sub-Saharan African, European and Asian countries — https://doi.org/10.1007/s43621-025-02058-z</w:t>
      </w:r>
    </w:p>
    <w:p>
      <w:pPr/>
      <w:r>
        <w:rPr>
          <w:b/>
        </w:rPr>
        <w:t>Shared claim-specific concepts:</w:t>
      </w:r>
      <w:r>
        <w:t xml:space="preserve"> purpose, analyze, tourism, economy; EU scope visible. This is a provisional connection, not an outcome finding.</w:t>
      </w:r>
    </w:p>
    <w:p>
      <w:pPr>
        <w:pStyle w:val="SourceNote"/>
      </w:pPr>
      <w:r>
        <w:rPr>
          <w:b/>
        </w:rPr>
        <w:t>Available abstract (not full text):</w:t>
      </w:r>
      <w:r>
        <w:t xml:space="preserve"> Tourism participates in the nation’s economy. However, this activity has environmental consequences, as tourists generate waste that pollutes the environment. The purpose of this paper is to analyze the effect of current and past tourism on environmental pollution using a sample of 124 countries across Africa, Asia, and Europe. Data were collected from the World Bank during 2005–2019 and estimation techniques notably POLS, fixed effects models and FMOLS were applied. Outcomes show that both current and past tourism flows have perverse influences on environmental quality. Policies aimed at protecting the environment through tourist education could help reduce the impact of tourism.</w:t>
      </w:r>
    </w:p>
    <w:p>
      <w:pPr/>
      <w:r>
        <w:rPr>
          <w:b/>
        </w:rPr>
        <w:t>POSSIBLE 2025:</w:t>
      </w:r>
      <w:r>
        <w:t xml:space="preserve"> The economic, agricultural, and food security repercussions of a wild pollinator collapse in Europe — https://doi.org/10.1038/s41467-025-65414-7</w:t>
      </w:r>
    </w:p>
    <w:p>
      <w:pPr/>
      <w:r>
        <w:rPr>
          <w:b/>
        </w:rPr>
        <w:t>Shared claim-specific concepts:</w:t>
      </w:r>
      <w:r>
        <w:t xml:space="preserve"> exports; EU scope visible. This is a provisional connection, not an outcome finding.</w:t>
      </w:r>
    </w:p>
    <w:p>
      <w:pPr>
        <w:pStyle w:val="SourceNote"/>
      </w:pPr>
      <w:r>
        <w:rPr>
          <w:b/>
        </w:rPr>
        <w:t>Available abstract (not full text):</w:t>
      </w:r>
      <w:r>
        <w:t xml:space="preserve"> Biodiversity conservation policies often face resistance, yet the global agri-food system's vulnerability to ecosystem service declines, such as wild pollinator losses, remains poorly understood. Wild pollinators are vital for sustaining crop yields, especially nutrient-rich crops. Declines in their populations could disrupt food production, trade, and global food security. Here, we show that a hypothetical collapse of wild pollinators in Europe by 2030 would reduce European crop yields by 8%, trigger modest cropland expansion, and diminish net exports. Although global market adjustments, through changes in land use and trade, would partially mitigate these impacts, they risk exacerbating food insecurity and undermining biodiversity conservation efforts globally. Prices for pollinator-dependent crops would rise globally, with Europe seeing the steepest increases. While producers may benefit from higher prices, consumers bear the brunt. Global annual welfare losses would reach €34 billion in 2030, with Europe and the EU accounting for €24 billion and €12 billion, disproportionately impacting EU member-states resistant to biodiversity-friendly policies.</w:t>
      </w:r>
    </w:p>
    <w:p>
      <w:pPr/>
      <w:r>
        <w:rPr>
          <w:b/>
        </w:rPr>
        <w:t>POSSIBLE 2025:</w:t>
      </w:r>
      <w:r>
        <w:t xml:space="preserve"> Tourism and Inequality in the European Union: Exploring the Determinants of Tourism Spending through a Multivariate Approach — https://doi.org/10.14505/jemt.v16.3(79).09</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This paper aims to identify and analyze economic, social, and demographic factors influencing tourism expenditures across 26 European Union member states, offering a multidimensional perspective on consumer behavior in tourism. The study uses panel data from 2014 to 2023 obtained from Eurostat, covering all EU countries except Sweden. Variables analyzed include GDP per capita, Gini coefficient, education level, demographic structure, and life satisfaction. A correlation analysis for 2023 explores the relationships between tourism expenditure and selected socio-economic indicators. The findings reveal significant differences in the level and composition of tourism expenditures between higher- and lower-income countries. In wealthier nations, expenditure is linked to income, social inequality, age, and life satisfaction. In less affluent countries, income, age structure, and education play a more prominent role. This study combines traditional economic indicators with social and psychographic determinants, emphasizing the role of quality of life in shaping sustainable tourism behavior. Further research is needed to explore causal relationships and regional patterns affecting tourism expenditure and access, supporting more targeted and effective policy interventions. The findings support the design of inclusive tourism strategies that reflect varying development levels and cultura</w:t>
      </w:r>
    </w:p>
    <w:p>
      <w:pPr/>
      <w:r>
        <w:rPr>
          <w:b/>
        </w:rPr>
        <w:t>POSSIBLE 2025:</w:t>
      </w:r>
      <w:r>
        <w:t xml:space="preserve"> The contribution of tourism on GDP growth and sustainable tourism development in Africa — https://doi.org/10.1186/s43093-025-00532-8</w:t>
      </w:r>
    </w:p>
    <w:p>
      <w:pPr/>
      <w:r>
        <w:rPr>
          <w:b/>
        </w:rPr>
        <w:t>Shared claim-specific concepts:</w:t>
      </w:r>
      <w:r>
        <w:t xml:space="preserve"> analyze, tourism; EU scope not established. This is a provisional connection, not an outcome finding.</w:t>
      </w:r>
    </w:p>
    <w:p>
      <w:pPr>
        <w:pStyle w:val="SourceNote"/>
      </w:pPr>
      <w:r>
        <w:rPr>
          <w:b/>
        </w:rPr>
        <w:t>Available abstract (not full text):</w:t>
      </w:r>
      <w:r>
        <w:t xml:space="preserve"> Abstract Several African nations actively pursue economic diversification and sustainable development by promoting tourism. Given this, the study aims to thoroughly analyze the contribution of tourism to the GDP growth of six African Nations, specifically Egypt, Kenya, Morocco, South Africa, Tunisia, and Uganda, utilizing data from the World Bank Development Indicator spanning from 1999 to 2020. The study employed the Method of Moment Quantile Regression (MMQR) for the analysis and found that despite the prevailing assumptions of the tourism-led hypothesis and the emerging literature emphasizing the potential influence of tourism on GDP growth. The empirical findings of Westerlund’s (OBES 69:709–748, 2007) cointegration test indicate a lack of a statistically significant long-term relationship between tourism and GDP growth at 1% and 5% significance levels. However, there is an indication of a potential relationship at the 10% significance level, contingent upon the implementation of appropriate policies by the countries. Notably, this underscores the importance of promoting policies that stimulate the Keynesian multiplier effect. Additionally, the MMQR output suggests that policymakers should prioritize policies aimed at increasing Foreign Direct Investment to support the identified tendencies. This academic analysis provides valuable insights into the intricate relationship b</w:t>
      </w:r>
    </w:p>
    <w:p>
      <w:pPr/>
      <w:r>
        <w:rPr>
          <w:b/>
        </w:rPr>
        <w:t>POSSIBLE 2025:</w:t>
      </w:r>
      <w:r>
        <w:t xml:space="preserve"> Key attributes of tourism sector entrepreneurs in Southeast Europe — https://doi.org/10.5937/menhottur2500014l</w:t>
      </w:r>
    </w:p>
    <w:p>
      <w:pPr/>
      <w:r>
        <w:rPr>
          <w:b/>
        </w:rPr>
        <w:t>Shared claim-specific concepts:</w:t>
      </w:r>
      <w:r>
        <w:t xml:space="preserve"> purpose, tourism, export; EU scope visible. This is a provisional connection, not an outcome finding.</w:t>
      </w:r>
    </w:p>
    <w:p>
      <w:pPr>
        <w:pStyle w:val="SourceNote"/>
      </w:pPr>
      <w:r>
        <w:rPr>
          <w:b/>
        </w:rPr>
        <w:t>Available abstract (not full text):</w:t>
      </w:r>
      <w:r>
        <w:t xml:space="preserve"> Purpose - This study examines attributes of tourism sector entrepreneurs, identifying characteristics of individuals belonging to this entrepreneurial group in Southeast Europe. Methodology - The research is based on the GEM database from 2020, which includes Croatia, Greece and Slovenia. Binary logistic regression was performed using the SPSS software package. Findings -The findings reveal that younger individuals and those with higher incomes are more likely to engage in entrepreneurial activity within the tourism sector. Opportunity perception and entrepreneurial proactivity have the same effect, whereas necessity-driven motives are negatively related to entrepreneurial activity in the tourism sector. Entrepreneurs with lower growth expectations or those oriented toward internationalization, particularly those with higher export income, are more likely to be involved in tourism. Conversely, the use of new technologies and innovative procedures is negatively associated with entrepreneurial activity in this sector. Implications - These findings have important implications for the creation of policies that can encourage the development of tourism as a strategic sector, including targeted training of entrepreneurs and support programs that would encourage investment and innovation in tourism.</w:t>
      </w:r>
    </w:p>
    <w:p>
      <w:pPr/>
      <w:r>
        <w:rPr>
          <w:b/>
        </w:rPr>
        <w:t>POSSIBLE 2024:</w:t>
      </w:r>
      <w:r>
        <w:t xml:space="preserve"> The real estate growth hypothesis in tourism destinations — https://doi.org/10.54055/ejtr.v37i.3236</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article proposes and theoretically develops the Real Estate Growth Hypothesis concept. It empirically investigates the connection between the expansion of tourism and the progress of real estate in Calp, an established tourist hotspot situated on the Mediterranean coast of Spain. Using annual data for the period 1967-2019 and a time series methodology that considers the possible nonlinearity of the relationship, the article draws conclusions from local and long-term perspectives. The results indicate that tourism causes real estate development, but only in the case of positive shocks. In view of this result, practical implications are outlined, and suggestions are made for managing tourist destinations.</w:t>
      </w:r>
    </w:p>
    <w:p>
      <w:pPr/>
      <w:r>
        <w:rPr>
          <w:b/>
        </w:rPr>
        <w:t>POSSIBLE 2024:</w:t>
      </w:r>
      <w:r>
        <w:t xml:space="preserve"> Sustainable Cultural Tourism: Proposal for a Comparative Indicator-Based Framework in European Destinations — https://doi.org/10.3390/su16052062</w:t>
      </w:r>
    </w:p>
    <w:p>
      <w:pPr/>
      <w:r>
        <w:rPr>
          <w:b/>
        </w:rPr>
        <w:t>Shared claim-specific concepts:</w:t>
      </w:r>
      <w:r>
        <w:t xml:space="preserve"> purpose, tourism; EU scope visible. This is a provisional connection, not an outcome finding.</w:t>
      </w:r>
    </w:p>
    <w:p>
      <w:pPr>
        <w:pStyle w:val="SourceNote"/>
      </w:pPr>
      <w:r>
        <w:rPr>
          <w:b/>
        </w:rPr>
        <w:t>Available abstract (not full text):</w:t>
      </w:r>
      <w:r>
        <w:t xml:space="preserve"> Effective decision-making in tourism destinations relies significantly on employing suitable indicators for policy design and impact evaluation. However, the adoption of sustainability-focused indicators remains constrained in the field of cultural tourism. The purpose of this research is to provide decision-makers with an extensive array of criteria and indicators, enabling informed decision-making, policy formulation, and impact assessment tailored to the distinctive attributes encountered in European destinations. Based on the synthesis of existing approaches, and in co-creation with 21 European tourism destinations, an indicator-based framework is proposed, structured around the environmental, economic, social, cultural, resilience, and characterization domains. The results are particularly novel in the resilience and cultural domains, related to the recovery from crisis impacts, but also to the enhancement of digital approaches, as well as the preservation and promotion of cultural heritage towards a more hospitable destination. Moreover, the involvement of stakeholders incorporating real-case scenarios allows this research to bridge the gap between theoretical constructs and practical application. The indicator-based framework resulting from this research will provide stakeholders with assistance in assessing and comparing the impacts of cultural tourism on their destinat</w:t>
      </w:r>
    </w:p>
    <w:p>
      <w:pPr/>
      <w:r>
        <w:rPr>
          <w:b/>
        </w:rPr>
        <w:t>POSSIBLE 2024:</w:t>
      </w:r>
      <w:r>
        <w:t xml:space="preserve"> Leveraging Local Value in a Post-Smart Tourism Village to Encourage Sustainable Tourism — https://doi.org/10.3390/su16020873</w:t>
      </w:r>
    </w:p>
    <w:p>
      <w:pPr/>
      <w:r>
        <w:rPr>
          <w:b/>
        </w:rPr>
        <w:t>Shared claim-specific concepts:</w:t>
      </w:r>
      <w:r>
        <w:t xml:space="preserve"> tourism, expert, economy; EU scope not established. This is a provisional connection, not an outcome finding.</w:t>
      </w:r>
    </w:p>
    <w:p>
      <w:pPr>
        <w:pStyle w:val="SourceNote"/>
      </w:pPr>
      <w:r>
        <w:rPr>
          <w:b/>
        </w:rPr>
        <w:t>Available abstract (not full text):</w:t>
      </w:r>
      <w:r>
        <w:t xml:space="preserve"> ICT and digital technology adoption, sustainable development, community empowerment and local wisdom and destinations uniqueness are keywords that will be further explored in the de-velopment of tourism villages in Kenderan as the most importance of tourism destinations de-velopment from the village level. Therefor this research is aimed at developing suitable model for post smart or wise tourism village through proposing Culture and Tradition Festival and the application of a circular economy. Circular economy development in tourism villages focuses on the application of sustainable production principles in the tourism value chain, namely in creating tourism experiences together with tourists (co-creation of experience) and integrated in a tourism system that supports environmental sustainability. This research is applied research conducted with a sequential mixed method research by conducting qualitative research through expert judgment and quantitative research by circulating questionnaire to tourists visiting Kenderan village, while the collected data is analyzed by Structural Equation Modelling to see the rela-tionship between variables. The results of this research show that creative event as the locality aspects of tourist village, digital competence, and sustainability practice are the building blocks of post smart tourism village, while digital competence and sustainab</w:t>
      </w:r>
    </w:p>
    <w:p>
      <w:pPr/>
      <w:r>
        <w:rPr>
          <w:b/>
        </w:rPr>
        <w:t>POSSIBLE 2023:</w:t>
      </w:r>
      <w:r>
        <w:t xml:space="preserve"> Financial Integration and European Tourism Stocks — https://doi.org/10.2139/ssrn.4359373</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study examines the macro drivers of the time-varying (dynamic) connectedness between 11 European tourism sectors. Financial integration between the travel and leisure markets, measured by their dynamic correlations or co-movement, is explained by common global fundamentals. The empirical results provide new evidence on the counter-cyclical behavior of the correlations; in particular, stronger cross-country interdependence can be attributed to economic slowdowns characterized by higher uncertainty and geopolitical risk, tighter credit and liquidity conditions, and sluggish economic and real estate activity. Further, economic and political uncertainty is found to intensify the macro effects on tourism correlations. Finally, crises such as the 2008 financial turmoil, the subsequent European debt crisis, and the recent Covid-19 pandemic crash also magnify the impact of macro drivers on the evolution of co-movement and integration in the tourism sector.</w:t>
      </w:r>
    </w:p>
    <w:p>
      <w:pPr>
        <w:pStyle w:val="Heading2"/>
      </w:pPr>
      <w:r>
        <w:t>803. Decarbonizing Sweden’s energy and transportation system by 2050</w:t>
      </w:r>
    </w:p>
    <w:p>
      <w:pPr>
        <w:pStyle w:val="SourceNote"/>
      </w:pPr>
      <w:r>
        <w:rPr>
          <w:b/>
        </w:rPr>
        <w:t>Original source (2017):</w:t>
      </w:r>
      <w:r>
        <w:t xml:space="preserve"> https://doi.org/10.5278/ijsepm.2017.14.2</w:t>
      </w:r>
    </w:p>
    <w:p>
      <w:pPr/>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POSSIBLE 2026:</w:t>
      </w:r>
      <w:r>
        <w:t xml:space="preserve"> Decarbonizing transportation with intelligent transportation systems: a systematic review of mechanisms, constraints and deployment pathways — https://doi.org/10.1016/j.apenergy.2026.128493</w:t>
      </w:r>
    </w:p>
    <w:p>
      <w:pPr/>
      <w:r>
        <w:rPr>
          <w:b/>
        </w:rPr>
        <w:t>Shared claim-specific concepts:</w:t>
      </w:r>
      <w:r>
        <w:t xml:space="preserve"> decarbonizing, transportation, net, emissions, energy, system; EU scope not established. This is a provisional connection, not an outcome finding.</w:t>
      </w:r>
    </w:p>
    <w:p>
      <w:pPr>
        <w:pStyle w:val="SourceNote"/>
      </w:pPr>
      <w:r>
        <w:rPr>
          <w:b/>
        </w:rPr>
        <w:t>Available abstract (not full text):</w:t>
      </w:r>
      <w:r>
        <w:t xml:space="preserve">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pPr/>
      <w:r>
        <w:rPr>
          <w:b/>
        </w:rPr>
        <w:t>POSSIBLE 2026:</w:t>
      </w:r>
      <w:r>
        <w:t xml:space="preserve"> A Review of Pricing Strategies for Decarbonizing Transportation — https://doi.org/10.7922/g2wm1bsd</w:t>
      </w:r>
    </w:p>
    <w:p>
      <w:pPr/>
      <w:r>
        <w:rPr>
          <w:b/>
        </w:rPr>
        <w:t>Shared claim-specific concepts:</w:t>
      </w:r>
      <w:r>
        <w:t xml:space="preserve"> decarbonizing, transportation, system; EU scope not established. This is a provisional connection, not an outcome finding.</w:t>
      </w:r>
    </w:p>
    <w:p>
      <w:pPr>
        <w:pStyle w:val="SourceNote"/>
      </w:pPr>
      <w:r>
        <w:rPr>
          <w:b/>
        </w:rPr>
        <w:t>Available abstract (not full text):</w:t>
      </w:r>
      <w:r>
        <w:t xml:space="preserve">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pPr/>
      <w:r>
        <w:rPr>
          <w:b/>
        </w:rPr>
        <w:t>POSSIBLE 2026:</w:t>
      </w:r>
      <w:r>
        <w:t xml:space="preserve"> Decarbonizing the Swedish Welfare State? A Comparative Analysis of Social-Democratic and Sweden-Democratic Climate Policy Framing between 2014 and 2024 — https://openalex.org/W7214516494</w:t>
      </w:r>
    </w:p>
    <w:p>
      <w:pPr/>
      <w:r>
        <w:rPr>
          <w:b/>
        </w:rPr>
        <w:t>Shared claim-specific concepts:</w:t>
      </w:r>
      <w:r>
        <w:t xml:space="preserve"> decarbonizing, sweden, vision; EU scope visible. This is a provisional connection, not an outcome finding.</w:t>
      </w:r>
    </w:p>
    <w:p>
      <w:pPr>
        <w:pStyle w:val="SourceNote"/>
      </w:pPr>
      <w:r>
        <w:rPr>
          <w:b/>
        </w:rPr>
        <w:t>Available abstract (not full text):</w:t>
      </w:r>
      <w:r>
        <w:t xml:space="preserve"> This study examines how climate policy is discursively constructed in Sweden through a qualitative document analysis of electoral manifestos from the Social Democratic Party (SAP) and the Sweden Democrats (SD) between 2014 and 2024. The study finds that Swedish climate policy is increasingly shaped by competing discursive frames, where the Social Democrats continue to promote a vision of EU cooperation, climate leadership, and green growth grounded in welfare-state continuity, while the Sweden Democrats gain influence by reframing climate policy as economically burdensome, socially uneven, and constrained by international agreements. This shift reflects the broader rise of the far-right in Swedish politics, which does not primarily deny climate change but instead redefines its relevance through protection of rural interests, criticism of environmental regulations, and emphasis on national sovereignty, contributing to a gradual weakening and fragmentation of ambitious climate governance. Engaging with Sweden’s welfare-state ideology, the findings suggest that climate policy has shifted from a focus on green welfare framing toward a more contested policy field, where discursive struggles over national priorities, security, and international cooperation obstruct transformative climate action.</w:t>
      </w:r>
    </w:p>
    <w:p>
      <w:pPr/>
      <w:r>
        <w:rPr>
          <w:b/>
        </w:rPr>
        <w:t>POSSIBLE 2026:</w:t>
      </w:r>
      <w:r>
        <w:t xml:space="preserve"> Decarbonization of European Industry: Modelling and Open Science (DEIMOS) — https://doi.org/10.5445/ir/1000196316</w:t>
      </w:r>
    </w:p>
    <w:p>
      <w:pPr/>
      <w:r>
        <w:rPr>
          <w:b/>
        </w:rPr>
        <w:t>Shared claim-specific concepts:</w:t>
      </w:r>
      <w:r>
        <w:t xml:space="preserve"> energy, two, electrification; EU scope visible. This is a provisional connection, not an outcome finding.</w:t>
      </w:r>
    </w:p>
    <w:p>
      <w:pPr>
        <w:pStyle w:val="SourceNote"/>
      </w:pPr>
      <w:r>
        <w:rPr>
          <w:b/>
        </w:rPr>
        <w:t>Available abstract (not full text):</w:t>
      </w:r>
      <w:r>
        <w:t xml:space="preserve"> The DEIMOS project developed and applied two complementary open-source modeling frameworks, FORECAST-Sites Extended and iSTEDS, together with openly accessible industrial datasets. These resources enable transparent and reproducible analysis of industrial decarbonization pathways across sectors, technologies, and locations. FORECAST-Sites Extended captures site-specific investment decisions, including asset vintages, reinvestment timing, technology costs, and infrastructure access, while iSTEDS assesses industrial electrification and demand-side flexibility. Applied in three case studies, the models highlighted the roles of hydrogen, carbon capture, and electrification in industrial transformation. Together, the models and datasets provide an open-science foundation for analyzing industrial transition and supporting future energy and climate policy.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realize, emissions, energy; EU scope visible. This is a provisional connection, not an outcome finding.</w:t>
      </w:r>
    </w:p>
    <w:p>
      <w:pPr>
        <w:pStyle w:val="SourceNote"/>
      </w:pPr>
      <w:r>
        <w:rPr>
          <w:b/>
        </w:rPr>
        <w:t>Available abstract (not full text):</w:t>
      </w:r>
      <w:r>
        <w:t xml:space="preserve"> Abstract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sector, emissions, energy;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2026:</w:t>
      </w:r>
      <w:r>
        <w:t xml:space="preserve"> The role of combustion (and fuels) in a decarbonizing world — https://doi.org/10.3389/ffuel.2026.1748966</w:t>
      </w:r>
    </w:p>
    <w:p>
      <w:pPr/>
      <w:r>
        <w:rPr>
          <w:b/>
        </w:rPr>
        <w:t>Shared claim-specific concepts:</w:t>
      </w:r>
      <w:r>
        <w:t xml:space="preserve"> decarbonizing, greenhouse, gas, emissions, energy, system; EU scope not established. This is a provisional connection, not an outcome finding.</w:t>
      </w:r>
    </w:p>
    <w:p>
      <w:pPr>
        <w:pStyle w:val="SourceNote"/>
      </w:pPr>
      <w:r>
        <w:rPr>
          <w:b/>
        </w:rPr>
        <w:t>Available abstract (not full text):</w:t>
      </w:r>
      <w:r>
        <w:t xml:space="preserve"> Access to energy is essential for the modern world, yet at the same time, anthropogenic greenhouse gas emissions are caused by energy-related activities across all sectors due to the predominance of fossil fuels. Today, most of the primary energy is still being provided by fossil fuels, with combustion being a key technology. In order to combat climate change, energy has to be decoupled from greenhouse gas emissions, with electricity and electrification being important pathways towards a net-zero energy system. However, electricity also has drawbacks as an energy carrier, especially in the context of large-scale energy storage, but also for applications requiring high energy densities. This, in addition to providing dispatchable power generation capacities for grid balancing and covering longer periods of reduced renewable power generation, is expected to result in significant contributions of synthetic and biogenic fuels to the energy landscape. The main purpose of combustion-based technologies will change from providing most of the primary energy to the energy system to complementing variable renewable energies when and where needed. This change of purpose has consequences for the directions of combustion research and development: while traditional topics such as equipment efficiency and pollutant emissions such as NO X will still be important, other topics such as more flexi</w:t>
      </w:r>
    </w:p>
    <w:p>
      <w:pPr/>
      <w:r>
        <w:rPr>
          <w:b/>
        </w:rPr>
        <w:t>POSSIBLE 2026:</w:t>
      </w:r>
      <w:r>
        <w:t xml:space="preserve"> Fossil-Fuels in a Decarbonized Country? Modeling the Drivers of Icelandic Oil Sales — https://openalex.org/W7164702191</w:t>
      </w:r>
    </w:p>
    <w:p>
      <w:pPr/>
      <w:r>
        <w:rPr>
          <w:b/>
        </w:rPr>
        <w:t>Shared claim-specific concepts:</w:t>
      </w:r>
      <w:r>
        <w:t xml:space="preserve"> decarbonizing, transportation, necessary, energy, two, one; EU scope not established. This is a provisional connection, not an outcome finding.</w:t>
      </w:r>
    </w:p>
    <w:p>
      <w:pPr>
        <w:pStyle w:val="SourceNote"/>
      </w:pPr>
      <w:r>
        <w:rPr>
          <w:b/>
        </w:rPr>
        <w:t>Available abstract (not full text):</w:t>
      </w:r>
      <w:r>
        <w:t xml:space="preserve"> Although 100% of Iceland’s electricity comes from renewable energy sources, it still relies on fossil fuels for land transportation, marine transportation, aviation, and some industry. Understanding geographic nuances in oil use is critical to achieving Iceland’s goals of carbon neutrality by 2040. As the island has one primary urban center with two thirds of the population, information is lacking about oil use in non-Capital areas and a gap between state and municipal climate plans. Using newly available data of oil sales at the municipality-level in a Small Area Estimation model, we analyze drivers of oil sales across Icelandic municipalities. We find municipal income and the use category of the oil sale to be significant predictors of high oil sales. High unstructured spatial variability in the model suggests that local climate action plans are necessary to address municipality-specific energy needs and transition barriers. As other countries focus their efforts on renewable electricity grids, Iceland presents useful lessons about persistent barriers to decarbonizing the land and marine transportation sectors.</w:t>
      </w:r>
    </w:p>
    <w:p>
      <w:pPr/>
      <w:r>
        <w:rPr>
          <w:b/>
        </w:rPr>
        <w:t>POSSIBLE 2026:</w:t>
      </w:r>
      <w:r>
        <w:t xml:space="preserve"> Decarbonizing forest machinery of wood harvesting in Finland — https://doi.org/10.14214/df.388</w:t>
      </w:r>
    </w:p>
    <w:p>
      <w:pPr/>
      <w:r>
        <w:rPr>
          <w:b/>
        </w:rPr>
        <w:t>Shared claim-specific concepts:</w:t>
      </w:r>
      <w:r>
        <w:t xml:space="preserve"> decarbonizing, greenhouse, gas, ghg, emissions, high; EU scope visible. This is a provisional connection, not an outcome finding.</w:t>
      </w:r>
    </w:p>
    <w:p>
      <w:pPr>
        <w:pStyle w:val="SourceNote"/>
      </w:pPr>
      <w:r>
        <w:rPr>
          <w:b/>
        </w:rPr>
        <w:t>Available abstract (not full text):</w:t>
      </w:r>
      <w:r>
        <w:t xml:space="preserve"> Reducing greenhouse gas (GHG) emissions from wood harvesting remains a significant chal-lenge. This dissertation evaluates the impact of alternative powertrains and idling times on reducing emissions and thus, decarbonization of the machinery of Finnish wood harvesting. The first study examined the potential of alternative powertrains in non-road mobile ma-chinery (NRMM). The results highlighted that hybrid and full-electric technologies have the greatest potential to replace conventional diesel engines in the future. The main challenges identified were battery reliability and high technology costs. Regarding biofuel, biogas, and hydrogen, the benefits were mainly lower emissions while the challenges were high costs and low production rates currently. The highest Technology Readiness Levels (TRLs) were iden-tified for hybrid and full-electric solutions. The TRL assessment for full-electric, biogas, and hydrogen solutions in forest machinery was precluded due to the absence of adequate re-search information. The second study used survey data to depict the visions of Finnish logging (Loggers) and timber-hauling (Timber-haulers) entrepreneurs regarding the idle times of their forest ma-chinery and timber trucks. The study revealed that only a quarter of the loggers and half of the timber-haulers were aware of the idle times of their fleets. The results also indicated that the entr</w:t>
      </w:r>
    </w:p>
    <w:p>
      <w:pPr/>
      <w:r>
        <w:rPr>
          <w:b/>
        </w:rPr>
        <w:t>POSSIBLE 2026:</w:t>
      </w:r>
      <w:r>
        <w:t xml:space="preserve"> Research on the applicability of alternative decarbonization methods for cruise ships — https://doi.org/10.63662/dissertations/petrova-2025</w:t>
      </w:r>
    </w:p>
    <w:p>
      <w:pPr/>
      <w:r>
        <w:rPr>
          <w:b/>
        </w:rPr>
        <w:t>Shared claim-specific concepts:</w:t>
      </w:r>
      <w:r>
        <w:t xml:space="preserve"> sector, gas, emissions, energy; EU scope visible. This is a provisional connection, not an outcome finding.</w:t>
      </w:r>
    </w:p>
    <w:p>
      <w:pPr>
        <w:pStyle w:val="SourceNote"/>
      </w:pPr>
      <w:r>
        <w:rPr>
          <w:b/>
        </w:rPr>
        <w:t>Available abstract (not full text):</w:t>
      </w:r>
      <w:r>
        <w:t xml:space="preserve"> The dissertation examines technologies and approaches for decarbonization in maritime transport, with a focus on cruise vessels. The aim is to assess the effectiveness of the solutions applied to reduce emissions and to propose guidelines for a sustainable energy transition in the sector. International and European regulations (IMO, Fit for 55) and key technologies such as fuel cells, carbon capture, air lubrication, shore power, and alternative fuels - hydrogen, ammonia, methanol, and biofuels - are analyzed. The experimental part uses data from the cruise ships Carnival Vista and AIDAprima. The results show that exhaust gas cleaning systems and additional energy-efficient solutions significantly reduce harmful emissions and help achieve the objectives of MARPOL Annex VI.</w:t>
      </w:r>
    </w:p>
    <w:p>
      <w:pPr/>
      <w:r>
        <w:rPr>
          <w:b/>
        </w:rPr>
        <w:t>POSSIBLE 2026:</w:t>
      </w:r>
      <w:r>
        <w:t xml:space="preserve"> Foundations of Maritime Decarbonization — https://doi.org/10.58830/ozgur.pub1212</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book provides a comprehensive examination of the technological, regulatory, economic, and infrastructural dimensions of maritime decarbonization. Drawing upon an extensive review of contemporary academic literature, policy documents, and industry reports, it synthesizes current knowledge and emerging developments to present a holistic understanding of the low-carbon shipping transition. The scope encompasses the full spectrum of decarbonization pathways—from alternative fuels and energy efficiency technologies to digital innovations and market-based mechanisms—while maintaining focus on practical implementation challenges and solutions. The analysis integrates technical feasibility assessments with economic viability considerations, regulatory compliance requirements, and environmental impact evaluations across the complete fuel lifecycle.</w:t>
      </w:r>
    </w:p>
    <w:p>
      <w:pPr/>
      <w:r>
        <w:rPr>
          <w:b/>
        </w:rPr>
        <w:t>POSSIBLE 2026:</w:t>
      </w:r>
      <w:r>
        <w:t xml:space="preserve"> On track but too slow? The dynamics of EU decarbonization — https://doi.org/10.1016/j.jclepro.2026.149232</w:t>
      </w:r>
    </w:p>
    <w:p>
      <w:pPr/>
      <w:r>
        <w:rPr>
          <w:b/>
        </w:rPr>
        <w:t>Shared claim-specific concepts:</w:t>
      </w:r>
      <w:r>
        <w:t xml:space="preserve"> emissions, energy, system, within; EU scope visible. This is a provisional connection, not an outcome finding.</w:t>
      </w:r>
    </w:p>
    <w:p>
      <w:pPr>
        <w:pStyle w:val="SourceNote"/>
      </w:pPr>
      <w:r>
        <w:rPr>
          <w:b/>
        </w:rPr>
        <w:t>Available abstract (not full text):</w:t>
      </w:r>
      <w:r>
        <w:t xml:space="preserve"> Despite the strong commitment of European countries to achieve net-zero emissions by 2050, the extent to which key policies and drivers jointly shape emissions dynamics remains insufficiently investigated. The study suggests that the interaction among circular economy, energy transition, emissions trading systems, carbon tax, and digitalization policies creates structural constraints on CO 2 emissions in the European countries. Using annual data from 2000 to 2023, the analysis integrates exploratory causal discovery, time-varying dependence modeling, and machine learning methods to unravel system-level causal structure, dynamic connectedness, and future emission trajectories. The results indicate that resource productivity emerges as a central transmission channel within the system, linking upstream factors (material footprint) and digitalization to downstream emission outcomes. Lagged disequilibrium shocks propagate through resource use as a mediating channel. Time-varying copula models indicate significant heterogeneity and evolving dependence among key factors, highlighting the dynamic nature of policy and relationships over time. Forecasting results, based on a Support Vector Regression model under the European Union's 2030 climate policy framework, indicate a persistently declining emission trajectory, but at a pace insufficient to meet the EU's 2030 target. Sensitivity an</w:t>
      </w:r>
    </w:p>
    <w:p>
      <w:pPr>
        <w:pStyle w:val="Heading2"/>
      </w:pPr>
      <w:r>
        <w:t>804. Development and transport implications of automated vehicles in the Netherlands: scenarios for 2030 and 2050</w:t>
      </w:r>
    </w:p>
    <w:p>
      <w:pPr>
        <w:pStyle w:val="SourceNote"/>
      </w:pPr>
      <w:r>
        <w:rPr>
          <w:b/>
        </w:rPr>
        <w:t>Original source (2017):</w:t>
      </w:r>
      <w:r>
        <w:t xml:space="preserve"> https://doi.org/10.18757/ejtir.2017.17.1.3180</w:t>
      </w:r>
    </w:p>
    <w:p>
      <w:pPr/>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POSSIBLE 2026:</w:t>
      </w:r>
      <w:r>
        <w:t xml:space="preserve"> Electric Vehicle Fleet Penetration and Air Pollution Mortality in Europe — https://doi.org/10.32388/vkflrm</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Electric Vehicle Fleet Penetration and Air Pollution Mortality in Europe — https://doi.org/10.32388/vkflrm.2</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pPr/>
      <w:r>
        <w:rPr>
          <w:b/>
        </w:rPr>
        <w:t>POSSIBLE 2026:</w:t>
      </w:r>
      <w:r>
        <w:t xml:space="preserve"> Research on the Impact of Artificial Intelligence Penetration Rate on the Innovation Performance of State-owned Enterprises — https://doi.org/10.2991/978-94-6239-774-3_20</w:t>
      </w:r>
    </w:p>
    <w:p>
      <w:pPr/>
      <w:r>
        <w:rPr>
          <w:b/>
        </w:rPr>
        <w:t>Shared claim-specific concepts:</w:t>
      </w:r>
      <w:r>
        <w:t xml:space="preserve"> penetration, between; EU scope not established. This is a provisional connection, not an outcome finding.</w:t>
      </w:r>
    </w:p>
    <w:p>
      <w:pPr>
        <w:pStyle w:val="SourceNote"/>
      </w:pPr>
      <w:r>
        <w:rPr>
          <w:b/>
        </w:rPr>
        <w:t>Available abstract (not full text):</w:t>
      </w:r>
      <w:r>
        <w:t xml:space="preserve"> Using data on China's state-owned A-share listed firms from 2013 to 2023, this study examines how AI penetration affects innovation performance.A two-way fixed-effects model is employed, with invention patent applications as the dependent variable and AI word frequency (via Python text recognition) as the core independent variable, alongside controls such as asset size and leverage.Results show that AI penetration in SOEs has risen steadily, with notable industry-level performance.Correlation and regression analyses reveal a significant positive relationship between AI adoption and technological innovation, which remains robust after controlling for other factors.These findings enrich innovation theory and offer practical guidance for SOEs in formulating AI strategies and for policymakers promoting high-quality economic development.</w:t>
      </w:r>
    </w:p>
    <w:p>
      <w:pPr/>
      <w:r>
        <w:rPr>
          <w:b/>
        </w:rPr>
        <w:t>POSSIBLE 2026:</w:t>
      </w:r>
      <w:r>
        <w:t xml:space="preserve"> Relationship between atrial fibrillation ablation and gross domestic product across Europe — https://doi.org/10.1093/europace/euaf309</w:t>
      </w:r>
    </w:p>
    <w:p>
      <w:pPr/>
      <w:r>
        <w:rPr>
          <w:b/>
        </w:rPr>
        <w:t>Shared claim-specific concepts:</w:t>
      </w:r>
      <w:r>
        <w:t xml:space="preserve"> penetration, expected, vary, between; EU scope visible. This is a provisional connection, not an outcome finding.</w:t>
      </w:r>
    </w:p>
    <w:p>
      <w:pPr>
        <w:pStyle w:val="SourceNote"/>
      </w:pPr>
      <w:r>
        <w:rPr>
          <w:b/>
        </w:rPr>
        <w:t>Available abstract (not full text):</w:t>
      </w:r>
      <w:r>
        <w:t xml:space="preserve"> Atrial fibrillation (AF) is the most common sustained arrhythmia, and its prevalence is steadily increasing and expected to further increase, driven by population aging, cardiometabolic comorbidities, and improved detection.1–3 Atrial fibrillation is associated with substantial morbidity—including stroke, heart failure, and hospitalizations—and mortality, making effective management a public health priority.4,5 Over the past decade, the therapeutic landscape for AF has evolved: contemporary international guidelines emphasize early rhythm control strategies and, in appropriately selected patients, endorse AF catheter ablation (AF CA) as a first-line option to reduce AF burden and improve quality of life.4,5 Moreover, AF CA may also improve patients’ prognosis.4,5 Nevertheless, access to advanced rhythm control therapies remains uneven across world regions and even within European countries; population-based analyses and pan-European atlases document wide heterogeneity in electrophysiology (EP) capacity and AF CA availability, with socioeconomic and sex-related disparities in uptake.6,7 These differences in infrastructure and access may translate into variable patient pathways, costs, and outcomes; moreover, the direct and indirect economic burden of AF care is substantial, underscoring the relevance of system-level constraints.8 Against this backdrop, understanding how macroleve</w:t>
      </w:r>
    </w:p>
    <w:p>
      <w:pPr/>
      <w:r>
        <w:rPr>
          <w:b/>
        </w:rPr>
        <w:t>POSSIBLE 2025:</w:t>
      </w:r>
      <w:r>
        <w:t xml:space="preserve"> Effect of Different Sealer Placement and Activation Techniques on Sealer Penetration Depth and Penetration Area — https://doi.org/10.1002/jemt.70007</w:t>
      </w:r>
    </w:p>
    <w:p>
      <w:pPr/>
      <w:r>
        <w:rPr>
          <w:b/>
        </w:rPr>
        <w:t>Shared claim-specific concepts:</w:t>
      </w:r>
      <w:r>
        <w:t xml:space="preserve"> penetration, different, between; EU scope not established. This is a provisional connection, not an outcome finding.</w:t>
      </w:r>
    </w:p>
    <w:p>
      <w:pPr>
        <w:pStyle w:val="SourceNote"/>
      </w:pPr>
      <w:r>
        <w:rPr>
          <w:b/>
        </w:rPr>
        <w:t>Available abstract (not full text):</w:t>
      </w:r>
      <w:r>
        <w:t xml:space="preserve"> This study evaluated the effect of different activation methods (no activation, sonic, ultrasonic, and XP-Endo Finisher) on the penetration depth and area of AH Plus and MTA Fillapex sealers. Two hundred single-rooted teeth were prepared and randomly divided into eight groups (n = 25). Sealers stained with rhodamine B were inserted and activated as follows: Group 1 (control, no activation, G1A, G1M), Group 2 (sonic: G2A, G2M), Group 3 (ultrasonic: G3A, G3M), and Group 4 (XP-Endo Finisher: G4A, G4M). The single cone technique was used for filling, and specimens were sectioned perpendicularly. Confocal laser scanning microscopy (CLSM) measured penetration depth, while penetration area was calculated as the sealer's penetration relative to the canal area. Two-way ANOVA was used for statistical analysis. Ultrasonic and XP-Endo Finisher activation significantly increased the penetration depth of MTA Fillapex compared to the control group (p &lt; 0.05), while no significant difference was found for AH Plus (p &gt; 0.05). MTA Fillapex also demonstrated a significantly greater penetration area than AH Plus when ultrasonic and XP-Endo Finisher activation were applied (p &lt; 0.05). No significant differences were observed between sealers in the control and sonic groups (p &gt; 0.05). Activation methods did not significantly affect the penetration area of AH Plus (p &gt; 0.05). XP-Endo Finisher and ult</w:t>
      </w:r>
    </w:p>
    <w:p>
      <w:pPr/>
      <w:r>
        <w:rPr>
          <w:b/>
        </w:rPr>
        <w:t>POSSIBLE 2025:</w:t>
      </w:r>
      <w:r>
        <w:t xml:space="preserve"> Impact of ADAS and V2X Penetration Rates on Cooperative Active Safety — https://doi.org/10.1109/fnwf66845.2025.11317364</w:t>
      </w:r>
    </w:p>
    <w:p>
      <w:pPr/>
      <w:r>
        <w:rPr>
          <w:b/>
        </w:rPr>
        <w:t>Shared claim-specific concepts:</w:t>
      </w:r>
      <w:r>
        <w:t xml:space="preserve"> penetration, rates, automated, vehicles, traffic; EU scope not established. This is a provisional connection, not an outcome finding.</w:t>
      </w:r>
    </w:p>
    <w:p>
      <w:pPr>
        <w:pStyle w:val="SourceNote"/>
      </w:pPr>
      <w:r>
        <w:rPr>
          <w:b/>
        </w:rPr>
        <w:t>Available abstract (not full text):</w:t>
      </w:r>
      <w:r>
        <w:t xml:space="preserve"> A major driver of connected and automated driving is cooperative active safety. The effectiveness of cooperative safety applications depends on the ability of vehicles to detect traffic safety risks in advance. Such risks can be identified either through ADAS (Advanced Driving Assistance Systems) or via V2X (Vehicle to Everything) communications. More vehicles are gradually being deployed with ADAS, but ADAS sensors can be limited by their sensing range and field of view. On the other hand, V2X can experience communication ranges beyond the ADAS sensing range, but its impact is highly dependent on the V2X penetration rate. This paper analyzes the impact of ADAS and V2X penetration rates on the effectiveness of cooperative active safety applications considering an emergency braking maneuver use case in a highway scenario. Results show that while ADAS and V2X each enhance traffic safety, their combined deployment further amplifies these gains, with the effect becoming more pronounced as V2X is deployed more rapidly.</w:t>
      </w:r>
    </w:p>
    <w:p>
      <w:pPr/>
      <w:r>
        <w:rPr>
          <w:b/>
        </w:rPr>
        <w:t>POSSIBLE 2025:</w:t>
      </w:r>
      <w:r>
        <w:t xml:space="preserve"> DEVELOPMENT EMPIRICAL MODELS FOR ESTIMATING TBM PENETRATION RATE IN ROCK MASS — https://openalex.org/W7197569428</w:t>
      </w:r>
    </w:p>
    <w:p>
      <w:pPr/>
      <w:r>
        <w:rPr>
          <w:b/>
        </w:rPr>
        <w:t>Shared claim-specific concepts:</w:t>
      </w:r>
      <w:r>
        <w:t xml:space="preserve"> penetration, rates, between, estimate; EU scope not established. This is a provisional connection, not an outcome finding.</w:t>
      </w:r>
    </w:p>
    <w:p>
      <w:pPr>
        <w:pStyle w:val="SourceNote"/>
      </w:pPr>
      <w:r>
        <w:rPr>
          <w:b/>
        </w:rPr>
        <w:t>Available abstract (not full text):</w:t>
      </w:r>
      <w:r>
        <w:t xml:space="preserve"> Estimating the Rate of Penetration (ROP) of Tunnel Boring Machines (TBMs) is crucial in rock excavation and boreability, as it serves as a key input for scheduling and executing tunneling projects. Despite advancements in tunneling technologies, achieving a reliable ROP estimate remains challenging. In present one of the difficult tasks is to quantifying the properties of rock discontinuities to be use as input for the TBM performance models. Another issue is that utilizing the combination of intact rock, rock mass properties and TBM specification into the TBM performance prediction models. This thesis aims to develop several empirical models using intact rock, rock mass, disc cutter and TBM specifications for predicting TBM penetration rates in hard rock conditions. In order to achieve this goal, extensive field and laboratory tests were conducted across six TBM projects, including the Queens Water Tunnel (USA), Manapouri hydropower tunnel (New Zealand), Miryang dam tunnel (South Korea), and three Iranian water tunnels (Karaj, Zagros and Ghomrood), resulting in a database of more than 550 cases. Each case consists of the intact rock, rock mass properties and TBM field parameters. The collected data underwent preprocessing and analysis. The raw data were thoroughly examined with the literature to ensure the research output was valuable and acceptable. Common TBM performance mod</w:t>
      </w:r>
    </w:p>
    <w:p>
      <w:pPr/>
      <w:r>
        <w:rPr>
          <w:b/>
        </w:rPr>
        <w:t>POSSIBLE 2025:</w:t>
      </w:r>
      <w:r>
        <w:t xml:space="preserve"> The Impact of Technology, Economic Development, Environmental Quality, Safety, and Exchange Rate on the Tourism Performance in European Countries — https://doi.org/10.3390/su17157074</w:t>
      </w:r>
    </w:p>
    <w:p>
      <w:pPr/>
      <w:r>
        <w:rPr>
          <w:b/>
        </w:rPr>
        <w:t>Shared claim-specific concepts:</w:t>
      </w:r>
      <w:r>
        <w:t xml:space="preserve"> penetration, among, different, netherlands; EU scope visible. This is a provisional connection, not an outcome finding.</w:t>
      </w:r>
    </w:p>
    <w:p>
      <w:pPr>
        <w:pStyle w:val="SourceNote"/>
      </w:pPr>
      <w:r>
        <w:rPr>
          <w:b/>
        </w:rPr>
        <w:t>Available abstract (not full text):</w:t>
      </w:r>
      <w:r>
        <w:t xml:space="preserve"> The study investigates the contribution of technology (TECH), quantified by Internet penetration, in influencing tourism performance (TP) among the top ten touristic nations in Europe: France, Spain, Italy, Turkey, the United Kingdom, Germany, Greece, Austria, Portugal, and the Netherlands. Using panel data from 2000–2022, the study includes additional structural controls like environment quality, gross domestic production (GDP) per capita, exchange rate (ER), and safety index (SI). The Method of Moments Quantile Regression (MMQR) is employed to capture heterogeneous effects at different levels of TP, and Driscoll–Kraay standard error (DKSE) correction is employed to make the analysis robust against autocorrelation as well as cross-sectional dependence. Spectral–Granger causality tests are also conducted to check short- and long-run dynamics in the relationships. Empirical results are that TECH and SI are important in TP at all quantiles, but with stronger effects for lower-performing countries. Environmental quality (EQ) and GDP per capita (GDPPC) exert increasing impacts at upper quantiles, suggesting their importance in sustaining high-level tourism economies. ER effects are limited and primarily short-term. The findings highlight the need for integrated digital, environmental, and economic policies to achieve sustainable tourism development. The paper contributes to tourism</w:t>
      </w:r>
    </w:p>
    <w:p>
      <w:pPr/>
      <w:r>
        <w:rPr>
          <w:b/>
        </w:rPr>
        <w:t>POSSIBLE 2025:</w:t>
      </w:r>
      <w:r>
        <w:t xml:space="preserve"> Rate of penetration prediction in drilling operations: a comparative study of AI models and meta-heuristic approaches — https://doi.org/10.1007/s13202-025-02020-9</w:t>
      </w:r>
    </w:p>
    <w:p>
      <w:pPr/>
      <w:r>
        <w:rPr>
          <w:b/>
        </w:rPr>
        <w:t>Shared claim-specific concepts:</w:t>
      </w:r>
      <w:r>
        <w:t xml:space="preserve"> penetration, among, different; EU scope not established. This is a provisional connection, not an outcome finding.</w:t>
      </w:r>
    </w:p>
    <w:p>
      <w:pPr>
        <w:pStyle w:val="SourceNote"/>
      </w:pPr>
      <w:r>
        <w:rPr>
          <w:b/>
        </w:rPr>
        <w:t>Available abstract (not full text):</w:t>
      </w:r>
      <w:r>
        <w:t xml:space="preserve"> Accurately estimating the Rate of Penetration (ROP) in drilling operations remains a significant challenge due to the limitations of traditional approaches, which are often characterized by low accuracy and reliance on empirical equations with assumed coefficients. These methods, while optimized for specific fields, often fail to generalize across different geological contexts. To address these gaps, this study proposes an innovative machine learning-driven framework for ROP prediction, employing advanced algorithms such as Least Squares Support Vector Machines (LSSVM), Artificial Neural Networks (ANN), and Random Forest (RF). To further enhance model performance, metaheuristic optimization strategies such as the Crow Search Algorithm (CSA), Particle Swarm Optimization (PSO), and Genetic Algorithm (GA) are integrated. Among the tested models, the LSSVM-CSA framework achieved the best results, with a remarkable R-squared (R2) value of 92.55, a Root Mean Square Error (RMSE) of 2.98. These results underscore the superior accuracy, robustness, and adaptability of the proposed methodology. By learning from the unique characteristics of each field during training, the models provide enhanced predictive capabilities and operational flexibility. The dataset, sourced from the Fahliyan Formation in southern Iran, demonstrates the practical applicability of the approach in real-world dril</w:t>
      </w:r>
    </w:p>
    <w:p>
      <w:pPr/>
      <w:r>
        <w:rPr>
          <w:b/>
        </w:rPr>
        <w:t>POSSIBLE 2025:</w:t>
      </w:r>
      <w:r>
        <w:t xml:space="preserve"> Application of coupled hydro-mechanical CEL method for variable rate cone penetration analysis — https://doi.org/10.53243/isfog2025-191</w:t>
      </w:r>
    </w:p>
    <w:p>
      <w:pPr/>
      <w:r>
        <w:rPr>
          <w:b/>
        </w:rPr>
        <w:t>Shared claim-specific concepts:</w:t>
      </w:r>
      <w:r>
        <w:t xml:space="preserve"> penetration, rates, expected, fully, potential, behaviour; EU scope not established. This is a provisional connection, not an outcome finding.</w:t>
      </w:r>
    </w:p>
    <w:p>
      <w:pPr>
        <w:pStyle w:val="SourceNote"/>
      </w:pPr>
      <w:r>
        <w:rPr>
          <w:b/>
        </w:rPr>
        <w:t>Available abstract (not full text):</w:t>
      </w:r>
      <w:r>
        <w:t xml:space="preserve"> Rate-dependent soil resistance is widely concerned in offshore cone penetration and structure installation analyses, particularly in ‘problematic’ intermediate silts and calcareous soils in which hard driving (or refusal) and self-weight fast penetration could occur. Advanced numerical analysis capable of modelling large-deformation penetration problems can provide significant insights into rate-dependent soil drainage and shearing resistance behaviour, complementing field or model scale experimental observations and theoretical analyses. The Coupled Eulerian-Lagrangian (CEL) method is widely recognised as a robust approach for large-deformation analysis. However, the method is primarily limited to total stress analysis, restricting its application in effective stress and consolidation problems in saturated soils. This paper reports on the implementation and application of a coupled hydro-mechanical CEL method in modelling cone penetration of variable rates in dense fine silica sands. Predictions of cone resistance profiles were made with a conventional Mohr-Coulomb model and an advanced hypoplastic soil model and then validated against centrifuge experiment results. It is found that cone penetration in dense dilatant fine sand is dependent on the advancing rate, with resistances increasing substantially as the response transitions from partially drained to fully undrained cond</w:t>
      </w:r>
    </w:p>
    <w:p>
      <w:pPr/>
      <w:r>
        <w:rPr>
          <w:b/>
        </w:rPr>
        <w:t>POSSIBLE 2025:</w:t>
      </w:r>
      <w:r>
        <w:t xml:space="preserve"> Influence of Different Protocols on In‐Office Bleaching: Whiteness Difference and Hydrogen Peroxide Penetration — https://doi.org/10.1111/jerd.13501</w:t>
      </w:r>
    </w:p>
    <w:p>
      <w:pPr/>
      <w:r>
        <w:rPr>
          <w:b/>
        </w:rPr>
        <w:t>Shared claim-specific concepts:</w:t>
      </w:r>
      <w:r>
        <w:t xml:space="preserve"> penetration, among, different, between; EU scope not established. This is a provisional connection, not an outcome finding.</w:t>
      </w:r>
    </w:p>
    <w:p>
      <w:pPr>
        <w:pStyle w:val="SourceNote"/>
      </w:pPr>
      <w:r>
        <w:rPr>
          <w:b/>
        </w:rPr>
        <w:t>Available abstract (not full text):</w:t>
      </w:r>
      <w:r>
        <w:t xml:space="preserve"> ABSTRACT Objectives To evaluate whiteness difference (WID) and hydrogen peroxide (HP) penetration into the pulp chamber in extracted teeth subjected to various in‐office application protocols. Materials and Methods A total of 154 human premolars were randomly assigned to 11 groups (n = 14). The groups were divided into: Pola Office+ and Pola Rapid (SDI), and the following protocols: three applications of 8 min (3 × 8), two applications of 8 min (2 × 8), one application of 8 min (1 × 8), one application of 16 min (1 × 16), and one application of 24 min (1 × 24). These protocols were selected based on manufacturer recommendations and the aim of exploring simplified and alternative approaches applicable to clinical practice. One group served as a negative control. WID was assessed using a digital spectrophotometer before and after two sessions. HP concentration in the pulp chamber was measured using UV–Vis spectrophotometry. ANOVA two‐way and Tukey's and Dunnett's tests were used for data analysis. Results Significant WID were observed after two sessions, with greater changes in the 2 × 8, 3 × 8, and 1 × 24 protocols (p &lt; 0.001). Lower levels of peroxide penetration were found with shorter application, such as the 1 × 8 protocol, while higher levels were detected in the 3 × 8 protocol (p &lt; 0.0001). Conclusion Among the evaluated protocols, the 2 × 8‐min and 1 × 24‐min applications</w:t>
      </w:r>
    </w:p>
    <w:p>
      <w:pPr/>
      <w:r>
        <w:rPr>
          <w:b/>
        </w:rPr>
        <w:t>POSSIBLE 2025:</w:t>
      </w:r>
      <w:r>
        <w:t xml:space="preserve"> Data-driven prediction of rate of penetration (ROP) in drilling operations using advanced machine learning models — https://doi.org/10.1007/s13202-025-02018-3</w:t>
      </w:r>
    </w:p>
    <w:p>
      <w:pPr/>
      <w:r>
        <w:rPr>
          <w:b/>
        </w:rPr>
        <w:t>Shared claim-specific concepts:</w:t>
      </w:r>
      <w:r>
        <w:t xml:space="preserve"> penetration, among, potential, implications; EU scope not established. This is a provisional connection, not an outcome finding.</w:t>
      </w:r>
    </w:p>
    <w:p>
      <w:pPr>
        <w:pStyle w:val="SourceNote"/>
      </w:pPr>
      <w:r>
        <w:rPr>
          <w:b/>
        </w:rPr>
        <w:t>Available abstract (not full text):</w:t>
      </w:r>
      <w:r>
        <w:t xml:space="preserve"> Predicting the rate of penetration (ROP) is critical for optimizing drilling performance, yet it remains a complex task due to the interplay of multiple geological and operational parameters. This study comprehensively evaluates machine learning models, utilizing a real-time, high-resolution dataset from drilling operations in southeast Iraq. Among the models tested, the Random Forest algorithm demonstrated outstanding performance, achieving an R 2 of 0.955, a Mean Squared Error (MSE) of 0.119, and an Average Absolute Relative Error (AARE%) of 7.683, highlighting its reliability and robustness in predicting ROP. Sensitivity analysis and SHAP (Shapley Additive Explanations) also identified fracture pressure, kinematic viscosity, and rotary speed (RPM) as the most influential parameters affecting ROP. While alternative methods like Decision Tree and AdaBoost showed signs of overfitting, the results emphasize the Random Forest model’s superiority in balancing accuracy and generalizability. This research underscores the potential of advanced machine learning techniques in enhancing drilling performance, offering significant implications for real-world applications.</w:t>
      </w:r>
    </w:p>
    <w:p>
      <w:pPr>
        <w:pStyle w:val="Heading2"/>
      </w:pPr>
      <w:r>
        <w:t>805. European human‐dominated landscapes provide ample space for the recolonization of large carnivore populations under future land change scenarios</w:t>
      </w:r>
    </w:p>
    <w:p>
      <w:pPr>
        <w:pStyle w:val="SourceNote"/>
      </w:pPr>
      <w:r>
        <w:rPr>
          <w:b/>
        </w:rPr>
        <w:t>Original source (2017):</w:t>
      </w:r>
      <w:r>
        <w:t xml:space="preserve"> https://doi.org/10.1111/ecog.02223</w:t>
      </w:r>
    </w:p>
    <w:p>
      <w:pPr/>
      <w:r>
        <w:t>Original wording (abstract; indexed_source_text_not_full_document_verified): Third, we projected permanent occurrences into the future across a range of land‐use change scenarios.</w:t>
      </w:r>
    </w:p>
    <w:p>
      <w:pPr/>
      <w:r>
        <w:rPr>
          <w:b/>
        </w:rPr>
        <w:t>POSSIBLE 2026:</w:t>
      </w:r>
      <w:r>
        <w:t xml:space="preserve"> Regional land use and land-use intensity effects on vertebrate biodiversity across Europe identified using species distribution models — https://doi.org/10.1007/s10980-026-02379-y</w:t>
      </w:r>
    </w:p>
    <w:p>
      <w:pPr/>
      <w:r>
        <w:rPr>
          <w:b/>
        </w:rPr>
        <w:t>Shared claim-specific concepts:</w:t>
      </w:r>
      <w:r>
        <w:t xml:space="preserve"> across, range, land, use; EU scope visible. This is a provisional connection, not an outcome finding.</w:t>
      </w:r>
    </w:p>
    <w:p>
      <w:pPr>
        <w:pStyle w:val="SourceNote"/>
      </w:pPr>
      <w:r>
        <w:rPr>
          <w:b/>
        </w:rPr>
        <w:t>Available abstract (not full text):</w:t>
      </w:r>
      <w:r>
        <w:t xml:space="preserve"> Context: Land-use change and intensification are major drivers of biodiversity loss. However, estimates of the effects of land use and land-use intensity on biodiversity on broad spatial scales rarely account for species-specific responses across large areas, instead averaging effects on local assemblages. Current understanding of biodiversity effects on broad spatial scales is therefore limited. Objective: To investigate the broad-scale effects of land use and land-use intensity on habitat suitability for cropland and forest vertebrates throughout their contemporary ranges in Europe. To summarise regional-scale effects on vertebrate biodiversity patterns in Europe by synthesising the effects on range-wide habitat suitability for individual species. Methods: Cropland and forest vertebrate occurrence records and geographic range estimates were combined with a European land-systems map. Species distribution models (SDMs) were used to estimate the effects of land use and land-use intensity on habitat suitability on a landscape scale throughout species' ranges. Linear coefficients were specified to keep models interpretable, avoid overfitting and facilitate the use of priors based on expert knowledge. Regional-scale effects were explored for species groups based on habitat preferences, taxonomic groups and range sizes. Results: Land use and land-use intensity significantly affected</w:t>
      </w:r>
    </w:p>
    <w:p>
      <w:pPr/>
      <w:r>
        <w:rPr>
          <w:b/>
        </w:rPr>
        <w:t>POSSIBLE 2026:</w:t>
      </w:r>
      <w:r>
        <w:t xml:space="preserve"> Increasing land take in Europe’s land-water interface — https://doi.org/10.32942/x2j946</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Ecosystems at the interface between terrestrial and aquatic areas are of outstanding ecological and socio-economic importance, yet are under intense pressure due to the concentration of human settlement and agriculture. Despite this, the broader geography of the land-water interface and how it is changing remains poorly understood. Here, we develop an operationalizable definition of the land-water interface and use a fuzzy logic geospatial model to map the land-water interface at high resolution across the European continent. Our results show that the land-water interface covers ~0.87 million km² (~8% of Europe) but is strongly affected by human use: in 2020, about 15% of all built-up areas and more than 8% of all croplands lay within the land-water interface. Analyzing land-cover trends inside the land-water interface since 1992 showed increasing land take: built-up area more than doubled (from 13,752 km² to 29,302 km²), driven primarily by cropland-to-urban conversion. The expansion and densification of built-up areas occurred particularly in lowland river corridors, deltas, and coastal plains. Cropland decline was particularly widespread across Central and Eastern Europe, while cropland expansion occurred in land-water interface regions in northern Europe. Across interface types, the lake land-water interface exhibited the strongest relative increase in built-up areas (&gt;150%</w:t>
      </w:r>
    </w:p>
    <w:p>
      <w:pPr/>
      <w:r>
        <w:rPr>
          <w:b/>
        </w:rPr>
        <w:t>POSSIBLE 2026:</w:t>
      </w:r>
      <w:r>
        <w:t xml:space="preserve"> Wine Competitiveness as a Main Permanent Land Use Production: A Comparison Between Countries of the Southern EU Region — https://doi.org/10.3390/agriculture16121317</w:t>
      </w:r>
    </w:p>
    <w:p>
      <w:pPr/>
      <w:r>
        <w:rPr>
          <w:b/>
        </w:rPr>
        <w:t>Shared claim-specific concepts:</w:t>
      </w:r>
      <w:r>
        <w:t xml:space="preserve"> permanent, land, use; EU scope visible. This is a provisional connection, not an outcome finding.</w:t>
      </w:r>
    </w:p>
    <w:p>
      <w:pPr>
        <w:pStyle w:val="SourceNote"/>
      </w:pPr>
      <w:r>
        <w:rPr>
          <w:b/>
        </w:rPr>
        <w:t>Available abstract (not full text):</w:t>
      </w:r>
      <w:r>
        <w:t xml:space="preserve"> Viticulture and wine production uses approximately 30% of the land occupied with permanent crops in the EU. In countries in the southern part of the EU, this share is even higher, reaching up to about 80% in France and 55% in Romania. In recent years, the development of grape and wine production has been under pressure from climate and market changes. Competitiveness and value creation capacity are among the key factors in the sustainability of national production and the viability of wine regions. This study examines wine production competitiveness in the countries of the southern EU region within the European Single Market, comparing Bulgaria with leading producers—France, Italy, and Spain—and neighboring Romania. A set of production and trade indicators was applied, and the overall assessment was derived through a composite competitiveness index that simultaneously captures market performance and value creation potential. The results indicate a high level of competitiveness in the three leading European wine-producing countries, albeit with differences in the realization of their value creation potential. Bulgaria and Romania exhibit relatively low levels of competitive positioning, which could be improved through investments in technology and innovation, the implementation of collective marketing strategies, and the development of a national sectoral brand.</w:t>
      </w:r>
    </w:p>
    <w:p>
      <w:pPr/>
      <w:r>
        <w:rPr>
          <w:b/>
        </w:rPr>
        <w:t>POSSIBLE 2025:</w:t>
      </w:r>
      <w:r>
        <w:t xml:space="preserve"> Continuing recovery of wolves in Europe — https://doi.org/10.1371/journal.pstr.0000158</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Urban Development and Land Use/Land Cover Changes in the European Borderlands of Nice and Monaco — https://doi.org/10.20900/jsr20250053</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Urban development in European cross-border regions significantly influences LULC changes, affecting environmental sustainability and regional planning. This study focuses on the France–Monaco borderlands, including the cities of Nice and Monaco, to analyze these dynamics between 2000 and 2018. Using the CLC dataset and GIS tools, we conducted a spatiotemporal analysis of LULC changes. Post-classification change detection and the AUEII were applied to quantify urban expansion and land conversion patterns. The built-up area in the study region expanded by approximately 28 km² over 18 years, with an average annual increase of more than 1.5 km². At the same time, natural and semi-natural areas, including forests and agricultural land, declined by approximately 11 km², reflecting a significant transformation of the landscape. Urban expansion accelerated notably after 2012, especially along major transportation corridors and coastal zones. Wetlands and water bodies remained relatively stable during this period. Rapid urbanization in the Nice–Monaco cross-border territory has led to substantial LULC changes, with implications for environmental sustainability and regional development. These findings underscore the need for integrated land management strategies that balance urban growth with conservation efforts, particularly in ecologically sensitive areas that span multiple borders. C</w:t>
      </w:r>
    </w:p>
    <w:p>
      <w:pPr/>
      <w:r>
        <w:rPr>
          <w:b/>
        </w:rPr>
        <w:t>POSSIBLE 2025:</w:t>
      </w:r>
      <w:r>
        <w:t xml:space="preserve"> Territories of commons: a review of common land organizations and institutions in the European Alps — https://doi.org/10.1088/1748-9326/add1f4</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Abstract Common land organizations and institutions (hereinafter: CLOIs) have been extensively studied worldwide. However, the extent of the European ones is relatively unknown, despite studies and evidence of their long existence. This is the first comparative study on the CLOIs at a European regional scale. This study focuses on the Alps as defined by the Alpine Convention, and presents the first comprehensive review of data, and status of CLOIs across and within 6 alpine countries: Austria, France, Germany, Italy, Slovenia, and Switzerland. The aim is to assess (i) their historical evolution, (ii) their institutional arrangements and governance characteristics, and (iii) their numbers, surface, and land uses. To carry out this analysis, we used secondary data from official statistics, surveys, scientific and grey literature, legislation, and bylaws for each country and each region. The results show that CLOIs emerged in the Middle Ages and went through key changes in the 19th century, primarily due to Napoleon’s influence in reorganising public administration structures, and post-World War II centralization processes, especially in eastern European countries. In total, we accounted for between 5785 and 11 063 CLOIs, distributed across 32 types in the 6 countries; among which, CLOIs with full property rights and membership based on farmstead ownership are the most frequent. T</w:t>
      </w:r>
    </w:p>
    <w:p>
      <w:pPr/>
      <w:r>
        <w:rPr>
          <w:b/>
        </w:rPr>
        <w:t>POSSIBLE 2024:</w:t>
      </w:r>
      <w:r>
        <w:t xml:space="preserve"> Tipping points and farmer decision-making in European permanent grassland (PG) agricultural systems — https://doi.org/10.1016/j.jrurstud.2024.103364</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pPr/>
      <w:r>
        <w:rPr>
          <w:b/>
        </w:rPr>
        <w:t>POSSIBLE 2024:</w:t>
      </w:r>
      <w:r>
        <w:t xml:space="preserve"> Twenty Years of Land Accounts in Europe — https://doi.org/10.3390/land13091350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Land surface phenology for the characterization of Mediterranean permanent grasslands — https://doi.org/10.1007/s11119-024-10215-z</w:t>
      </w:r>
    </w:p>
    <w:p>
      <w:pPr/>
      <w:r>
        <w:rPr>
          <w:b/>
        </w:rPr>
        <w:t>Shared claim-specific concepts:</w:t>
      </w:r>
      <w:r>
        <w:t xml:space="preserve"> permanent, across, land; EU scope visible. This is a provisional connection, not an outcome finding.</w:t>
      </w:r>
    </w:p>
    <w:p>
      <w:pPr>
        <w:pStyle w:val="SourceNote"/>
      </w:pPr>
      <w:r>
        <w:rPr>
          <w:b/>
        </w:rPr>
        <w:t>Available abstract (not full text):</w:t>
      </w:r>
      <w:r>
        <w:t xml:space="preserve"> The provision of ecosystem services from Mediterranean permanent grasslands is threatened due to shifting management practices and environmental pressures. This observational study tested the hypothesis that Land Surface Phenology (LSP) parameters from high-resolution satellite data can characterize various permanent grasslands to support conservation and improvement practices. The potential of LSP derived from Sentinel-2 data in identifying the multi-layer mixed vegetation of Mediterranean grasslands, including silvopastoral systems, that were well-characterized from an agronomic and ecological perspective through field surveys, was assessed. Forty-nine polygons, representing eleven sites characterized by different grassland vegetation, soil, climate and management, were identified in Sardinia (Italy). Sentinel-2 satellite images from 2017 to 2023 were processed to derive NDVI, and LSP parameters were calculated using TIMESAT 3.3 software. The Canonical Correspondence Analysis showed a significant association ( p &lt; 0.05) between a combination of LSP metrics used as proxies of a set of relevant agronomical indicators. It was then possible to differentiate managed vs. abandoned grasslands (e.g., start and peak of the season significantly later under unmanaged grasslands, p &lt; 0.0001), wooded grasslands vs. open grasslands(e.g., base value significantly higher in woodlands and woo</w:t>
      </w:r>
    </w:p>
    <w:p>
      <w:pPr/>
      <w:r>
        <w:rPr>
          <w:b/>
        </w:rPr>
        <w:t>POSSIBLE 2024:</w:t>
      </w:r>
      <w:r>
        <w:t xml:space="preserve"> Agriculturally Improved and Semi-Natural Permanent Grasslands Provide Complementary Ecosystem Services in Swedish Boreal Landscapes — https://doi.org/10.3390/agronomy14030567</w:t>
      </w:r>
    </w:p>
    <w:p>
      <w:pPr/>
      <w:r>
        <w:rPr>
          <w:b/>
        </w:rPr>
        <w:t>Shared claim-specific concepts:</w:t>
      </w:r>
      <w:r>
        <w:t xml:space="preserve"> third, permanent, range, land, use; EU scope visible. This is a provisional connection, not an outcome finding.</w:t>
      </w:r>
    </w:p>
    <w:p>
      <w:pPr>
        <w:pStyle w:val="SourceNote"/>
      </w:pPr>
      <w:r>
        <w:rPr>
          <w:b/>
        </w:rPr>
        <w:t>Available abstract (not full text):</w:t>
      </w:r>
      <w:r>
        <w:t xml:space="preserve"> Permanent grasslands cover more than a third of European agricultural land and are important for a number of ecosystem services. Permanent grasslands used for agriculture are broadly separated into agriculturally improved and semi-natural grasslands. High cultural and natural values linked to semi-natural grasslands are well documented. However, in boreal and hemi-boreal agricultural landscapes, less information is available about the areal coverage of improved permanent grasslands and their role for ecosystem service provision and biodiversity. In Sweden, grasslands are administratively separated into semi-natural (i.e., land that cannot be ploughed) or arable (i.e., improved temporary or permanent grassland on land that can be ploughed). We used data from a large-scale environmental monitoring program to show that improved permanent grassland (i.e., permanent grasslands on arable fields) may be a previously unrecognised large area of the agricultural land use in Sweden. We show that improved permanent grasslands together with semi-natural grasslands are both comparable but also complementary providers of a range of ecosystem services (plant species richness, plant resources for pollinators and forage amount for livestock production). However, as expected, semi-natural grasslands with the highest-level AESs (special values) show high species richness values for vascular plants</w:t>
      </w:r>
    </w:p>
    <w:p>
      <w:pPr/>
      <w:r>
        <w:rPr>
          <w:b/>
        </w:rPr>
        <w:t>POSSIBLE 2024:</w:t>
      </w:r>
      <w:r>
        <w:t xml:space="preserve"> Land‐use intensity influences European tetrapod food webs — https://doi.org/10.1111/gcb.17167</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Land use intensification favours particular trophic groups which can induce architectural changes in food webs. These changes can impact ecosystem functions, services, stability and resilience. However, the imprint of land management intensity on food-web architecture has rarely been characterized across large spatial extent and various land uses. We investigated the influence of land management intensity on six facets of food-web architecture, namely apex and basal species proportions, connectance, omnivory, trophic chain lengths and compartmentalization, for 67,051 European terrestrial vertebrate communities. We also assessed the dependency of this influence of intensification on land use and climate. In addition to more commonly considered climatic factors, the architecture of food webs was notably influenced by land use and management intensity. Intensification tended to strongly lower the proportion of apex predators consistently across contexts. In general, intensification also tended to lower proportions of basal species, favoured mesopredators, decreased food webs compartmentalization whereas it increased their connectance. However, the response of food webs to intensification was different for some contexts. Intensification sharply decreased connectance in Mediterranean and Alpine settlements, and it increased basal tetrapod proportions and compartmentalization in Medi</w:t>
      </w:r>
    </w:p>
    <w:p>
      <w:pPr/>
      <w:r>
        <w:rPr>
          <w:b/>
        </w:rPr>
        <w:t>POSSIBLE 2024:</w:t>
      </w:r>
      <w:r>
        <w:t xml:space="preserve"> Accuracy Assessment and Comparison of National, European and Global Land Use Land Cover Maps at the National Scale—Case Study: Portugal — https://doi.org/10.3390/rs16091504</w:t>
      </w:r>
    </w:p>
    <w:p>
      <w:pPr/>
      <w:r>
        <w:rPr>
          <w:b/>
        </w:rPr>
        <w:t>Shared claim-specific concepts:</w:t>
      </w:r>
      <w:r>
        <w:t xml:space="preserve"> range, land, use; EU scope visible. This is a provisional connection, not an outcome finding.</w:t>
      </w:r>
    </w:p>
    <w:p>
      <w:pPr>
        <w:pStyle w:val="SourceNote"/>
      </w:pPr>
      <w:r>
        <w:rPr>
          <w:b/>
        </w:rPr>
        <w:t>Available abstract (not full text):</w:t>
      </w:r>
      <w:r>
        <w:t xml:space="preserve"> The free availability of Sentinel-1 and 2 imageries enables the production of high resolution (10 m) global Land Use Land Cover (LULC) maps by a wide range of institutions, which often make them publicly available. This raises several issues: Which map should be used for each type of application? How accurate are these maps? What is the level of agreement between them? This motivated us to assess the thematic accuracy of six LULC maps for continental Portugal with 10 m spatial resolution with reference dates between 2017 and 2020, using the same method and the same reference database, in a bid to make the results comparable. The overall accuracy and the per class user’s and producer’s accuracy are compared with the ones reported by the map producers, at the national, European, or global level, according to their availability. The nomenclatures of the several maps were then analyzed and compared to generate a harmonized nomenclature to which all maps were converted into. The harmonized products were compared directly with a visual analysis and the proportion of regions equally classified was computed, as well as the area assigned per product to each class. The accuracy of these harmonized maps was also assessed considering the previously used reference database. The results show that there are significant differences in the overall accuracy of the original products, varying betw</w:t>
      </w:r>
    </w:p>
    <w:p>
      <w:pPr>
        <w:pStyle w:val="Heading2"/>
      </w:pPr>
      <w:r>
        <w:t>806. Exploring scenario guided pathways for food assistance in Tuscany</w:t>
      </w:r>
    </w:p>
    <w:p>
      <w:pPr>
        <w:pStyle w:val="SourceNote"/>
      </w:pPr>
      <w:r>
        <w:rPr>
          <w:b/>
        </w:rPr>
        <w:t>Original source (2017):</w:t>
      </w:r>
      <w:r>
        <w:t xml:space="preserve"> https://doi.org/10.13128/bae-18520</w:t>
      </w:r>
    </w:p>
    <w:p>
      <w:pPr/>
      <w:r>
        <w:t>Original wording (abstract; indexed_source_text_not_full_document_verified): We combine the strengths of back-casted planning, which develops desirable pathways for the future, and explorative scenarios that describe plausible future contexts.</w:t>
      </w:r>
    </w:p>
    <w:p>
      <w:pPr/>
      <w:r>
        <w:rPr>
          <w:b/>
        </w:rPr>
        <w:t>POSSIBLE 2025:</w:t>
      </w:r>
      <w:r>
        <w:t xml:space="preserve"> Evaluating Energy Transition Winners and Losers: Are Algae Biofuels Desirable, Feasible, and Viable? — https://doi.org/10.26076/1de1-5a58</w:t>
      </w:r>
    </w:p>
    <w:p>
      <w:pPr/>
      <w:r>
        <w:rPr>
          <w:b/>
        </w:rPr>
        <w:t>Shared claim-specific concepts:</w:t>
      </w:r>
      <w:r>
        <w:t xml:space="preserve"> strengths, develops, desirable; EU scope not established. This is a provisional connection, not an outcome finding.</w:t>
      </w:r>
    </w:p>
    <w:p>
      <w:pPr>
        <w:pStyle w:val="SourceNote"/>
      </w:pPr>
      <w:r>
        <w:rPr>
          <w:b/>
        </w:rPr>
        <w:t>Available abstract (not full text):</w:t>
      </w:r>
      <w:r>
        <w:t xml:space="preserve"> Climate change, environmental degradation, finite resources, and the uneven distribution of energy access all points to an urgent need for a global energy transition. But making that transition responsibly requires more than enthusiasm for “green” solutions—it demands careful evaluation of which energy sources are truly worth investing in. This dissertation develops a practical decision-making framework to help policymakers, scientists, and the public answer three foundational questions about any new energy technology: Is it desirable? Is it feasible? Is it viable? By systematically weighing public narratives, biophysical constraints, and patterns of innovation, the framework aims to prevent wasted time, funding, and political will on options that cannot ultimately deliver. To demonstrate how the framework works in practice, this study applies it to a real-world example: algal biofuels. Once promoted as a revolutionary clean energy solution, algae promised the ability to grow fuel on non-arable land using wastewater, with rapid reproduction and high yields. However, despite more than 50 years of research, algae biofuels have struggled to prove themselves in energy returns, cost efficiency, and scalable production. This project combines media discourse analysis, energy return on investment (EROEI) data, and patent analysis to evaluate algal biofuels through the lens of desirabil</w:t>
      </w:r>
    </w:p>
    <w:p>
      <w:pPr/>
      <w:r>
        <w:rPr>
          <w:b/>
        </w:rPr>
        <w:t>POSSIBLE 2018:</w:t>
      </w:r>
      <w:r>
        <w:t xml:space="preserve"> Experimental measurement of the residual strength of particulate materials — https://doi.org/10.1201/9780203743317-22</w:t>
      </w:r>
    </w:p>
    <w:p>
      <w:pPr/>
      <w:r>
        <w:rPr>
          <w:b/>
        </w:rPr>
        <w:t>Shared claim-specific concepts:</w:t>
      </w:r>
      <w:r>
        <w:t xml:space="preserve"> combine, strengths, desirable; EU scope not established. This is a provisional connection, not an outcome finding.</w:t>
      </w:r>
    </w:p>
    <w:p>
      <w:pPr>
        <w:pStyle w:val="SourceNote"/>
      </w:pPr>
      <w:r>
        <w:rPr>
          <w:b/>
        </w:rPr>
        <w:t>Available abstract (not full text):</w:t>
      </w:r>
      <w:r>
        <w:t xml:space="preserve"> Several different approaches to the estimation of residual strength have been proposed. The earliest geotechnical approach was based on laboratory experiments. Later, geotechnical approaches based on insitu testing coupled with the backcalculation of apparent shear strengths from actual flow failures have been developed. However, very high uncertainties are associated with the residual strengths estimated using each of these approaches. The residual strength of particulate materials is important in other fields outside of mainstream geotechnical engineering. Evaluation of debris flow behavior has led to fundamental research on the flow behavior of particulates. The rheology of concentrated suspensions of particles in liquids is also important in industrial processes such as the hydraulic transport of materials such as coal, powders, minerals, and animal feeds. Experimental and analytical research in those fields have produced results that could be of use in evaluating residual strength of liquefied soil. A review of past experimental approaches to the measurement of residual strength, including approaches developed outside the field of geotechnical engineering, is presented. The strengths and weaknesses of each experimental approach are discussed. The desirable characteristics of an experimental apparatus that would combine the strengths, and minimize the weaknesses, of existin</w:t>
      </w:r>
    </w:p>
    <w:p>
      <w:pPr>
        <w:pStyle w:val="Heading2"/>
      </w:pPr>
      <w:r>
        <w:t>807. Future life expectancy in 35 industrialised countries: projections with a Bayesian model ensemble</w:t>
      </w:r>
    </w:p>
    <w:p>
      <w:pPr>
        <w:pStyle w:val="SourceNote"/>
      </w:pPr>
      <w:r>
        <w:rPr>
          <w:b/>
        </w:rPr>
        <w:t>Original source (2017):</w:t>
      </w:r>
      <w:r>
        <w:t xml:space="preserve"> https://doi.org/10.1016/s0140-6736(16)32381-9</w:t>
      </w:r>
    </w:p>
    <w:p>
      <w:pPr/>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POSSIBLE 2026:</w:t>
      </w:r>
      <w:r>
        <w:t xml:space="preserve"> Female Gender and Life Expectancy: Systematic Review with ☸SAIMSARA — https://doi.org/10.62487/saimsara8c3bca03</w:t>
      </w:r>
    </w:p>
    <w:p>
      <w:pPr/>
      <w:r>
        <w:rPr>
          <w:b/>
        </w:rPr>
        <w:t>Shared claim-specific concepts:</w:t>
      </w:r>
      <w:r>
        <w:t xml:space="preserve"> female, life, expectancy, advantage; EU scope not established. This is a provisional connection, not an outcome finding.</w:t>
      </w:r>
    </w:p>
    <w:p>
      <w:pPr>
        <w:pStyle w:val="SourceNote"/>
      </w:pPr>
      <w:r>
        <w:rPr>
          <w:b/>
        </w:rPr>
        <w:t>Available abstract (not full text):</w:t>
      </w:r>
      <w:r>
        <w:t xml:space="preserve"> To systematically review the scientific literature concerning female gender and life expectancy, identifying key trends, influencing factors, and associated health outcomes across diverse global populations and clinical conditions. The review utilises 771 original studies with 16636946 total participants (ΣN). This systematic review indicates that female gender is generally associated with a higher overall life expectancy, with reported sex gaps at birth often ranging from approximately 3.9 to 7.6 years. However, this longevity advantage frequently coexists with a morbidity burden consistent with the female health paradox, with women often spending more years living with multimorbidity, disability, or reduced independence despite longer total survival. The evidence also suggests that this female advantage is not uniform across conditions, as selected cardiometabolic, cardiovascular, HIV, and neurodevelopmental contexts showed narrower gaps or signals of excess female mortality or life-expectancy loss. These findings support sex-responsive prevention and care strategies aimed not only at extending lifespan but also at preserving healthy and independent years. Future research should prioritize harmonized definitions of healthy life expectancy and clarify the biological, clinical, and social mechanisms underlying situations in which the usual female survival advantage is reduced o</w:t>
      </w:r>
    </w:p>
    <w:p>
      <w:pPr/>
      <w:r>
        <w:rPr>
          <w:b/>
        </w:rPr>
        <w:t>POSSIBLE 2026:</w:t>
      </w:r>
      <w:r>
        <w:t xml:space="preserve"> Cognitively healthy life expectancy of older women and men in India — https://doi.org/10.1016/j.ssmph.2026.101981</w:t>
      </w:r>
    </w:p>
    <w:p>
      <w:pPr/>
      <w:r>
        <w:rPr>
          <w:b/>
        </w:rPr>
        <w:t>Shared claim-specific concepts:</w:t>
      </w:r>
      <w:r>
        <w:t xml:space="preserve"> life, expectancy, men, country; EU scope not established. This is a provisional connection, not an outcome finding.</w:t>
      </w:r>
    </w:p>
    <w:p>
      <w:pPr>
        <w:pStyle w:val="SourceNote"/>
      </w:pPr>
      <w:r>
        <w:rPr>
          <w:b/>
        </w:rPr>
        <w:t>Available abstract (not full text):</w:t>
      </w:r>
      <w:r>
        <w:t xml:space="preserve"> Rapid population aging and increasing life expectancy in India, the most populous country in the world, raise questions about the quality of these added years for older adults. Cognitive impairment, in particular, is a growing public health concern in India. We estimated cognitively healthy life expectancy (CHLE) and life expectancy with mild cognitive impairment and dementia at age 60 and 70 years using life tables from the Sample Registration System and Demographic and Health Surveys, linked with cognitive health data from the Longitudinal Aging Study in India - Diagnostic Assessment of Dementia (LASI-DAD; 2017-2019). Analyses were stratified by gender, rural-urban residence, and social group (Scheduled Caste or Scheduled Tribe [SC/ST], Other Backward Classes, and high caste). Conditional on surviving to age 60, CHLE for women was only 0.86 years higher than for men. Larger differences in CHLE between groups emerge when examined by place of residence and social group. Compared to their urban counterparts, rural women and men had 2.2 and 3.1 fewer years of CHLE, respectively. In relative terms, rural women spent 4 percentage points less of their remaining life cognitively healthy, while rural men spent 8 percentage points less. By social group, SC/ST women and men lived 3.7 and 5.3 fewer cognitively healthy years than high-caste women and men, respectively, or 5 and 12 percent</w:t>
      </w:r>
    </w:p>
    <w:p>
      <w:pPr/>
      <w:r>
        <w:rPr>
          <w:b/>
        </w:rPr>
        <w:t>POSSIBLE 2026:</w:t>
      </w:r>
      <w:r>
        <w:t xml:space="preserve"> Centering working-class women’s knowledge: a feminist geography of lone-motherhood over life-course in Scotland’s urban peripheries — https://doi.org/10.1080/0966369x.2026.2695995</w:t>
      </w:r>
    </w:p>
    <w:p>
      <w:pPr/>
      <w:r>
        <w:rPr>
          <w:b/>
        </w:rPr>
        <w:t>Shared claim-specific concepts:</w:t>
      </w:r>
      <w:r>
        <w:t xml:space="preserve"> female, life, over, men, increase; EU scope visible. This is a provisional connection, not an outcome finding.</w:t>
      </w:r>
    </w:p>
    <w:p>
      <w:pPr>
        <w:pStyle w:val="SourceNote"/>
      </w:pPr>
      <w:r>
        <w:rPr>
          <w:b/>
        </w:rPr>
        <w:t>Available abstract (not full text):</w:t>
      </w:r>
      <w:r>
        <w:t xml:space="preserve"> Easterhouse in Glasgow is amongst the most persistently deprived housing-estates in Europe. During the 1980s it saw a threefold increase in lone-mother households. This dissertation explores lone-mothers’ experiences of poverty in Easterhouse between 1980 and 2021, investigating their use of female social networks to ‘get by’ and ‘get on’ through the challenges associated with gender, place, poverty, and lone-motherhood. The research comprised thirty semi-structured repeat interviews, assisted by photo-elicitation, capturing the adult life-course experiences of ten lone-mothers in Easterhouse since the 1980s. Interview transcripts were analysed in NVivo using thematic-methods to connect women’s accounts with key themes of social and economic change over time. The research found unexpectedly that all participants had entered lone-motherhood as a result of abuse by men. Localised female social networks provided important instrumental, emotional, and financial support during the transition to lone-motherhood and into mid-life-course, which allowed lone-mothers to ‘get by’. Yet female networks could often hinder women’s efforts to ‘get on’. In later life, participants remained almost solely reliant on female networks, which took on a new cathartic role in helping women navigate the emotional damage of lives characterised by persistent trauma. The study illuminates hidden histories </w:t>
      </w:r>
    </w:p>
    <w:p>
      <w:pPr/>
      <w:r>
        <w:rPr>
          <w:b/>
        </w:rPr>
        <w:t>POSSIBLE 2025:</w:t>
      </w:r>
      <w:r>
        <w:t xml:space="preserve"> Remote work, Job Quality and Work-life Balance: A Comparative Study of European Men and Women — https://doi.org/10.34190/icgr.8.1.3317</w:t>
      </w:r>
    </w:p>
    <w:p>
      <w:pPr/>
      <w:r>
        <w:rPr>
          <w:b/>
        </w:rPr>
        <w:t>Shared claim-specific concepts:</w:t>
      </w:r>
      <w:r>
        <w:t xml:space="preserve"> over, men, approach; EU scope visible. This is a provisional connection, not an outcome finding.</w:t>
      </w:r>
    </w:p>
    <w:p>
      <w:pPr>
        <w:pStyle w:val="SourceNote"/>
      </w:pPr>
      <w:r>
        <w:rPr>
          <w:b/>
        </w:rPr>
        <w:t>Available abstract (not full text):</w:t>
      </w:r>
      <w:r>
        <w:t xml:space="preserve"> The rapid growth of remote work, accelerated by the COVID-19 pandemic, has sparked increased interest in its effects on job quality and work-life balance. This study examines the role of job quality for work-life balance of European men and women when working remotely. While remote work offers benefits such as enhanced flexibility and autonomy, it also presents challenges including social isolation and stress management. Research indicates that these effects are not gender-neutral, with women often experiencing disproportionate challenges despite potential improvements in work-life balance. This study employs a quantitative approach, utilizing data from the 2021 European Working Conditions Survey, with a sample of over 70,000 European workers. Through multi-group analysis and Partial Least Square method, the research investigates gender differences in job quality and work-life balance in remote work settings. The study aims to contribute to the understanding of how remote work influences job quality and work-life balance, with a particular focus on gender disparities. Findings will provide insights for developing equitable remote work policies and practices.</w:t>
      </w:r>
    </w:p>
    <w:p>
      <w:pPr/>
      <w:r>
        <w:rPr>
          <w:b/>
        </w:rPr>
        <w:t>POSSIBLE 2025:</w:t>
      </w:r>
      <w:r>
        <w:t xml:space="preserve"> Decoding life expectancy gaps: a long-term decomposition analysis of three WHO European Region country groups — https://doi.org/10.1080/23311886.2025.2486561</w:t>
      </w:r>
    </w:p>
    <w:p>
      <w:pPr/>
      <w:r>
        <w:rPr>
          <w:b/>
        </w:rPr>
        <w:t>Shared claim-specific concepts:</w:t>
      </w:r>
      <w:r>
        <w:t xml:space="preserve"> life, expectancy, over, country; EU scope visible. This is a provisional connection, not an outcome finding.</w:t>
      </w:r>
    </w:p>
    <w:p>
      <w:pPr>
        <w:pStyle w:val="SourceNote"/>
      </w:pPr>
      <w:r>
        <w:rPr>
          <w:b/>
        </w:rPr>
        <w:t>Available abstract (not full text):</w:t>
      </w:r>
      <w:r>
        <w:t xml:space="preserve"> Life expectancy at birth serves as a proxy measure of community health, indicating socio-economic development, healthcare accessibility, and the success of health policies. Observed differences in life expectancy among countries signal health inequalities, which should be addressed by developed societies.This study examines the development and variability of life expectancy at birth among three geographically, politically, culturally, but also climatically distinct groups of countries in the WHO EUR: Former Soviet Countries (FSC), Central &amp; Eastern European Countries (CEEC), and Western European Countries (WEC), using data from the World Bank spanning from the mid-1960s to 2021. A quantitative analysis evaluated mortality disparities, applying the principle of mean differences in values of life expectancy at birth, both within- and between- the studied groups of countries. This method is used throughout the paper since it enables the study of long-term patterns over several decades, includes gender-specific analyses, and emphasizes internal diversity within each group. The results show that mortality disparities have either stayed constant or decreased gradually, with the largest life expectancy gap between FSC and WEC (over 12 years for males and nearly 10 years for females). CEEC countries exhibit significant internal heterogeneity, with some countries converging toward WEC l</w:t>
      </w:r>
    </w:p>
    <w:p>
      <w:pPr/>
      <w:r>
        <w:rPr>
          <w:b/>
        </w:rPr>
        <w:t>POSSIBLE 2025:</w:t>
      </w:r>
      <w:r>
        <w:t xml:space="preserve"> European female captives in Algiers, 1700-1809 — https://openalex.org/W7214837963</w:t>
      </w:r>
    </w:p>
    <w:p>
      <w:pPr/>
      <w:r>
        <w:rPr>
          <w:b/>
        </w:rPr>
        <w:t>Shared claim-specific concepts:</w:t>
      </w:r>
      <w:r>
        <w:t xml:space="preserve"> female, men, male; EU scope visible. This is a provisional connection, not an outcome finding.</w:t>
      </w:r>
    </w:p>
    <w:p>
      <w:pPr>
        <w:pStyle w:val="SourceNote"/>
      </w:pPr>
      <w:r>
        <w:rPr>
          <w:b/>
        </w:rPr>
        <w:t>Available abstract (not full text):</w:t>
      </w:r>
      <w:r>
        <w:t xml:space="preserve"> This study aims to shed light on a topic that few studies have addressed in Algeria, particularly since most studies have addressed the issue of captives in a general manner. Many focused on male captives due to material availability on the subject. The personal memoirs of male captives were sufficient to cover the topic, unlike those of female captives, which were very few compared to those left by men. "between 1577 and 1704, historians counted 23 English captives who wrote about their captivity in North Africa," while only eight memoirs of female captives in North Africa were written in English during the Ottoman era, some of which were translated from other European languages. We believe that the topic of female captives has not received sufficient attention in Arab university curricula. Even studies in foreign languages have yet to significantly focus on the situation of Christian female captives in North Africa. Exceptions include a study by a Tunisian researcher published in French on "the condition of European female captives in Tunisia at the End of the 18th Century" and a study by Moroccan researcher Khalid El-Bekkoui titled "Female captives in North Africa..." in English. Research in this field still needs to be explored and requires further exploration</w:t>
      </w:r>
    </w:p>
    <w:p>
      <w:pPr/>
      <w:r>
        <w:rPr>
          <w:b/>
        </w:rPr>
        <w:t>POSSIBLE 2025:</w:t>
      </w:r>
      <w:r>
        <w:t xml:space="preserve"> Gender and Internal Geographical Mobility in Europe: A Comparative Analysis of Family and Employment Over the Life Course — https://doi.org/10.1007/s10680-025-09763-5</w:t>
      </w:r>
    </w:p>
    <w:p>
      <w:pPr/>
      <w:r>
        <w:rPr>
          <w:b/>
        </w:rPr>
        <w:t>Shared claim-specific concepts:</w:t>
      </w:r>
      <w:r>
        <w:t xml:space="preserve"> life, over, men, increase, france; EU scope visible. This is a provisional connection, not an outcome finding.</w:t>
      </w:r>
    </w:p>
    <w:p>
      <w:pPr>
        <w:pStyle w:val="SourceNote"/>
      </w:pPr>
      <w:r>
        <w:rPr>
          <w:b/>
        </w:rPr>
        <w:t>Available abstract (not full text):</w:t>
      </w:r>
      <w:r>
        <w:t xml:space="preserve"> This article presents an investigation into the gendered outcomes of inter-regional moves in six European countries, adopting a life-course perspective. Analyses are based on retrospective data from SHARELIFE for birth cohorts from the 1930s to 1960s in France, Germany, Italy, Poland, Spain, and Sweden. Linear probability panel models with fixed effects are used to examine the association between inter-regional migration and employment status over time, while assessing whether it differs by gender and family status. Results show that men experience improved employment probabilities following migration, regardless of their family status, and that these outcomes are consistent across countries. Moreover, the likelihood of employment for men continues to gradually increase several years after the move. In contrast, inter-regional mobility favours single women more than partnered women, especially mothers. Results, however, do not confirm a pattern of continued disadvantages, as mobility does not further reduce the employment prospects of mothers over time. The largest differences in the association between geographical mobility and employment between single women and mothers are observed in Mediterranean countries, while in more egalitarian countries like Sweden these differences are comparatively small.</w:t>
      </w:r>
    </w:p>
    <w:p>
      <w:pPr/>
      <w:r>
        <w:rPr>
          <w:b/>
        </w:rPr>
        <w:t>POSSIBLE 2025:</w:t>
      </w:r>
      <w:r>
        <w:t xml:space="preserve"> Alcohol and life expectancy — https://doi.org/10.1265/ehpm.25-00101</w:t>
      </w:r>
    </w:p>
    <w:p>
      <w:pPr/>
      <w:r>
        <w:rPr>
          <w:b/>
        </w:rPr>
        <w:t>Shared claim-specific concepts:</w:t>
      </w:r>
      <w:r>
        <w:t xml:space="preserve"> life, expectancy, over, men, likely; EU scope not established. This is a provisional connection, not an outcome finding.</w:t>
      </w:r>
    </w:p>
    <w:p>
      <w:pPr>
        <w:pStyle w:val="SourceNote"/>
      </w:pPr>
      <w:r>
        <w:rPr>
          <w:b/>
        </w:rPr>
        <w:t>Available abstract (not full text):</w:t>
      </w:r>
      <w:r>
        <w:t xml:space="preserve"> The recent three leading risk factors for global disease burden in the world are, in descending order, high blood pressure, tobacco smoking including second-hand smoke, and alcohol use. Alcohol use increases the risk for many acute and chronic health consequences including cancer, road injury and suicide as well as alcohol use disorder. It is known that there is a U- or J-shaped relationship between alcohol consumption and all-cause mortality. The descending leg of the curve showing this relationship is best explained by a decrease in the risk of cardiovascular disease, especially ischemic heart disease, among light-to-moderate alcohol drinkers. However, this relationship carries risks of confounding and selection bias, including the so-called healthy drinker bias. Furthermore, biogenic compounds other than ethanol present in wine may be partially responsible for the beneficial effect, although this also includes several confounding factors such as the drinking patterns associated with wine preference. While some studies suggest that light-to-moderate alcohol consumption may offer cardiovascular benefits, these findings are likely influenced by confounding factors and do not negate the substantial public health burden associated with alcohol use. In fact, from a population health perspective, reducing harmful alcohol consumption remains a critical priority. Social policies aime</w:t>
      </w:r>
    </w:p>
    <w:p>
      <w:pPr/>
      <w:r>
        <w:rPr>
          <w:b/>
        </w:rPr>
        <w:t>POSSIBLE 2025:</w:t>
      </w:r>
      <w:r>
        <w:t xml:space="preserve"> Life Expectancy Loss and Recovery by Age and Sex Following Catastrophic Events in Europe during the 19th and 20th Centuries — https://doi.org/10.1007/s42650-025-00094-8</w:t>
      </w:r>
    </w:p>
    <w:p>
      <w:pPr/>
      <w:r>
        <w:rPr>
          <w:b/>
        </w:rPr>
        <w:t>Shared claim-specific concepts:</w:t>
      </w:r>
      <w:r>
        <w:t xml:space="preserve"> life, expectancy, two; EU scope visible. This is a provisional connection, not an outcome finding.</w:t>
      </w:r>
    </w:p>
    <w:p>
      <w:pPr>
        <w:pStyle w:val="SourceNote"/>
      </w:pPr>
      <w:r>
        <w:rPr>
          <w:b/>
        </w:rPr>
        <w:t>Available abstract (not full text):</w:t>
      </w:r>
      <w:r>
        <w:t xml:space="preserve"> Abstract Following catastrophic events, such as pandemics or wars, a systematic loss in life expectancy at birth (\(\:{e}_{0}\)) can be observed. We aimed to estimate the time required for \(\:{e}_{0}\) to recover after mortality crises and identify which age groups either contribute to the decline or assist in restoring pre-crisis levels. We focused exclusively on analyzing the largest European pandemics and wars of the 19th and 20th centuries, using data from the Human Mortality Database (HMD). To achieve this, we employed Arriaga's decomposition to examine two specific \(\:{e}_{0}{\prime\:}\)s: one just before the most substantial decline during the mortality crisis, marking the deepest drop, and another at the point where recovery is observed. The events were categorized into pandemics and non-pandemics and further stratified by sex. Various statistical tests were conducted to enable valid comparisons. Our findings reveal that World Wars caused the most significant declines in \(\:{e}_{0}\). Statistical analyses indicate no significant disparities based on the type of event or sex. Notably, youth and children emerge as the primary age group contributing to the decline and recovery of \(\:{e}_{0}\) following both catastrophic events. However, not all of them fully recover to the mortality levels observed before the crisis.</w:t>
      </w:r>
    </w:p>
    <w:p>
      <w:pPr/>
      <w:r>
        <w:rPr>
          <w:b/>
        </w:rPr>
        <w:t>POSSIBLE 2025:</w:t>
      </w:r>
      <w:r>
        <w:t xml:space="preserve"> From sex differences to sex inequalities in life expectancy: A cross-country observational benchmarking analysis — https://doi.org/10.1371/journal.pmed.1004828</w:t>
      </w:r>
    </w:p>
    <w:p>
      <w:pPr/>
      <w:r>
        <w:rPr>
          <w:b/>
        </w:rPr>
        <w:t>Shared claim-specific concepts:</w:t>
      </w:r>
      <w:r>
        <w:t xml:space="preserve"> female, life, expectancy, over, country, except; EU scope visible. This is a provisional connection, not an outcome finding.</w:t>
      </w:r>
    </w:p>
    <w:p>
      <w:pPr>
        <w:pStyle w:val="SourceNote"/>
      </w:pPr>
      <w:r>
        <w:rPr>
          <w:b/>
        </w:rPr>
        <w:t>Available abstract (not full text):</w:t>
      </w:r>
      <w:r>
        <w:t xml:space="preserve"> BACKGROUND: The answer to whether females or males have better health, and which sex is the more disadvantaged, has depended in part on the metric and how the inequality is measured. This study introduces a new method for analyzing and interpreting sex inequalities in health outcomes-defined as the avoidable sex differences in health outcomes-that is systematic and potentially more objective. For this paper, we focus on life expectancy at different ages. METHODS AND FINDINGS: We introduce the adjusted sex ratio as a measure of sex inequalities and determining sex disadvantage. First, we calculated the sex ratio of life expectancy at ages 0, 5, 15, 35, 50, and 70. To understand what is achievable under favorable conditions, we identified countries in the 5th percentile of the highest life expectancy for each sex and used these values as benchmarks, and calculated the sex ratio of these best-performing countries ("frontier"). We calculated the country- and age-specific adjusted sex ratio by dividing country sex ratios by frontier sex ratios. This assumes that theoretically, under the current risk and healthcare environments, females all over the world have the potential to live up to the life expectancy of the females in the frontier countries, and separately, all males to their male-specific frontier. An adjusted ratio of greater than one indicates male disadvantage, while below</w:t>
      </w:r>
    </w:p>
    <w:p>
      <w:pPr/>
      <w:r>
        <w:rPr>
          <w:b/>
        </w:rPr>
        <w:t>POSSIBLE 2024:</w:t>
      </w:r>
      <w:r>
        <w:t xml:space="preserve"> Deciphering the sex gap in global life expectancy: the impact of female-specific cancers 1990-2019 — https://doi.org/10.1093/jnci/djae191</w:t>
      </w:r>
    </w:p>
    <w:p>
      <w:pPr/>
      <w:r>
        <w:rPr>
          <w:b/>
        </w:rPr>
        <w:t>Shared claim-specific concepts:</w:t>
      </w:r>
      <w:r>
        <w:t xml:space="preserve"> female, life, expectancy, advantage, over, country; EU scope visible. This is a provisional connection, not an outcome finding.</w:t>
      </w:r>
    </w:p>
    <w:p>
      <w:pPr>
        <w:pStyle w:val="SourceNote"/>
      </w:pPr>
      <w:r>
        <w:rPr>
          <w:b/>
        </w:rPr>
        <w:t>Available abstract (not full text):</w:t>
      </w:r>
      <w:r>
        <w:t xml:space="preserve">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pPr/>
      <w:r>
        <w:rPr>
          <w:b/>
        </w:rPr>
        <w:t>POSSIBLE 2024:</w:t>
      </w:r>
      <w:r>
        <w:t xml:space="preserve"> Seasonality in mortality and its impact on life expectancy levels and trends across Europe — https://doi.org/10.1136/jech-2024-223050</w:t>
      </w:r>
    </w:p>
    <w:p>
      <w:pPr/>
      <w:r>
        <w:rPr>
          <w:b/>
        </w:rPr>
        <w:t>Shared claim-specific concepts:</w:t>
      </w:r>
      <w:r>
        <w:t xml:space="preserve"> life, expectancy, approach; EU scope visible. This is a provisional connection, not an outcome finding.</w:t>
      </w:r>
    </w:p>
    <w:p>
      <w:pPr>
        <w:pStyle w:val="SourceNote"/>
      </w:pPr>
      <w:r>
        <w:rPr>
          <w:b/>
        </w:rPr>
        <w:t>Available abstract (not full text):</w:t>
      </w:r>
      <w:r>
        <w:t xml:space="preserve">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pPr>
        <w:pStyle w:val="Heading2"/>
      </w:pPr>
      <w:r>
        <w:t>808. Futures of robotics. Human work in digital transformation</w:t>
      </w:r>
    </w:p>
    <w:p>
      <w:pPr>
        <w:pStyle w:val="SourceNote"/>
      </w:pPr>
      <w:r>
        <w:rPr>
          <w:b/>
        </w:rPr>
        <w:t>Original source (2017):</w:t>
      </w:r>
      <w:r>
        <w:t xml:space="preserve"> https://doi.org/10.1504/ijtm.2017.083074</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2026:</w:t>
      </w:r>
      <w:r>
        <w:t xml:space="preserve"> Global research on AI-empowering academic evaluation: advances, trends, and prospects — https://doi.org/10.1108/el-01-2026-0028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Purpose This paper aims to systematically review the current research on artificial intelligence (AI)-empowering academic evaluation, and subsequently construct a theoretical framework that aligns with the era of digital intelligence so as to enrich intelligent academic evaluation theory and promote its practical exploration, thereby providing a reference for future studies in the field of AI-empowering academic evaluation. Design/methodology/approach This paper uses bibliometric and content analysis methods. Using the SSCI database within the Web of Science Core Collection as the data source, 587 valid bibliographic records of journal articles in the field of AI-empowering academic evaluation are retrieved and screened. CiteSpace software is used to create keyword clustering knowledge mapping and time period knowledge mapping for research topics from 2015 to 2025. Through these visualizations, the current research landscape and development trends in this field are analyzed in depth. A theoretical framework for enhancing AI-empowering academic evaluation is constructed, and future research prospects are proposed. Findings This paper elaborates on the research progress in the field of internationally AI-empowering academic evaluation across six clustered themes: AI and academic evaluation theories and methods, AI and academic evaluation objects, AI and academic evaluation indica</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2025:</w:t>
      </w:r>
      <w:r>
        <w:t xml:space="preserve"> Geometric studies in point cloud skeletonisation and their applications in robotics — https://openalex.org/W7116212780</w:t>
      </w:r>
    </w:p>
    <w:p>
      <w:pPr/>
      <w:r>
        <w:rPr>
          <w:b/>
        </w:rPr>
        <w:t>Shared claim-specific concepts:</w:t>
      </w:r>
      <w:r>
        <w:t xml:space="preserve"> key, robotics, analyse; EU scope not established. This is a provisional connection, not an outcome finding.</w:t>
      </w:r>
    </w:p>
    <w:p>
      <w:pPr>
        <w:pStyle w:val="SourceNote"/>
      </w:pPr>
      <w:r>
        <w:rPr>
          <w:b/>
        </w:rPr>
        <w:t>Available abstract (not full text):</w:t>
      </w:r>
      <w:r>
        <w:t xml:space="preserve"> Skeletons are commonly known as internal frameworks of humans and animals, but a similar concept is widely used in shape analysis. In this context, a skeleton represents a compact, centred abstraction of an object’s shape, capturing its topological structure. The process of extracting such a representation is known as skeletonisation. As a useful tool in shape analysis, skeletonisation has been extensively studied; however, key challenges remain–particularly in reducing computational overhead, establishing robust evaluation metrics, and applying skeletons to surface generalisation. This thesis addresses these gaps through three major contributions. First, to mitigate the high computational cost of existing skeletonisation methods, we analyse their inefficiencies and propose a novel geometry-based skeletonisation framework. By eliminating redundant computations inherent in prior techniques, our method significantly accelerates the skeletonisation process, outperforming a well-established baseline in terms of speed. Second, the development and comparison of skeletonisation techniques have been hindered by the absence of comprehensive quantitative evaluation tools. To address this, we systematically investigate the fundamental properties of skeletonisation and introduce a suite of evaluation metrics, along with practical numerical techniques. These metrics are validated for their </w:t>
      </w:r>
    </w:p>
    <w:p>
      <w:pPr/>
      <w:r>
        <w:rPr>
          <w:b/>
        </w:rPr>
        <w:t>POSSIBLE 2025:</w:t>
      </w:r>
      <w:r>
        <w:t xml:space="preserve"> ERA5 Reproduces Key Features of Global Precipitation Trends in A Warming Climate — https://doi.org/10.1002/joc.8877</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ABSTRACT The largest impact of future climate changes on societies and ecosystems will likely come from precipitation variability and change. Using the ERA5 dataset, this global study examines precipitation trends using many precipitation parameters across five main components: precipitation amount, precipitation frequency, precipitation type, wet and dry spells, and precipitation extremes. Global trends are summarised by land and ocean areas, by climate region, and then zonally averaged to identify broader precipitation patterns and interactions that may not be apparent in local and regional scale studies, especially with a reanalysis dataset. We find that the ERA5 dataset was able to reproduce key features of precipitation change: the near‐ubiquitous increase in extreme precipitation, the increase in Arctic precipitation, the transition from snowfall to a rainfall regime in mid‐to high latitudes, and the contrasting sign of change in precipitation amount and frequency between land and ocean. Two noteworthy findings from the ERA5 dataset are that (1) spatial intensification of extreme precipitation around the warmest locations (equatorial region) is not matched by temporal intensification around the warmest time of year (summer months) in the northern hemisphere, and (2) the Himalayas show altitudinal stratification of precipitation phase changes. Finally, consistent with othe</w:t>
      </w:r>
    </w:p>
    <w:p>
      <w:pPr/>
      <w:r>
        <w:rPr>
          <w:b/>
        </w:rPr>
        <w:t>POSSIBLE 2025:</w:t>
      </w:r>
      <w:r>
        <w:t xml:space="preserve"> Sustainability in the Food System: trends, key themes, and emerging topics — https://doi.org/10.12688/f1000research.165434.1</w:t>
      </w:r>
    </w:p>
    <w:p>
      <w:pPr/>
      <w:r>
        <w:rPr>
          <w:b/>
        </w:rPr>
        <w:t>Shared claim-specific concepts:</w:t>
      </w:r>
      <w:r>
        <w:t xml:space="preserve"> key, trends, field; EU scope visible. This is a provisional connection, not an outcome finding.</w:t>
      </w:r>
    </w:p>
    <w:p>
      <w:pPr>
        <w:pStyle w:val="SourceNote"/>
      </w:pPr>
      <w:r>
        <w:rPr>
          <w:b/>
        </w:rPr>
        <w:t>Available abstract (not full text):</w:t>
      </w:r>
      <w:r>
        <w:t xml:space="preserve"> Background With growing focus on the environmental and social impacts of the food industry, sustainability has become a central topic in scientific research. Understanding the dynamics of this scientific production motivated a bibliometric analysis to identify trends, key themes, and emerging topics in this field. Methods A bibliometric analysis was conducted using Scopus and Web of Science to examine the evolution of scientific output related to sustainability in the food industry. Techniques such as keyword co-occurrence analysis, evaluation of country and author productivity, and thematic evolution analysis were applied. Additionally, a Cartesian system was used to classify the relevance and recency of identified key terms. Results An exponential growth pattern in scientific output was identified, particularly in 2019, 2021, 2022, and 2023, with a statistical significance of 99.65%. Three main country clusters were observed, with the United Kingdom, United States, and Italy standing out for their productivity and impact. At the author level, Mangla and Luthra were notable for productivity, while Land, Beske, and Van Der Vorst stood out for their impact on the discipline. Thematic evolution analysis revealed a shift from early research on “soil erosion” to current themes like “circular economy,” “supply chain management,” “food safety,” and “wastewater treatment.” The keyword</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pStyle w:val="Heading2"/>
      </w:pPr>
      <w:r>
        <w:t>809. Futures of robotics. Human work in digital transformation</w:t>
      </w:r>
    </w:p>
    <w:p>
      <w:pPr>
        <w:pStyle w:val="SourceNote"/>
      </w:pPr>
      <w:r>
        <w:rPr>
          <w:b/>
        </w:rPr>
        <w:t>Original source (2017):</w:t>
      </w:r>
      <w:r>
        <w:t xml:space="preserve"> https://doi.org/10.1504/ijtm.2017.10004003</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2026:</w:t>
      </w:r>
      <w:r>
        <w:t xml:space="preserve"> Global research on AI-empowering academic evaluation: advances, trends, and prospects — https://doi.org/10.1108/el-01-2026-0028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Purpose This paper aims to systematically review the current research on artificial intelligence (AI)-empowering academic evaluation, and subsequently construct a theoretical framework that aligns with the era of digital intelligence so as to enrich intelligent academic evaluation theory and promote its practical exploration, thereby providing a reference for future studies in the field of AI-empowering academic evaluation. Design/methodology/approach This paper uses bibliometric and content analysis methods. Using the SSCI database within the Web of Science Core Collection as the data source, 587 valid bibliographic records of journal articles in the field of AI-empowering academic evaluation are retrieved and screened. CiteSpace software is used to create keyword clustering knowledge mapping and time period knowledge mapping for research topics from 2015 to 2025. Through these visualizations, the current research landscape and development trends in this field are analyzed in depth. A theoretical framework for enhancing AI-empowering academic evaluation is constructed, and future research prospects are proposed. Findings This paper elaborates on the research progress in the field of internationally AI-empowering academic evaluation across six clustered themes: AI and academic evaluation theories and methods, AI and academic evaluation objects, AI and academic evaluation indica</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2025:</w:t>
      </w:r>
      <w:r>
        <w:t xml:space="preserve"> Geometric studies in point cloud skeletonisation and their applications in robotics — https://openalex.org/W7116212780</w:t>
      </w:r>
    </w:p>
    <w:p>
      <w:pPr/>
      <w:r>
        <w:rPr>
          <w:b/>
        </w:rPr>
        <w:t>Shared claim-specific concepts:</w:t>
      </w:r>
      <w:r>
        <w:t xml:space="preserve"> key, robotics, analyse; EU scope not established. This is a provisional connection, not an outcome finding.</w:t>
      </w:r>
    </w:p>
    <w:p>
      <w:pPr>
        <w:pStyle w:val="SourceNote"/>
      </w:pPr>
      <w:r>
        <w:rPr>
          <w:b/>
        </w:rPr>
        <w:t>Available abstract (not full text):</w:t>
      </w:r>
      <w:r>
        <w:t xml:space="preserve"> Skeletons are commonly known as internal frameworks of humans and animals, but a similar concept is widely used in shape analysis. In this context, a skeleton represents a compact, centred abstraction of an object’s shape, capturing its topological structure. The process of extracting such a representation is known as skeletonisation. As a useful tool in shape analysis, skeletonisation has been extensively studied; however, key challenges remain–particularly in reducing computational overhead, establishing robust evaluation metrics, and applying skeletons to surface generalisation. This thesis addresses these gaps through three major contributions. First, to mitigate the high computational cost of existing skeletonisation methods, we analyse their inefficiencies and propose a novel geometry-based skeletonisation framework. By eliminating redundant computations inherent in prior techniques, our method significantly accelerates the skeletonisation process, outperforming a well-established baseline in terms of speed. Second, the development and comparison of skeletonisation techniques have been hindered by the absence of comprehensive quantitative evaluation tools. To address this, we systematically investigate the fundamental properties of skeletonisation and introduce a suite of evaluation metrics, along with practical numerical techniques. These metrics are validated for their </w:t>
      </w:r>
    </w:p>
    <w:p>
      <w:pPr/>
      <w:r>
        <w:rPr>
          <w:b/>
        </w:rPr>
        <w:t>POSSIBLE 2025:</w:t>
      </w:r>
      <w:r>
        <w:t xml:space="preserve"> ERA5 Reproduces Key Features of Global Precipitation Trends in A Warming Climate — https://doi.org/10.1002/joc.8877</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ABSTRACT The largest impact of future climate changes on societies and ecosystems will likely come from precipitation variability and change. Using the ERA5 dataset, this global study examines precipitation trends using many precipitation parameters across five main components: precipitation amount, precipitation frequency, precipitation type, wet and dry spells, and precipitation extremes. Global trends are summarised by land and ocean areas, by climate region, and then zonally averaged to identify broader precipitation patterns and interactions that may not be apparent in local and regional scale studies, especially with a reanalysis dataset. We find that the ERA5 dataset was able to reproduce key features of precipitation change: the near‐ubiquitous increase in extreme precipitation, the increase in Arctic precipitation, the transition from snowfall to a rainfall regime in mid‐to high latitudes, and the contrasting sign of change in precipitation amount and frequency between land and ocean. Two noteworthy findings from the ERA5 dataset are that (1) spatial intensification of extreme precipitation around the warmest locations (equatorial region) is not matched by temporal intensification around the warmest time of year (summer months) in the northern hemisphere, and (2) the Himalayas show altitudinal stratification of precipitation phase changes. Finally, consistent with othe</w:t>
      </w:r>
    </w:p>
    <w:p>
      <w:pPr/>
      <w:r>
        <w:rPr>
          <w:b/>
        </w:rPr>
        <w:t>POSSIBLE 2025:</w:t>
      </w:r>
      <w:r>
        <w:t xml:space="preserve"> Sustainability in the Food System: trends, key themes, and emerging topics — https://doi.org/10.12688/f1000research.165434.1</w:t>
      </w:r>
    </w:p>
    <w:p>
      <w:pPr/>
      <w:r>
        <w:rPr>
          <w:b/>
        </w:rPr>
        <w:t>Shared claim-specific concepts:</w:t>
      </w:r>
      <w:r>
        <w:t xml:space="preserve"> key, trends, field; EU scope visible. This is a provisional connection, not an outcome finding.</w:t>
      </w:r>
    </w:p>
    <w:p>
      <w:pPr>
        <w:pStyle w:val="SourceNote"/>
      </w:pPr>
      <w:r>
        <w:rPr>
          <w:b/>
        </w:rPr>
        <w:t>Available abstract (not full text):</w:t>
      </w:r>
      <w:r>
        <w:t xml:space="preserve"> Background With growing focus on the environmental and social impacts of the food industry, sustainability has become a central topic in scientific research. Understanding the dynamics of this scientific production motivated a bibliometric analysis to identify trends, key themes, and emerging topics in this field. Methods A bibliometric analysis was conducted using Scopus and Web of Science to examine the evolution of scientific output related to sustainability in the food industry. Techniques such as keyword co-occurrence analysis, evaluation of country and author productivity, and thematic evolution analysis were applied. Additionally, a Cartesian system was used to classify the relevance and recency of identified key terms. Results An exponential growth pattern in scientific output was identified, particularly in 2019, 2021, 2022, and 2023, with a statistical significance of 99.65%. Three main country clusters were observed, with the United Kingdom, United States, and Italy standing out for their productivity and impact. At the author level, Mangla and Luthra were notable for productivity, while Land, Beske, and Van Der Vorst stood out for their impact on the discipline. Thematic evolution analysis revealed a shift from early research on “soil erosion” to current themes like “circular economy,” “supply chain management,” “food safety,” and “wastewater treatment.” The keyword</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pStyle w:val="Heading2"/>
      </w:pPr>
      <w:r>
        <w:t>810. Governance barriers to sustainable energy transitions – Assessing Ireland's capacity towards marine energy futures</w:t>
      </w:r>
    </w:p>
    <w:p>
      <w:pPr>
        <w:pStyle w:val="SourceNote"/>
      </w:pPr>
      <w:r>
        <w:rPr>
          <w:b/>
        </w:rPr>
        <w:t>Original source (2017):</w:t>
      </w:r>
      <w:r>
        <w:t xml:space="preserve"> https://doi.org/10.1016/j.enpol.2017.11.020</w:t>
      </w:r>
    </w:p>
    <w:p>
      <w:pPr/>
      <w:r>
        <w:t>Original wording (abstract; indexed_source_text_not_full_document_verified): We observe that ME governance is complex, as development offshore involves engagement and may often result in conflict.</w:t>
      </w:r>
    </w:p>
    <w:p>
      <w:pPr/>
      <w:r>
        <w:rPr>
          <w:b/>
        </w:rPr>
        <w:t>POSSIBLE 2026:</w:t>
      </w:r>
      <w:r>
        <w:t xml:space="preserve"> Beyond the surface: diagnosing the origins of institutional barriers in the governance of floating offshore wind — https://doi.org/10.1007/s40152-026-00499-4</w:t>
      </w:r>
    </w:p>
    <w:p>
      <w:pPr/>
      <w:r>
        <w:rPr>
          <w:b/>
        </w:rPr>
        <w:t>Shared claim-specific concepts:</w:t>
      </w:r>
      <w:r>
        <w:t xml:space="preserve"> governance, offshore, often, result; EU scope not established. This is a provisional connection, not an outcome finding.</w:t>
      </w:r>
    </w:p>
    <w:p>
      <w:pPr>
        <w:pStyle w:val="SourceNote"/>
      </w:pPr>
      <w:r>
        <w:rPr>
          <w:b/>
        </w:rPr>
        <w:t>Available abstract (not full text):</w:t>
      </w:r>
      <w:r>
        <w:t xml:space="preserve"> The expansion of floating offshore wind in the UK's Celtic Sea presents a major opportunity to accelerate the low-carbon transition while supporting regional economic development. However, its implementation is unfolding within a fragmented governance landscape, which constrains the development of new governance approaches that can deliver on multiple policy objectives, including net-zero, nature recovery, and economic growth. Fragmentation is a well-documented feature of marine governance systems and is commonly associated with institutional barriers such as path dependency, policy layering, and institutional inertia. However, few studies have examined the underlying causes of these barriers, meaning that resulting recommendations often fail to tackle foundational institutional design issues. Drawing on institutional theory and using a diagnostic analytical approach, this study identifies multiple institutional barriers that hinder the development of floating wind in the Celtic Sea. The barriers are traced to underlying institutional attributes, including those that regulate actor roles and responsibilities, structure social networks, and distribute power and authority. The paper concludes that the governance challenges observed in the UK's Celtic Sea arise from systemic and synergistic institutional barriers rather than as a result of isolated policy failures. Therefore, over</w:t>
      </w:r>
    </w:p>
    <w:p>
      <w:pPr/>
      <w:r>
        <w:rPr>
          <w:b/>
        </w:rPr>
        <w:t>POSSIBLE 2026:</w:t>
      </w:r>
      <w:r>
        <w:t xml:space="preserve"> Establishing Meta-Governance to Resolve Public Conflicts in Offshore Wind Power Projects in Korea — https://doi.org/10.3390/su18041711</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The Korean government has established a goal of ‘carbon neutrality by 2050’ to prepare for an era of energy and carbon transition. As one of the measures to achieve the goal, the Korean government is also focusing on expanding offshore wind power generation. However, throughout the power generation project, delays and interruptions frequently occur due to public conflicts that arise between key stakeholders such as local residents, developers, and the government. The existing liberal governance model used to resolve public conflicts is revealing limitations due to the power imbalance between stakeholders and the uncertainty of the responsibility structure. In response, this study proposes a meta-governance model in which the government takes on the coordinating and mediating role among stakeholders as a meta-governor. Through qualitative research methods such as categorizing cases of offshore wind conflicts that have occurred in Korea and analyzing prior studies and policy reports, the analysis demonstrates that this framework can be more effective in resolving public conflicts between stakeholders. Notably, this article integrates the government’s roles as legislator, facilitator, provider, and enforcer mentioned individually in existing meta-governance model research. And it proposes an implementation system designed to manage public conflicts and increase project acceptance </w:t>
      </w:r>
    </w:p>
    <w:p>
      <w:pPr/>
      <w:r>
        <w:rPr>
          <w:b/>
        </w:rPr>
        <w:t>POSSIBLE 2026:</w:t>
      </w:r>
      <w:r>
        <w:t xml:space="preserve"> Offshore Renewable Energy Expansion, Marine Biodiversity Risk, and the Effectiveness of Marine Spatial Planning in Taiwan: A Spatial–Governance Assessment — https://doi.org/10.3390/jmse14131220</w:t>
      </w:r>
    </w:p>
    <w:p>
      <w:pPr/>
      <w:r>
        <w:rPr>
          <w:b/>
        </w:rPr>
        <w:t>Shared claim-specific concepts:</w:t>
      </w:r>
      <w:r>
        <w:t xml:space="preserve"> governance, offshore, conflict; EU scope not established. This is a provisional connection, not an outcome finding.</w:t>
      </w:r>
    </w:p>
    <w:p>
      <w:pPr>
        <w:pStyle w:val="SourceNote"/>
      </w:pPr>
      <w:r>
        <w:rPr>
          <w:b/>
        </w:rPr>
        <w:t>Available abstract (not full text):</w:t>
      </w:r>
      <w:r>
        <w:t xml:space="preserve"> By integrating ecological spatial data, offshore wind energy development zones, and the marine spatial planning (MSP) framework, it is possible to assess the relationship among Taiwan’s offshore renewable energy development, risks to marine biodiversity, and the effectiveness of marine spatial planning. The study adopts a mixed-method spatial–quantitative research design that integrates geospatial modelling, ecological risk assessment, spatial conflict analysis, and governance evaluation for quantification of biodiversity exposure to offshore wind infrastructure. Spatial overlay analysis is employed in the identification of geographic areas where offshore wind development intersects with high biodiversity vulnerability zones. Quantitative spatial indicators are used to assess the extent to which MSP reduces biodiversity exposure to offshore renewable energy infrastructure. The analytical framework integrates two parallel modelling domains including the ecological risk modelling domain and the spatial governance effectiveness domain. The spatial analysis of biodiversity vulnerability across Taiwan’s analyzed offshore areas revealed a BVI range of 0.12 to 0.88. The mean BVI value was 0.51 (S.D. = 0.18). The results further show that over 47% of the analyzed EEZ falls into high and very high vulnerability classes. The total offshore wind area located within high-risk and very high</w:t>
      </w:r>
    </w:p>
    <w:p>
      <w:pPr/>
      <w:r>
        <w:rPr>
          <w:b/>
        </w:rPr>
        <w:t>POSSIBLE 2026:</w:t>
      </w:r>
      <w:r>
        <w:t xml:space="preserve"> Designing Sustainable Marine Conservation Governance Under Offshore Wind Development: An Institutional Architecture for the Taiwan Cetacean Observer Association — https://doi.org/10.3390/su18157811</w:t>
      </w:r>
    </w:p>
    <w:p>
      <w:pPr/>
      <w:r>
        <w:rPr>
          <w:b/>
        </w:rPr>
        <w:t>Shared claim-specific concepts:</w:t>
      </w:r>
      <w:r>
        <w:t xml:space="preserve"> governance, offshore, engagement; EU scope not established. This is a provisional connection, not an outcome finding.</w:t>
      </w:r>
    </w:p>
    <w:p>
      <w:pPr>
        <w:pStyle w:val="SourceNote"/>
      </w:pPr>
      <w:r>
        <w:rPr>
          <w:b/>
        </w:rPr>
        <w:t>Available abstract (not full text):</w:t>
      </w:r>
      <w:r>
        <w:t xml:space="preserve"> Offshore wind development has become an important component of the renewable energy transition, yet its rapid expansion has also generated new sustainability challenges for marine biodiversity conservation. In Taiwan, offshore construction activities such as pile driving, drilling, dredging, and seismic surveys have raised growing concerns about anthropogenic underwater noise and its effects on cetaceans and other marine species Although Taiwan established its Cetacean Observer (TCO) system in 2020, the system remains constrained by fragmented authority, limited information transparency, insufficient professional training, unstable employment pathways, and weak cross-agency coordination. Against this background, this study shifts the analytical focus from diagnosing the deficiencies of the existing TCO system or assessing whether the Taiwan Cetacean Observer Association (TCOA) is beneficial to examining how the TCOA should be institutionally designed as a sustainable governance platform under offshore wind development. Drawing on environmental governance, institutional design, and intermediary organization scholarship, as well as document analysis and in-depth interviews with cetacean observers, contractors, marine conservation practitioners, and experts, this study develops a design-oriented institutional architecture for association-based marine conservation governance. Rathe</w:t>
      </w:r>
    </w:p>
    <w:p>
      <w:pPr/>
      <w:r>
        <w:rPr>
          <w:b/>
        </w:rPr>
        <w:t>POSSIBLE 2026:</w:t>
      </w:r>
      <w:r>
        <w:t xml:space="preserve"> Board Involvement in Information Security Governance: Roles and Perceptions — https://doi.org/10.71583/20261001sn</w:t>
      </w:r>
    </w:p>
    <w:p>
      <w:pPr/>
      <w:r>
        <w:rPr>
          <w:b/>
        </w:rPr>
        <w:t>Shared claim-specific concepts:</w:t>
      </w:r>
      <w:r>
        <w:t xml:space="preserve"> governance, engagement, result; EU scope not established. This is a provisional connection, not an outcome finding.</w:t>
      </w:r>
    </w:p>
    <w:p>
      <w:pPr>
        <w:pStyle w:val="SourceNote"/>
      </w:pPr>
      <w:r>
        <w:rPr>
          <w:b/>
        </w:rPr>
        <w:t>Available abstract (not full text):</w:t>
      </w:r>
      <w:r>
        <w:t xml:space="preserve"> Information Security Governance (ISG) has emerged as a central challenge for boards of directors in an era of digital transformation.As organizations become increasingly dependent on digital infrastructures and data-driven operations, information security risks have evolved from technical concerns into strategic governance issues that affect organizational continuity, value creation, and societal trust.Despite growing regulatory and practical expectations for board involvement in information security, academic understanding of how boards conceptualize, interpret, and enact this responsibility remains fragmented and underdeveloped.This dissertation addresses this gap by examining how boards of directors engage with ISG and how board-level governance of information security is conceptualized and enacted in practice across multiple governance dimensions.The findings show that effective board-level ISG cannot be understood solely in terms of formal structures or compliance requirements.Instead, governance effectiveness depends on the alignment of clearly defined roles with boards' interpretive capacity, the quality of board-CISO relationships, contextual supports, and the way governance routines are enacted in everyday practice.The dissertation makes several contributions to ISG and governance scholarship.It develops a theoretically grounded model of board roles in ISG, extends int</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governance, often, conflict;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Governing through inscription: eDNA biodiversity monitoring in North Sea offshore wind energy parks — https://doi.org/10.1016/j.envsci.2026.104335</w:t>
      </w:r>
    </w:p>
    <w:p>
      <w:pPr/>
      <w:r>
        <w:rPr>
          <w:b/>
        </w:rPr>
        <w:t>Shared claim-specific concepts:</w:t>
      </w:r>
      <w:r>
        <w:t xml:space="preserve"> observe, governance, offshore; EU scope not established. This is a provisional connection, not an outcome finding.</w:t>
      </w:r>
    </w:p>
    <w:p>
      <w:pPr>
        <w:pStyle w:val="SourceNote"/>
      </w:pPr>
      <w:r>
        <w:rPr>
          <w:b/>
        </w:rPr>
        <w:t>Available abstract (not full text):</w:t>
      </w:r>
      <w:r>
        <w:t xml:space="preserve"> The planned expansion of wind energy in the North Sea holds significant implications for marine biodiversity. Wind energy infrastructure can enhance biodiversity by providing hard substrates and reef-like habitats or degrade it by disturbing existing benthic habitat. However, it remains unclear what kinds of biodiversity will in practice be enhanced, in whose interest and for what purpose. To assess the effects of offshore wind energy parks on biodiversity, a range of new monitoring technologies are being developed, including monitoring technologies that incorporate environmental DNA (eDNA). However, which biodiversities eDNA sampling strategies can observe starts with their design; with different assumptions, priorities, material affordances, and ways of knowing biodiversity inscribed into material sampling technologies and their deployment. Using a framework to examine processes of inscription, this paper explores how assumptions and priorities, conditioned by the material affordances of eDNA, affect the design of a monitoring strategy assessing biodiversity enhancement. We show that the process of inscription constitutes a form of de facto governance, whereby the design of an eDNA monitoring strategy in the present shapes how biodiversity is governed in the future. We conclude that inscription is an open-ended process that allows for reflexivity on the socio-material dimensi</w:t>
      </w:r>
    </w:p>
    <w:p>
      <w:pPr/>
      <w:r>
        <w:rPr>
          <w:b/>
        </w:rPr>
        <w:t>POSSIBLE 2025:</w:t>
      </w:r>
      <w:r>
        <w:t xml:space="preserve"> Assessing data governance models for smart cities: Benchmarking data governance models on the basis of European urban requirements — https://doi.org/10.1016/j.scs.2025.106528</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ABSTRACT Smart cities aim to improve residents’ quality of life by implementing effective services, infrastructure, and processes through information and communication technologies. However, without robust smart city data governance, much of the urban data potential remains underexploited, resulting in inefficiencies and missed opportunities for city administrations. This study addresses these challenges by establishing specific, actionable requirements for smart city data governance models, derived from expert interviews with representatives of 27 European cities. From these interviews, recurring themes emerged, such as the need for standardized data formats, clear data access guidelines, and stronger cross-departmental collaboration mechanisms. These requirements emphasize technology independence, flexibility to adapt across different urban contexts, and promoting a data-driven culture. By benchmarking existing data governance models against these newly established urban requirements, the study uncovers significant variations in their ability to address the complex, dynamic nature of smart city data systems. This study thus enhances the theoretical understanding of data governance in smart cities and provides municipal decision-makers with actionable insights for improving data governance strategies. In doing so, it directly supports the broader goals of sustainable urban dev</w:t>
      </w:r>
    </w:p>
    <w:p>
      <w:pPr/>
      <w:r>
        <w:rPr>
          <w:b/>
        </w:rPr>
        <w:t>POSSIBLE 2024:</w:t>
      </w:r>
      <w:r>
        <w:t xml:space="preserve"> The social science of offshore aquaculture: uncertainties, challenges and solution-oriented governance needs — https://doi.org/10.3389/faquc.2024.1384037</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Aquaculture technology is on the move, enabling production in more open and exposed ocean environments around the world. These new systems offer solutions to environmental challenges facing conventional aquaculture, yet new technologies also create new social challenges while potentially exacerbating, or at minimum recreating, others. Offshore aquaculture research and governance are still in early stages, as is our understanding of the social repercussions and challenges associated with development. This paper provides an evaluation and reflection on offshore aquaculture from a social science perspective and is based on findings from a modified World Café group discussion method including the thoughts and experiences of social science experts. Key challenges and uncertainties including a lack of an appropriate regulatory framework, societal perceptions of offshore aquaculture, and offshore aquaculture’s contribution to society were identified. The governance implications of these challenges are discussed as well as the need for social sciences to address these challenges through transformative and transdisciplinary approaches that bridge science and society.</w:t>
      </w:r>
    </w:p>
    <w:p>
      <w:pPr/>
      <w:r>
        <w:rPr>
          <w:b/>
        </w:rPr>
        <w:t>POSSIBLE 2024:</w:t>
      </w:r>
      <w:r>
        <w:t xml:space="preserve"> Practices within the European Union’s Governance — https://doi.org/10.38158/apjeus.22.1.1</w:t>
      </w:r>
    </w:p>
    <w:p>
      <w:pPr/>
      <w:r>
        <w:rPr>
          <w:b/>
        </w:rPr>
        <w:t>Shared claim-specific concepts:</w:t>
      </w:r>
      <w:r>
        <w:t xml:space="preserve"> governance, complex, often; EU scope visible. This is a provisional connection, not an outcome finding.</w:t>
      </w:r>
    </w:p>
    <w:p>
      <w:pPr>
        <w:pStyle w:val="SourceNote"/>
      </w:pPr>
      <w:r>
        <w:rPr>
          <w:b/>
        </w:rPr>
        <w:t>Available abstract (not full text):</w:t>
      </w:r>
      <w:r>
        <w:t xml:space="preserve"> The European Union’s (EU) governance’s practices are infused with power dynamics. When the power dynamics confront the social dialectic, complex effects are generated that often point in opposite directions. For example, such effects may call for integration and also fragmentation. This empirical paper explores whether or how the practice approach allows a focus on the EU’s governance’s practices, imbued with power, leading in opposite directions when confronted by social interactions. It deals with this question by means of three illustrative short cases representing broad-spectrum practices within contemporary European politics: power politics and Covid-19; the EU in Afghanistan after August 2021; and the Micro Communities of Practice and the EU’s foreign policy regarding China’s Belt and Road Initiative. By directing attention towards the power dynamics of one process and its opposite while facing the social context, we show the contribution of the practice approach to the unpacking of the informal practices that are inherent within the EU’s governance.</w:t>
      </w:r>
    </w:p>
    <w:p>
      <w:pPr/>
      <w:r>
        <w:rPr>
          <w:b/>
        </w:rPr>
        <w:t>POSSIBLE 2024:</w:t>
      </w:r>
      <w:r>
        <w:t xml:space="preserve"> Governance networks for agroecology transitions in rural Europe — https://doi.org/10.1016/j.jrurstud.2024.103482</w:t>
      </w:r>
    </w:p>
    <w:p>
      <w:pPr/>
      <w:r>
        <w:rPr>
          <w:b/>
        </w:rPr>
        <w:t>Shared claim-specific concepts:</w:t>
      </w:r>
      <w:r>
        <w:t xml:space="preserve"> governance, conflict; EU scope visible. This is a provisional connection, not an outcome finding.</w:t>
      </w:r>
    </w:p>
    <w:p>
      <w:pPr>
        <w:pStyle w:val="SourceNote"/>
      </w:pPr>
      <w:r>
        <w:rPr>
          <w:b/>
        </w:rPr>
        <w:t>Available abstract (not full text):</w:t>
      </w:r>
      <w:r>
        <w:t xml:space="preserve"> Governance networks, made of diversified and multidisciplinary actors, have a prominent role in the development and implementation of actions for agri-food system transformation that foster both farm-level and societal change, as in the case of agroecology transitions. This article aims at delivering a typology of governance networks, building on evidence from across Europe. By adopting a governance network theory perspective, a multiple case study is developed through participatory research, by characterising the emerging governance networks from transition actions at different levels in the pathway towards agroecological redesign. Three types of governance networks are identified. Adoption networks develop from early-stage actions in the agroecology transition pathway, to facilitate the shift from conventional to more sustainable farming practices. Positioning networks emerge from actions to create a demand for agroecologically produced food, through the development of marketing strategies and the creation of market channels. Amplification networks are the closest to agroecological redesign, originating from actions structured towards participatory planning and the development and reinforcement of diversity and transdisciplinarity. Advisory services play a key role in all three types, by fostering knowledge diffusion and exchange, as well as by developing trust among farmers </w:t>
      </w:r>
    </w:p>
    <w:p>
      <w:pPr/>
      <w:r>
        <w:rPr>
          <w:b/>
        </w:rPr>
        <w:t>POSSIBLE 2023:</w:t>
      </w:r>
      <w:r>
        <w:t xml:space="preserve"> The Regime Complexes for Global Climate Governance — https://doi.org/10.3390/su15119077</w:t>
      </w:r>
    </w:p>
    <w:p>
      <w:pPr/>
      <w:r>
        <w:rPr>
          <w:b/>
        </w:rPr>
        <w:t>Shared claim-specific concepts:</w:t>
      </w:r>
      <w:r>
        <w:t xml:space="preserve"> governance, complex; EU scope not established. This is a provisional connection, not an outcome finding.</w:t>
      </w:r>
    </w:p>
    <w:p>
      <w:pPr>
        <w:pStyle w:val="SourceNote"/>
      </w:pPr>
      <w:r>
        <w:rPr>
          <w:b/>
        </w:rPr>
        <w:t>Available abstract (not full text):</w:t>
      </w:r>
      <w:r>
        <w:t xml:space="preserve"> Climate change is a major challenge for human society in the 21st century and an important issue in the context of sustainable development governance. As the density of institutions in global climate governance increases, so does the potential for overlap and interaction between the various elements of institutions. The current global climate governance issue is no longer solely a state-centric governance model but presents a complex manifestation of a complex of mechanisms. Taking a global climate governance perspective, this paper finds that the institutional complex of global climate governance is shaped by internal factors, such as self-attribution, rights, and interest linkages. External factors include the rapid development of globalization and the non-governmental state of the international community. The internal logic of the institutional complex is based on the institutional fragmentation of multiple interested parties involved in the governance process and the interaction patterns of internal actors. The institutional complex of global climate governance has the following implications for policy-making: the strength of the institutional complex refers to the framework of decision-making; the flexibility of the arguments provides stakeholders with demands related to their interests and inspires different countries to join in the governance of global climate change.</w:t>
      </w:r>
    </w:p>
    <w:p>
      <w:pPr>
        <w:pStyle w:val="Heading2"/>
      </w:pPr>
      <w:r>
        <w:t>811. How much does climate change threaten European forest tree species distributions?</w:t>
      </w:r>
    </w:p>
    <w:p>
      <w:pPr>
        <w:pStyle w:val="SourceNote"/>
      </w:pPr>
      <w:r>
        <w:rPr>
          <w:b/>
        </w:rPr>
        <w:t>Original source (2017):</w:t>
      </w:r>
      <w:r>
        <w:t xml:space="preserve"> https://doi.org/10.1111/gcb.13925</w:t>
      </w:r>
    </w:p>
    <w:p>
      <w:pPr/>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POSSIBLE 2026:</w:t>
      </w:r>
      <w:r>
        <w:t xml:space="preserve"> Shamonda virus in Europe: an emerging threat, the potential role of Culicoides and the need for preparedness. — https://doi.org/10.12834/vetit.4095.42263.1</w:t>
      </w:r>
    </w:p>
    <w:p>
      <w:pPr/>
      <w:r>
        <w:rPr>
          <w:b/>
        </w:rPr>
        <w:t>Shared claim-specific concepts:</w:t>
      </w:r>
      <w:r>
        <w:t xml:space="preserve"> aimed, quantify, threat, three, circulation; EU scope visible. This is a provisional connection, not an outcome finding.</w:t>
      </w:r>
    </w:p>
    <w:p>
      <w:pPr>
        <w:pStyle w:val="SourceNote"/>
      </w:pPr>
      <w:r>
        <w:rPr>
          <w:b/>
        </w:rPr>
        <w:t>Available abstract (not full text):</w:t>
      </w:r>
      <w:r>
        <w:t xml:space="preserve"> The emergence of Shamonda virus (SHAV) in Europe during the summer of 2026 is a timely reminder that the epidemiological boundaries of vector-borne animal viruses are neither fixed nor readily predictable. Shamonda virus is an enveloped, negative-sense, single-stranded RNA virus with three genome segments (L, M and S), belonging to the genus Orthobunyavirus, family Peribunyaviridae, and the Simbu serogroup. Its segmented genome is epidemiologically important because related viruses infecting the same host or vector may exchange genome segments through reassortment, potentially altering antigenicity, host range or pathogenicity. Shamonda virus was first isolated from cattle in Ibadan, Nigeria, in 1965 and was subsequently detected in cattle and Culicoides biting midges in Japan. Its veterinary relevance became clearer after infection was associated with congenital disease in southern Japan: 15 calves exposed in utero during 2015-2016 showed arthrogryposis, torticollis, spinal curvature and central nervous system lesions, and six were stillborn (Hirashima et al., 2017). In South Africa, SHAV RNA was identified retrospectively in Culicoides pools collected between 2012 and 2017 and, in 2021, in the brain and lung of an aborted goat foetus (van der Walt et al., 2023). More recent genomic work also identified a Shuni/SHAV reassortant in a fatal neurological case in a horse, illustra</w:t>
      </w:r>
    </w:p>
    <w:p>
      <w:pPr/>
      <w:r>
        <w:rPr>
          <w:b/>
        </w:rPr>
        <w:t>POSSIBLE 2026:</w:t>
      </w:r>
      <w:r>
        <w:t xml:space="preserve"> How do land-use changes shape future extreme temperatures across Europe? — https://doi.org/10.5194/egusphere-egu26-15125</w:t>
      </w:r>
    </w:p>
    <w:p>
      <w:pPr/>
      <w:r>
        <w:rPr>
          <w:b/>
        </w:rPr>
        <w:t>Shared claim-specific concepts:</w:t>
      </w:r>
      <w:r>
        <w:t xml:space="preserve"> quantify, ranges, climate; EU scope visible. This is a provisional connection, not an outcome finding.</w:t>
      </w:r>
    </w:p>
    <w:p>
      <w:pPr>
        <w:pStyle w:val="SourceNote"/>
      </w:pPr>
      <w:r>
        <w:rPr>
          <w:b/>
        </w:rPr>
        <w:t>Available abstract (not full text):</w:t>
      </w:r>
      <w:r>
        <w:t xml:space="preserve"> In recent decades, Europe has experienced a clear increase in the frequency and intensity of heatwaves, a trend projected to intensify under future climate change. Understanding the processes that modulate extreme heat is therefore critical. While land-use and land-cover changes (LULC) strongly affect surface energy and water exchanges, their role in shaping extreme temperatures at regional scales remains insufficiently explored, particularly under future climate scenarios.Here, we investigate how LUC modulates extreme temperatures and heatwaves over Europe under the SSP3-7.0 scenario using high-resolution regional climate simulations performed with the Weather Research and Forecasting (WRF v4.5.1.4) model. The simulations analyzed contribute to both the EURO-CORDEX framework and the Flagship Pilot Study LUCAS (Land Use and Climate Across Scales). A standard EURO-CORDEX future experiment with fixed LULC is compared with a corresponding simulation following LUCAS Phase 2, in which LULC evolves annually, allowing the assessment of transient LULC effects under future climate conditions.Extreme temperature days are identified using percentile-based thresholds of daily maximum temperature, and heatwaves are defined as periods of consecutive exceedances with varying durations. To enable a consistent comparison of event intensity across experiments, temperature and land-surface variab</w:t>
      </w:r>
    </w:p>
    <w:p>
      <w:pPr/>
      <w:r>
        <w:rPr>
          <w:b/>
        </w:rPr>
        <w:t>POSSIBLE 2026:</w:t>
      </w:r>
      <w:r>
        <w:t xml:space="preserve"> An Integrated Assessment of European Soil Health and Restoration Potential — https://doi.org/10.1002/sae2.70163</w:t>
      </w:r>
    </w:p>
    <w:p>
      <w:pPr/>
      <w:r>
        <w:rPr>
          <w:b/>
        </w:rPr>
        <w:t>Shared claim-specific concepts:</w:t>
      </w:r>
      <w:r>
        <w:t xml:space="preserve"> aimed, moderate; EU scope visible. This is a provisional connection, not an outcome finding.</w:t>
      </w:r>
    </w:p>
    <w:p>
      <w:pPr>
        <w:pStyle w:val="SourceNote"/>
      </w:pPr>
      <w:r>
        <w:rPr>
          <w:b/>
        </w:rPr>
        <w:t>Available abstract (not full text):</w:t>
      </w:r>
      <w:r>
        <w:t xml:space="preserve"> ABSTRACT Soils host a significant proportion of biodiversity on Earth providing ecosystem functions vital to human well‐being, making it imperative to include them and their ecological features when addressing sustainability goals. We performed a comprehensive assessment of soil health across Europe by explicitly integrating biotic and abiotic indicators alongside soil degradation processes. We further identified areas with high restoration potential, quantifying the potential positive changes achievable when mitigating degradation processes. Our results show that 93% of soils in Europe are either degraded (62%) or in a moderate state (31%), with only 7% having a good (6.5%) or high (0.5%) health status. We found Southeast Europe to have the highest restoration potential, particularly for forests and annual crops. By providing spatially explicit indicators of soil health and restoration potential, our approach offers valuable guidance to support sustainable soil management and inform policies aimed at enhancing soil health across Europe.</w:t>
      </w:r>
    </w:p>
    <w:p>
      <w:pPr/>
      <w:r>
        <w:rPr>
          <w:b/>
        </w:rPr>
        <w:t>POSSIBLE 2026:</w:t>
      </w:r>
      <w:r>
        <w:t xml:space="preserve"> Quantifying Land-Surface Effects on Cloud Occurrence Using Neural Networks — https://doi.org/10.5194/egusphere-egu26-17132</w:t>
      </w:r>
    </w:p>
    <w:p>
      <w:pPr/>
      <w:r>
        <w:rPr>
          <w:b/>
        </w:rPr>
        <w:t>Shared claim-specific concepts:</w:t>
      </w:r>
      <w:r>
        <w:t xml:space="preserve"> quantify, period; EU scope visible. This is a provisional connection, not an outcome finding.</w:t>
      </w:r>
    </w:p>
    <w:p>
      <w:pPr>
        <w:pStyle w:val="SourceNote"/>
      </w:pPr>
      <w:r>
        <w:rPr>
          <w:b/>
        </w:rPr>
        <w:t>Available abstract (not full text):</w:t>
      </w:r>
      <w:r>
        <w:t xml:space="preserve"> The aim of this study is to investigate the effect of land surface conditions on cloud occurrence by quantifying how they modulate the influence of large-scale meteorological conditions.The land surface can modulate clouds through its influence on surface heat fluxes, local moisture availability, and surface roughness. However, quantifying these effects from observations remains challenging, as the temporal and spatial variability of cloud occurrence is large and influencing factors covary.Here, we employ a convolutional neural network (CNN) to predict satellite-observed cloud fraction over Europe for the period 1983–2020. Cloud fraction is taken from the CM SAF Cloud Fractional Cover dataset based on Meteosat First and Second Generation observations (COMET). Predictors are derived from the ERA5 reanalysis, including ERA5-Land as well as ERA5 fields on single and pressure levels. To delineate the land surface impact on cloud occurrence predictability, we develop two model configurations: one driven solely by large-scale meteorological conditions, and a second one that additionally incorporates land surface variables. Both models achieve high predictive skill (R² &gt; 0.8), with a slight increase in performance when land surface conditions are included. Sensitivity analyses using permutation feature importance and partial dependency indicates that cloud occurrence is primarily cont</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Outpacing climate change: adaptation to heatwaves in Europe — https://doi.org/10.1007/s00484-025-02872-0</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Assessing extreme sea level rise impacts on coastal agriculture in Europe and North Africa — https://doi.org/10.1038/s41598-025-31630-w</w:t>
      </w:r>
    </w:p>
    <w:p>
      <w:pPr/>
      <w:r>
        <w:rPr>
          <w:b/>
        </w:rPr>
        <w:t>Shared claim-specific concepts:</w:t>
      </w:r>
      <w:r>
        <w:t xml:space="preserve"> level, climate; EU scope visible. This is a provisional connection, not an outcome finding.</w:t>
      </w:r>
    </w:p>
    <w:p>
      <w:pPr>
        <w:pStyle w:val="SourceNote"/>
      </w:pPr>
      <w:r>
        <w:rPr>
          <w:b/>
        </w:rPr>
        <w:t>Available abstract (not full text):</w:t>
      </w:r>
      <w:r>
        <w:t xml:space="preserve"> Sea Level Rise refers to the long-term increase of sea level. This phenomenon is primarily driven by the melting of ice caps and the thermal expansion of the oceans. Extreme Sea Level Rise (ESLR) events occur when SLR combines with temporary phenomena such as storm surges, tides, and waves, creating potentially damaging coastal flooding. The accelerating impact of climate change has raised the attention on ESLR and its effects on coastal regions. This study focuses on ESLR and its potential impacts on Europe and North Africa up to 2100, with particular attention to agriculture. Utilising Joint Research Centre (JRC) Global Extreme Sea Level projections and fine-scale DTM, we mapped areas vulnerable to ESLR under Representative Concentration Pathway (RCP) scenarios 4.5 and 8.5. Through a topological approach, we generated spatially explicit maps of at-risk regions. Then, the magnitude of ESLR's impact on local agricultural systems was estimated by overlaying crop production data from FAO (GAEZ 2015+) with different flood scenarios. Findings reveal that ESLR can severely affect coastal agriculture, suggesting significant potential agricultural losses (from $800 million up to $1.5 billion per year in the next 100 years), impacting food security and economic stability. This research underscores the urgent need for adaptive strategies, including the construction of dykes and sea barr</w:t>
      </w:r>
    </w:p>
    <w:p>
      <w:pPr/>
      <w:r>
        <w:rPr>
          <w:b/>
        </w:rPr>
        <w:t>POSSIBLE 2025:</w:t>
      </w:r>
      <w:r>
        <w:t xml:space="preserve"> Honey bee food resources under threat from climate change — https://doi.org/10.1038/s41467-025-68085-6</w:t>
      </w:r>
    </w:p>
    <w:p>
      <w:pPr/>
      <w:r>
        <w:rPr>
          <w:b/>
        </w:rPr>
        <w:t>Shared claim-specific concepts:</w:t>
      </w:r>
      <w:r>
        <w:t xml:space="preserve"> threat, climate; EU scope visible. This is a provisional connection, not an outcome finding.</w:t>
      </w:r>
    </w:p>
    <w:p>
      <w:pPr>
        <w:pStyle w:val="SourceNote"/>
      </w:pPr>
      <w:r>
        <w:rPr>
          <w:b/>
        </w:rPr>
        <w:t>Available abstract (not full text):</w:t>
      </w:r>
      <w:r>
        <w:t xml:space="preserve"> Plant-pollinator interactions are essential for plant productivity but face growing threats from climate change, including vegetation loss and mismatches in flowering. Yet, the consequences for bee food resources remain poorly understood at continental scales. Here, we analyse 2 500 samples collected by honey bees (Apis mellifera) between May and August 2023 from 310 locations across Europe using ITS2 metabarcoding. We derive climatic response curves of floral resources and assess exceedance risks of interaction loss under projected climate scenarios. Our findings reveal that rising temperatures and reduced precipitation decrease the diversity of foraging resources across Europe, pushing many plants beyond critical limits. When both warming and drying coincide, the potential for resilience through temporal or spatial buffering is strongly constrained. These declines pose serious risks to bee nutrition, ecosystem functioning, and food security. Our study underscores the urgency of mitigating climate change to preserve vital plant-pollinator systems and the services they sustain.</w:t>
      </w:r>
    </w:p>
    <w:p>
      <w:pPr/>
      <w:r>
        <w:rPr>
          <w:b/>
        </w:rPr>
        <w:t>POSSIBLE 2025:</w:t>
      </w:r>
      <w:r>
        <w:t xml:space="preserve"> Antimicrobial Resistance in European Companion Animals Practice: A One Health Approach — https://doi.org/10.3390/ani15121708</w:t>
      </w:r>
    </w:p>
    <w:p>
      <w:pPr/>
      <w:r>
        <w:rPr>
          <w:b/>
        </w:rPr>
        <w:t>Shared claim-specific concepts:</w:t>
      </w:r>
      <w:r>
        <w:t xml:space="preserve"> threat, level, species; EU scope visible. This is a provisional connection, not an outcome finding.</w:t>
      </w:r>
    </w:p>
    <w:p>
      <w:pPr>
        <w:pStyle w:val="SourceNote"/>
      </w:pPr>
      <w:r>
        <w:rPr>
          <w:b/>
        </w:rPr>
        <w:t>Available abstract (not full text):</w:t>
      </w:r>
      <w:r>
        <w:t xml:space="preserve"> Antimicrobial resistance (AMR) is a global health emergency. The growing levels of multidrug-resistant bacteria in companion animals represent a critical but under-recognized threat, as pets can act as reservoirs and vectors of resistant pathogens, and bacteria can spread between species. Despite living in close proximity to humans and sharing many of the same antibiotic classes, companion animals remain largely overlooked in the AMR control strategies. A major obstacle to combating AMR in Europe is the absence of a mandatory and uniform surveillance system. Without a standardized approach, data collection remains inconsistent, leading to knowledge gaps and hindering effective investigation and policymaking. Surveillance failures prevent a comprehensive understanding of resistance patterns, making it difficult to implement timely and evidence-based measures. Existing laws and regulations are insufficient to contain the growing threat of AMR. Current policies fail to enforce strict antimicrobial stewardship across all European countries and lack the necessary scope to address resistance effectively. Urgent action is required-Europe must implement stronger, harmonized surveillance systems, enforce stricter veterinary antimicrobial regulations, and develop more active and binding programs to curb resistance before it reaches an uncontrollable level. A One Health approach, recogniz</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aimed, forest, climate, developed;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threat, species, climate;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pStyle w:val="Heading2"/>
      </w:pPr>
      <w:r>
        <w:t>812. Improved Consistency of Climate Projections over Europe after Accounting for Atmospheric Circulation Variability</w:t>
      </w:r>
    </w:p>
    <w:p>
      <w:pPr>
        <w:pStyle w:val="SourceNote"/>
      </w:pPr>
      <w:r>
        <w:rPr>
          <w:b/>
        </w:rPr>
        <w:t>Original source (2017):</w:t>
      </w:r>
      <w:r>
        <w:t xml:space="preserve"> https://doi.org/10.1175/jcli-d-16-0695.1</w:t>
      </w:r>
    </w:p>
    <w:p>
      <w:pPr/>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POSSIBLE 2026:</w:t>
      </w:r>
      <w:r>
        <w:t xml:space="preserve"> A Comprehensive NMVOC Speciation Database for European Atmospheric Modelling — https://doi.org/10.1038/s41597-026-07538-z</w:t>
      </w:r>
    </w:p>
    <w:p>
      <w:pPr/>
      <w:r>
        <w:rPr>
          <w:b/>
        </w:rPr>
        <w:t>Shared claim-specific concepts:</w:t>
      </w:r>
      <w:r>
        <w:t xml:space="preserve"> atmospheric, anthropogenic; EU scope visible. This is a provisional connection, not an outcome finding.</w:t>
      </w:r>
    </w:p>
    <w:p>
      <w:pPr>
        <w:pStyle w:val="SourceNote"/>
      </w:pPr>
      <w:r>
        <w:rPr>
          <w:b/>
        </w:rPr>
        <w:t>Available abstract (not full text):</w:t>
      </w:r>
      <w:r>
        <w:t xml:space="preserve"> Speciated non-methane volatile organic compound (NMVOC) emissions are essential for air quality modelling, as they underpin atmospheric oxidation processes, secondary pollutant formation, and the evaluation of mitigation strategies. Yet, these emissions remains poorly quantified in Europe. Here, we introduce a new database of NMVOC speciation profiles that prioritises European-specific data consistent with present-day technologies, fuels, and regulatory frameworks, and covers all anthropogenic emission sources reported by European countries. The database includes 130 chemical speciation profiles and over 900 individual NMVOC species, systematically compiled and harmonised from the literature. To facilitate integration within official emission inventories, the profiles are mapped to the Selected Nomenclature for Air Pollution (SNAP) and Nomenclature for Reporting (NFR) sector classifications. Each profile provides species-level mass fractions and their aggregation into the 25 Global Emissions Inventory Activity (GEIA) NMVOC groups, enabling straightforward integration with chemical mechanisms used in contemporary air quality models. In addition, a ready-to-use file compatible with the Copernicus Atmosphere Monitoring Service European regional emission inventory (CAMS-REG) is provided.</w:t>
      </w:r>
    </w:p>
    <w:p>
      <w:pPr/>
      <w:r>
        <w:rPr>
          <w:b/>
        </w:rPr>
        <w:t>POSSIBLE 2026:</w:t>
      </w:r>
      <w:r>
        <w:t xml:space="preserve"> Evaluating effects of the terrain on modelled winds in multiple atmospheric model datasets — https://doi.org/10.5194/wes-2026-24</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Abstract. Numerical atmospheric models are widely used as a meteorological data source when planning the locations of new wind farms. However, before relying on model output for decision-making, it must be verified against observations. Due to commercial restrictions on the availability of observation data, previous studies on atmospheric model validation for wind energy applications are often limited to a single model or a small geographical region. This work performs a large-scale validation of modelled winds at wind turbine heights from seven model datasets against data from more than 500 observation campaigns across Europe. Principal component analysis is used to identify spatial, diurnal, and seasonal patterns of wind speed and direction biases. The results of the analysis show that all seven models exhibit similar spatial and temporal patterns of wind speed bias. Models generally show a more positive wind-speed bias in the Central European Plain and a more negative bias in mountainous regions, namely Southern Europe and the Scandinavian Mountains. Moreover, the temporal patterns of biases also differ between these regions, and wind direction bias shows the same temporal and spatial patterns as the wind speed bias. We show that these wind speed and direction biases can be explained by differences in terrain height between the models and the real world. The magnitude of the</w:t>
      </w:r>
    </w:p>
    <w:p>
      <w:pPr/>
      <w:r>
        <w:rPr>
          <w:b/>
        </w:rPr>
        <w:t>POSSIBLE 2026:</w:t>
      </w:r>
      <w:r>
        <w:t xml:space="preserve"> Climatological Characteristics and Atmospheric Circulation Associated With Three‐Dimensional Heat Wave Types in Middle Europe — https://doi.org/10.1029/2025ea004784</w:t>
      </w:r>
    </w:p>
    <w:p>
      <w:pPr/>
      <w:r>
        <w:rPr>
          <w:b/>
        </w:rPr>
        <w:t>Shared claim-specific concepts:</w:t>
      </w:r>
      <w:r>
        <w:t xml:space="preserve"> differences, atmospheric, circulation, different, pressure; EU scope visible. This is a provisional connection, not an outcome finding.</w:t>
      </w:r>
    </w:p>
    <w:p>
      <w:pPr>
        <w:pStyle w:val="SourceNote"/>
      </w:pPr>
      <w:r>
        <w:rPr>
          <w:b/>
        </w:rPr>
        <w:t>Available abstract (not full text):</w:t>
      </w:r>
      <w:r>
        <w:t xml:space="preserve"> Abstract A novel classification of three‐dimensional heat wave types is applied to Middle Europe over 1979–2022. Heat waves are classified according to their vertical structure of temperature anomalies in the ERA5 reanalysis into near‐surface (HWG), lower‐tropospheric (HWL), higher‐tropospheric (HWH), and omnipresent (HWO). Jenkinson–Collison classification is used to link circulation types (CTs) to individual heat wave types, and their climatological characteristics are studied in station‐based E‐OBS data. We show that the surface temperature anomalies are largest during HWG, which also are characterized by the driest conditions before onset. In all heat wave types, CTs with southerly flow are more common compared to the June–September climatology, but differences among the heat wave types are found for other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An important role of anticyclonic circulation supporting gradual warming is found before the onset of most heat wave types, except for HWH. The differences in circulation characteristics among the heat wave types are smaller after their termination, w</w:t>
      </w:r>
    </w:p>
    <w:p>
      <w:pPr/>
      <w:r>
        <w:rPr>
          <w:b/>
        </w:rPr>
        <w:t>POSSIBLE 2026:</w:t>
      </w:r>
      <w:r>
        <w:t xml:space="preserve"> Trends in short-term precipitation variability and their connection to atmospheric circulation — https://doi.org/10.5194/ems2026-287</w:t>
      </w:r>
    </w:p>
    <w:p>
      <w:pPr/>
      <w:r>
        <w:rPr>
          <w:b/>
        </w:rPr>
        <w:t>Shared claim-specific concepts:</w:t>
      </w:r>
      <w:r>
        <w:t xml:space="preserve"> differences, atmospheric, circulation, pressure; EU scope visible. This is a provisional connection, not an outcome finding.</w:t>
      </w:r>
    </w:p>
    <w:p>
      <w:pPr>
        <w:pStyle w:val="SourceNote"/>
      </w:pPr>
      <w:r>
        <w:rPr>
          <w:b/>
        </w:rPr>
        <w:t>Available abstract (not full text):</w:t>
      </w:r>
      <w:r>
        <w:t xml:space="preserve"> Long-term changes in precipitation occurrence and short-term variability influence drought and flood risk and therefore represent an important aspect of climate change assessment. In this study, we analyse trends in wet-day probability and precipitation persistence across Europe and evaluate their consistency across three widely used datasets: station observations (ECA&amp;D), gridded observations (E-OBS), and the ERA5 reanalysis. Wet-day probability is defined as the seasonal probability of daily precipitation exceeding 1 mm. Short-term variability is characterized by (i) transition probabilities between dry and wet days (dry-to-wet and wet-to-wet), assuming a two-state first-order Markov process, and (ii) persistence of precipitation quantified as the lag-1 autocorrelation of this process.The analysis covers the period 1961–2020 and is conducted separately for seasons, with particular focus on winter and summer. Trends are estimated using non-parametric (Mann-Kendall test, Kendall statistic). To interpret spatial patterns and assess potential drivers, precipitation characteristics are related to atmospheric circulation types derived from sea-level pressure using the Jenkinson–Collison classification, which describes daily flow direction, strength, and vorticity. Circulation types are further categorized as conducive or non-conducive to wet days based on their relative wet-day fre</w:t>
      </w:r>
    </w:p>
    <w:p>
      <w:pPr/>
      <w:r>
        <w:rPr>
          <w:b/>
        </w:rPr>
        <w:t>POSSIBLE 2026:</w:t>
      </w:r>
      <w:r>
        <w:t xml:space="preserve"> Day-to-day temperature variability, atmospheric fronts, and circulation types: How they fit together? — https://doi.org/10.5194/ems2026-367</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This preliminary study builds on previous work on the climatology of atmospheric fronts over Europe and their relationship with day-to-day near-surface air temperature variability. Earlier analyses have shown that temperature responses to frontal passages exhibit substantial spatial and seasonal variability, suggesting the influence of multiple interacting atmospheric processes.The present contribution focuses on the role of large-scale circulation in modulating day-to-day temperature differences (DTD) associated with atmospheric fronts. Fronts are identified using an objective detection method applied to ERA5 reanalysis data for the period 1961–2020 over Europe. The synoptic-scale circulation is characterized by the Jenkinson–Collison classification derived from sea level pressure fields and aggregated into a reduced set of circulation types.The analysis considers both warm and cold fronts during winter and summer seasons. In addition to temperature changes, the relationship between circulation types and frontal occurrence is examined using conditional probabilities, which quantify how strongly individual circulation types favour the occurrence of a given front type relative to its climatological frequency. This framework enables a systematic assessment of the links between frontal passages, temperature variability, and large-scale circulation.Preliminary results indicate that</w:t>
      </w:r>
    </w:p>
    <w:p>
      <w:pPr/>
      <w:r>
        <w:rPr>
          <w:b/>
        </w:rPr>
        <w:t>POSSIBLE 2026:</w:t>
      </w:r>
      <w:r>
        <w:t xml:space="preserve"> Role of atmospheric circulation and anthropogenic forcing in the extreme 2025 European summer heatwave — https://doi.org/10.1088/1748-9326/aeb1e0</w:t>
      </w:r>
    </w:p>
    <w:p>
      <w:pPr/>
      <w:r>
        <w:rPr>
          <w:b/>
        </w:rPr>
        <w:t>Shared claim-specific concepts:</w:t>
      </w:r>
      <w:r>
        <w:t xml:space="preserve"> atmospheric, circulation, forcing, level, anthropogenic; EU scope visible. This is a provisional connection, not an outcome finding.</w:t>
      </w:r>
    </w:p>
    <w:p>
      <w:pPr>
        <w:pStyle w:val="SourceNote"/>
      </w:pPr>
      <w:r>
        <w:rPr>
          <w:b/>
        </w:rPr>
        <w:t>Available abstract (not full text):</w:t>
      </w:r>
      <w:r>
        <w:t xml:space="preserve"> Abstract In summer 2025, an extreme heatwave propagated northeastward across Europe, sequentially affecting Southwestern (SWEU) and Northern (NEU) Europe with record-breaking durations in the 1979–2025 record. However, the roles of atmospheric circulation and anthropogenic forcing in the 2025 European high-temperature conditions remain unclear. Here we show that atmospheric circulation explains 82.5% (95% uncertainty interval: 65.0%–99.0%) and 51.9% (37.0%–65.2%) of the regional mean maximum temperature ( T max ) anomalies averaged over the respective heatwave periods in SWEU and NEU, respectively, based on the flow analogue method. Extreme anticyclonic circulation is associated with extreme Arctic Oscillation and British–Baikal Corridor (BBC) patterns in SWEU, and BBC and Atlantic–Eurasia patterns in NEU. Detection and attribution using Coupled Model Intercomparison Project Phase 6 simulations show that anthropogenic forcing increases the probability of exceeding the European mean June-July T max level observed in 2025 by a factor of 194.0 (95% confidence interval: 128.3–298.6). Greenhouse gas forcing increases the likelihood of exceeding this threshold, whereas anthropogenic aerosol forcing reduces it. These results provide insights into the roles of atmospheric circulation and anthropogenic forcing in European high-temperature conditions.</w:t>
      </w:r>
    </w:p>
    <w:p>
      <w:pPr/>
      <w:r>
        <w:rPr>
          <w:b/>
        </w:rPr>
        <w:t>POSSIBLE 2026:</w:t>
      </w:r>
      <w:r>
        <w:t xml:space="preserve"> Influence of atmospheric circulation on temperature extremes in mountainous regions of Central Europe during 1961–2025 — https://doi.org/10.1007/s00704-026-06605-0</w:t>
      </w:r>
    </w:p>
    <w:p>
      <w:pPr/>
      <w:r>
        <w:rPr>
          <w:b/>
        </w:rPr>
        <w:t>Shared claim-specific concepts:</w:t>
      </w:r>
      <w:r>
        <w:t xml:space="preserve"> atmospheric, circulation, statistically, significant, level; EU scope visible. This is a provisional connection, not an outcome finding.</w:t>
      </w:r>
    </w:p>
    <w:p>
      <w:pPr>
        <w:pStyle w:val="SourceNote"/>
      </w:pPr>
      <w:r>
        <w:rPr>
          <w:b/>
        </w:rPr>
        <w:t>Available abstract (not full text):</w:t>
      </w:r>
      <w:r>
        <w:t xml:space="preserve"> Abstract Recent climate change is most clearly manifested in rising global temperatures, with regionally amplified warming observed in Central Europe, including its mountainous areas. This study analyses trends in mean annual and seasonal air temperatures and evaluates the influence of atmospheric circulation on temperature extremes in Central European mountains during 1961–2025, comparing the periods 1961–1990 and 1991–2025. Homogenised station-based temperature data from the Czech and Slovak Hydrometeorological Institutes were combined with ERA5 geopotential height fields at the 850 hPa level to characterise atmospheric circulation. The results show a statistically significant increase in mean annual temperatures across all mountain ranges, ranging from 0.28 °C/10 years in the Bohemian Forest to 0.44 °/10 years in the East Slovak Mountains, with a pronounced west–east gradient in warming intensity. Changes in atmospheric circulation are characterised by an increasing frequency of anticyclonic types and a decrease in cyclonic circulation, particularly during spring and summer. Extremely warm days became more frequent, while extremely cold days generally declined. A decomposition analysis revealed that these changes were driven primarily by changes in the thermal characteristics of individual circulation types rather than by changes in circulation-type frequency. Changes in cir</w:t>
      </w:r>
    </w:p>
    <w:p>
      <w:pPr/>
      <w:r>
        <w:rPr>
          <w:b/>
        </w:rPr>
        <w:t>POSSIBLE 2026:</w:t>
      </w:r>
      <w:r>
        <w:t xml:space="preserve"> European summer drying largely driven by atmospheric circulation changes since the 1980s — https://doi.org/10.1038/s41561-026-02050-w</w:t>
      </w:r>
    </w:p>
    <w:p>
      <w:pPr/>
      <w:r>
        <w:rPr>
          <w:b/>
        </w:rPr>
        <w:t>Shared claim-specific concepts:</w:t>
      </w:r>
      <w:r>
        <w:t xml:space="preserve"> atmospheric, circulation, historical, pressure; EU scope visible. This is a provisional connection, not an outcome finding.</w:t>
      </w:r>
    </w:p>
    <w:p>
      <w:pPr>
        <w:pStyle w:val="SourceNote"/>
      </w:pPr>
      <w:r>
        <w:rPr>
          <w:b/>
        </w:rPr>
        <w:t>Available abstract (not full text):</w:t>
      </w:r>
      <w:r>
        <w:t xml:space="preserve"> Abstract In recent decades, Europe has experienced more frequent and severe droughts driven by two mechanisms: shifts in large-scale atmospheric circulation, altering the frequency and position of pressure systems, and thermodynamic changes, which cause background warming, raise evaporative demand and affect precipitation. However, the relative roles of these drivers in observed drought trends remain uncertain. Here we disentangle their contributions using nudged atmospheric circulation model simulations, which isolate the circulation-induced component of European hydroclimatic variability and trends. We show that circulation-induced effects play a substantial role in long-term summer drying. These changes account for about 55% of the observed summer soil moisture decline in mid-latitude Europe since 1980 and about 42% of increased atmospheric vapour pressure deficit. Further, we demonstrate that more frequent anticyclonic, warm and dry weather conditions linked to these circulation changes amplify the thermodynamic component of drying. Whereas our study improves our understanding of the mechanisms behind European hydroclimatic trends, these findings also highlight the high uncertainty for European hydroclimate projections because future circulation changes remain poorly constrained. If historical circulation trends were partly externally forced, circulation-driven drying may c</w:t>
      </w:r>
    </w:p>
    <w:p>
      <w:pPr/>
      <w:r>
        <w:rPr>
          <w:b/>
        </w:rPr>
        <w:t>POSSIBLE 2025:</w:t>
      </w:r>
      <w:r>
        <w:t xml:space="preserve"> Climatological characteristics and atmospheric circulation associated with 3D heat wave types in European regions — https://doi.org/10.5194/egusphere-egu25-9748</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pPr/>
      <w:r>
        <w:rPr>
          <w:b/>
        </w:rPr>
        <w:t>POSSIBLE 2025:</w:t>
      </w:r>
      <w:r>
        <w:t xml:space="preserve"> Links to atmospheric circulation vary for individual heat wave types in Middle Europe — https://doi.org/10.5194/egusphere-egu25-9815</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pPr/>
      <w:r>
        <w:rPr>
          <w:b/>
        </w:rPr>
        <w:t>POSSIBLE 2025:</w:t>
      </w:r>
      <w:r>
        <w:t xml:space="preserve"> Using different TROPOMI XCH4 retrieval products in atmospheric inversions of CH4: a comparison and reconciliation over Europe — https://doi.org/10.5194/egusphere-egu25-9567</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Retrievals of column average methane mixing ratio (XCH4) from satellites can provide a wealth of information on the fluxes of CH4. The TROPOMI instrument onboard the satellite Sentinel-5P is particularly interesting for flux estimation using atmospheric inversions as it provides global coverage with relatively high-resolution ground pixels of 5.5 × 7.5 km2 (at nadir). Furthermore, there are several different retrieval products available for TROPOMI XCH4, making it possible to compare these and quantify the effect that differences between them have on CH4 fluxes from atmospheric inversions.In this study, we have compared XCH4 from three retrieval products: i) the official ESA product provided by SRON, ii) the Weighting Function Modified Differential (WFMD) product from the University of Bremen, and iii) the blended TROPOMI-GOSAT product (S5P-BLND) from Harvard University, in atmospheric inversions over Europe for the year 2020. In addition, we compare fluxes from each of these with those derived with an inversion using ground-based observations from the ICOS atmospheric network. For flux estimation, we use the Bayesian inversion framework, FLEXINVERT, and the Lagrangian atmospheric transport model, FLEXPART, driven by ECMWF ERA5 meteorological reanalysis data.We find that the fluxes derived using WFMD and S5P-BLND products agree better with those derived using ICOS data. The dif</w:t>
      </w:r>
    </w:p>
    <w:p>
      <w:pPr/>
      <w:r>
        <w:rPr>
          <w:b/>
        </w:rPr>
        <w:t>POSSIBLE 2025:</w:t>
      </w:r>
      <w:r>
        <w:t xml:space="preserve"> Historical (2005-2019) reconstruction of regional scale climate and atmospheric composition over Europe — https://doi.org/10.5194/ems2025-484</w:t>
      </w:r>
    </w:p>
    <w:p>
      <w:pPr/>
      <w:r>
        <w:rPr>
          <w:b/>
        </w:rPr>
        <w:t>Shared claim-specific concepts:</w:t>
      </w:r>
      <w:r>
        <w:t xml:space="preserve"> differences, atmospheric, different, historical, concentration, significant; EU scope visible. This is a provisional connection, not an outcome finding.</w:t>
      </w:r>
    </w:p>
    <w:p>
      <w:pPr>
        <w:pStyle w:val="SourceNote"/>
      </w:pPr>
      <w:r>
        <w:rPr>
          <w:b/>
        </w:rPr>
        <w:t>Available abstract (not full text):</w:t>
      </w:r>
      <w:r>
        <w:t xml:space="preserve"> The main objective of the Horizon Europe project FOCI (non-CO2 Forcers and their Climate, Weather, Air Quality and Health Impacts) is to improve our knowledge of individual and cumulative contribution of non-CO2 radiative forcers and their precursors on climate and air quality. Due to their short lifetime and their non-uniform emission footprint, the short-lived climate forcers (SLCF) are expected to have different impacts at regional scale. To describe and assess the impact of SLCF, we have developed a framework of coupling global climate model, EC-Earth3, to regional climate models (RCMs), to conduct historical simulations over Europe using CEDS SLCF emissions and LUCAS land cover to maintain consistency with CMIP6 simulations. During the first phase of the project RCMs, consisting of meteorological and chemical transport models WRF+CMAQ and WRF+FARM, have been applied over the CORDEX European domain for years 2005 -19 driven by ERA5 meteorological and CAMS global atmospheric composition reanalyses to provide an historical baseline simulation to be compared and verified versus observations and existing meteorological and tracers’ concentration reanalyses. The verification of the modelling systems performances reconstructing meteorological variables, pollutants’ concentration and their variability observed during the historical period is necessary to validate their planned dow</w:t>
      </w:r>
    </w:p>
    <w:p>
      <w:pPr>
        <w:pStyle w:val="Heading2"/>
      </w:pPr>
      <w:r>
        <w:t>813. Improving the use of crop models for risk assessment and climate change adaptation</w:t>
      </w:r>
    </w:p>
    <w:p>
      <w:pPr>
        <w:pStyle w:val="SourceNote"/>
      </w:pPr>
      <w:r>
        <w:rPr>
          <w:b/>
        </w:rPr>
        <w:t>Original source (2017):</w:t>
      </w:r>
      <w:r>
        <w:t xml:space="preserve"> https://doi.org/10.1016/j.agsy.2017.07.010</w:t>
      </w:r>
    </w:p>
    <w:p>
      <w:pPr/>
      <w:r>
        <w:t>Original wording (abstract; indexed_source_text_not_full_document_verified): The analysis highlights the limitations of focussing only on projections of future impacts and adaptation options using pre-determined time slices.</w:t>
      </w:r>
    </w:p>
    <w:p>
      <w:pPr/>
      <w:r>
        <w:rPr>
          <w:b/>
        </w:rPr>
        <w:t>POSSIBLE 2026:</w:t>
      </w:r>
      <w:r>
        <w:t xml:space="preserve"> Climate Change and Indian Crop Yields: Impacts and Projections — https://doi.org/10.1177/00252921261438943</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Climate change constitutes a significant threat to agricultural productivity, particularly in India, where nearly half of the population relies on agriculture for their livelihoods. The sector is increasingly exposed to rising temperatures, irregular precipitation patterns and the intensification of extreme climatic events. While previous studies have identified climate-induced yield reductions in staple crops, much of the existing evidence is based on short-term analyses and lacks a comprehensive evaluation across diverse crop groups. This study addresses this limitation by employing a panel dataset covering 20 crops across 20 Indian states from 1966 to 2016 to assess both historical impacts and projected outcomes under shared Socioeconomic Pathways (SSP) climate scenarios. The analysis employs crop-specific, non-linear panel regression models that incorporate key climatic variables, including temperature, precipitation, wind speed and evapotranspiration, alongside critical non-climatic factors such as mechanisation, irrigation and fertiliser application. The findings indicate that crops like rice and wheat are most adversely affected by rising temperature, whereas crops like pearl millet and cotton exhibit greater resilience, though cotton remains highly sensitive to precipitation variability. Pigeon pea and sesamum benefit from increased evapotranspiration up to a threshold,</w:t>
      </w:r>
    </w:p>
    <w:p>
      <w:pPr/>
      <w:r>
        <w:rPr>
          <w:b/>
        </w:rPr>
        <w:t>POSSIBLE 2026:</w:t>
      </w:r>
      <w:r>
        <w:t xml:space="preserve"> More Frequent Extreme Floods Revealed by Observation-Constrained Projections — https://doi.org/10.5194/egusphere-egu26-6594</w:t>
      </w:r>
    </w:p>
    <w:p>
      <w:pPr/>
      <w:r>
        <w:rPr>
          <w:b/>
        </w:rPr>
        <w:t>Shared claim-specific concepts:</w:t>
      </w:r>
      <w:r>
        <w:t xml:space="preserve"> limitations, projections, impacts; EU scope not established. This is a provisional connection, not an outcome finding.</w:t>
      </w:r>
    </w:p>
    <w:p>
      <w:pPr>
        <w:pStyle w:val="SourceNote"/>
      </w:pPr>
      <w:r>
        <w:rPr>
          <w:b/>
        </w:rPr>
        <w:t>Available abstract (not full text):</w:t>
      </w:r>
      <w:r>
        <w:t xml:space="preserve"> Current cascade-type models are the dominant approach for projecting future extreme floods, but they suffer from major limitations, including substantial bias, large uncertainty and coarse spatial resolution. To address these issues, we developed an observation-constrained framework that integrates flood estimates, based on historical data and regional flood frequency analysis, with changes in design floods from cascade-type model projections, enabling 1-km resolution projections across 28.2 million river pixels worldwide. Our analysis reveals that cascade-type models overestimate the historical 100-year flood by about 160% globally, while forcing-based corrections still exhibit considerable bias. Further, our observation-constrained approach reduces multi-model uncertainty by a median of 22.8% globally compared to cascade-type modeling. Under a high-emissions scenario, 83% of the global land mass shows increasing flood frequency. Globally, the historical 100-year flood is projected to have a median return period of about 36 years – more frequent than suggested by cascade-type model projections. Our results highlight the acceleration of flood risks, which may leave communities unprepared for intensifying climate impacts.</w:t>
      </w:r>
    </w:p>
    <w:p>
      <w:pPr/>
      <w:r>
        <w:rPr>
          <w:b/>
        </w:rPr>
        <w:t>POSSIBLE 2026:</w:t>
      </w:r>
      <w:r>
        <w:t xml:space="preserve"> Reliability Assessment and Statistical Calibration of SAI Ensemble Projections in Southeast Asia — https://doi.org/10.5194/egusphere-egu26-8408</w:t>
      </w:r>
    </w:p>
    <w:p>
      <w:pPr/>
      <w:r>
        <w:rPr>
          <w:b/>
        </w:rPr>
        <w:t>Shared claim-specific concepts:</w:t>
      </w:r>
      <w:r>
        <w:t xml:space="preserve"> highlights, limitations, projections, impacts; EU scope not established. This is a provisional connection, not an outcome finding.</w:t>
      </w:r>
    </w:p>
    <w:p>
      <w:pPr>
        <w:pStyle w:val="SourceNote"/>
      </w:pPr>
      <w:r>
        <w:rPr>
          <w:b/>
        </w:rPr>
        <w:t>Available abstract (not full text):</w:t>
      </w:r>
      <w:r>
        <w:t xml:space="preserve"> Stratospheric Aerosol Injection (SAI) has been widely investigated as a potential Solar Radiation Management (SRM) strategy to offset global warming, with ensemble-based Earth System Model simulations such as the Geoengineering Large Ensemble Simulation (GLENS) providing key evidence for its climatic impacts. However, the reliability of these ensemble projections, particularly at regional scales, remains insufficiently assessed. This study presents a joint evaluation of the projection skill and statistical calibration of GLENS ensemble outputs over Southeast Asia, focusing on precipitation and near-surface temperature variables. First, ensemble skill is assessed against ERA5 reanalysis using rank histograms, confidence interval coverage, Continuous Ranked Probability Score (CRPS), and Brier Score. Results show that raw GLENS projections are systematically underdispersive and biased, with overly narrow uncertainty ranges that frequently fail to capture observations. Projection skill exhibits strong regional contrasts, with poorer precipitation performance over the Maritime Continent and weaker temperature skill over mainland Southeast Asia. These deficiencies indicate overconfident ensemble behavior and limit the direct usability of raw GLENS outputs for impact assessment and decision support. To address these limitations, Bayesian Model Averaging (BMA) is applied as a probabili</w:t>
      </w:r>
    </w:p>
    <w:p>
      <w:pPr/>
      <w:r>
        <w:rPr>
          <w:b/>
        </w:rPr>
        <w:t>POSSIBLE 2025:</w:t>
      </w:r>
      <w:r>
        <w:t xml:space="preserve"> Plastic and Reconstructive Surgery Highlights: Plastic Surgery Focus — https://doi.org/10.1097/prs.0000000000012139</w:t>
      </w:r>
    </w:p>
    <w:p>
      <w:pPr/>
      <w:r>
        <w:rPr>
          <w:b/>
        </w:rPr>
        <w:t>Shared claim-specific concepts:</w:t>
      </w:r>
      <w:r>
        <w:t xml:space="preserve"> highlights, limitations, only, projections; EU scope not established. This is a provisional connection, not an outcome finding.</w:t>
      </w:r>
    </w:p>
    <w:p>
      <w:pPr>
        <w:pStyle w:val="SourceNote"/>
      </w:pPr>
      <w:r>
        <w:rPr>
          <w:b/>
        </w:rPr>
        <w:t>Available abstract (not full text):</w:t>
      </w:r>
      <w:r>
        <w:t xml:space="preserve"> The Plastic Surgery Focus section of Plastic and Reconstructive Surgery, formerly known as Special Topics before 2018, is a unique collection of articles that cover many of the critical aspects of clinical practice, education, and research in plastic surgery. These areas do not necessarily fit neatly into the traditional anatomic subspecialties of the discipline, but instead cover a broad spectrum of important topics, including business, education, global health, technology, and wellness. Now more than ever, plastic surgeons must focus not only on the technical aspects of the specialty but also on the way they are delivered within today’s health care system. As the field, and its surrounding environment, continues to evolve rapidly, the Plastic Surgery Focus section provides the ability to stay up to date with the cutting-edge advancements that continue to shape the specialty. This Plastic and Reconstructive Surgery Highlights article reviews 10 of the most notable Plastic Surgery Focus articles from 2024. While all of the articles from 2024’s section offered important contributions, several were distinguished by their topic, design, and conclusions, providing pivotal information on certain themes, including technology, business, and practice management; health care policy and outcomes; and pharmacotherapeutics in plastic surgery. TECHNOLOGY Artificial Intelligence Technology a</w:t>
      </w:r>
    </w:p>
    <w:p>
      <w:pPr/>
      <w:r>
        <w:rPr>
          <w:b/>
        </w:rPr>
        <w:t>POSSIBLE 2025:</w:t>
      </w:r>
      <w:r>
        <w:t xml:space="preserve"> Terrestrial Carbon Dynamics through 2100: Projections with OSCAR Highlighting Climate and Land Management Impacts — https://doi.org/10.5194/egusphere-egu25-7385</w:t>
      </w:r>
    </w:p>
    <w:p>
      <w:pPr/>
      <w:r>
        <w:rPr>
          <w:b/>
        </w:rPr>
        <w:t>Shared claim-specific concepts:</w:t>
      </w:r>
      <w:r>
        <w:t xml:space="preserve"> limitations, projections, impacts; EU scope not established. This is a provisional connection, not an outcome finding.</w:t>
      </w:r>
    </w:p>
    <w:p>
      <w:pPr>
        <w:pStyle w:val="SourceNote"/>
      </w:pPr>
      <w:r>
        <w:rPr>
          <w:b/>
        </w:rPr>
        <w:t>Available abstract (not full text):</w:t>
      </w:r>
      <w:r>
        <w:t xml:space="preserve"> Terrestrial ecosystem carbon dynamics play a critical role in regulating the Earth system's carbon cycle, strongly influenced by atmospheric processes and land management policies. Climate change is transforming carbon cycling within ecosystems and their exchange with the atmosphere, while forest management policies are increasingly recognized as essential nature-based climate solutions. However, the long-term impacts of climate processes and forest management on carbon cycling—spanning historical, present, and future periods—remain poorly understood due to limitations in current modeling frameworks. This uncertainty hinders efforts to optimize forest management strategies and implement effective climate change mitigation measures.To address these challenges, we employ the state-of-the-art compact Earth system model OSCAR to integrate carbon dynamics predictions from Dynamic Global Vegetation Models (DGVMs) and bookkeeping models. Using the GCB2023 dataset as a historical baseline, we drive the OSCAR model under a range of climate scenarios (i.e., SSP126 and SSP370) and land-use and land-cover change (LULCC) trajectories. Our analysis provides multi-scenario projections of terrestrial carbon fluxes, including regional and biome-specific annual carbon flux estimates through 2100. Additionally, we quantify the inertia of LULCC impacts and evaluate emissions from land-use changes </w:t>
      </w:r>
    </w:p>
    <w:p>
      <w:pPr/>
      <w:r>
        <w:rPr>
          <w:b/>
        </w:rPr>
        <w:t>POSSIBLE 2025:</w:t>
      </w:r>
      <w:r>
        <w:t xml:space="preserve"> Regional Projections of the Impacts of Future Urbanization and Climate Change on Biogeochemical Cycles in New England Landscapes — https://doi.org/10.34133/research.1043</w:t>
      </w:r>
    </w:p>
    <w:p>
      <w:pPr/>
      <w:r>
        <w:rPr>
          <w:b/>
        </w:rPr>
        <w:t>Shared claim-specific concepts:</w:t>
      </w:r>
      <w:r>
        <w:t xml:space="preserve"> limitations, projections, impacts, time; EU scope not established. This is a provisional connection, not an outcome finding.</w:t>
      </w:r>
    </w:p>
    <w:p>
      <w:pPr>
        <w:pStyle w:val="SourceNote"/>
      </w:pPr>
      <w:r>
        <w:rPr>
          <w:b/>
        </w:rPr>
        <w:t>Available abstract (not full text):</w:t>
      </w:r>
      <w:r>
        <w:t xml:space="preserve"> Human activities have had complex, long-term impacts on forest function across New England—a trend expected to continue. To assess these impacts, we conducted a regional-scale modeling study using the PnET-CN-daily model, simulating multiple scenarios that reflect projected changes in land cover, climate, and air quality. The results suggest that while New England will continue to serve as a regional carbon sink, carbon accumulation in the southern portion of the region will slow and may shift to a net carbon source due to aggressive urban expansion. Carbon dioxide (CO 2 ) fertilization and carbon loss associated with urbanization are the dominant factors controlling future carbon dynamics. However, CO 2 fertilization may diminish over time due to nutrient limitations, while rising temperatures are expected to accelerate soil decomposition, further increasing carbon loss. The forecasts also show that urbanization will increasingly affect ecosystem nitrogen storage. Climate change and CO 2 fertilization along with declining nitrogen deposition from decreases in fossil fuel use are projected to drive nitrogen oligotrophication—slowing forest growth and becoming more severe as nitrogen inputs decrease. In addition, urbanization and climate change are expected to substantially reduce snowpack and shorten snow cover duration in southern New England, with potential consequences for r</w:t>
      </w:r>
    </w:p>
    <w:p>
      <w:pPr/>
      <w:r>
        <w:rPr>
          <w:b/>
        </w:rPr>
        <w:t>POSSIBLE 2025:</w:t>
      </w:r>
      <w:r>
        <w:t xml:space="preserve"> Variable vertical land motion and its impacts on sea level rise projections — https://doi.org/10.1126/sciadv.ads8163</w:t>
      </w:r>
    </w:p>
    <w:p>
      <w:pPr/>
      <w:r>
        <w:rPr>
          <w:b/>
        </w:rPr>
        <w:t>Shared claim-specific concepts:</w:t>
      </w:r>
      <w:r>
        <w:t xml:space="preserve"> highlights, projections, impacts, adaptation; EU scope not established. This is a provisional connection, not an outcome finding.</w:t>
      </w:r>
    </w:p>
    <w:p>
      <w:pPr>
        <w:pStyle w:val="SourceNote"/>
      </w:pPr>
      <w:r>
        <w:rPr>
          <w:b/>
        </w:rPr>
        <w:t>Available abstract (not full text):</w:t>
      </w:r>
      <w:r>
        <w:t xml:space="preserve"> Coastal vertical land motion (VLM), including uplift and subsidence, can greatly alter relative sea level projections and flood mitigations plans. Yet, current projection frameworks, such as the IPCC Sixth Assessment Report, often underestimate VLM by relying on regional linear estimates. Using high-resolution (90-meter) satellite data from 2015 to 2023, we provide local VLM estimates for California and assess their contribution to sea level rise both now and in future. Our findings reveal that regional estimates substantially understate sea level rise in parts of San Francisco and Los Angeles, projecting more than double the expected rise by 2050. Additionally, temporally variable (nonlinear) VLM, driven by factors such as hydrocarbon and groundwater extraction, can increase uncertainties in 2050 projections by up to 0.4 meters in certain areas of Los Angeles and San Diego. This study highlights the critical need to include local VLM and its uncertainties in sea level rise assessments to improve coastal management and ensure effective adaptation efforts.</w:t>
      </w:r>
    </w:p>
    <w:p>
      <w:pPr/>
      <w:r>
        <w:rPr>
          <w:b/>
        </w:rPr>
        <w:t>POSSIBLE 2025:</w:t>
      </w:r>
      <w:r>
        <w:t xml:space="preserve"> Impacts of climate change on the global spread and habitat suitability of Coxiella burnetii: Future projections and public health implications — https://doi.org/10.1016/j.joclim.2025.100442</w:t>
      </w:r>
    </w:p>
    <w:p>
      <w:pPr/>
      <w:r>
        <w:rPr>
          <w:b/>
        </w:rPr>
        <w:t>Shared claim-specific concepts:</w:t>
      </w:r>
      <w:r>
        <w:t xml:space="preserve"> highlights, limitations, projections, impacts, time; EU scope visible. This is a provisional connection, not an outcome finding.</w:t>
      </w:r>
    </w:p>
    <w:p>
      <w:pPr>
        <w:pStyle w:val="SourceNote"/>
      </w:pPr>
      <w:r>
        <w:rPr>
          <w:b/>
        </w:rPr>
        <w:t>Available abstract (not full text):</w:t>
      </w:r>
      <w:r>
        <w:t xml:space="preserve"> Introduction Coxiella burnetii , an intracellular zoonotic bacterium, affectsing various livestock and wildlife species and poses significant risks to human health. This study aims to assess how climate change could impact the global distribution and habitat suitability of Coxiella burnetii , the pathogen responsible for Q fever . Materials and methods An ensemble species distribution modelling approach, integrating regression-based and machine-learning algorithms (GLM, GBM, RF, MaxEnt), was used to project habitat suitability (Current time and by 2050, 2070, and 2090). Climate variables were obtained from five global circulation models (GCMs) under two climate change scenarios (SSP2-4.5 and SSP5-8.5). The study evaluated the models’ performance using the area under the curve (AUC) and true skill statistics (TSS). Results Results show that under current climate conditions, C. burnetii is widespread across regions like North and South America, Europe, and parts of Africa, Asia , and Australia. Future projections indicate a northward shift in habitat suitability, especially under the severe SSP5-8.5 scenario, with significant expansions into Russia, northern Europe, and Canada. Conversely, regions in South America, Africa, and Australia may see declines in suitable habitats. By 2090, a 44.56 % (range: 33–57.9 %) across the models, increase in suitable habitat is predicted, accomp</w:t>
      </w:r>
    </w:p>
    <w:p>
      <w:pPr/>
      <w:r>
        <w:rPr>
          <w:b/>
        </w:rPr>
        <w:t>POSSIBLE 2025:</w:t>
      </w:r>
      <w:r>
        <w:t xml:space="preserve"> Overcoming Cost, Time, and Engagement Barriers through Projection Mapping: A Study of Egyptian Independent Theatre — https://doi.org/10.57239/pjlss-2025-23.2.00229</w:t>
      </w:r>
    </w:p>
    <w:p>
      <w:pPr/>
      <w:r>
        <w:rPr>
          <w:b/>
        </w:rPr>
        <w:t>Shared claim-specific concepts:</w:t>
      </w:r>
      <w:r>
        <w:t xml:space="preserve"> limitations, only, time; EU scope not established. This is a provisional connection, not an outcome finding.</w:t>
      </w:r>
    </w:p>
    <w:p>
      <w:pPr>
        <w:pStyle w:val="SourceNote"/>
      </w:pPr>
      <w:r>
        <w:rPr>
          <w:b/>
        </w:rPr>
        <w:t>Available abstract (not full text):</w:t>
      </w:r>
      <w:r>
        <w:t xml:space="preserve"> Independent theatre in Egypt faces challenges of high costs, limited space, and outdated scenic methods.Traditional set construction requires extensive labor and materials, restricting creativity and delaying scene changes.This study explores projection mapping as a digital scenography alternative that addresses these limitations while enhancing visual storytelling.Guided by Gillette's Scenic Design Theory, a mixed-methods approach was applied: surveys with 600 stakeholders and interviews with theatre professionals.Statistical analysis confirmed reliable responses (Cronbach's Alpha &gt; 0.76), and thematic coding highlighted benefits such as cost reduction, rapid transitions, and improved audience engagement.Results demonstrate that projection mapping offers not only a practical substitute for traditional scenography but also a transformative medium, supporting immersive environments and aesthetic cohesion.Audiences valued the enhanced visual impact, while practitioners emphasized flexibility and efficiency.The study advances digital scenography scholarship and proposes projection mapping as a sustainable innovation for resourceconstrained theatre contexts in Egypt.</w:t>
      </w:r>
    </w:p>
    <w:p>
      <w:pPr/>
      <w:r>
        <w:rPr>
          <w:b/>
        </w:rPr>
        <w:t>POSSIBLE 2024:</w:t>
      </w:r>
      <w:r>
        <w:t xml:space="preserve"> Climate change impacts on Central Asia: Trends, extremes and future projections — https://doi.org/10.1002/joc.8519</w:t>
      </w:r>
    </w:p>
    <w:p>
      <w:pPr/>
      <w:r>
        <w:rPr>
          <w:b/>
        </w:rPr>
        <w:t>Shared claim-specific concepts:</w:t>
      </w:r>
      <w:r>
        <w:t xml:space="preserve"> projections, impacts, time; EU scope not established. This is a provisional connection, not an outcome finding.</w:t>
      </w:r>
    </w:p>
    <w:p>
      <w:pPr>
        <w:pStyle w:val="SourceNote"/>
      </w:pPr>
      <w:r>
        <w:rPr>
          <w:b/>
        </w:rPr>
        <w:t>Available abstract (not full text):</w:t>
      </w:r>
      <w:r>
        <w:t xml:space="preserve"> Abstract Central Asia (CA) is among the world's most vulnerable regions to climate change. Increasing anthropogenic greenhouse gas concentrations (GHGs) are the primary forcing of the current and future climate system for the time scale of a century. By analysing observation datasets, we show that a warming of 1.2°C led to a decrease of 20% in snow‐depth CA during the last 70 years, especially over the mountains. In recent decades, longer summer times and fewer icing days (more than 20 days·year −1 ) have exposed unprecedented shock to CA's climate system's components. Furthermore, we analyse 442 model simulations from Coupled Model Inter‐comparison Project Phase 5 and 6 (CMIP5, CMIP6) and show that CMIP6 simulations are generally warmer and wetter than the CMIP5 ones in CA. For instance, under the highest emission scenarios (RCP8.5 and SSP5‐8.5), CMIP6 projects a 6.1°C increase, while CMIP5 projects a 5.3°C increase, suggesting CMIP6 anticipates greater warming with high emissions. In contrast to CMIP6, the CMIP5 precipitation trends suggest a potential nonlinear relationship between increased greenhouse gas emissions and changes in precipitation, though the impact is much less pronounced than the temperature changes. Our analysis shows that CMIP6 models are more sensitive to temperature rise than CMIP5 ones. Both simulation sets' ensemble means capture well the observed warmi</w:t>
      </w:r>
    </w:p>
    <w:p>
      <w:pPr/>
      <w:r>
        <w:rPr>
          <w:b/>
        </w:rPr>
        <w:t>POSSIBLE 2024:</w:t>
      </w:r>
      <w:r>
        <w:t xml:space="preserve"> Local Projections — https://doi.org/10.24148/wp2024-24</w:t>
      </w:r>
    </w:p>
    <w:p>
      <w:pPr/>
      <w:r>
        <w:rPr>
          <w:b/>
        </w:rPr>
        <w:t>Shared claim-specific concepts:</w:t>
      </w:r>
      <w:r>
        <w:t xml:space="preserve"> limitations, projections, time; EU scope not established. This is a provisional connection, not an outcome finding.</w:t>
      </w:r>
    </w:p>
    <w:p>
      <w:pPr>
        <w:pStyle w:val="SourceNote"/>
      </w:pPr>
      <w:r>
        <w:rPr>
          <w:b/>
        </w:rPr>
        <w:t>Available abstract (not full text):</w:t>
      </w:r>
      <w:r>
        <w:t xml:space="preserve"> A central question in applied research is to estimate the effect of an exogenous intervention or shock on an outcome. The intervention can affect the outcome and controls on impact and over time. Moreover, there can be subsequent feedback between outcomes, controls and the intervention. Many of these interactions can be untangled using local projections. This method’s simplicity makes it a convenient and versatile tool in the empiricist’s kit, one that is generalizable to complex settings. This article reviews the state-of-the art for the practitioner, discusses best practices and possible extensions of local projections methods, along with their limitations.</w:t>
      </w:r>
    </w:p>
    <w:p>
      <w:pPr/>
      <w:r>
        <w:rPr>
          <w:b/>
        </w:rPr>
        <w:t>POSSIBLE 2024:</w:t>
      </w:r>
      <w:r>
        <w:t xml:space="preserve"> Projections of climate change impacts on ecosystem services and the role of land use adaptation in France — https://doi.org/10.1016/j.indic.2024.100369</w:t>
      </w:r>
    </w:p>
    <w:p>
      <w:pPr/>
      <w:r>
        <w:rPr>
          <w:b/>
        </w:rPr>
        <w:t>Shared claim-specific concepts:</w:t>
      </w:r>
      <w:r>
        <w:t xml:space="preserve"> highlights, projections, impacts, adaptation; EU scope visible. This is a provisional connection, not an outcome finding.</w:t>
      </w:r>
    </w:p>
    <w:p>
      <w:pPr>
        <w:pStyle w:val="SourceNote"/>
      </w:pPr>
      <w:r>
        <w:rPr>
          <w:b/>
        </w:rPr>
        <w:t>Available abstract (not full text):</w:t>
      </w:r>
      <w:r>
        <w:t xml:space="preserve"> This study examines the complex relationship between climate change and ecosys-tem services (ESs) in France. We explore both the direct effects of climate change and the indirect effects of land-use change on six regulating ESs (e.g., habitat quality, water retention) and two provisioning ESs (e.g., crop production, livestock produc-tion). Results indicate that while climate change may initially have positive impacts on ESs, the induced negative impacts of land-use adaptation often overshadow these benefits. We show the effectiveness of a greenhouse gas (GHG) tax of 200e/tCO2eq on agriculture in offsetting the negative effects of land-use adaptation to climate change on ESs. This highlights the importance of integrating economic instru-ments, such as carbon pricing mechanisms, to promote the sustainable management of ESs in the context of climate change.</w:t>
      </w:r>
    </w:p>
    <w:p>
      <w:pPr>
        <w:pStyle w:val="Heading2"/>
      </w:pPr>
      <w:r>
        <w:t>814. Institutional issues in planning for more uncertain futures</w:t>
      </w:r>
    </w:p>
    <w:p>
      <w:pPr>
        <w:pStyle w:val="SourceNote"/>
      </w:pPr>
      <w:r>
        <w:rPr>
          <w:b/>
        </w:rPr>
        <w:t>Original source (2017):</w:t>
      </w:r>
      <w:r>
        <w:t xml:space="preserve"> https://doi.org/10.1007/s11116-017-9805-z</w:t>
      </w:r>
    </w:p>
    <w:p>
      <w:pPr/>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POSSIBLE 2026:</w:t>
      </w:r>
      <w:r>
        <w:t xml:space="preserve"> When mobility becomes a compromise: intersectional social identities in mobility in Boston and Austin — https://doi.org/10.1016/j.trip.2026.102259</w:t>
      </w:r>
    </w:p>
    <w:p>
      <w:pPr/>
      <w:r>
        <w:rPr>
          <w:b/>
        </w:rPr>
        <w:t>Shared claim-specific concepts:</w:t>
      </w:r>
      <w:r>
        <w:t xml:space="preserve"> mobility, like, travel, planning; EU scope not established. This is a provisional connection, not an outcome finding.</w:t>
      </w:r>
    </w:p>
    <w:p>
      <w:pPr>
        <w:pStyle w:val="SourceNote"/>
      </w:pPr>
      <w:r>
        <w:rPr>
          <w:b/>
        </w:rPr>
        <w:t>Available abstract (not full text):</w:t>
      </w:r>
      <w:r>
        <w:t xml:space="preserve"> Conventional planning centers on the needs of able-bodied, white, middle-class men, overlooking the experiences of those with other social identities. This study applies a lens of intersecting social identities to examine how race, gender, disability, and early-life environment shape college students’ daily mobility in two contrasting U.S. cities: Austin and Boston. Drawing on 28 in-depth interviews (16 in Austin, 12 in Boston), the study reveals how different manifestations of mobility disadvantages are shaped through the intersection of multiple social identities. Although Austin and Boston differ in transit coverage and urban form, both exhibit structural inequities that operate through different mechanisms across the empirical cases. Racialized and gendered vulnerabilities, for example, amplify exposure to harassment, surveillance, and discrimination in public transit, while car-related privilege can be constrained by driving anxiety, disability, or financial limitations. Transgender women in car-limited households face additional constraints due to gendered labor hierarchies within household roles; when combined with disability, these factors can reduce travel radius and heighten dependence on others. Accordingly, conventional methods of identifying travel-disadvantaged populations, such as relying on a single travel indicator like car ownership or transit use, or focusing</w:t>
      </w:r>
    </w:p>
    <w:p>
      <w:pPr/>
      <w:r>
        <w:rPr>
          <w:b/>
        </w:rPr>
        <w:t>POSSIBLE 2025:</w:t>
      </w:r>
      <w:r>
        <w:t xml:space="preserve"> Shaping institutional change in skill formation: the role of background ideas in growth strategies — https://doi.org/10.1080/13501763.2025.2490188</w:t>
      </w:r>
    </w:p>
    <w:p>
      <w:pPr/>
      <w:r>
        <w:rPr>
          <w:b/>
        </w:rPr>
        <w:t>Shared claim-specific concepts:</w:t>
      </w:r>
      <w:r>
        <w:t xml:space="preserve"> contrast, ideas, about; EU scope visible. This is a provisional connection, not an outcome finding.</w:t>
      </w:r>
    </w:p>
    <w:p>
      <w:pPr>
        <w:pStyle w:val="SourceNote"/>
      </w:pPr>
      <w:r>
        <w:rPr>
          <w:b/>
        </w:rPr>
        <w:t>Available abstract (not full text):</w:t>
      </w:r>
      <w:r>
        <w:t xml:space="preserve">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pPr/>
      <w:r>
        <w:rPr>
          <w:b/>
        </w:rPr>
        <w:t>POSSIBLE 2025:</w:t>
      </w:r>
      <w:r>
        <w:t xml:space="preserve"> Climate Change, Human Rights, and Adaptive Mobility — https://openalex.org/W7167440205</w:t>
      </w:r>
    </w:p>
    <w:p>
      <w:pPr/>
      <w:r>
        <w:rPr>
          <w:b/>
        </w:rPr>
        <w:t>Shared claim-specific concepts:</w:t>
      </w:r>
      <w:r>
        <w:t xml:space="preserve"> contrast, mobility, approaches; EU scope not established. This is a provisional connection, not an outcome finding.</w:t>
      </w:r>
    </w:p>
    <w:p>
      <w:pPr>
        <w:pStyle w:val="SourceNote"/>
      </w:pPr>
      <w:r>
        <w:rPr>
          <w:b/>
        </w:rPr>
        <w:t>Available abstract (not full text):</w:t>
      </w:r>
      <w:r>
        <w:t xml:space="preserve"> The potential for climate change to cause vast human movement is a major global issue. Dominant approaches to climate-related migration take mobility as the starting point, exploring legal frameworks that tend to provide protection for migrants only after they move and overlooking measures that could help avoid forced movement in the first place. In contrast, Climate Change, Human Rights, and Adaptive Mobility provides a new conceptual and legal approach to human mobility in the context of climate change, one that seeks to compel and shape more proactive, anticipatory action. The book anchors its arguments in the international climate change regime, turning to obligations on adaptation found in the United Nations Framework Convention on Climate Change and the Paris Agreement. These obligations, though understudied and underutilized, have the potential to be a powerful legal tool. The book therefore seeks to lend them concrete legal meaning. It draws on international climate change and human rights law to weave together doctrinal analysis that considers treaty interpretation, regime interaction, and principles of environmental law with case studies in Bangladesh, the Pacific Islands, and the Sahel. At its core, the book argues that adaptation obligations require states to take measures to address foreseeable risks and ensure human rights. It further argues that developed countri</w:t>
      </w:r>
    </w:p>
    <w:p>
      <w:pPr/>
      <w:r>
        <w:rPr>
          <w:b/>
        </w:rPr>
        <w:t>POSSIBLE 2025:</w:t>
      </w:r>
      <w:r>
        <w:t xml:space="preserve"> The mobility of the nobility. An introduction — https://doi.org/10.21827/virtus.32.58-70</w:t>
      </w:r>
    </w:p>
    <w:p>
      <w:pPr/>
      <w:r>
        <w:rPr>
          <w:b/>
        </w:rPr>
        <w:t>Shared claim-specific concepts:</w:t>
      </w:r>
      <w:r>
        <w:t xml:space="preserve"> around, mobility, look, travel, alternative, about; EU scope not established. This is a provisional connection, not an outcome finding.</w:t>
      </w:r>
    </w:p>
    <w:p>
      <w:pPr>
        <w:pStyle w:val="SourceNote"/>
      </w:pPr>
      <w:r>
        <w:rPr>
          <w:b/>
        </w:rPr>
        <w:t>Available abstract (not full text):</w:t>
      </w:r>
      <w:r>
        <w:t xml:space="preserve"> The mobility of the nobility An introductionElizabeth's impatience increased; and her thoughts were soon busy in considering the means of visiting Jane, and determining to go to her, though the carriage was not to be had; and as she was no horsewoman, walking was her only alternative.She declared her resolution […] The distance is nothing, when one has a motive; only three miles.I shall be back by dinner. 1 Jane Austen's novel Pride &amp; Prejudice, first published in 1813, perfectly illustrates the mobility of the upper-class elites in late eighteenth-century England.To be sure, the book is first and foremost about social mobility.Elizabeth (or 'Lizzie') Bennet and her sisters are not noble in a strict sense but rather lower-class gentry, and the main thrust of the novel is about the paths they seek to maintain and expand their family's social position within the stratified British elite.Taking a closer look at what that entails, however, exposes just how much social mobility revolved around mobility proper in their day and age.Lizzie has plenty of cause, and lots of opportunities to travel to and fro: from the frequent trips from Longbourn to the plush Netherfield Estate (rented out to the rich Mr. Bingley, her eldest sister's admirer), to the more daring excursion to the Peak District, where she also visits the Pemberley estate belonging to the affluent gentleman -and Lizzie's l</w:t>
      </w:r>
    </w:p>
    <w:p>
      <w:pPr/>
      <w:r>
        <w:rPr>
          <w:b/>
        </w:rPr>
        <w:t>POSSIBLE 2025:</w:t>
      </w:r>
      <w:r>
        <w:t xml:space="preserve"> When mobility matters: a look at earnings dynamics across Italian generations — https://doi.org/10.1111/ecca.70000</w:t>
      </w:r>
    </w:p>
    <w:p>
      <w:pPr/>
      <w:r>
        <w:rPr>
          <w:b/>
        </w:rPr>
        <w:t>Shared claim-specific concepts:</w:t>
      </w:r>
      <w:r>
        <w:t xml:space="preserve"> mobility, look, largely; EU scope visible. This is a provisional connection, not an outcome finding.</w:t>
      </w:r>
    </w:p>
    <w:p>
      <w:pPr>
        <w:pStyle w:val="SourceNote"/>
      </w:pPr>
      <w:r>
        <w:rPr>
          <w:b/>
        </w:rPr>
        <w:t>Available abstract (not full text):</w:t>
      </w:r>
      <w:r>
        <w:t xml:space="preserve"> Abstract Drawing on a matched survey–administrative dataset tracking careers from 1975 to 2018, we examine the trends in intragenerational earnings mobility in Italy over the past 40 years. We compare earnings trajectories from age 35 to age 45 via a refined version of the ‘income risk decomposition’ proposed by Austin Nichols in 2008, distinguishing between ‘good’ and ‘bad’ earnings mobility from an individual welfare perspective. Our findings reveal that the long‐run trend of increasing cross‐sectional earnings inequality in Italy has been accompanied by widening persistent disparities within the same generation. For all cohorts of workers, at least 80% of inequality is permanent, reaching nearly 90% for the most recent cohort. We also uncover that a substantial share of individuals—between 25% and 39%—do not benefit from stable upward income mobility during a crucial career phase. This issue has worsened over time, with the last ten cohorts experiencing higher income instability (%) and declining upward mobility (%), largely explained by the growing prevalence of atypical employment arrangements. Furthermore, using intragenerational Great Gatsby curves, we show that cohorts exposed to greater earnings inequality also face more persistent differences and reduced earnings growth, especially in the aftermath of the Great Recession.</w:t>
      </w:r>
    </w:p>
    <w:p>
      <w:pPr/>
      <w:r>
        <w:rPr>
          <w:b/>
        </w:rPr>
        <w:t>POSSIBLE 2024:</w:t>
      </w:r>
      <w:r>
        <w:t xml:space="preserve"> Mobility in a globalised world: How countries regulate mobility with passports and visas — https://doi.org/10.1002/pa.2932</w:t>
      </w:r>
    </w:p>
    <w:p>
      <w:pPr/>
      <w:r>
        <w:rPr>
          <w:b/>
        </w:rPr>
        <w:t>Shared claim-specific concepts:</w:t>
      </w:r>
      <w:r>
        <w:t xml:space="preserve"> mobility, travel, unchanged, alternative; EU scope not established. This is a provisional connection, not an outcome finding.</w:t>
      </w:r>
    </w:p>
    <w:p>
      <w:pPr>
        <w:pStyle w:val="SourceNote"/>
      </w:pPr>
      <w:r>
        <w:rPr>
          <w:b/>
        </w:rPr>
        <w:t>Available abstract (not full text):</w:t>
      </w:r>
      <w:r>
        <w:t xml:space="preserve"> Citizenship has a significant impact on migrants' freedom to travel. While citizens of the Global North can travel without major problems, citizens of the Global South have to queue at consulates to obtain a visa before they can travel. They may have to wait in long queues at the border or at the airport, where they may be subjected to unpleasant interrogations. The aim of this article is to uncover how a passport becomes powerful or weak depending on the country that issues it, and what impact this has on the (geographical and professional) mobility of passport holders. We explore why some countries impose visa restrictions while others allow visa‐free travel. We interviewed 32 people who had travelled on a number of occasions for professional reasons or as tourists. The externalities created by visa regulations may lead to an increase in the number of alternative destinations in lockstep, even if countries' policies remain unchanged. This study has critical policy implications for both source and destination countries.</w:t>
      </w:r>
    </w:p>
    <w:p>
      <w:pPr/>
      <w:r>
        <w:rPr>
          <w:b/>
        </w:rPr>
        <w:t>POSSIBLE 2024:</w:t>
      </w:r>
      <w:r>
        <w:t xml:space="preserve"> The Origins of Policy Ideas in German Pension Debates — https://doi.org/10.1017/s0898030624000022</w:t>
      </w:r>
    </w:p>
    <w:p>
      <w:pPr/>
      <w:r>
        <w:rPr>
          <w:b/>
        </w:rPr>
        <w:t>Shared claim-specific concepts:</w:t>
      </w:r>
      <w:r>
        <w:t xml:space="preserve"> contrast, ideas, processes; EU scope not established. This is a provisional connection, not an outcome finding.</w:t>
      </w:r>
    </w:p>
    <w:p>
      <w:pPr>
        <w:pStyle w:val="SourceNote"/>
      </w:pPr>
      <w:r>
        <w:rPr>
          <w:b/>
        </w:rPr>
        <w:t>Available abstract (not full text):</w:t>
      </w:r>
      <w:r>
        <w:t xml:space="preserve"> Abstract Understanding the origins of policy ideas can be crucial when trying to explain dynamics of political change and continuity. Paradigmatic changes in the German pension system have been attributed to the import of “foreign” neoliberal policy ideas from transnational organizations and other countries. The literature describes such processes as policy diffusion, transfer, or translation. In contrast, this article argues that foreign pension ideas did not have a substantive influence on local policy innovations and preference-formation processes. Instead, pension policy pioneers developed their ideas predominantly “from within” through bricolage by reconfiguring long-standing domestic schools of thought. Drawing on a wide range of primary and secondary sources, the analysis combines a broad historical perspective with case studies of individual policy makers. This sheds new light on the careers of ideas and why significant actors pick them up at certain points.</w:t>
      </w:r>
    </w:p>
    <w:p>
      <w:pPr/>
      <w:r>
        <w:rPr>
          <w:b/>
        </w:rPr>
        <w:t>POSSIBLE 2024:</w:t>
      </w:r>
      <w:r>
        <w:t xml:space="preserve"> Entangled Future Im/mobilities — https://doi.org/10.14361/9783839473801</w:t>
      </w:r>
    </w:p>
    <w:p>
      <w:pPr/>
      <w:r>
        <w:rPr>
          <w:b/>
        </w:rPr>
        <w:t>Shared claim-specific concepts:</w:t>
      </w:r>
      <w:r>
        <w:t xml:space="preserve"> around, mobility, look, approaches; EU scope not established. This is a provisional connection, not an outcome finding.</w:t>
      </w:r>
    </w:p>
    <w:p>
      <w:pPr>
        <w:pStyle w:val="SourceNote"/>
      </w:pPr>
      <w:r>
        <w:rPr>
          <w:b/>
        </w:rPr>
        <w:t>Available abstract (not full text):</w:t>
      </w:r>
      <w:r>
        <w:t xml:space="preserve"> How are im/mobilities articulated, imagined and practiced in relation to multiple futures? A critical examination of im/mobilities raises questions as to how power relations and crisis-driven futures enable, inhibit or prevent mobility, what meanings are culturally constructed around im/mobilities and how they are experienced. The contributors to this volume look at entangled future mobilities and immobilities using humanities and social science approaches in diverse examples: Afrofuturist poetry, de-extinction projects, dystopian novels, a Uruguayan planned relocation program, lives of rural Zambian women, climate adaptation in Morocco and Austrian financial literacy policy.</w:t>
      </w:r>
    </w:p>
    <w:p>
      <w:pPr/>
      <w:r>
        <w:rPr>
          <w:b/>
        </w:rPr>
        <w:t>POSSIBLE 2023:</w:t>
      </w:r>
      <w:r>
        <w:t xml:space="preserve"> On Changing the Subject: ‘Secularity’, ‘Religion’, and the Idea of the Human — https://doi.org/10.3390/rel14040466</w:t>
      </w:r>
    </w:p>
    <w:p>
      <w:pPr/>
      <w:r>
        <w:rPr>
          <w:b/>
        </w:rPr>
        <w:t>Shared claim-specific concepts:</w:t>
      </w:r>
      <w:r>
        <w:t xml:space="preserve"> changing, ideas, need, about; EU scope visible. This is a provisional connection, not an outcome finding.</w:t>
      </w:r>
    </w:p>
    <w:p>
      <w:pPr>
        <w:pStyle w:val="SourceNote"/>
      </w:pPr>
      <w:r>
        <w:rPr>
          <w:b/>
        </w:rPr>
        <w:t>Available abstract (not full text):</w:t>
      </w:r>
      <w:r>
        <w:t xml:space="preserve"> The ‘religion/secular’ frame should be retired as a way of characterizing contemporary northern European cultures. The concepts of ‘secularity’ and ‘religion’ are both falsifying and question begging. They invisibly and unhelpfully predetermine the conversation about who and where we are now. Further, they are terms which increasingly lack salience in these cultures. If we seek to locate and articulate, in order to reflectively engage, the horizons within which contemporary northern Europeans generally live, the goods that orient people’s lives, the ideas and values that move and motivate them, we need to talk not about ‘religion’ and the lack of it, but about the idea of the human. Within the concept of the human is nested today the sense of orientation, meaning, goodness and importance that notions of ‘religion’ used to express. This is the conceptual territory on which arguments about ‘what really matters’ are now conducted. If one wishes to have salience in contemporary culture, one needs to speak to this.</w:t>
      </w:r>
    </w:p>
    <w:p>
      <w:pPr/>
      <w:r>
        <w:rPr>
          <w:b/>
        </w:rPr>
        <w:t>POSSIBLE 2023:</w:t>
      </w:r>
      <w:r>
        <w:t xml:space="preserve"> A future agenda for research on climate change and human mobility — https://doi.org/10.1111/imig.13169</w:t>
      </w:r>
    </w:p>
    <w:p>
      <w:pPr/>
      <w:r>
        <w:rPr>
          <w:b/>
        </w:rPr>
        <w:t>Shared claim-specific concepts:</w:t>
      </w:r>
      <w:r>
        <w:t xml:space="preserve"> mobility, processes, approaches; EU scope not established. This is a provisional connection, not an outcome finding.</w:t>
      </w:r>
    </w:p>
    <w:p>
      <w:pPr>
        <w:pStyle w:val="SourceNote"/>
      </w:pPr>
      <w:r>
        <w:rPr>
          <w:b/>
        </w:rPr>
        <w:t>Available abstract (not full text):</w:t>
      </w:r>
      <w:r>
        <w:t xml:space="preserve"> Abstract In the past 15 years, research activities focusing on the interlinkages between climate change and human mobility have intensified. At the same time, an increasing number of actors and processes have sought to address human mobility in the context of climate change from a policy perspective. Hitherto, research has been limited in terms of geographical preferences as well as conceptual and methodological focus areas. This paper argues that to address the evolving policy space, future research on climate change in the context of human mobility needs to become more differentiated, integrated and generalized. This includes concerted efforts to better integrate researchers from the global South, improved cross‐linkages between different datasets, approaches and disciplines, more longitudinal and comparative studies and development of innovative qualitative and quantitative methods.</w:t>
      </w:r>
    </w:p>
    <w:p>
      <w:pPr/>
      <w:r>
        <w:rPr>
          <w:b/>
        </w:rPr>
        <w:t>POSSIBLE 2023:</w:t>
      </w:r>
      <w:r>
        <w:t xml:space="preserve"> The role of pictorial cues and contrast for camouflage — https://doi.org/10.1007/s10682-023-10267-z</w:t>
      </w:r>
    </w:p>
    <w:p>
      <w:pPr/>
      <w:r>
        <w:rPr>
          <w:b/>
        </w:rPr>
        <w:t>Shared claim-specific concepts:</w:t>
      </w:r>
      <w:r>
        <w:t xml:space="preserve"> contrast, remains, processes; EU scope not established. This is a provisional connection, not an outcome finding.</w:t>
      </w:r>
    </w:p>
    <w:p>
      <w:pPr>
        <w:pStyle w:val="SourceNote"/>
      </w:pPr>
      <w:r>
        <w:rPr>
          <w:b/>
        </w:rPr>
        <w:t>Available abstract (not full text):</w:t>
      </w:r>
      <w:r>
        <w:t xml:space="preserve"> Abstract Shadows that are produced across the surface of an object (self-shadows) are potentially an important source of information for visual systems. Animal patterns may exploit this principle for camouflage, using pictorial cues to produce false depth information that manipulates the viewer’s detection/recognition processes. However, pictorial cues could also facilitate camouflage by matching the contrast (e.g. due to shadows) of 3D backgrounds. Aside from studies of countershading (patterning that may conceal depth information), the role of self-shadows in camouflage patterns remains unclear. Here we investigated whether pictorial cues (self-shadows) increase the survival probability of moth-like prey presented to free-living wild bird predators relative to targets without these cues. We manipulated the presence of self-shadows by adjusting the illumination conditions to produce patterned targets under directional lighting (lit from above or from below; self-shadows present) or diffuse lighting (no self-shadows). We used non-patterned targets (uniform colour) as controls. We manipulated the direction of illumination because it has been linked with depth perception in birds; objects lit from above may appear convex while those lit from below can appear concave. As shadows influence contrast, which also determines detectability, we photographed the targets in situ over the o</w:t>
      </w:r>
    </w:p>
    <w:p>
      <w:pPr/>
      <w:r>
        <w:rPr>
          <w:b/>
        </w:rPr>
        <w:t>POSSIBLE 2023:</w:t>
      </w:r>
      <w:r>
        <w:t xml:space="preserve"> Improving Mobility in Marginalised Communities — https://doi.org/10.3390/futuretransp3040074</w:t>
      </w:r>
    </w:p>
    <w:p>
      <w:pPr/>
      <w:r>
        <w:rPr>
          <w:b/>
        </w:rPr>
        <w:t>Shared claim-specific concepts:</w:t>
      </w:r>
      <w:r>
        <w:t xml:space="preserve"> mobility, need, travel; EU scope not established. This is a provisional connection, not an outcome finding.</w:t>
      </w:r>
    </w:p>
    <w:p>
      <w:pPr>
        <w:pStyle w:val="SourceNote"/>
      </w:pPr>
      <w:r>
        <w:rPr>
          <w:b/>
        </w:rPr>
        <w:t>Available abstract (not full text):</w:t>
      </w:r>
      <w:r>
        <w:t xml:space="preserve"> This paper examines how mobility can be re-examined within four communities that face substantial transport barriers. Four case study communities facing mobility exclusion were investigated: (i) an ageing community in South Wales; (ii) a community of people with learning difficulties from across Wales; (iii) female university students in Pakistan; (iv) a deprived neighbourhood in mid-Wales. Using an illuminative evaluation, collating a variety of information from documents associated with the communities, it was identified that transport creates freedom, independence, and contributes to sense of purpose, worth, and can help create community. Barriers to public transport include inaccessibility of the first/last mile, services not running at required times, being delayed, and cancelled. Barriers to active travel include poor infrastructure. Not being able to be mobile affects health, not just with a lack of active travel but also missed health appointments and a lack of access to healthy foods. Already marginalised communities are further disadvantaged by the barriers reducing access to jobs, education, services, shops, and leisure. Communities want support to develop their knowledge into a package that actors can use to develop a solution, often citing the need for quantitative skills, however, other ways of utilising experiential knowledge might be more appropriate.</w:t>
      </w:r>
    </w:p>
    <w:p>
      <w:pPr>
        <w:pStyle w:val="Heading2"/>
      </w:pPr>
      <w:r>
        <w:t>815. Long-Term Hydrocarbon Trade Options for the Maghreb Region and Europe—Renewable Energy Based Synthetic Fuels for a Net Zero Emissions World</w:t>
      </w:r>
    </w:p>
    <w:p>
      <w:pPr>
        <w:pStyle w:val="SourceNote"/>
      </w:pPr>
      <w:r>
        <w:rPr>
          <w:b/>
        </w:rPr>
        <w:t>Original source (2017):</w:t>
      </w:r>
      <w:r>
        <w:t xml:space="preserve"> https://doi.org/10.3390/su9020306</w:t>
      </w:r>
    </w:p>
    <w:p>
      <w:pPr/>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POSSIBLE 2026:</w:t>
      </w:r>
      <w:r>
        <w:t xml:space="preserve"> Dynamic Weighted Average Cost of Capital (DWACC) — https://doi.org/10.15396/eres2026_298</w:t>
      </w:r>
    </w:p>
    <w:p>
      <w:pPr/>
      <w:r>
        <w:rPr>
          <w:b/>
        </w:rPr>
        <w:t>Shared claim-specific concepts:</w:t>
      </w:r>
      <w:r>
        <w:t xml:space="preserve"> weighted, average, capital, based; EU scope not established. This is a provisional connection, not an outcome finding.</w:t>
      </w:r>
    </w:p>
    <w:p>
      <w:pPr>
        <w:pStyle w:val="SourceNote"/>
      </w:pPr>
      <w:r>
        <w:rPr>
          <w:b/>
        </w:rPr>
        <w:t>Available abstract (not full text):</w:t>
      </w:r>
      <w:r>
        <w:t xml:space="preserve"> The determination of discount rate is strategic in property valuation and consulting. Whilst in the counseling the determination of discount rate relies on the target rate of return that a specific investory tries to achieve, in the valuation process the task is more complicate because the valuer should include in the discount rate determination the market participant’s view of risk. Among the different models indicated in literature and professional standards discount rate can be calculate using weight average cost of capital based on the general accepted theory of capital structure (Modigliani Miller, 1958;1961;1963). In real estate literature a former version of weight average of capital can be considered the band of investment analysis in his version mortgage equity (Kazdin, 1944). Recently introduced cylical capitalization (d’Amato, 2013; d’Amato, 2015; d’Amato et al., 2024) offers a different approach to discount rate determination taking into account future variation along time. In this paper is proposed the definition of the dynamic weight average cost of capital as a possible alternative to the traditional one.</w:t>
      </w:r>
    </w:p>
    <w:p>
      <w:pPr/>
      <w:r>
        <w:rPr>
          <w:b/>
        </w:rPr>
        <w:t>POSSIBLE 2026:</w:t>
      </w:r>
      <w:r>
        <w:t xml:space="preserve"> Weighted Average Cost of Capital in Declining Interest Rate Environments (Part I): A Quantitative Risk Analysis — https://doi.org/10.3390/jrfm19040241</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The article examines the persistent stability of weighted average cost of capital (WACC) disclosed by German DAX40 companies despite substantial declines in risk-free interest rates between 2004 and 2021. While theory suggests that WACC should reflect lower risk-free interest rates and decline as well with falling government bond yields, empirical evidence reveals minimal adjustment in reported WACC figures. Disclosed WACC of DAX40 companies remain between 7% and 8% as the yield of the ten-year German government bond fell from 4.1% to –0.2%. This study employs quantitative analyses to investigate whether systematic increases in risk exposure can explain this phenomenon. Using capital market data spanning from 2000 to 2023, we analyze five risk dimensions: systematic risk (beta factors), overall market volatility, risk aversion (lambda factors), earnings risk, and financial structure risk. Bootstrap analyses reveal a 41.5% reduction in beta factor variance, while volatility analyses demonstrate declining market risk exposure. The market price of risk analysis does not reveal definite findings. Earnings risk measures indicate improved financial stability, and debt ratios show modest declines. These findings suggest that observable risk parameters cannot explain persistent WACC levels, indicating a disconnect between theoretical WACC calculations and practitioner applications in i</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2026:</w:t>
      </w:r>
      <w:r>
        <w:t xml:space="preserve"> Fossil Fuel Prices and Capital Cost: A Machine Learning Driven Study on Energy Transition — https://doi.org/10.48448/zfdn-k922</w:t>
      </w:r>
    </w:p>
    <w:p>
      <w:pPr/>
      <w:r>
        <w:rPr>
          <w:b/>
        </w:rPr>
        <w:t>Shared claim-specific concepts:</w:t>
      </w:r>
      <w:r>
        <w:t xml:space="preserve"> show, weighted, average, capital, wacc, renewable; EU scope visible. This is a provisional connection, not an outcome finding.</w:t>
      </w:r>
    </w:p>
    <w:p>
      <w:pPr>
        <w:pStyle w:val="SourceNote"/>
      </w:pPr>
      <w:r>
        <w:rPr>
          <w:b/>
        </w:rPr>
        <w:t>Available abstract (not full text):</w:t>
      </w:r>
      <w:r>
        <w:t xml:space="preserve"> Financial risk assessment plays a vital role in accelerating the global energy transition and achieving the 1.5°C climate target. This study develops a three-stage machine learning framework to analyze the impact of fossil fuel price volatility on the weighted average cost of capital (WACC) for energy transition projects. First, a hybrid Long Short-Term Memory-Gaussian Regression Process (LSTM-GRP) model forecasts fossil fuel prices, followed by an LSTM-based inflation predictor. In the final stage, an AutoML (AutoGluon) regression model evaluates how variations in fossil fuel prices and inflation influence WACC across nine energy sectors and multiple global regions. The results show that the WACC in energy-importing regions like Europe (R²=0.67) and China(R²=0.64) is highly sensitive to price shocks, making their decarbonization pathways vulnerable to external market instability. Conversely, the energy-exporting countries in Middle East (R²=0.54) exhibit lower sensitivity, indicating a fiscal cushion that may reduce the economic impetus for transition. The findings demonstrate how energy price volatility shapes financing conditions and investment risks for renewable energy deployment. This approach integrates AI-driven forecasting with climate finance modeling, providing an interpretable and data-driven tool to support policy design, green investment strategies, and climate-re</w:t>
      </w:r>
    </w:p>
    <w:p>
      <w:pPr/>
      <w:r>
        <w:rPr>
          <w:b/>
        </w:rPr>
        <w:t>POSSIBLE 2026:</w:t>
      </w:r>
      <w:r>
        <w:t xml:space="preserve"> WACC-NPV Framework and Evaluation of Risk-Projects: A Literature Review — https://doi.org/10.54254/2754-1169/2026.bl32999</w:t>
      </w:r>
    </w:p>
    <w:p>
      <w:pPr/>
      <w:r>
        <w:rPr>
          <w:b/>
        </w:rPr>
        <w:t>Shared claim-specific concepts:</w:t>
      </w:r>
      <w:r>
        <w:t xml:space="preserve"> capital, based; EU scope not established. This is a provisional connection, not an outcome finding.</w:t>
      </w:r>
    </w:p>
    <w:p>
      <w:pPr>
        <w:pStyle w:val="SourceNote"/>
      </w:pPr>
      <w:r>
        <w:rPr>
          <w:b/>
        </w:rPr>
        <w:t>Available abstract (not full text):</w:t>
      </w:r>
      <w:r>
        <w:t xml:space="preserve"> Venture capital has grown to be a significant capital force supporting the expansion of start-up businesses in the context of the ongoing expansion of innovation-driven development and the rising demand for entrepreneurial finance. How to conduct a reasonable assessment of high-risk and highly uncertain entrepreneurial projects has also become an important issue in the fields of corporate finance and entrepreneurial finance. This paper conducts a literature review focusing on the applicability of the WACC-NPV framework in the assessment of venture projects, with a particular emphasis on analyzing its theoretical basis, applicable boundaries, and alternative methods. The study employs the literature review method and comparative analysis method, systematically organizing relevant English literature mainly from ScienceDirect. The research finds that the WACC-NPV framework still holds significant theoretical significance, providing a basic logic for understanding the relationship between project value, capital cost, and investment return. However, in venture investment practices, due to difficulties in estimating the discount rate, unstable cash flow predictions, and significant impacts from exit mechanisms and contractual terms, it is difficult to use it as an independent operational tool for valuing entrepreneurial enterprises. As a result, it is better to evaluate venture proje</w:t>
      </w:r>
    </w:p>
    <w:p>
      <w:pPr/>
      <w:r>
        <w:rPr>
          <w:b/>
        </w:rPr>
        <w:t>POSSIBLE 2026:</w:t>
      </w:r>
      <w:r>
        <w:t xml:space="preserve"> Estimating the Cost of Capital of a Listed Indian Tyre Manufacturer — https://doi.org/10.55041/ijsrem67975</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This paper estimates and interprets the cost of capital of GDS Limited for the last Five financial years (FY2020-21 to FY2024-25) and compares the estimated cost of capital with that of its two direct competitors in the Indian tyre industry viz. CRUISE Tyres Limited and VESP Limited. The cost of equity is calculated applying the Capital Asset Pricing Model with bottom-up beta relevered through the Hamada relationship based on each company's capital structure, as reported in consolidated balance sheets (book value) with a cross-check in the market value in the terminal year; the cost of debt is calculated through reports of finance costs and average interest-bearing borrowings and adjusted for effective tax rate; the cost of equity and cost of debt are combined in a weighted average cost of capital using book-value weights, reported in the consolidated balance sheets, with a cross-check in the market value in the terminal year. Over the five years, GDS's WACC is determined to range between 11.78 per cent to 12.44 per cent with a period average of 12.07 per cent. Two opposing factors contribute to CRUISE’s stability. First, the risk-free rate has fallen and risen during the study period. Second, the capital structure has limited debt to a maximum of 19% of total capital. CRUISE’s peer group reveals that a 40% reduction in debt over a four-year period by CRUISE reduced its WACC to</w:t>
      </w:r>
    </w:p>
    <w:p>
      <w:pPr/>
      <w:r>
        <w:rPr>
          <w:b/>
        </w:rPr>
        <w:t>POSSIBLE 2026:</w:t>
      </w:r>
      <w:r>
        <w:t xml:space="preserve"> Integrating ESG into Capital Budgeting : Development of a Sustainability Capital Budgeting Index — https://openalex.org/W7162715662</w:t>
      </w:r>
    </w:p>
    <w:p>
      <w:pPr/>
      <w:r>
        <w:rPr>
          <w:b/>
        </w:rPr>
        <w:t>Shared claim-specific concepts:</w:t>
      </w:r>
      <w:r>
        <w:t xml:space="preserve"> show, weighted, average, capital, wacc, synthetic; EU scope not established. This is a provisional connection, not an outcome finding.</w:t>
      </w:r>
    </w:p>
    <w:p>
      <w:pPr>
        <w:pStyle w:val="SourceNote"/>
      </w:pPr>
      <w:r>
        <w:rPr>
          <w:b/>
        </w:rPr>
        <w:t>Available abstract (not full text):</w:t>
      </w:r>
      <w:r>
        <w:t xml:space="preserve"> Environmental, social and governance (ESG) performance has become increasingly material to corporate finance, yet its integration into project-level investment appraisal remains limited in practice. Traditional capital budgeting techniques are structurally incapable of capturing non-financial dimensions of value, applying uniform discount rates regardless of sustainability risk, and excluding long-horizon ESG- related liabilities by design. Grounded in agency theory, stakeholder theory, legitimacy theory and the resource-based view, the study is guided by four research questions: what limitations do traditional capital budgeting techniques present; which ESG dimensions are financially material; how can financial and sustainability considerations be integrated into a Sustainability Capital Budgeting Index (SCBI); and whether decisions derived from the SCBI differ materially from conventional NPV. The SCBI embeds ESG pillar coefficients and an environmental intensity penalty into a sustainability-adjusted weighted average cost of capital (WACC). A fixed-effects panel regression is estimated on a synthetic dataset of 1,000 firms across nine industries over ten years, with lagged ESG variables to address reverse causality. Environmental and Governance performance show statistically significant positive associations with financial score. Social performance and Environmental Intensit</w:t>
      </w:r>
    </w:p>
    <w:p>
      <w:pPr/>
      <w:r>
        <w:rPr>
          <w:b/>
        </w:rPr>
        <w:t>POSSIBLE 2026:</w:t>
      </w:r>
      <w:r>
        <w:t xml:space="preserve"> Role of Cost Efficiency, Capital Leverage, and Cost of Capital in Determining Shareholders' Value — https://doi.org/10.28991/esj-2026-010-01-027</w:t>
      </w:r>
    </w:p>
    <w:p>
      <w:pPr/>
      <w:r>
        <w:rPr>
          <w:b/>
        </w:rPr>
        <w:t>Shared claim-specific concepts:</w:t>
      </w:r>
      <w:r>
        <w:t xml:space="preserve"> capital, wacc; EU scope not established. This is a provisional connection, not an outcome finding.</w:t>
      </w:r>
    </w:p>
    <w:p>
      <w:pPr>
        <w:pStyle w:val="SourceNote"/>
      </w:pPr>
      <w:r>
        <w:rPr>
          <w:b/>
        </w:rPr>
        <w:t>Available abstract (not full text):</w:t>
      </w:r>
      <w:r>
        <w:t xml:space="preserve"> The objective of this research is to explore the impact of cost efficiency, capital leverage, and cost of capital on shareholder value regarding the GCC, a dynamic and inventive economy. Data from 41 banks that were listed on the stock exchange from 2015 to 2023 were collected. The Refinitiv Eikon interface provided bank-level data to achieve the aim of this study. GLS with cross-sectional weight as a panel econometric method was applied. The findings display that cost efficiency has a significant impact on shareholder value in the GCC banking sector. Reduced operational expenses, increased asset utilization, and effective tax planning have a positive effect on shareholders' return. Although financing with debt has a minimal effect on GCC banks' productivity, it is nevertheless important for evaluating the market performance, with DMC possessing a negative effect and DTA holding a positive influence. Moreover, revenue generation and the value of shareholders are all continuously improved by an optimum cost of capital (WACC). The outcomes of this study enrich the current literature by proposing a combined framework for assessing cost efficiency, capital leverage, and cost of capital. It also fills the gap in earlier regional research by providing new perspectives for creating shareholder value in the GCC banking industry.</w:t>
      </w:r>
    </w:p>
    <w:p>
      <w:pPr/>
      <w:r>
        <w:rPr>
          <w:b/>
        </w:rPr>
        <w:t>POSSIBLE 2026:</w:t>
      </w:r>
      <w:r>
        <w:t xml:space="preserve"> Analyst Forecasts and the Cost of Capital: Evidence from Indonesian State-Owned Enterprises — https://doi.org/10.59001/pjeb.v5i1.582</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This study investigates the determinants of the Weighted Average Cost of Capital (WACC) for Indonesian State-Owned Enterprises (SOEs) under the Indonesia Investment Authority (BP Danantara), focusing on the interplay between capital market analyst forecasts and macroeconomic factors. Utilizing a quantitative explanatory design, the research employs logistic regression on a pooled dataset of financial and non-financial SOEs. The findings reveal distinct sectoral variations in WACC drivers. For non-financial SOEs, inflation is the sole significant factor, exerting a negative effect. Conversely, for financial SOEs, the debt-to-assets (DTA) ratio, firm size, and interest rates significantly and negatively influence WACC within a robust model. Notably, analyst forecasts do not yield a direct significant effect for either sector. The study concludes that WACC determinants are fundamentally sector-specific: financial SOEs are more sensitive to monetary policy and capital structure, whereas non-financial SOEs are primarily influenced by real economic conditions. These results suggest that financial SOE managers should prioritize capital structure optimization and interest rate responsiveness, while non-financial SOEs must focus on operational efficiency. Academically, this research affirms that fundamental factors, rather than short-term analyst sentiment, remain the primary drivers of</w:t>
      </w:r>
    </w:p>
    <w:p>
      <w:pPr/>
      <w:r>
        <w:rPr>
          <w:b/>
        </w:rPr>
        <w:t>POSSIBLE 2026:</w:t>
      </w:r>
      <w:r>
        <w:t xml:space="preserve"> Relationships between airport centrality and delays in the European air network — https://doi.org/10.3926/jairm.509</w:t>
      </w:r>
    </w:p>
    <w:p>
      <w:pPr/>
      <w:r>
        <w:rPr>
          <w:b/>
        </w:rPr>
        <w:t>Shared claim-specific concepts:</w:t>
      </w:r>
      <w:r>
        <w:t xml:space="preserve"> show, weighted, average, based; EU scope visible. This is a provisional connection, not an outcome finding.</w:t>
      </w:r>
    </w:p>
    <w:p>
      <w:pPr>
        <w:pStyle w:val="SourceNote"/>
      </w:pPr>
      <w:r>
        <w:rPr>
          <w:b/>
        </w:rPr>
        <w:t>Available abstract (not full text):</w:t>
      </w:r>
      <w:r>
        <w:t xml:space="preserve"> Purpose: This study investigates the relationship between the centrality of airports in the European air network and the levels of recorded delays.Design/methodology/approach: This investigation employs a case study of the European air transport network, selecting eight European airports, over the period between 2022 and 2024. Based on official traffic and delay data, adjacency matrices and lists are constructed, and macros are developed to automate data extraction and organization. A new Weighted Betweenness Centrality formula is proposed, specifically adapted to the characteristics of air networks, and punctuality data is aggregated into monthly indicators of average delay and standard deviation for each airport.Findings: The results show that large hubs maintain high Weighted Betweenness Centrality values over time, in line with their structural role in the network. Periods with high delays and peaks of variability are revealed, with frequent parallel evolution between average delay and standard deviation. It is suggested that increased centrality, as a rule, does not necessarily imply a proportional increase in delays, although in airports such as Barcelona (BCN) and Rome (FCO) a clearer trend of increasing average delay and standard deviation with centrality is observed.Research limitations/implications: The time frame, 2022-2024, was defined based on available data, coinc</w:t>
      </w:r>
    </w:p>
    <w:p>
      <w:pPr/>
      <w:r>
        <w:rPr>
          <w:b/>
        </w:rPr>
        <w:t>POSSIBLE 2026:</w:t>
      </w:r>
      <w:r>
        <w:t xml:space="preserve"> Platformed partner markets: online dating and gendered assortative mating in Europe — https://doi.org/10.1080/1369118x.2026.2729550</w:t>
      </w:r>
    </w:p>
    <w:p>
      <w:pPr/>
      <w:r>
        <w:rPr>
          <w:b/>
        </w:rPr>
        <w:t>Shared claim-specific concepts:</w:t>
      </w:r>
      <w:r>
        <w:t xml:space="preserve"> show, weighted, average; EU scope visible. This is a provisional connection, not an outcome finding.</w:t>
      </w:r>
    </w:p>
    <w:p>
      <w:pPr>
        <w:pStyle w:val="SourceNote"/>
      </w:pPr>
      <w:r>
        <w:rPr>
          <w:b/>
        </w:rPr>
        <w:t>Available abstract (not full text):</w:t>
      </w:r>
      <w:r>
        <w:t xml:space="preserve"> Online dating has become a routine infrastructure of intimate life, yet its implications for social sorting remain contested. This study examines whether online dating is associated with gendered assortative mating in Europe. Using harmonised Generations and Gender Survey II data from nine countries, the analysis compares different-sex current unions formed through online dating with unions formed through other meeting modes. Country-specific weighted multinomial logit models estimate average marginal effects for four dimensions of partner sorting: education, age, nativity, and prior parenthood. The results show no uniform pattern of social mixing or homogamy reinforcement. Online dating is associated with lower educational homogamy in Germany, Estonia, the Netherlands, and the UK, but the direction of heterogamy varies, with male-advantaged educational pairing more evident in Austria and the Netherlands and female-advantaged pairing more evident in Denmark and Estonia. Age pairing shows a more consistent pattern: online dating is associated with lower probabilities of female-older unions in several countries, suggesting conventional gendered age-pairing patterns. Nativity provides the clearest evidence of boundary crossing, with online dating linked to lower nativity homogamy in six countries, although this pattern weakens when online dating is compared only with other online </w:t>
      </w:r>
    </w:p>
    <w:p>
      <w:pPr/>
      <w:r>
        <w:rPr>
          <w:b/>
        </w:rPr>
        <w:t>POSSIBLE 2025:</w:t>
      </w:r>
      <w:r>
        <w:t xml:space="preserve"> Ordered Weighted Average Support Vector Regression — https://doi.org/10.1016/j.eswa.2025.126882</w:t>
      </w:r>
    </w:p>
    <w:p>
      <w:pPr/>
      <w:r>
        <w:rPr>
          <w:b/>
        </w:rPr>
        <w:t>Shared claim-specific concepts:</w:t>
      </w:r>
      <w:r>
        <w:t xml:space="preserve"> weighted, average, based, synthetic; EU scope not established. This is a provisional connection, not an outcome finding.</w:t>
      </w:r>
    </w:p>
    <w:p>
      <w:pPr>
        <w:pStyle w:val="SourceNote"/>
      </w:pPr>
      <w:r>
        <w:rPr>
          <w:b/>
        </w:rPr>
        <w:t>Available abstract (not full text):</w:t>
      </w:r>
      <w:r>
        <w:t xml:space="preserve">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pPr>
        <w:pStyle w:val="Heading2"/>
      </w:pPr>
      <w:r>
        <w:t>816. Modeling the climatic suitability of leishmaniasis vector species in Europe</w:t>
      </w:r>
    </w:p>
    <w:p>
      <w:pPr>
        <w:pStyle w:val="SourceNote"/>
      </w:pPr>
      <w:r>
        <w:rPr>
          <w:b/>
        </w:rPr>
        <w:t>Original source (2017):</w:t>
      </w:r>
      <w:r>
        <w:t xml:space="preserve"> https://doi.org/10.1038/s41598-017-13822-1</w:t>
      </w:r>
    </w:p>
    <w:p>
      <w:pPr/>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POSSIBLE 2026:</w:t>
      </w:r>
      <w:r>
        <w:t xml:space="preserve"> How will climate change affect future European forest productivity by 2100 ? — https://openalex.org/W7205234882</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International audience</w:t>
      </w:r>
    </w:p>
    <w:p>
      <w:pPr/>
      <w:r>
        <w:rPr>
          <w:b/>
        </w:rPr>
        <w:t>POSSIBLE 2026:</w:t>
      </w:r>
      <w:r>
        <w:t xml:space="preserve"> Climate envelope models (CEMs) identify key factors determining the future distribution of European vertebrates in a changing climate — https://doi.org/10.1007/s10531-026-03373-1</w:t>
      </w:r>
    </w:p>
    <w:p>
      <w:pPr/>
      <w:r>
        <w:rPr>
          <w:b/>
        </w:rPr>
        <w:t>Shared claim-specific concepts:</w:t>
      </w:r>
      <w:r>
        <w:t xml:space="preserve"> climate, distribution, many, species, range, shifts; EU scope visible. This is a provisional connection, not an outcome finding.</w:t>
      </w:r>
    </w:p>
    <w:p>
      <w:pPr>
        <w:pStyle w:val="SourceNote"/>
      </w:pPr>
      <w:r>
        <w:rPr>
          <w:b/>
        </w:rPr>
        <w:t>Available abstract (not full text):</w:t>
      </w:r>
      <w:r>
        <w:t xml:space="preserve"> Abstract Current climate change exerts significant impacts on global ecosystems and is expected to reshape species distributions in the future. Climate Envelope Models (CEMs) are widely used to simulate potential shifts in species ranges under varying climatic conditions. This study aims to quantify the relative importance of key assumptions embedded within CEMs on projections of distributional changes for European vertebrates. This allows us to identify the factors most crucial to the survival of populations and thus to conservation strategies. We analysed variance on published CEM results to estimate effect sizes associated with different modelling assumptions, including the climate model used and the incorporation of dispersal constraints. The capacity for species dispersal emerged as the most influential factor affecting predicted range shifts, followed by assumptions related to atmospheric and oceanic circulation dynamics and anthropogenic emission scenarios. Additionally, taxonomic group-specific traits exerted a statistically significant, albeit smaller, effect. No significant differences were detected between projections for 2050 and 2080. Our findings emphasise that habitat conservation and the maintenance of ecological corridors will be critical for the persistence of many European vertebrate species amid rapidly changing climatic conditions.</w:t>
      </w:r>
    </w:p>
    <w:p>
      <w:pPr/>
      <w:r>
        <w:rPr>
          <w:b/>
        </w:rPr>
        <w:t>POSSIBLE 2026:</w:t>
      </w:r>
      <w:r>
        <w:t xml:space="preserve"> Rising dust pollution across Europe in a changing climate — https://doi.org/10.3929/ethz-c-000803510</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 Desert dust outbreaks degrade air quality and can pose adverse health effects, including asthma exacerbation and increased mortality. At some European locations, there has been a rise in the intensity and frequency of transported dust outbreaks from deserts in recent decades.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mu m) dust concentrations from 2012 to 2021, ranging from 2.09 ± 1.05 μg m⁻³ across northern and central Europe to 5.28 ± 2.65 μg m⁻³ across the south. In southern Europe, residents are exposed to transported dust events averaging 9.68 ± 4.85 μg m⁻³,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acceler</w:t>
      </w:r>
    </w:p>
    <w:p>
      <w:pPr/>
      <w:r>
        <w:rPr>
          <w:b/>
        </w:rPr>
        <w:t>POSSIBLE 2026:</w:t>
      </w:r>
      <w:r>
        <w:t xml:space="preserve"> Rising dust pollution across Europe in a changing climate. — https://doi.org/10.48620/99641</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matter1. Desert dust outbreaks degrade air quality and can pose adverse health effects2, including asthma exacerbation3 and increased mortality4. At some European locations, there has been a rise in the intensity and frequency of transported dust outbreaks from deserts in recent decades5-9.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μm) dust concentrations from 2012 to 2021, ranging from 2.09 ± 1.05 μg m-3 across northern and central Europe to 5.28 ± 2.65 μg m-3 across the south. In southern Europe, residents are exposed to transported dust events averaging 9.68 ± 4.85 μg m-3,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w:t>
      </w:r>
    </w:p>
    <w:p>
      <w:pPr/>
      <w:r>
        <w:rPr>
          <w:b/>
        </w:rPr>
        <w:t>POSSIBLE 2026:</w:t>
      </w:r>
      <w:r>
        <w:t xml:space="preserve"> Rising dust pollution across Europe in a changing climate — https://doi.org/10.1038/s41586-026-10743-w</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Abstract Mineral desert dust is a major contributor to total atmospheric particulate matter 1 . Desert dust outbreaks degrade air quality and can pose adverse health effects 2 , including asthma exacerbation 3 and increased mortality 4 . At some European locations, there has been a rise in the intensity and frequency of transported dust outbreaks from deserts in recent decades 5–9 .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 10 (particulate matter smaller than 10 μm) dust concentrations from 2012 to 2021, ranging from 2.09 ± 1.05 μg m −3 across northern and central Europe to 5.28 ± 2.65 μg m −3 across the south. In southern Europe, residents are exposed to transported dust events averaging 9.68 ± 4.85 μg m −3 ,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w:t>
      </w:r>
    </w:p>
    <w:p>
      <w:pPr/>
      <w:r>
        <w:rPr>
          <w:b/>
        </w:rPr>
        <w:t>POSSIBLE 2026:</w:t>
      </w:r>
      <w:r>
        <w:t xml:space="preserve"> Rising dust pollution across Europe in a changing climate [Dataset] — https://doi.org/10.20350/digitalcsic/29045</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matter1. Desert dust outbreaks degrade air quality and can pose adverse health effects2, including asthma exacerbation3 and increased mortality4. At some European locations, there has been a rise in the intensity and frequency of transported dust outbreaks from deserts in recent decades5-9.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μm) dust concentrations from 2012 to 2021, ranging from 2.09 ± 1.05 μg m-3 across northern and central Europe to 5.28 ± 2.65 μg m-3 across the south. In southern Europe, residents are exposed to transported dust events averaging 9.68 ± 4.85 μg m-3,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w:t>
      </w:r>
    </w:p>
    <w:p>
      <w:pPr/>
      <w:r>
        <w:rPr>
          <w:b/>
        </w:rPr>
        <w:t>POSSIBLE 2026:</w:t>
      </w:r>
      <w:r>
        <w:t xml:space="preserve"> Changes in air temperature frequency in Europe as a component of climate change — https://doi.org/10.31577/geogrcas.2026.78.4.03</w:t>
      </w:r>
    </w:p>
    <w:p>
      <w:pPr/>
      <w:r>
        <w:rPr>
          <w:b/>
        </w:rPr>
        <w:t>Shared claim-specific concepts:</w:t>
      </w:r>
      <w:r>
        <w:t xml:space="preserve"> climate, distribution, many, higher; EU scope visible. This is a provisional connection, not an outcome finding.</w:t>
      </w:r>
    </w:p>
    <w:p>
      <w:pPr>
        <w:pStyle w:val="SourceNote"/>
      </w:pPr>
      <w:r>
        <w:rPr>
          <w:b/>
        </w:rPr>
        <w:t>Available abstract (not full text):</w:t>
      </w:r>
      <w:r>
        <w:t xml:space="preserve"> The main features of air temperature change in Europe, particularly in Ukraine, are described.In general, the rate of air temperature increase in the studied area exceeds the global average.The warming observed in Western Europe and in mountainous regions is less pronounced than in Eastern Europe.In particular, the mean annual air temperature in Ukraine has risen by more than 3 °C since the beginning of meteorological observations in the late nineteenth century.This warming corresponds to an approximate southward shift of the country's climatic zone by about 500 km.A common feature of recent climate change is the acceleration of air temperature increase.A comparison of data for two equal periods (1961-1990 and 1995-2024) shows a significant increase in the frequency of high-temperature events.Consequently, the probability of hot days during 1995-2024 was substantially higher than during .A characteristic feature of mean daily temperatures across most of Europe, especially in its eastern part, is bimodality in the frequency distribution.In many cases, a peak with a high frequency of occurrence is observed at about 0-2 °C, which is close to the temperature of snow melting.Another common feature, mainly observed in Eastern Europe, is the presence of a right-hand peak at much higher temperatures.At the same time, in Western Europe and in mountainous regions, bimodality is much less</w:t>
      </w:r>
    </w:p>
    <w:p>
      <w:pPr/>
      <w:r>
        <w:rPr>
          <w:b/>
        </w:rPr>
        <w:t>POSSIBLE 2025:</w:t>
      </w:r>
      <w:r>
        <w:t xml:space="preserve"> Ash dieback and hydrology affect tree growth patterns under climate change in European floodplain forests — https://doi.org/10.1038/s41598-025-92079-5</w:t>
      </w:r>
    </w:p>
    <w:p>
      <w:pPr/>
      <w:r>
        <w:rPr>
          <w:b/>
        </w:rPr>
        <w:t>Shared claim-specific concepts:</w:t>
      </w:r>
      <w:r>
        <w:t xml:space="preserve"> climate, affect, species, increased, pathogens; EU scope visible. This is a provisional connection, not an outcome finding.</w:t>
      </w:r>
    </w:p>
    <w:p>
      <w:pPr>
        <w:pStyle w:val="SourceNote"/>
      </w:pPr>
      <w:r>
        <w:rPr>
          <w:b/>
        </w:rPr>
        <w:t>Available abstract (not full text):</w:t>
      </w:r>
      <w:r>
        <w:t xml:space="preserve">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pPr/>
      <w:r>
        <w:rPr>
          <w:b/>
        </w:rPr>
        <w:t>POSSIBLE 2025:</w:t>
      </w:r>
      <w:r>
        <w:t xml:space="preserve"> How will climate change affect future European forest productivity by year 2100?: analysis of European species — https://openalex.org/W7138825369</w:t>
      </w:r>
    </w:p>
    <w:p>
      <w:pPr/>
      <w:r>
        <w:rPr>
          <w:b/>
        </w:rPr>
        <w:t>Shared claim-specific concepts:</w:t>
      </w:r>
      <w:r>
        <w:t xml:space="preserve"> climate, affect, species; EU scope visible. This is a provisional connection, not an outcome finding.</w:t>
      </w:r>
    </w:p>
    <w:p>
      <w:pPr>
        <w:pStyle w:val="SourceNote"/>
      </w:pPr>
      <w:r>
        <w:rPr>
          <w:b/>
        </w:rPr>
        <w:t>Available abstract (not full text):</w:t>
      </w:r>
      <w:r>
        <w:t xml:space="preserve"> BES annual meeting, Edinburgh 18th December 2025</w:t>
      </w:r>
    </w:p>
    <w:p>
      <w:pPr/>
      <w:r>
        <w:rPr>
          <w:b/>
        </w:rPr>
        <w:t>POSSIBLE 2025:</w:t>
      </w:r>
      <w:r>
        <w:t xml:space="preserve"> How Can Climate Change Conditions and Environmental Regulation with the Presence of COVID-19 Pandemic Affect the Human Health in the European Union countries? — https://doi.org/10.1007/s13132-025-02778-7</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Implications for the distributional range of the European bark beetles under future climate change — https://doi.org/10.1038/s41598-025-15546-z</w:t>
      </w:r>
    </w:p>
    <w:p>
      <w:pPr/>
      <w:r>
        <w:rPr>
          <w:b/>
        </w:rPr>
        <w:t>Shared claim-specific concepts:</w:t>
      </w:r>
      <w:r>
        <w:t xml:space="preserve"> climate, affect, distribution, many, species, higher; EU scope visible. This is a provisional connection, not an outcome finding.</w:t>
      </w:r>
    </w:p>
    <w:p>
      <w:pPr>
        <w:pStyle w:val="SourceNote"/>
      </w:pPr>
      <w:r>
        <w:rPr>
          <w:b/>
        </w:rPr>
        <w:t>Available abstract (not full text):</w:t>
      </w:r>
      <w:r>
        <w:t xml:space="preserve"> The European continent is rich in forest resources, with bark beetles being the most significant biological disturbance impacting European forest ecosystems. Over the past few decades, many trees have died due to bark beetle infestations, causing considerable economic damage to forestry. It is estimated that climate change will affect the distributional range of bark beetles, increasing the risk of outbreaks. However, the ability of different beetle populations to respond to climate change remains unknown. For this purpose, we selected nine species of bark beetles commonly found in Europe and constructed the MaxEnt model to simulate the distribution pattern of bark beetles under climatic conditions based on 21 environmental variables. Modeling projected changes in the distribution of different species of bark beetles under four climate scenarios for 2081-2100 using future climate variables and testing the hypothesis that narrow-ranged species are more vulnerable to climate change than wide-ranged species. The results show that the distribution of most bark beetles is influenced by temperature-related variables. With climate change, the suitable distribution areas for most species will expand and gradually shift to higher latitudes. Furthermore, most of northern Europe will be invaded by multiple bark beetle species in the future. These findings contribute to understanding the d</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distribution, many, species, vector, transmission;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pStyle w:val="Heading2"/>
      </w:pPr>
      <w:r>
        <w:t>817. Multi-model ensemble simulations of olive pollen distribution in Europe in 2014: current status and outlook</w:t>
      </w:r>
    </w:p>
    <w:p>
      <w:pPr>
        <w:pStyle w:val="SourceNote"/>
      </w:pPr>
      <w:r>
        <w:rPr>
          <w:b/>
        </w:rPr>
        <w:t>Original source (2017):</w:t>
      </w:r>
      <w:r>
        <w:t xml:space="preserve"> https://doi.org/10.5194/acp-17-12341-2017</w:t>
      </w:r>
    </w:p>
    <w:p>
      <w:pPr/>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POSSIBLE 2026:</w:t>
      </w:r>
      <w:r>
        <w:t xml:space="preserve"> AI-Driven Weather Data Superresolution via Data Fusion for Precision Agriculture — https://doi.org/10.3390/s26041297</w:t>
      </w:r>
    </w:p>
    <w:p>
      <w:pPr/>
      <w:r>
        <w:rPr>
          <w:b/>
        </w:rPr>
        <w:t>Shared claim-specific concepts:</w:t>
      </w:r>
      <w:r>
        <w:t xml:space="preserve"> data, fusion, observations, period, remain; EU scope not established. This is a provisional connection, not an outcome finding.</w:t>
      </w:r>
    </w:p>
    <w:p>
      <w:pPr>
        <w:pStyle w:val="SourceNote"/>
      </w:pPr>
      <w:r>
        <w:rPr>
          <w:b/>
        </w:rPr>
        <w:t>Available abstract (not full text):</w:t>
      </w:r>
      <w:r>
        <w:t xml:space="preserve"> Accurate field-scale meteorological information is required for precision agriculture, but operational numerical weather prediction products remain spatially coarse and cannot resolve local microclimate variability. This study proposes a data fusion superresolution workflow that combines global GFS predictors (0.25°), regional station observations from Southern Moravia (Czech Republic), and static physiographic descriptors (elevation and terrain gradients) to predict the 2 m air temperature 24 h ahead and to generate spatially continuous high-resolution temperature fields. Several model families (LightGBM, TabPFN, Transformer, and Bayesian neural fields) are evaluated under spatiotemporal splits designed to test generalization to unseen time periods and unseen stations; spatial mapping is implemented via a KNN interpolation layer in the physiographic feature space. All learned configurations reduce the mean absolute error relative to raw GFS across splits. In the most operationally relevant regime (unseen stations and unseen future period), TabPFN-KNN achieves the lowest MAE (1.26 °C), corresponding to an ≈24% reduction versus GFS (1.66 °C). The results support the feasibility of an operational, sensor-infrastructure-compatible pipeline for high-resolution temperature superresolution in agricultural landscapes.</w:t>
      </w:r>
    </w:p>
    <w:p>
      <w:pPr/>
      <w:r>
        <w:rPr>
          <w:b/>
        </w:rPr>
        <w:t>POSSIBLE 2026:</w:t>
      </w:r>
      <w:r>
        <w:t xml:space="preserve"> HOSPITALITY SECTOR SKILLS – COMPARING CROATIA TO SOUTH EUROPEAN COUNTRIES — https://doi.org/10.20867/thi.28.06</w:t>
      </w:r>
    </w:p>
    <w:p>
      <w:pPr/>
      <w:r>
        <w:rPr>
          <w:b/>
        </w:rPr>
        <w:t>Shared claim-specific concepts:</w:t>
      </w:r>
      <w:r>
        <w:t xml:space="preserve"> skill, scores, used, individual; EU scope visible. This is a provisional connection, not an outcome finding.</w:t>
      </w:r>
    </w:p>
    <w:p>
      <w:pPr>
        <w:pStyle w:val="SourceNote"/>
      </w:pPr>
      <w:r>
        <w:rPr>
          <w:b/>
        </w:rPr>
        <w:t>Available abstract (not full text):</w:t>
      </w:r>
      <w:r>
        <w:t xml:space="preserve"> Purpose – The paper aims to comparatively analyse general skills differences among employed in the hospitality sector across South European (SE) economies. Methodology/Design/Approach – The individual responses from the Survey of Adult Skills were used to assess objective skill levels (literacy, numeracy, adaptive problem-solving) and selfperceived skill deficiencies. Descriptive comparisons across the countries and Oaxaca-Blinder decomposition were applied. Findings – The results show a relatively strong position for Croatia in literacy and numeracy, but a lower score in adaptive problem-solving. The difference in average scores between the countries is due to a compositional effect, mostly related to individuals with lower educational attainment and those of foreign origin. Originality of the research – The analysis provides objective measures of general skills in the hospitality sector in Croatia and SE economies, complementing previous findings focused on a single country.</w:t>
      </w:r>
    </w:p>
    <w:p>
      <w:pPr/>
      <w:r>
        <w:rPr>
          <w:b/>
        </w:rPr>
        <w:t>POSSIBLE 2026:</w:t>
      </w:r>
      <w:r>
        <w:t xml:space="preserve"> An Interpretable CF-RL-TOPSIS Fusion Model for Skills-Aware Talent Recommendation — https://openalex.org/W7162606408</w:t>
      </w:r>
    </w:p>
    <w:p>
      <w:pPr/>
      <w:r>
        <w:rPr>
          <w:b/>
        </w:rPr>
        <w:t>Shared claim-specific concepts:</w:t>
      </w:r>
      <w:r>
        <w:t xml:space="preserve"> scores, fusion, coefficients, individual, remain; EU scope not established. This is a provisional connection, not an outcome finding.</w:t>
      </w:r>
    </w:p>
    <w:p>
      <w:pPr>
        <w:pStyle w:val="SourceNote"/>
      </w:pPr>
      <w:r>
        <w:rPr>
          <w:b/>
        </w:rPr>
        <w:t>Available abstract (not full text):</w:t>
      </w:r>
      <w:r>
        <w:t xml:space="preserve"> Effective skills-aware talent recommendation must balance behavioral transition patterns, trajectory-sensitive adaptation, and inspectable occupation-level criteria. Evidence from public benchmarks on how these signals interact, however, remains limited. This study proposes CF-RL-TOPSIS, an interpretable late-fusion model that integrates a transition-aware collaborative branch, a compact reinforcement-style occupation-family bandit, and an entropy-weighted TOPSIS branch constructed from six semantic proxies; the validation-selected fusion coefficients remain auditable. The model is evaluated on two frozen public ICT talent-history benchmarks, JobHop and Karrierewege, using repeated chronological top-5 ranking and paired Wilcoxon tests. On JobHop the full hybrid attains NDCG@5 = 0.3040 +/- 0.0073 and significantly surpasses repeat-last, item Markov, transition-aware collaborative filtering, the CF+TOPSIS hybrid, GRU4Rec, and SASRec (p &lt;= 0.0039 across planned comparisons). On Karrierewege the hybrid remains competitive but does not significantly exceed the strongest Markov baseline, revealing a persistence-dominated setting in which the bandit branch appropriately shrinks to near-zero weight. Proxy-sensitivity, family-level deep Q-network, and runtime checks support this interpretation, and a worked user-level case shows how branch scores, criterion weights, and rank shifts can </w:t>
      </w:r>
    </w:p>
    <w:p>
      <w:pPr/>
      <w:r>
        <w:rPr>
          <w:b/>
        </w:rPr>
        <w:t>POSSIBLE 2026:</w:t>
      </w:r>
      <w:r>
        <w:t xml:space="preserve"> D4.5- Mapping of Skills — https://doi.org/10.5281/zenodo.23063764</w:t>
      </w:r>
    </w:p>
    <w:p>
      <w:pPr/>
      <w:r>
        <w:rPr>
          <w:b/>
        </w:rPr>
        <w:t>Shared claim-specific concepts:</w:t>
      </w:r>
      <w:r>
        <w:t xml:space="preserve"> skill, data, identify; EU scope visible. This is a provisional connection, not an outcome finding.</w:t>
      </w:r>
    </w:p>
    <w:p>
      <w:pPr>
        <w:pStyle w:val="SourceNote"/>
      </w:pPr>
      <w:r>
        <w:rPr>
          <w:b/>
        </w:rPr>
        <w:t>Available abstract (not full text):</w:t>
      </w:r>
      <w:r>
        <w:t xml:space="preserve"> This report presents the findings of the Gaming Clusters Across Multiple European Regions (GAME-ER) project, with a focus on Skills and Competencies. The GAME-ER project aims to understand the organisation and clustering dynamics of the video game industry in Europe, focusing on local and regional clusters outside major cities. GAME-ER brings together 15 partners from 9 countries, encompassing expertise in social sciences, humanities, policymaking, business, and innovation. This deliverable, D4.5 – Mapping of Skills presents the findings of Task 4.5 which focuses on the collection and analysis of survey data relating to the skills and competencies of each cluster of the GAME-ER project (Dundee, Turin, Brno, Fundão, Lyon and Bordeaux). The survey was designed to glean insights regarding: the skills and competencies of games developers at different levels in their career; the skills and competencies of individuals working the CCIs more broadly; the skills and competencies promoted by educators teaching in the field of video games; and the views of policy makers on skills and competencies in the video games industry. Analysis of the resulting data aimed to provide insights into the skills and competencies that are most necessary and needed in each cluster, the existing educational and professional development pathways, to identify potential gaps in skills provision, surface opport</w:t>
      </w:r>
    </w:p>
    <w:p>
      <w:pPr/>
      <w:r>
        <w:rPr>
          <w:b/>
        </w:rPr>
        <w:t>POSSIBLE 2026:</w:t>
      </w:r>
      <w:r>
        <w:t xml:space="preserve"> THE EFFECTS OF DISCOVERY LEARNING AND SELF-REGULATED LEARNING ON INNOVATIVE FUSION CUISINE SKILLS IN CULINARY ARTS EDUCATION — https://doi.org/10.18623/rvd.v23.n4.4504</w:t>
      </w:r>
    </w:p>
    <w:p>
      <w:pPr/>
      <w:r>
        <w:rPr>
          <w:b/>
        </w:rPr>
        <w:t>Shared claim-specific concepts:</w:t>
      </w:r>
      <w:r>
        <w:t xml:space="preserve"> scores, fusion, used; EU scope not established. This is a provisional connection, not an outcome finding.</w:t>
      </w:r>
    </w:p>
    <w:p>
      <w:pPr>
        <w:pStyle w:val="SourceNote"/>
      </w:pPr>
      <w:r>
        <w:rPr>
          <w:b/>
        </w:rPr>
        <w:t>Available abstract (not full text):</w:t>
      </w:r>
      <w:r>
        <w:t xml:space="preserve"> Advancements in culinary arts education emphasize active pedagogical strategies to foster innovative fusion cuisine skills, addressing the global gastronomy sector's demand for cultural amalgamation and technological integration. This study investigates the effects of discovery learning augmented by self-regulated learning (SRL) on students' creative competencies, focusing on digital incorporation in developing regions, to bridge gaps in traditional rote-based programs. A mixed-methods explanatory sequential design was employed with 135 fifth-semester culinary arts students at Universitas Negeri Medan. The quantitative phase used a quasi-experimental setup with block randomization into experimental (discovery learning, n=69) and control (traditional instruction, n=66) groups, assessing SRL via adapted MSLQ surveys and innovative skills through portfolio rubrics. The qualitative phase involved semi-structured interviews with 10 students and 5 instructors, analyzed thematically using NVivo. Discovery learning significantly enhanced SRL indicators and innovative fusion skills (mean scores: 87,5 vs. 74,6 for high SRL), with a notable interaction effect (F(2,129)=4,35, p=0,015, partial η²=0,068). Qualitative themes highlighted increased engagement, creativity (e.g., "Rendang Sushi"), SRL practices, and challenges like resource limitations and digital equity issues. Discovery learnin</w:t>
      </w:r>
    </w:p>
    <w:p>
      <w:pPr/>
      <w:r>
        <w:rPr>
          <w:b/>
        </w:rPr>
        <w:t>POSSIBLE 2026:</w:t>
      </w:r>
      <w:r>
        <w:t xml:space="preserve"> Fusion of Orbital and Surface Data for Air Temperature Estimation in Belém Using Machine Learning — https://doi.org/10.5753/wcama.2026.21200</w:t>
      </w:r>
    </w:p>
    <w:p>
      <w:pPr/>
      <w:r>
        <w:rPr>
          <w:b/>
        </w:rPr>
        <w:t>Shared claim-specific concepts:</w:t>
      </w:r>
      <w:r>
        <w:t xml:space="preserve"> best, skill, data, fusion, observations; EU scope not established. This is a provisional connection, not an outcome finding.</w:t>
      </w:r>
    </w:p>
    <w:p>
      <w:pPr>
        <w:pStyle w:val="SourceNote"/>
      </w:pPr>
      <w:r>
        <w:rPr>
          <w:b/>
        </w:rPr>
        <w:t>Available abstract (not full text):</w:t>
      </w:r>
      <w:r>
        <w:t xml:space="preserve"> This study evaluates fusion strategies between ERA5-Land orbital data and INMET surface observations to estimate daily air temperature in Belém, using data from 1994 to 2024. Different Random Forest models were compared, along with SARIMAX, LSTM, and stacking (SARIMAX and RF). The RF model with multivariate fusion achieved the best performance (RMSE = 0.5157 °C; R2 = 0.708; Skill = 6.19%), reducing bias relative to the orbital baseline, while chronological validation confirmed the temporal stability of RF-based models. The results indicate that, under low equatorial thermal variability, tree-based models are the most robust for satellite–surface fusion and thermal downscaling.</w:t>
      </w:r>
    </w:p>
    <w:p>
      <w:pPr/>
      <w:r>
        <w:rPr>
          <w:b/>
        </w:rPr>
        <w:t>POSSIBLE 2026:</w:t>
      </w:r>
      <w:r>
        <w:t xml:space="preserve"> APPLICATION OF DATA MINING BASED ON IMAGE FEATURE FUSION MODEL IN TEACHING EVALUATION — https://doi.org/10.29121/shodhkosh.v7.i4s.2026.7066</w:t>
      </w:r>
    </w:p>
    <w:p>
      <w:pPr/>
      <w:r>
        <w:rPr>
          <w:b/>
        </w:rPr>
        <w:t>Shared claim-specific concepts:</w:t>
      </w:r>
      <w:r>
        <w:t xml:space="preserve"> data, fusion, used; EU scope not established. This is a provisional connection, not an outcome finding.</w:t>
      </w:r>
    </w:p>
    <w:p>
      <w:pPr>
        <w:pStyle w:val="SourceNote"/>
      </w:pPr>
      <w:r>
        <w:rPr>
          <w:b/>
        </w:rPr>
        <w:t>Available abstract (not full text):</w:t>
      </w:r>
      <w:r>
        <w:t xml:space="preserve"> Nowadays, the modernization of education information is also an inevitable development path, and education management information systems have been widely used. The TQ and comprehensive evaluation of education and classrooms from the perspective of students and teachers. However, the traditional teaching assessment system has imperfect aspects. For example, the content of teaching assessment is too broad and the students' evaluation attitude is not objective, etc., which may cause the teaching assessment to lose its meaning. Using the methods of literature, mathematical statistics and questionnaire, this paper deeply studies the application of data mining theory and Image Feature Fusion technology. An application experiment of data mining based on Image Feature Fusion technology in teaching assessment is designed, established a decision table of key factors affecting teaching assessment, through the data preprocessing process and attribute reduction teaching method, the important factors affecting teaching evaluation are analyzed, preparation before class, etc. Finally, through the analysis of these factors, it is learned that students’ dissatisfaction with the current teaching assessment system accounts for 47.87%, and the dissatisfaction of teachers accounts for 31.28%. Therefore, teachers also should strive to improve their professional skills and teaching quality.</w:t>
      </w:r>
    </w:p>
    <w:p>
      <w:pPr/>
      <w:r>
        <w:rPr>
          <w:b/>
        </w:rPr>
        <w:t>POSSIBLE 2025:</w:t>
      </w:r>
      <w:r>
        <w:t xml:space="preserve"> Factors explaining adolescents’ digital skills in Europe — https://doi.org/10.1057/s41599-025-05241-9</w:t>
      </w:r>
    </w:p>
    <w:p>
      <w:pPr/>
      <w:r>
        <w:rPr>
          <w:b/>
        </w:rPr>
        <w:t>Shared claim-specific concepts:</w:t>
      </w:r>
      <w:r>
        <w:t xml:space="preserve"> skill, scores, data; EU scope visible. This is a provisional connection, not an outcome finding.</w:t>
      </w:r>
    </w:p>
    <w:p>
      <w:pPr>
        <w:pStyle w:val="SourceNote"/>
      </w:pPr>
      <w:r>
        <w:rPr>
          <w:b/>
        </w:rPr>
        <w:t>Available abstract (not full text):</w:t>
      </w:r>
      <w:r>
        <w:t xml:space="preserve">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pPr/>
      <w:r>
        <w:rPr>
          <w:b/>
        </w:rPr>
        <w:t>POSSIBLE 2025:</w:t>
      </w:r>
      <w:r>
        <w:t xml:space="preserve"> Design of a framework for skill assessment and performance analysis of soccer players based on multimodal data fusion — https://doi.org/10.70517/ijhsa463280</w:t>
      </w:r>
    </w:p>
    <w:p>
      <w:pPr/>
      <w:r>
        <w:rPr>
          <w:b/>
        </w:rPr>
        <w:t>Shared claim-specific concepts:</w:t>
      </w:r>
      <w:r>
        <w:t xml:space="preserve"> skill, data, fusion, tested; EU scope not established. This is a provisional connection, not an outcome finding.</w:t>
      </w:r>
    </w:p>
    <w:p>
      <w:pPr>
        <w:pStyle w:val="SourceNote"/>
      </w:pPr>
      <w:r>
        <w:rPr>
          <w:b/>
        </w:rPr>
        <w:t>Available abstract (not full text):</w:t>
      </w:r>
      <w:r>
        <w:t xml:space="preserve"> The author in order to realize the skill assessment of soccer players and analyze the athletes' performance on the field.Based on the extraction of multimodal data of soccer players and the fusion of multistream data with adaptive multiscale differential graph convolutional network, the athlete action recognition model is constructed.Next, the PC-CNN skill assessment model is constructed to assess and analyze the skills of soccer players.The performance performance of the assessment model in this paper is tested through comparative experiments.Finally, analyze the performance of the soccer team in the shooting mode and shooting area.The accuracy of this paper's PC-CNN assessment model is more than 90% in the assessment of three levels of skills of soccer players, and the accuracy of the assessment of high-level skills reaches 100%, which is more accurate than other models.Among the multimodal data of athletes' physiology, joint movements had the greatest influence on the assessment accuracy of the assessment model, which reached 78.17%.The soccer teams A, B, and C had the highest success rate in the item of penalty kick shooting skill, with success rates of 75%, 66.7%, and 66.7%, respectively.Teams A and C had the highest success rate in Zone 1.Team B had the highest success rate in Zone 4.</w:t>
      </w:r>
    </w:p>
    <w:p>
      <w:pPr/>
      <w:r>
        <w:rPr>
          <w:b/>
        </w:rPr>
        <w:t>POSSIBLE 2025:</w:t>
      </w:r>
      <w:r>
        <w:t xml:space="preserve"> Personalized nutrition: perspectives on challenges, opportunities, and guiding principles for data use and fusion — https://doi.org/10.1080/10408398.2025.2461237</w:t>
      </w:r>
    </w:p>
    <w:p>
      <w:pPr/>
      <w:r>
        <w:rPr>
          <w:b/>
        </w:rPr>
        <w:t>Shared claim-specific concepts:</w:t>
      </w:r>
      <w:r>
        <w:t xml:space="preserve"> data, fusion, individual, remain; EU scope not established. This is a provisional connection, not an outcome finding.</w:t>
      </w:r>
    </w:p>
    <w:p>
      <w:pPr>
        <w:pStyle w:val="SourceNote"/>
      </w:pPr>
      <w:r>
        <w:rPr>
          <w:b/>
        </w:rPr>
        <w:t>Available abstract (not full text):</w:t>
      </w:r>
      <w:r>
        <w:t xml:space="preserve"> Personalized nutrition (PN) delivers tailored dietary guidance by integrating health, lifestyle, and behavioral data to improve individual health outcomes. Recent technological advances have enhanced access to diverse data sources, yet challenges remain in collecting, integrating, and analyzing complex datasets. To address these, the Personalized Nutrition Initiative at Illinois organized a workshop titled "Personalized Nutrition Data: Challenges &amp; Opportunities," which gathered experts to explore three essential data domains in PN: 1) health and biological, 2) social, behavioral, and environmental, and 3) consumer purchasing data. Discussions underscored the importance of cross-disciplinary collaboration to standardize data collection, enable secure data sharing, and develop data fusion techniques that respect privacy and build trust. Participants emphasized the need for representative datasets that include underserved populations, ensuring that PN services are accessible and equitable. Key principles for responsible data integration were proposed, alongside strategies to overcome barriers to effective data use. By addressing these challenges, PN can enhance health outcomes through precise, personalized recommendations tailored to diverse population needs.</w:t>
      </w:r>
    </w:p>
    <w:p>
      <w:pPr/>
      <w:r>
        <w:rPr>
          <w:b/>
        </w:rPr>
        <w:t>POSSIBLE 2025:</w:t>
      </w:r>
      <w:r>
        <w:t xml:space="preserve"> Data-Driven Application Engineering: A Fusion of Analytics &amp; Development — https://doi.org/10.48047/jocaaa.2023.31.4.22</w:t>
      </w:r>
    </w:p>
    <w:p>
      <w:pPr/>
      <w:r>
        <w:rPr>
          <w:b/>
        </w:rPr>
        <w:t>Shared claim-specific concepts:</w:t>
      </w:r>
      <w:r>
        <w:t xml:space="preserve"> best, data, fusion; EU scope not established. This is a provisional connection, not an outcome finding.</w:t>
      </w:r>
    </w:p>
    <w:p>
      <w:pPr>
        <w:pStyle w:val="SourceNote"/>
      </w:pPr>
      <w:r>
        <w:rPr>
          <w:b/>
        </w:rPr>
        <w:t>Available abstract (not full text):</w:t>
      </w:r>
      <w:r>
        <w:t xml:space="preserve"> This study examines data-driven application engineering, which combines advanced analytics with software development.This study integrates data science, machine learning, and software engineering to create smarter, more adaptive, and more efficient systems.This paper examines data-driven application engineering pros, cons, and best practices.It accomplishes so by extensive literature study, case studies, and experimental analysis.The data show that this strategy improves decision-making, user experiences, and business value.The study also examines how data-driven application engineering may affect software development and proposes a framework for implementing it in various industries.</w:t>
      </w:r>
    </w:p>
    <w:p>
      <w:pPr/>
      <w:r>
        <w:rPr>
          <w:b/>
        </w:rPr>
        <w:t>POSSIBLE 2025:</w:t>
      </w:r>
      <w:r>
        <w:t xml:space="preserve"> The probabilistic skill of extended-range heat wave forecasts over Europe — https://doi.org/10.5194/nhess-25-1865-2025</w:t>
      </w:r>
    </w:p>
    <w:p>
      <w:pPr/>
      <w:r>
        <w:rPr>
          <w:b/>
        </w:rPr>
        <w:t>Shared claim-specific concepts:</w:t>
      </w:r>
      <w:r>
        <w:t xml:space="preserve"> skill, forecasts, days; EU scope visible. This is a provisional connection, not an outcome finding.</w:t>
      </w:r>
    </w:p>
    <w:p>
      <w:pPr>
        <w:pStyle w:val="SourceNote"/>
      </w:pPr>
      <w:r>
        <w:rPr>
          <w:b/>
        </w:rPr>
        <w:t>Available abstract (not full text):</w:t>
      </w:r>
      <w:r>
        <w:t xml:space="preserve"> Abstract. Severe heat waves lasting for weeks and expanding over hundreds of kilometres in horizontal scale have many harmful impacts on health, ecosystems, societies, and economy. Under the ongoing climate change heat waves are becoming even longer and hotter, and as proactive adaptation, the development of early warning services is essential. Weather forecasts in extended range (2 weeks to 1 month) tend to indicate a higher skill in predicting warm extremes than average temperature events in Europe. We verified hindcasts of the European Centre for Medium-Range Weather Forecasts (ECMWF) in forecasting heat wave days, i.e., periods with the 5-day mean temperature being above its 90th percentile. The verification was done in 5° × 2° resolution over Europe, based on the forecast week (1 to 4 weeks). In the first forecast week, it is evident that across Europe, the accuracy of ECMWF heat wave forecasts surpasses that of a mere climatological forecast. Even into the second week, in many places in Europe, the ECMWF forecasts prove to be more reliable than their statistical counterparts. However, if we extend the forecast lead time to 3–4 weeks, predictability begins to lower to such a level that it can no longer be said, with the exception of Southeastern Europe, that the forecasts in general were statistically significantly better than the statistical forecast. Nonetheless, intense</w:t>
      </w:r>
    </w:p>
    <w:p>
      <w:pPr>
        <w:pStyle w:val="Heading2"/>
      </w:pPr>
      <w:r>
        <w:t>818. New EU-scale environmental scenarios until 2050 – Scenario process and initial scenario applications</w:t>
      </w:r>
    </w:p>
    <w:p>
      <w:pPr>
        <w:pStyle w:val="SourceNote"/>
      </w:pPr>
      <w:r>
        <w:rPr>
          <w:b/>
        </w:rPr>
        <w:t>Original source (2017):</w:t>
      </w:r>
      <w:r>
        <w:t xml:space="preserve"> https://doi.org/10.1016/j.ecoser.2017.08.006</w:t>
      </w:r>
    </w:p>
    <w:p>
      <w:pPr/>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POSSIBLE 2026:</w:t>
      </w:r>
      <w:r>
        <w:t xml:space="preserve"> Mapping Participatory Approaches in Health Care Provision for Older Immigrants in Europe: A Scoping Review — https://doi.org/10.1007/s10903-026-01923-x</w:t>
      </w:r>
    </w:p>
    <w:p>
      <w:pPr/>
      <w:r>
        <w:rPr>
          <w:b/>
        </w:rPr>
        <w:t>Shared claim-specific concepts:</w:t>
      </w:r>
      <w:r>
        <w:t xml:space="preserve"> participatory, regional, potential; EU scope visible. This is a provisional connection, not an outcome finding.</w:t>
      </w:r>
    </w:p>
    <w:p>
      <w:pPr>
        <w:pStyle w:val="SourceNote"/>
      </w:pPr>
      <w:r>
        <w:rPr>
          <w:b/>
        </w:rPr>
        <w:t>Available abstract (not full text):</w:t>
      </w:r>
      <w:r>
        <w:t xml:space="preserve">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participatory, approach, four, regional, understanding;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Mediating heritage through design: Participatory approaches to post-digital transformation — https://doi.org/10.21606/drs.2026.2338</w:t>
      </w:r>
    </w:p>
    <w:p>
      <w:pPr/>
      <w:r>
        <w:rPr>
          <w:b/>
        </w:rPr>
        <w:t>Shared claim-specific concepts:</w:t>
      </w:r>
      <w:r>
        <w:t xml:space="preserve"> participatory, iterative, approach; EU scope visible. This is a provisional connection, not an outcome finding.</w:t>
      </w:r>
    </w:p>
    <w:p>
      <w:pPr>
        <w:pStyle w:val="SourceNote"/>
      </w:pPr>
      <w:r>
        <w:rPr>
          <w:b/>
        </w:rPr>
        <w:t>Available abstract (not full text):</w:t>
      </w:r>
      <w:r>
        <w:t xml:space="preserve">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pPr/>
      <w:r>
        <w:rPr>
          <w:b/>
        </w:rPr>
        <w:t>POSSIBLE 2026:</w:t>
      </w:r>
      <w:r>
        <w:t xml:space="preserve"> Developing evidence-based health education resources: a participatory and iterative approach applied to the one health concept — https://doi.org/10.3389/fpubh.2026.1912836</w:t>
      </w:r>
    </w:p>
    <w:p>
      <w:pPr/>
      <w:r>
        <w:rPr>
          <w:b/>
        </w:rPr>
        <w:t>Shared claim-specific concepts:</w:t>
      </w:r>
      <w:r>
        <w:t xml:space="preserve"> participatory, iterative, approach, involving, users, stakeholders; EU scope not established. This is a provisional connection, not an outcome finding.</w:t>
      </w:r>
    </w:p>
    <w:p>
      <w:pPr>
        <w:pStyle w:val="SourceNote"/>
      </w:pPr>
      <w:r>
        <w:rPr>
          <w:b/>
        </w:rPr>
        <w:t>Available abstract (not full text):</w:t>
      </w:r>
      <w:r>
        <w:t xml:space="preserve">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pPr/>
      <w:r>
        <w:rPr>
          <w:b/>
        </w:rPr>
        <w:t>POSSIBLE 2026:</w:t>
      </w:r>
      <w:r>
        <w:t xml:space="preserve"> From Engagement to Empowerment: Iterative Participatory Urbanism and Community Spatial Agency in the ECHO Project — https://doi.org/10.3390/architecture6030104</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Public housing in the Global South often prioritises the physical delivery of shelter at the expense of the social infrastructures needed to sustain collective life. In Malaysia’s Program Perumahan Rakyat (PPR), participatory efforts are frequently treated as brief consultative exercises that rarely reshape governance relations. This paper reconceptualises iterative participatory urbanism as a process through which community spatial agency is progressively formed through repeated engagement rather than isolated events. Unlike conventional participatory planning or co-production models centred on discrete consultation or project delivery, this approach frames participation as an evolving governance ecology. Drawing on a 12-month embedded case study of the ECHO Project at PPR Sri Cempaka, Kuala Lumpur, the study combines focus group discussions, participatory mapping, co-design workshops, and longitudinal facilitation observations to examine how residents’ relationship to shared space changed over time. Findings reveal a shift from passive expectations of state-led provision toward collective coordination, informal stewardship, and emerging shared governance practices. Spatial agency emerged not through design interventions alone but through relational continuity, visible responsiveness, and evolving shared responsibility. The study contributes to participatory urbanism and spati</w:t>
      </w:r>
    </w:p>
    <w:p>
      <w:pPr/>
      <w:r>
        <w:rPr>
          <w:b/>
        </w:rPr>
        <w:t>POSSIBLE 2026:</w:t>
      </w:r>
      <w:r>
        <w:t xml:space="preserve"> A participatory framework for assessing climate neutrality transition readiness — https://doi.org/10.5281/zenodo.22777820</w:t>
      </w:r>
    </w:p>
    <w:p>
      <w:pPr/>
      <w:r>
        <w:rPr>
          <w:b/>
        </w:rPr>
        <w:t>Shared claim-specific concepts:</w:t>
      </w:r>
      <w:r>
        <w:t xml:space="preserve"> participatory, iterative, developed, involving, regional, stakeholders; EU scope visible. This is a provisional connection, not an outcome finding.</w:t>
      </w:r>
    </w:p>
    <w:p>
      <w:pPr>
        <w:pStyle w:val="SourceNote"/>
      </w:pPr>
      <w:r>
        <w:rPr>
          <w:b/>
        </w:rPr>
        <w:t>Available abstract (not full text):</w:t>
      </w:r>
      <w:r>
        <w:t xml:space="preserve"> Climate neutrality transitions require not only technical planning but also collaborative governance ecosystems capable of ‘injecting’ strategic objectives into real implementation. Despite the increasing availability of European policy frameworks and funding mechanisms, many regional and local authorities continue to face institutional, organizational and participatory barriers limiting their transition capacity. In this context, Living Lab-oriented approaches can support stakeholder engagement, collaborative learning and evidence-informed governance. This paper proposes a participatory framework for assessing climate neutrality transition readiness across eight European areas participating in the Interreg Europe 2021–2027 SMARTFORM project. The methodology was developed through a Living Lab and Design Thinking co-creation process involving municipalities, regional authorities, academia and civil society and business stakeholders (in total 103 actors). Through iterative stakeholder engagement, the framework identified three core dimensions related to governance and planning, future readiness and gaps and barriers affecting climate neutrality transitions. The findings suggest that governance coordination, participatory capacity and institutional collaboration are perceived as critical enabling conditions for climate neutrality transitions, while implementation barriers remain s</w:t>
      </w:r>
    </w:p>
    <w:p>
      <w:pPr/>
      <w:r>
        <w:rPr>
          <w:b/>
        </w:rPr>
        <w:t>POSSIBLE 2026:</w:t>
      </w:r>
      <w:r>
        <w:t xml:space="preserve"> Using Formal and Computational Modelling to Develop an Initial Within-Person System Dynamics Model of Relapse in Smoking Cessation: A Participatory, Iterative, Multi-Method Approach — https://doi.org/10.24072/pcjournal.802</w:t>
      </w:r>
    </w:p>
    <w:p>
      <w:pPr/>
      <w:r>
        <w:rPr>
          <w:b/>
        </w:rPr>
        <w:t>Shared claim-specific concepts:</w:t>
      </w:r>
      <w:r>
        <w:t xml:space="preserve"> participatory, iterative, approach, involving; EU scope not established. This is a provisional connection, not an outcome finding.</w:t>
      </w:r>
    </w:p>
    <w:p>
      <w:pPr>
        <w:pStyle w:val="SourceNote"/>
      </w:pPr>
      <w:r>
        <w:rPr>
          <w:b/>
        </w:rPr>
        <w:t>Available abstract (not full text):</w:t>
      </w:r>
      <w:r>
        <w:t xml:space="preserve"> Popular relapse prevention theories are represented using natural language descriptions and lack temporal information about how phenomena of interest (i.e., ‘relapse’, ‘prolapse’, ‘abstinence’) are dynamically caused over time and within individuals. We drew on the Theory Construction Methodology to develop a formal and computational model of relapse in smoking cessation. We used a participatory, iterative, multi-method approach involving i) an informal theory and computational model review, ii) stakeholder interviews with researchers, people with lived experience, stop smoking practitioners, and policymakers ( N = 15) and iii) in silico simulations. We propose an initial within-person system dynamics model of relapse (‘COMPLAPSE’) in which biopsychosocial factors (e.g., stressors, cigarette cues, cravings, self-efficacy) are represented as time-varying inputs and state variables. These factors jointly determine the momentary preference for each behavioural option (i.e., smoke a cigarette, use a regulatory strategy, do nothing), with the probability of selecting each option (i.e., the output) generated by a softmax function. The simulations highlight the model’s ability to generate representational patterns of the phenomena of interest (i.e., relapse, prolapse and abstinence), thus providing an early sense-check of its explanatory adequacy. In addition, local sensitivity analys</w:t>
      </w:r>
    </w:p>
    <w:p>
      <w:pPr/>
      <w:r>
        <w:rPr>
          <w:b/>
        </w:rPr>
        <w:t>POSSIBLE 2026:</w:t>
      </w:r>
      <w:r>
        <w:t xml:space="preserve"> A Framework for Integrating Participatory Science Into Digital Urban Governance in Developing Contexts — https://doi.org/10.4018/ijepr.410590</w:t>
      </w:r>
    </w:p>
    <w:p>
      <w:pPr/>
      <w:r>
        <w:rPr>
          <w:b/>
        </w:rPr>
        <w:t>Shared claim-specific concepts:</w:t>
      </w:r>
      <w:r>
        <w:t xml:space="preserve"> participatory, developed, potential; EU scope not established. This is a provisional connection, not an outcome finding.</w:t>
      </w:r>
    </w:p>
    <w:p>
      <w:pPr>
        <w:pStyle w:val="SourceNote"/>
      </w:pPr>
      <w:r>
        <w:rPr>
          <w:b/>
        </w:rPr>
        <w:t>Available abstract (not full text):</w:t>
      </w:r>
      <w:r>
        <w:t xml:space="preserve"> Participatory science in urban planning has gained attention for its potential to enhance inclusive decision-making, improve data availability, and support knowledge dissemination, yet it remains underutilized in developing countries because of limited institutional capacity, fragmented governance, and weak integration of participant-generated data. The authors examined how participatory science can be effectively applied in resource-constrained urban contexts. The study involved two stages: (a) a literature review that focused on its potential and limitations in developing countries and (b) field-based lessons from three participatory applications in Palestine, developed with municipalities, ministries, non-governmental organizations, and universities. These initiatives addressed key challenges, such as inclusive public spaces, smart campus development, and water supply monitoring. The findings inform the Participatory Science Urban Governance Framework, which emphasizes adaptive digital tools, stakeholder coordination, and local trust-building as essential for embedding participatory science in urban governance.</w:t>
      </w:r>
    </w:p>
    <w:p>
      <w:pPr/>
      <w:r>
        <w:rPr>
          <w:b/>
        </w:rPr>
        <w:t>POSSIBLE 2026:</w:t>
      </w:r>
      <w:r>
        <w:t xml:space="preserve"> Democratizing the newsroom: A participatory design approach to empower citizen-participatory journalism and civic knowledge — https://doi.org/10.21606/drs.2026.429</w:t>
      </w:r>
    </w:p>
    <w:p>
      <w:pPr/>
      <w:r>
        <w:rPr>
          <w:b/>
        </w:rPr>
        <w:t>Shared claim-specific concepts:</w:t>
      </w:r>
      <w:r>
        <w:t xml:space="preserve"> participatory, approach, potential; EU scope not established. This is a provisional connection, not an outcome finding.</w:t>
      </w:r>
    </w:p>
    <w:p>
      <w:pPr>
        <w:pStyle w:val="SourceNote"/>
      </w:pPr>
      <w:r>
        <w:rPr>
          <w:b/>
        </w:rPr>
        <w:t>Available abstract (not full text):</w:t>
      </w:r>
      <w:r>
        <w:t xml:space="preserve"> Local news sustains democratic life by connecting citizens to community issues and fostering public deliberation. Yet the global phenomenon of Local News Desertification—the decline of trustworthy local media—has weakened civic discourse, civic knowledge, and collective belonging in local areas. Citizen-participatory journalism enables citizens to report and interpret local issues; however, conventional newsroom hierarchies and insufficient support for community participants without formal journalistic training hinder its democratic potential. This study frames that tension as a Participatory Design (PD) problem concerning power and imbalanced agency in sociotechnical news systems. Through a PD process, the study develops a citizen–AI participatory journalism model that enables citizens to democratically produce, verify, and publish local news with AI-assisted support and humans' collaborative judgment. The findings contribute a framework for Community News Resilience and a value-sensitive design approach that democratizes local information ecosystems through citizen–AI collaboration for future participatory journalism.</w:t>
      </w:r>
    </w:p>
    <w:p>
      <w:pPr/>
      <w:r>
        <w:rPr>
          <w:b/>
        </w:rPr>
        <w:t>POSSIBLE 2026:</w:t>
      </w:r>
      <w:r>
        <w:t xml:space="preserve"> BAM Toolkit for Participatory Science Communication — https://doi.org/10.5281/zenodo.18527178</w:t>
      </w:r>
    </w:p>
    <w:p>
      <w:pPr/>
      <w:r>
        <w:rPr>
          <w:b/>
        </w:rPr>
        <w:t>Shared claim-specific concepts:</w:t>
      </w:r>
      <w:r>
        <w:t xml:space="preserve"> participatory, approach; EU scope visible. This is a provisional connection, not an outcome finding.</w:t>
      </w:r>
    </w:p>
    <w:p>
      <w:pPr>
        <w:pStyle w:val="SourceNote"/>
      </w:pPr>
      <w:r>
        <w:rPr>
          <w:b/>
        </w:rPr>
        <w:t>Available abstract (not full text):</w:t>
      </w:r>
      <w:r>
        <w:t xml:space="preserve"> This toolkit presents the BAM (Bind–Adapt–Monitor) operational approach as a practice-facing (Open Science) toolkit for the design, implementation, and documentation of participatory science communication activities in publicly funded research and innovation (R&amp;I) projects, with particular relevance to Horizon Europe. Grounded in a conceptual shift that reconceptualises participatory science communication not as a set of auxiliary or instrumental activities, but as a sociotechnical infrastructure, BAM understands communication as a structuring element of participation. Communicative practices, tools, and procedures are treated as infrastructures that distribute agency among actors, organise relationships between science and society, and condition the possibilities for social impact. Within this perspective, participation is not merely facilitated but materially and discursively organised through communicative arrangements. BAM operationalises this conceptualisation by focusing on three interrelated conditions:- Bind: conditions that aim to enable real public influence on research processes and outcomes, including windows of influence, stakeholder mapping, roles, mediation, and decision-making procedures.- Adapt: conditions that support meaningful and inclusive voice through dialogic, accessible, and co-designed communicative practices, tailored formats, facilitation, interactio</w:t>
      </w:r>
    </w:p>
    <w:p>
      <w:pPr/>
      <w:r>
        <w:rPr>
          <w:b/>
        </w:rPr>
        <w:t>POSSIBLE 2026:</w:t>
      </w:r>
      <w:r>
        <w:t xml:space="preserve"> Participatory temporal urbanism: Reimagining participatory design, place evolution, and sustainable cities — https://doi.org/10.36922/dp026270030</w:t>
      </w:r>
    </w:p>
    <w:p>
      <w:pPr/>
      <w:r>
        <w:rPr>
          <w:b/>
        </w:rPr>
        <w:t>Shared claim-specific concepts:</w:t>
      </w:r>
      <w:r>
        <w:t xml:space="preserve"> participatory, involving, users, understanding; EU scope not established. This is a provisional connection, not an outcome finding.</w:t>
      </w:r>
    </w:p>
    <w:p>
      <w:pPr>
        <w:pStyle w:val="SourceNote"/>
      </w:pPr>
      <w:r>
        <w:rPr>
          <w:b/>
        </w:rPr>
        <w:t>Available abstract (not full text):</w:t>
      </w:r>
      <w:r>
        <w:t xml:space="preserve"> Public participation has long occupied a central position within planning and design theory. From Arnstein’s seminal work on citizen participation to collaborative planning, co-production, and contemporary participatory design approaches, scholars and practitioners have increasingly recognized the importance of involving citizens and users in shaping urban environments. Despite these advances, participation continues to be understood predominantly as an episodic and project-based activity associated with specific interventions, workshops, or consultation processes. Relatively limited attention has been devoted to the temporal dimensions of participation and to how users, places, meanings, and needs evolve over time. This study argues that time remains one of the least-explored dimensions of participatory planning and design. Building on literature from planning theory, participatory design, commons scholarship, care studies, and emerging work on temporality, the study proposes participatory temporal urbanism as a conceptual framework for understanding participation as an ongoing and evolving relationship rather than as a discrete event. The framework introduces five interrelated dimensions: co-creation, deliberation, co-management, co-adaptation, and co-memory. Drawing on concepts such as stewardship, commoning, maintenance, and care, the study further argues that sustainable u</w:t>
      </w:r>
    </w:p>
    <w:p>
      <w:pPr/>
      <w:r>
        <w:rPr>
          <w:b/>
        </w:rPr>
        <w:t>POSSIBLE 2026:</w:t>
      </w:r>
      <w:r>
        <w:t xml:space="preserve"> Blending a Participatory Approach Into Qualitative Research: Principles and Implementation Steps — https://doi.org/10.35844/001c.167252</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Since the 1990s, the authors have been guided in their rigorous qualitative research by a central ethical question: to what extent is it justifiable to collect data solely for academic purposes without contributing to the well-being of the population being studied, particularly vulnerable groups? Based on earlier (participatory) qualitative research publications, the authors describe the blending of a participatory approach into qualitative research. The paper is based on the authors’ earlier and recent additional participatory project experiences, on secondary literature, and on interviews conducted especially for this paper with fellow participatory researchers. All these -global- experiences are included and presented as case studies. The authors elaborate on characteristics and principles of their participatory approach to qualitative research and then distinguish a Participatory Qualitative Research Cycle (ParQRC). This cycle consists of a Participatory Design Cycle, a Qualitative Data Collection and Analysis Cycle, and a Participatory Action Cycle. The different constituting steps, to be taken not in a linear but iterative way, aim at guiding students and researchers and professionals in Participatory Qualitative Research.</w:t>
      </w:r>
    </w:p>
    <w:p>
      <w:pPr>
        <w:pStyle w:val="Heading2"/>
      </w:pPr>
      <w:r>
        <w:t>819. Occupational Structure in European Countries: What do Forecasts Predict?</w:t>
      </w:r>
    </w:p>
    <w:p>
      <w:pPr>
        <w:pStyle w:val="SourceNote"/>
      </w:pPr>
      <w:r>
        <w:rPr>
          <w:b/>
        </w:rPr>
        <w:t>Original source (2017):</w:t>
      </w:r>
      <w:r>
        <w:t xml:space="preserve"> https://doi.org/10.17323/1996-7845-2017-04-109</w:t>
      </w:r>
    </w:p>
    <w:p>
      <w:pPr/>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POSSIBLE 2026:</w:t>
      </w:r>
      <w:r>
        <w:t xml:space="preserve"> Digital communication and occupational well-being in 25 European countries — https://doi.org/10.1007/s10111-026-00902-4</w:t>
      </w:r>
    </w:p>
    <w:p>
      <w:pPr/>
      <w:r>
        <w:rPr>
          <w:b/>
        </w:rPr>
        <w:t>Shared claim-specific concepts:</w:t>
      </w:r>
      <w:r>
        <w:t xml:space="preserve"> occupational, over, well; EU scope visible. This is a provisional connection, not an outcome finding.</w:t>
      </w:r>
    </w:p>
    <w:p>
      <w:pPr>
        <w:pStyle w:val="SourceNote"/>
      </w:pPr>
      <w:r>
        <w:rPr>
          <w:b/>
        </w:rPr>
        <w:t>Available abstract (not full text):</w:t>
      </w:r>
      <w:r>
        <w:t xml:space="preserve">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pPr/>
      <w:r>
        <w:rPr>
          <w:b/>
        </w:rPr>
        <w:t>POSSIBLE 2026:</w:t>
      </w:r>
      <w:r>
        <w:t xml:space="preserve"> A survey on occupational medicine residency programs across european countries — https://doi.org/10.1186/s12909-026-09587-9</w:t>
      </w:r>
    </w:p>
    <w:p>
      <w:pPr/>
      <w:r>
        <w:rPr>
          <w:b/>
        </w:rPr>
        <w:t>Shared claim-specific concepts:</w:t>
      </w:r>
      <w:r>
        <w:t xml:space="preserve"> occupational, health, representatives, scientific; EU scope visible. This is a provisional connection, not an outcome finding.</w:t>
      </w:r>
    </w:p>
    <w:p>
      <w:pPr>
        <w:pStyle w:val="SourceNote"/>
      </w:pPr>
      <w:r>
        <w:rPr>
          <w:b/>
        </w:rPr>
        <w:t>Available abstract (not full text):</w:t>
      </w:r>
      <w:r>
        <w:t xml:space="preserve"> BACKGROUND: The European Union of Medical Specialists aims at improving post-graduate training in different disciplines developing European Training Requirements (ETRs) that reflect scientific progress. The study assessed the completeness, coherence, and applicability of the current Occupational Medicine (OM) ETR document and identified areas requiring revision and implementation. METHODS: An online survey was conducted among 22 European specialty training representatives to address specific items concerning the training of the OM specialists, including requirements for trainees, trainers and Institutions. RESULTS: An OM specialty was present in all the countries investigated, with universities responsible for training in 56% cases. In every country theoretical knowledge and practical skills covered the following areas: framework for practice; clinical practice; hazard recognition, evaluation and control of risk; epidemiology and preventive health. Other topics, e.g., effective teaching and educational supervision; research methods; leadership, policy development and professionalism; business continuity, disaster preparedness and emergency management were not consistently covered, with gaps reported in 19-31.8% of countries. Suggested additions to the OM curriculum included disability, protection of conditions of susceptibility, future of work, ethics, interprofessional trainin</w:t>
      </w:r>
    </w:p>
    <w:p>
      <w:pPr/>
      <w:r>
        <w:rPr>
          <w:b/>
        </w:rPr>
        <w:t>POSSIBLE 2026:</w:t>
      </w:r>
      <w:r>
        <w:t xml:space="preserve"> Occupational pension schemes in Germany: Learning from other European countries — https://doi.org/10.7190/shu-thesis-00843</w:t>
      </w:r>
    </w:p>
    <w:p>
      <w:pPr/>
      <w:r>
        <w:rPr>
          <w:b/>
        </w:rPr>
        <w:t>Shared claim-specific concepts:</w:t>
      </w:r>
      <w:r>
        <w:t xml:space="preserve"> main, occupational, over, significant; EU scope visible. This is a provisional connection, not an outcome finding.</w:t>
      </w:r>
    </w:p>
    <w:p>
      <w:pPr>
        <w:pStyle w:val="SourceNote"/>
      </w:pPr>
      <w:r>
        <w:rPr>
          <w:b/>
        </w:rPr>
        <w:t>Available abstract (not full text):</w:t>
      </w:r>
      <w:r>
        <w:t xml:space="preserve"> The objective of the present doctoral thesis is to explore the possibility of a more sustainable and acceptable occupational pension system (OPS) for Germany and how this might be promoted and implemented in the future. Based on the researcher’s work as a practitioner in various roles in the area of occupational pension schemes in Germany over approximately 15 years, several weaknesses in the system were identified, which is supported by existing literature. The research objective of the present doctoral thesis is to explore these weaknesses further and to reflect on a system that could be more effective in the German context. The research applies a pragmatic philosophical standpoint using mixed methods to answer the research questions. The qualitative part follows the quantitative one, whereby the qualitative part comprises the main component of the research. The quantitative part is a macroeconomic comparison between Germany, France and the United Kingdom, serving to show the gaps Germany might have in terms of OPS. Additionally, four regression analyses with constructed datasets were conducted, focusing on Germany only, to simulate what might happen if things remain unchanged. The qualitative part is a case study on OPS in the German chemistry sector and analyses semi-structured interviews (SSIs) which have been conducted with stakeholders (employee, employer and trade union</w:t>
      </w:r>
    </w:p>
    <w:p>
      <w:pPr/>
      <w:r>
        <w:rPr>
          <w:b/>
        </w:rPr>
        <w:t>POSSIBLE 2026:</w:t>
      </w:r>
      <w:r>
        <w:t xml:space="preserve"> European Code Against Cancer, 5th edition – occupational exposures and cancer — https://doi.org/10.1002/1878-0261.70174</w:t>
      </w:r>
    </w:p>
    <w:p>
      <w:pPr/>
      <w:r>
        <w:rPr>
          <w:b/>
        </w:rPr>
        <w:t>Shared claim-specific concepts:</w:t>
      </w:r>
      <w:r>
        <w:t xml:space="preserve"> occupational, increasing, health; EU scope visible. This is a provisional connection, not an outcome finding.</w:t>
      </w:r>
    </w:p>
    <w:p>
      <w:pPr>
        <w:pStyle w:val="SourceNote"/>
      </w:pPr>
      <w:r>
        <w:rPr>
          <w:b/>
        </w:rPr>
        <w:t>Available abstract (not full text):</w:t>
      </w:r>
      <w:r>
        <w:t xml:space="preserve"> Occupational exposure to cancer-causing agents is a major, yet preventable, contributor to cancer in Europe and globally. In the European Union (EU), cancer is responsible for nearly half of all work-related deaths, underscoring the critical need for prevention measures. Effective strategies typically involve regulatory and workplace measures aimed at reducing or eliminating exposure risks. Raising awareness of hazardous workplace exposures is essential to empower individuals, foster a culture of prevention, and support effective regulation. The 5th edition of the European Code Against Cancer (ECAC5) includes a recommendation on how individuals can minimize their cancer risk and highlights the shared responsibilities of workers and employers for occupational safety and health: 'Inform yourself about cancer-causing factors at work and call on your employer to protect you against them. Always follow health and safety instructions at your workplace'. Key to ECAC5 is the addition of policy pointers at the governance level to support employers in taking preventive action and improving worker awareness. Strengthening regulatory frameworks and increasing awareness are crucial steps toward reducing the burden of occupational cancer.</w:t>
      </w:r>
    </w:p>
    <w:p>
      <w:pPr/>
      <w:r>
        <w:rPr>
          <w:b/>
        </w:rPr>
        <w:t>POSSIBLE 2026:</w:t>
      </w:r>
      <w:r>
        <w:t xml:space="preserve"> Cohort Profile: The European Occupational Exposome Mega Cohort Consortium (OMega-X) — https://doi.org/10.1093/ije/dyag151</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Key Features•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workers.Most cohorts were established and followed participants since the year 2000; some follow workers from the 1950s to the 1990s.Job-history data primarily capture the working lifetime or follow-up period.• The Consortium is supported by online inventories and tools.The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w:t>
      </w:r>
    </w:p>
    <w:p>
      <w:pPr/>
      <w:r>
        <w:rPr>
          <w:b/>
        </w:rPr>
        <w:t>POSSIBLE 2026:</w:t>
      </w:r>
      <w:r>
        <w:t xml:space="preserve"> Cohort Profile: The European Occupational Exposome Mega Cohort Consortium (OMega-X) — https://doi.org/10.82135/tno-1034333</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 Most cohorts were established and followed participants since the year 2000; some follow workers from the 1950s to the 1990s. Job-history data primarily capture the working lifetime or follow-up period. The Consortium is supported by online inventories and tools. 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Application procedures fo</w:t>
      </w:r>
    </w:p>
    <w:p>
      <w:pPr/>
      <w:r>
        <w:rPr>
          <w:b/>
        </w:rPr>
        <w:t>POSSIBLE 2026:</w:t>
      </w:r>
      <w:r>
        <w:t xml:space="preserve"> Gender inequalities in high psychological distress vary across European regions and occupational subgroups — https://doi.org/10.1038/s41598-026-54327-0</w:t>
      </w:r>
    </w:p>
    <w:p>
      <w:pPr/>
      <w:r>
        <w:rPr>
          <w:b/>
        </w:rPr>
        <w:t>Shared claim-specific concepts:</w:t>
      </w:r>
      <w:r>
        <w:t xml:space="preserve"> demonstrates, occupational, importance, health, occupations, significant; EU scope visible. This is a provisional connection, not an outcome finding.</w:t>
      </w:r>
    </w:p>
    <w:p>
      <w:pPr>
        <w:pStyle w:val="SourceNote"/>
      </w:pPr>
      <w:r>
        <w:rPr>
          <w:b/>
        </w:rPr>
        <w:t>Available abstract (not full text):</w:t>
      </w:r>
      <w:r>
        <w:t xml:space="preserve"> Gender inequalities in psychological distress have been found in various populations, including occupational groups and countries. There is a lack of studies that compare regions in a uniform operationalisation of distress and integrate occupational groups. 67,641 participants from 36 countries of the European Working Conditions Survey 2021 were analysed. High psychological distress was operationalized using the WHO-5 Well-Being Index. Using predicted probabilities and multilevel regression analysis, gender inequalities between countries, regions and occupational subgroups were calculated. Across most countries, women reported higher psychological distress. The magnitude of gender differences varied between countries, regions and occupations. However, overlapping confidence intervals limit the conclusiveness of the results. When stratifying for both region and occupation type, in the Southern European region and in blue-collar low-skilled occupations gender inequalities were highest. In the significant interaction model, white-collar occupations in Western Europe and blue-collar low-skilled occupations in Southern Europe had the highest gender inequalities. This study demonstrates heterogeneity in the magnitude of gender differences in high psychological distress across Europe and occupational groups. White-collar high-skilled occupations in Western Europe and blue-collar low-s</w:t>
      </w:r>
    </w:p>
    <w:p>
      <w:pPr/>
      <w:r>
        <w:rPr>
          <w:b/>
        </w:rPr>
        <w:t>POSSIBLE 2026:</w:t>
      </w:r>
      <w:r>
        <w:t xml:space="preserve"> Implementing cancer prevention in occupational healthcare: initial insights from occupational healthcare staff in Central and Southern Europe – findings from the CPW project — https://doi.org/10.1186/s12885-026-15607-0</w:t>
      </w:r>
    </w:p>
    <w:p>
      <w:pPr/>
      <w:r>
        <w:rPr>
          <w:b/>
        </w:rPr>
        <w:t>Shared claim-specific concepts:</w:t>
      </w:r>
      <w:r>
        <w:t xml:space="preserve"> occupational, professionals, health; EU scope visible. This is a provisional connection, not an outcome finding.</w:t>
      </w:r>
    </w:p>
    <w:p>
      <w:pPr>
        <w:pStyle w:val="SourceNote"/>
      </w:pPr>
      <w:r>
        <w:rPr>
          <w:b/>
        </w:rPr>
        <w:t>Available abstract (not full text):</w:t>
      </w:r>
      <w:r>
        <w:t xml:space="preserve"> BACKGROUND: Effective primary cancer prevention in occupational health care settings requires strategies tailored to workforce needs and individual risk profiles. Cultural, perceptual, and behavioural factors influence implementation success. Occupational healthcare professionals (OHCPs), with their expertise and regulatory responsibilities, are critical for advancing workplace cancer prevention. This study evaluates the feasibility of primary cancer prevention programs within the Cancer Prevention at Work (CPW) project across Europe from OHCP perspective. METHODS: CPW is a Horizon Europe funded cross-sectional pilot study (2023–2026) conducted in Italy, Romania, Slovakia, and Spain. It focuses on HCV (Hepatitis C Virus) and Hp (Helicobacter pylori) screening and HPV (Human Papillomavirus) counselling among workers. OHCPs involved in program implementation completed a survey assessing their perceptions of the programs, contextual factors, and their professional role in delivery. Responses were recorded on a 5-point Likert scale (1 = strongly disagree, 5 = strongly agree), with higher scores indicating more positive assessments, supportive contexts, and greater OHCP engagement. Data were analysed using descriptive statistics and exploratory analyses. RESULTS: Fifty-five OHCPs completed the survey. Findings suggest that integrating primary cancer prevention into occupational heal</w:t>
      </w:r>
    </w:p>
    <w:p>
      <w:pPr/>
      <w:r>
        <w:rPr>
          <w:b/>
        </w:rPr>
        <w:t>POSSIBLE 2025:</w:t>
      </w:r>
      <w:r>
        <w:t xml:space="preserve"> Telework and Occupational Segregation in Europe — https://doi.org/10.3390/economies13100292</w:t>
      </w:r>
    </w:p>
    <w:p>
      <w:pPr/>
      <w:r>
        <w:rPr>
          <w:b/>
        </w:rPr>
        <w:t>Shared claim-specific concepts:</w:t>
      </w:r>
      <w:r>
        <w:t xml:space="preserve"> occupational, well, occupations; EU scope visible. This is a provisional connection, not an outcome finding.</w:t>
      </w:r>
    </w:p>
    <w:p>
      <w:pPr>
        <w:pStyle w:val="SourceNote"/>
      </w:pPr>
      <w:r>
        <w:rPr>
          <w:b/>
        </w:rPr>
        <w:t>Available abstract (not full text):</w:t>
      </w:r>
      <w:r>
        <w:t xml:space="preserve">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pPr/>
      <w:r>
        <w:rPr>
          <w:b/>
        </w:rPr>
        <w:t>POSSIBLE 2025:</w:t>
      </w:r>
      <w:r>
        <w:t xml:space="preserve"> INTEGRATION OF EUROPEAN STANDARDS OF OCCUPATIONAL HEALTH AND SAFETY, ENVIRONMENTAL MANAGEMENTAND SOCIAL SUSTAINABILITY INTO THE MANAGEMENT SYSTEMOF MARITIME INFRASTRUCTURE IN UKRAINE — https://doi.org/10.15589/smi2025.2(21).12</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pPr/>
      <w:r>
        <w:rPr>
          <w:b/>
        </w:rPr>
        <w:t>POSSIBLE 2025:</w:t>
      </w:r>
      <w:r>
        <w:t xml:space="preserve"> Occupational Infections Among Workers in Europe: Protocol for a Scoping Review — https://doi.org/10.2196/59606</w:t>
      </w:r>
    </w:p>
    <w:p>
      <w:pPr/>
      <w:r>
        <w:rPr>
          <w:b/>
        </w:rPr>
        <w:t>Shared claim-specific concepts:</w:t>
      </w:r>
      <w:r>
        <w:t xml:space="preserve"> occupational, increasing, scientific; EU scope visible. This is a provisional connection, not an outcome finding.</w:t>
      </w:r>
    </w:p>
    <w:p>
      <w:pPr>
        <w:pStyle w:val="SourceNote"/>
      </w:pPr>
      <w:r>
        <w:rPr>
          <w:b/>
        </w:rPr>
        <w:t>Available abstract (not full text):</w:t>
      </w:r>
      <w:r>
        <w:t xml:space="preserve"> BACKGROUND: Workers may be exposed to different infectious agents, putting them at risk of developing occupational diseases. This can occur in many ways, through deliberate use of speciﬁc microorganisms or through potential exposure from close contact with biological material. Infection prevention and control measures against biohazards can reduce the risk of infection among workers. During the last few decades, an increasing proportion of workers in Europe have been exposed to infectious biological agents in their workplace. Knowledge gaps on this topic in Europe have limited our understanding of the overall phenomenon in occupational settings. OBJECTIVE: This study aims to understand the extent and type of evidence on the epidemiology of occupational or work-related infections caused by bacterial, viral, fungal, and parasitical agents in European countries, the factors affecting their occurrence among workers, and the burden of disease among workers due to occupational risk. METHODS: The review will be conducted following the Joanna Briggs Institute methodology for scoping reviews and the PRISMA-ScR (Preferred Reporting Items for Systematic Reviews and Meta-Analyses extension for Scoping Reviews) guidelines. This review will consider studies that include data on the epidemiology of occupational infections, risk factors and determinants, and burden of disease among workers emp</w:t>
      </w:r>
    </w:p>
    <w:p>
      <w:pPr/>
      <w:r>
        <w:rPr>
          <w:b/>
        </w:rPr>
        <w:t>POSSIBLE 2025:</w:t>
      </w:r>
      <w:r>
        <w:t xml:space="preserve"> Gender Differences in Intergenerational Occupational Persistence and Mobility in Central Europe — https://doi.org/10.13060/csr.2024.041</w:t>
      </w:r>
    </w:p>
    <w:p>
      <w:pPr/>
      <w:r>
        <w:rPr>
          <w:b/>
        </w:rPr>
        <w:t>Shared claim-specific concepts:</w:t>
      </w:r>
      <w:r>
        <w:t xml:space="preserve"> occupational, trend, well, occupations; EU scope visible. This is a provisional connection, not an outcome finding.</w:t>
      </w:r>
    </w:p>
    <w:p>
      <w:pPr>
        <w:pStyle w:val="SourceNote"/>
      </w:pPr>
      <w:r>
        <w:rPr>
          <w:b/>
        </w:rPr>
        <w:t>Available abstract (not full text):</w:t>
      </w:r>
      <w:r>
        <w:t xml:space="preserve"> This article investigates intergenerational occupational persistence and mobility across Central Europe (Austria, Czech Republic, Hungary, Poland, and Slovakia) on the basis of EU-SILC survey data from 2005, 2011, and 2019. Social Stratification in Eastern Europe survey data from 1993 is also used as a historical comparison. These surveys are uniquely suited for the analysis of occupational mobility due to their large sample sizes and inclusion of detailed parental occupation data. I report gender differences in total and net mobility rates based on the analysis of 7x7 occupational mobility tables, as well as predicted probabilities (derived from log odds from multinomial regression) of attaining specific occupational destinations based on parental occupational origins. The reproduction of occupational status is particularly strong in professional occupations (for both men and women), trade and crafts (for men), and sales/clerical occupations (for women), which seem to be in dynamic equilibrium. Compared to men, women’s increases in social fluidity (and higher rates of upward mobility) are shaped much more strongly by changes in occupational structure, though this has weakened in both the Czech Republic and Slovakia. Lastly, I find that women have much greater chances than men in upward mobility in attaining professional occupations from lower family origins, and that this tren</w:t>
      </w:r>
    </w:p>
    <w:p>
      <w:pPr>
        <w:pStyle w:val="Heading2"/>
      </w:pPr>
      <w:r>
        <w:t>820. Pathways to Decarbonise the European Car Fleet: A Scenario Analysis Using the Backcasting Approach</w:t>
      </w:r>
    </w:p>
    <w:p>
      <w:pPr>
        <w:pStyle w:val="SourceNote"/>
      </w:pPr>
      <w:r>
        <w:rPr>
          <w:b/>
        </w:rPr>
        <w:t>Original source (2017):</w:t>
      </w:r>
      <w:r>
        <w:t xml:space="preserve"> https://doi.org/10.3390/en11010020</w:t>
      </w:r>
    </w:p>
    <w:p>
      <w:pPr/>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POSSIBLE 2026:</w:t>
      </w:r>
      <w:r>
        <w:t xml:space="preserve"> An Integrated Approach to Assessing Road Passenger Transport Decarbonisation Pathways — https://doi.org/10.7250/9789934373589</w:t>
      </w:r>
    </w:p>
    <w:p>
      <w:pPr/>
      <w:r>
        <w:rPr>
          <w:b/>
        </w:rPr>
        <w:t>Shared claim-specific concepts:</w:t>
      </w:r>
      <w:r>
        <w:t xml:space="preserve"> analyses, decarbonisation, passenger; EU scope not established. This is a provisional connection, not an outcome finding.</w:t>
      </w:r>
    </w:p>
    <w:p>
      <w:pPr>
        <w:pStyle w:val="SourceNote"/>
      </w:pPr>
      <w:r>
        <w:rPr>
          <w:b/>
        </w:rPr>
        <w:t>Available abstract (not full text):</w:t>
      </w:r>
      <w:r>
        <w:t xml:space="preserve">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decarbonisation, passenger, hybrid;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The military green transition: Decarbonisation as warfighting opportunity — https://doi.org/10.1016/j.polgeo.2026.103573</w:t>
      </w:r>
    </w:p>
    <w:p>
      <w:pPr/>
      <w:r>
        <w:rPr>
          <w:b/>
        </w:rPr>
        <w:t>Shared claim-specific concepts:</w:t>
      </w:r>
      <w:r>
        <w:t xml:space="preserve"> decarbonisation, business, electric, together; EU scope visible. This is a provisional connection, not an outcome finding.</w:t>
      </w:r>
    </w:p>
    <w:p>
      <w:pPr>
        <w:pStyle w:val="SourceNote"/>
      </w:pPr>
      <w:r>
        <w:rPr>
          <w:b/>
        </w:rPr>
        <w:t>Available abstract (not full text):</w:t>
      </w:r>
      <w:r>
        <w:t xml:space="preserve"> Amid rising concern for the operational implications of climate change and industrial decarbonisation, European military sectors are preparing for a military green transition. Rather than constitute a meaningful form of ecological stewardship, this article argues that said transition is best understood as militarism's greening through which war making, preparation and profiteering are normalised and facilitated in the name of climate action and environmental sustainability. The article unfolds over three sections. First, I identify military and green technological supply chains' entangled geopolitical ecologies, connecting the people and places implicated in both war's violence and ecological modernisation. Second, drawing on policy analysis, interviews and visits to military trade shows, I demonstrate how the military green transition materialises through the electric, digital, lower-carbon and alternative fuel transformation of war – initiatives that warp socio-ecological care into a battlefield and business opportunity. Third, I trace the socio-ecological harms that the greening of European military capabilities risk exacerbating – linking weapons production and use with the toxic geographies of ‘renewable’ energy infrastructure, mineral extraction, e-waste processing, data centre expansion, nuclear proliferation, biofuel development and beyond. Together, the three sections </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passenger, mobility, ownership, battery, electric, vehicles;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Slow but tangible progress: the economic dividends of decarbonisation in Cyprus — https://openalex.org/W7159555102</w:t>
      </w:r>
    </w:p>
    <w:p>
      <w:pPr/>
      <w:r>
        <w:rPr>
          <w:b/>
        </w:rPr>
        <w:t>Shared claim-specific concepts:</w:t>
      </w:r>
      <w:r>
        <w:t xml:space="preserve"> decarbonisation, increase, substantial; EU scope visible. This is a provisional connection, not an outcome finding.</w:t>
      </w:r>
    </w:p>
    <w:p>
      <w:pPr>
        <w:pStyle w:val="SourceNote"/>
      </w:pPr>
      <w:r>
        <w:rPr>
          <w:b/>
        </w:rPr>
        <w:t>Available abstract (not full text):</w:t>
      </w:r>
      <w:r>
        <w:t xml:space="preserve"> Instability in global energy supply and fluctuating international oil and gas prices push European countries to reduce fuel import dependency through energy saving measures and faster deployment of renewable energy. Calculating the fuel import bill, as usually done to illustrate the impact of the continent’s energy dependency, offers only a partial picture of the challenge. This paper applies an economy-wide assessment for Cyprus, a country which greatly relies on imported fossil fuels but has made some progress towards decarbonisation. We combine energy, economic and trade statistics with technical calculations and find that renewables deployed in the last decade have already today contributed to very substantial net benefits of 469 million Euros at 2023 prices, leading to a benefit-cost ratio ranging between 11 and 19. Input-output modelling shows that economy-wide benefits have led to a cumulative additional value added of the order of 1.4 billion Euros’2023 during the decade 2015-2024, with a 0.5-1% GDP increase per year thanks to renewables investments and avoided fossil fuel imports. The approach presented here minimises the uncertainties and assumptions that are necessary to run more sophisticated economic models and can offer credible insights on the economic dividends of decarbonisation policies in any country, contributing also to improved energy security.</w:t>
      </w:r>
    </w:p>
    <w:p>
      <w:pPr/>
      <w:r>
        <w:rPr>
          <w:b/>
        </w:rPr>
        <w:t>POSSIBLE 2026:</w:t>
      </w:r>
      <w:r>
        <w:t xml:space="preserve"> SUSTAINABLE BIOFUELS FOR THE DECARBONISATION OF THE TRANSPORT SECTOR IN CITIES — https://doi.org/10.24874/cmvm2026.055</w:t>
      </w:r>
    </w:p>
    <w:p>
      <w:pPr/>
      <w:r>
        <w:rPr>
          <w:b/>
        </w:rPr>
        <w:t>Shared claim-specific concepts:</w:t>
      </w:r>
      <w:r>
        <w:t xml:space="preserve"> decarbonisation, fleet, mobility, vehicles, greenhouse; EU scope not established. This is a provisional connection, not an outcome finding.</w:t>
      </w:r>
    </w:p>
    <w:p>
      <w:pPr>
        <w:pStyle w:val="SourceNote"/>
      </w:pPr>
      <w:r>
        <w:rPr>
          <w:b/>
        </w:rPr>
        <w:t>Available abstract (not full text):</w:t>
      </w:r>
      <w:r>
        <w:t xml:space="preserve"> Decarbonising the transport sector is one of the major challenges in achieving climate neutrality in cities.In addition to high greenhouse gas emissions, this sector has a direct impact on the deterioration of air quality in urban areas.Integrating sustainable biofuels (biodiesel, biomethane, bioethanol, and renewable diesel) is one of the key ways to reduce pollution and achieve carbon neutrality.Modern technologies enable these biofuels to be produced from locally available feedstocks, such as used cooking oil and fats, the organic fraction of municipal waste, sewage sludge, etc.According to 2024 data, a total of 73,016 motor vehicles are registered in Kragujevac, accounting for approximately 30% of the city's final energy consumption.To evaluate the effects of substituting fossil fuels with locally produced alternatives, an analysis was conducted across three key mobility segments: the public transit system, the municipal vehicle fleet, and privately owned vehicles.The research results indicate that the use of sustainable biofuels in suitable blends can significantly reduce CO2 emissions, as well as harmful pollutants.The use of sustainable biofuels represents an important and significant step in the energy transition, contributing to long-term improvements in air quality.</w:t>
      </w:r>
    </w:p>
    <w:p>
      <w:pPr/>
      <w:r>
        <w:rPr>
          <w:b/>
        </w:rPr>
        <w:t>POSSIBLE 2026:</w:t>
      </w:r>
      <w:r>
        <w:t xml:space="preserve"> The Role and Significance of Rail Transport in the Decarbonisation of the EU Transport Sector — https://doi.org/10.3390/smartcities9040064</w:t>
      </w:r>
    </w:p>
    <w:p>
      <w:pPr/>
      <w:r>
        <w:rPr>
          <w:b/>
        </w:rPr>
        <w:t>Shared claim-specific concepts:</w:t>
      </w:r>
      <w:r>
        <w:t xml:space="preserve"> decarbonisation, passenger, expected, share, battery, electric; EU scope visible. This is a provisional connection, not an outcome finding.</w:t>
      </w:r>
    </w:p>
    <w:p>
      <w:pPr>
        <w:pStyle w:val="SourceNote"/>
      </w:pPr>
      <w:r>
        <w:rPr>
          <w:b/>
        </w:rPr>
        <w:t>Available abstract (not full text):</w:t>
      </w:r>
      <w:r>
        <w:t xml:space="preserve"> Globally, the transport sector accounts for almost a quarter of CO2 emissions from fuel combustion and generates large amounts of pollutants, placing significant pressure on the environment and human health. By 2050, the European Green Deal requires a 90% reduction in transport-related emissions, making sustainability necessary across all modes of transport. Based on the relevant literature, this study examines the role and potential of railways in decarbonising the EU transport sector. Railway is highly efficient, consuming just 1.9% of transport sector energy while handling 16.9% of freight and 5.1% of passenger transport in the EU, yet is responsible for only 0.4% of total emissions. According to studies, greenhouse gas emissions can be reduced by improving energy efficiency, using low-carbon or renewable energy, and expanding train electrification. The greatest potential for decarbonisation lies in a modal shift to rail. However, this requires significant infrastructure investment: raising line speeds to at least 160 km/h, expanding networks, building terminals, digitalisation, and alignment with TEN-T standards. Although the EU supports the modal shift with funding programmes, the transition is not progressing as expected—the share of road freight transport increased from 74% in 2013 to 78% in 2023. Stronger investment is needed in Member States’ national policies for the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decarbonisation, electric, together;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2025:</w:t>
      </w:r>
      <w:r>
        <w:t xml:space="preserve"> Battery electric vehicles show the lowest carbon footprints among passenger cars across 1.5–3.0 °C energy decarbonisation pathways — https://doi.org/10.1038/s43247-025-02447-2</w:t>
      </w:r>
    </w:p>
    <w:p>
      <w:pPr/>
      <w:r>
        <w:rPr>
          <w:b/>
        </w:rPr>
        <w:t>Shared claim-specific concepts:</w:t>
      </w:r>
      <w:r>
        <w:t xml:space="preserve"> decarbonisation, passenger, car, plug-in, hybrid, battery; EU scope not established. This is a provisional connection, not an outcome finding.</w:t>
      </w:r>
    </w:p>
    <w:p>
      <w:pPr>
        <w:pStyle w:val="SourceNote"/>
      </w:pPr>
      <w:r>
        <w:rPr>
          <w:b/>
        </w:rPr>
        <w:t>Available abstract (not full text):</w:t>
      </w:r>
      <w:r>
        <w:t xml:space="preserve">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pPr/>
      <w:r>
        <w:rPr>
          <w:b/>
        </w:rPr>
        <w:t>POSSIBLE 2025:</w:t>
      </w:r>
      <w:r>
        <w:t xml:space="preserve"> An Online Tool for Guiding Bus Fleet Decarbonisation Through Green Hydrogen and Electrification — https://doi.org/10.1007/978-3-031-89444-2_92</w:t>
      </w:r>
    </w:p>
    <w:p>
      <w:pPr/>
      <w:r>
        <w:rPr>
          <w:b/>
        </w:rPr>
        <w:t>Shared claim-specific concepts:</w:t>
      </w:r>
      <w:r>
        <w:t xml:space="preserve"> decarbonisation, fleet, battery, electric, required; EU scope not established. This is a provisional connection, not an outcome finding.</w:t>
      </w:r>
    </w:p>
    <w:p>
      <w:pPr>
        <w:pStyle w:val="SourceNote"/>
      </w:pPr>
      <w:r>
        <w:rPr>
          <w:b/>
        </w:rPr>
        <w:t>Available abstract (not full text):</w:t>
      </w:r>
      <w:r>
        <w:t xml:space="preserve"> Abstract The transition to zero emission bus (ZEB) fleets is accelerating. Two prevalent ZEB options that are often compared to each other are battery electric buses (BEBs) and fuel cell electric buses (FCEBs) fueled by green hydrogen. Hydrogen is labelled as green when it is produced by electrolysis powered by renewable electricity. From the perspective of a bus fleet operator or regional authority interested in replacing a conventional diesel bus fleet with one of these new technologies, it can be unclear which combinations of BEBs and FCEBs are most suitable in terms of cost, emission reduction, and capability to maintain regular operation of the bus fleet. This work develops the Enabling Support Tool (EST), an easy-to-use model that can assess the trade-offs between BEBs and FCEBs in terms of their technical performance, required infrastructure, cost, and emissions reduction potential. Using a novel input process that does not require complex drive-cycle data, the EST allows the user to quickly investigate the feasibility of a mixed fleet of BEBs and FCEBs, considering the effects of local climate conditions, road gradient, and varying bus payload on the daily range of BEBs. This enables users to explore the feasibility of different combinations of BEBs and FCEBs and thus guide cost-effective full fleet decarbonisation.</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decarbonisation, greenhouse;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Integrated modelling and ontologies of energy futures: The decarbonisation of maritime transport — https://doi.org/10.1016/j.erss.2025.104195</w:t>
      </w:r>
    </w:p>
    <w:p>
      <w:pPr/>
      <w:r>
        <w:rPr>
          <w:b/>
        </w:rPr>
        <w:t>Shared claim-specific concepts:</w:t>
      </w:r>
      <w:r>
        <w:t xml:space="preserve"> decarbonisation, case, together; EU scope not established. This is a provisional connection, not an outcome finding.</w:t>
      </w:r>
    </w:p>
    <w:p>
      <w:pPr>
        <w:pStyle w:val="SourceNote"/>
      </w:pPr>
      <w:r>
        <w:rPr>
          <w:b/>
        </w:rPr>
        <w:t>Available abstract (not full text):</w:t>
      </w:r>
      <w:r>
        <w:t xml:space="preserve"> Integrated Assessment Models (IAMs) represent an increasingly prominent tool in the governance of energy transitions. While scholars have often pointed to the dissonance between IAMs and the empirical realities they claim to project, studies of how integrated energy modelling interacts with the power relations of energy governance have been relatively scarce. Drawing on literature in Science and Technology Studies, this article explores how IAMs function in the broader relations of power and expertise that govern energy transitions, focusing on the transition to alternative fuels in maritime transport as an illustrative case. More specifically, the article demonstrates that integrated energy modelling anchors and is embedded in broad and complex structures of practices through which ontologies of energy futures are created. It shows that existing literature has adopted too narrow a perspective on the ways integrated energy modelling enacts power relations, concluding that the practices through which models are constructed and reach their audiences should be collapsed together into a single analytical frame.</w:t>
      </w:r>
    </w:p>
    <w:p>
      <w:pPr>
        <w:pStyle w:val="Heading2"/>
      </w:pPr>
      <w:r>
        <w:t>821. Policy insights and modelling challenges: The case of passenger car powertrain technology transition in the European Union</w:t>
      </w:r>
    </w:p>
    <w:p>
      <w:pPr>
        <w:pStyle w:val="SourceNote"/>
      </w:pPr>
      <w:r>
        <w:rPr>
          <w:b/>
        </w:rPr>
        <w:t>Original source (2017):</w:t>
      </w:r>
      <w:r>
        <w:t xml:space="preserve"> https://doi.org/10.1007/s12544-017-0252-x</w:t>
      </w:r>
    </w:p>
    <w:p>
      <w:pPr/>
      <w:r>
        <w:t>Original wording (abstract; indexed_source_text_not_full_document_verified): We then transfer the policy scenarios to other EU member states and assess the transferability of the policies.</w:t>
      </w:r>
    </w:p>
    <w:p>
      <w:pPr/>
      <w:r>
        <w:rPr>
          <w:b/>
        </w:rPr>
        <w:t>POSSIBLE 2026:</w:t>
      </w:r>
      <w:r>
        <w:t xml:space="preserve"> Media Policy Transfer in Europe — https://doi.org/10.1017/9781009568159.013</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pPr/>
      <w:r>
        <w:rPr>
          <w:b/>
        </w:rPr>
        <w:t>POSSIBLE 2026:</w:t>
      </w:r>
      <w:r>
        <w:t xml:space="preserve"> Transfer of Green Policies from European Union to its Member States — https://openalex.org/W7165424889</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pPr/>
      <w:r>
        <w:rPr>
          <w:b/>
        </w:rPr>
        <w:t>POSSIBLE 2026:</w:t>
      </w:r>
      <w:r>
        <w:t xml:space="preserve"> The Europeanization of constitutions: experience of European Union Member States in the context of Ukraine’s candidate status — https://doi.org/10.33663/0869-2491-2026-37-660-676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Introduction. This study analyses the Europeanisation of the supreme laws of European Union Member States in the context of Ukraine’s acquisition of candidate country status for accession to the European Union (hereinafter referred to as the EU). It highlights contemporary approaches, theoretical differences and existing practices in the field of the Europeanisation of constitutions, reflecting the specific features of European integration. Particular attention is paid to the potential impact of the process of European integration on the Constitution of Ukraine. The aim of the article. It should be noted that, in scientific literature, there has been no comprehensive analysis of the Europeanisation of the constitutions of EU Member States, nor of the need to take this into account in view of Ukraine’s candidate status. This determines the purpose of the study and its theoretical and methodological basis, emphasising the relevance and importance of systematically analysing the selected issues for practical purposes. Results. The research highlights systemic priorities, core elements, defining parameters, legal factors, existing gaps and conflicts, unresolved issues, the current state of affairs, the latest approaches and established / different practices in the context of the issues outlined (such as the recognition and consolidation at the constitutional level of the primacy of</w:t>
      </w:r>
    </w:p>
    <w:p>
      <w:pPr/>
      <w:r>
        <w:rPr>
          <w:b/>
        </w:rPr>
        <w:t>POSSIBLE 2026:</w:t>
      </w:r>
      <w:r>
        <w:t xml:space="preserve"> National AI development and adult lifelong-learning participation: Evidence for knowledge-transfer policy in European countries — https://doi.org/10.21511/kpm.10(2).2026.09</w:t>
      </w:r>
    </w:p>
    <w:p>
      <w:pPr/>
      <w:r>
        <w:rPr>
          <w:b/>
        </w:rPr>
        <w:t>Shared claim-specific concepts:</w:t>
      </w:r>
      <w:r>
        <w:t xml:space="preserve"> transfer, policies; EU scope visible. This is a provisional connection, not an outcome finding.</w:t>
      </w:r>
    </w:p>
    <w:p>
      <w:pPr>
        <w:pStyle w:val="SourceNote"/>
      </w:pPr>
      <w:r>
        <w:rPr>
          <w:b/>
        </w:rPr>
        <w:t>Available abstract (not full text):</w:t>
      </w:r>
      <w:r>
        <w:t xml:space="preserve"> Type of the article: Research ArticleArtificial intelligence has become a driver of knowledge transformation, skills renewal, and institutional change, making lifelong learning increasingly important for adapting to AI-driven labor markets and societies. This study aims to examine whether national AI development indicators are associated with realized participation in education and training across different adult age groups in European countries, and to discuss what these associations may imply for lifelong learning and knowledge transfer policies. The analysis is based on a panel of 18 European countries for 2017–2024 and applies two-way fixed-effects models with country and year effects, contemporaneous, one-year, and two-year lag specifications, and Driscoll–Kraay robustness checks. The results show that the total AI Vibrancy Score is not a statistically significant predictor of participation in education and training: the contemporaneous coefficients are 0.4822 for adults aged 18-74, 0.1054 for those aged 45-54, and 0.5006 for those aged 50-74. Descriptive statistics indicate that average lifelong-learning participation declines with age, from 20.09% among adults aged 18-74 to 14.82% among those aged 45-54, and 9.34% among those aged 50-74. The lagged structural models show that AI-related R&amp;D is negatively associated with subsequent participation, with one-year lag coeffic</w:t>
      </w:r>
    </w:p>
    <w:p>
      <w:pPr/>
      <w:r>
        <w:rPr>
          <w:b/>
        </w:rPr>
        <w:t>POSSIBLE 2026:</w:t>
      </w:r>
      <w:r>
        <w:t xml:space="preserve"> Redistributive Effect of Social Transfers in The European Union (2020 – 2024) — https://doi.org/10.37075/faba.2026.1.08</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Purpose: The main purpose of this article is to measure the redistributive effect of social transfers in the European Union for the period 2020 – 2024. Design/Methodology/Approach: The methodology used includes: empirical analysis of the dynamics of the Gini coefficient of equivalised disposable income before and after social transfers in the 27 EU Member States (2020 – 2024); measurement of the relative decrease in the Gini coefficient as a result of pensions and other social transfers over time; comparative analysis of results for Bulgaria and EU 27 (average). Findings: EU Member States have quite different degrees of inequality in income distribution before social transfers. The redistributive effect of social transfers also varies greatly across countries. Bulgaria is among the member states with the weakest redistributive effect of social transfers. Practical Implications: The findings highlight progress in social protection and the development of the economic and social cohesion of the member states as tasks of the Union. Originality/Value: The article will contribute to the literature on social protection and redistribution in the EU. We offer a comprehensive view of the social transfer system. In most studies, attention is focused only on pensions or only on other social transfers.</w:t>
      </w:r>
    </w:p>
    <w:p>
      <w:pPr/>
      <w:r>
        <w:rPr>
          <w:b/>
        </w:rPr>
        <w:t>POSSIBLE 2026:</w:t>
      </w:r>
      <w:r>
        <w:t xml:space="preserve"> Recommendations to improve the evidence base of public health policies by transferring economic models of vaccination programs to lower income European countries — https://doi.org/10.1016/j.jvacx.2026.100846</w:t>
      </w:r>
    </w:p>
    <w:p>
      <w:pPr/>
      <w:r>
        <w:rPr>
          <w:b/>
        </w:rPr>
        <w:t>Shared claim-specific concepts:</w:t>
      </w:r>
      <w:r>
        <w:t xml:space="preserve"> then, transferability, policies; EU scope visible. This is a provisional connection, not an outcome finding.</w:t>
      </w:r>
    </w:p>
    <w:p>
      <w:pPr>
        <w:pStyle w:val="SourceNote"/>
      </w:pPr>
      <w:r>
        <w:rPr>
          <w:b/>
        </w:rPr>
        <w:t>Available abstract (not full text):</w:t>
      </w:r>
      <w:r>
        <w:t xml:space="preserve"> Objective Implementation of evidence-based public health policies is lagging in lower income European countries (LIECs). This study aimed to explore barriers of transferring economic models of vaccination programs to LIECs and make recommendations on how to overcome these barriers. Methods This work took place in the context of the VITAL IMI project, part of which aimed to explore how to transparently and effectively measure and report the full economic impact of current and future infectious disease management in ageing adults. Transferability aspects were considered from the beginning of the project. An economic model was developed to judge the value of influenza vaccination for elderly people. The adaptation process to the Netherlands, Hungary and Serbia indicated generalizable barriers. In two workshops the initially listed barriers were validated and ranked, then recommendations were made on how to facilitate the transferability of economic models to LIECs. Results Key barriers of transferring economic models to LIECs were limited interest in or understanding of using HTA evidence in public health policy decisions and lack of available data or financial resources for the local adaptation of international economic models. To address 8 perceived barriers 21 recommendations were made. While some recommendations require significant investment, others require only sufficient up</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other, member, states, policies;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2026:</w:t>
      </w:r>
      <w:r>
        <w:t xml:space="preserve"> Technology transfers within the European defence industry : a transferring firm’s perspective — https://openalex.org/W7132235623</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Defence expenditures and defence equipment procurement have increased within the EU after the Russian attack on Ukraine in 2022. The European Union has launched many initiatives to support collaboration between member states and to increase joint defence equipment acquisitions. Defence equipment procurements have some special features that make it distinctive from other industries. The customer is a government and that government requests, based on security of supply, that the seller of the defence equipment does cooperation with local firms, including technology transfers to local partners. The customer requests that they have the capability to produce, maintain and operate the acquired defence equipment in all conditions, also during the time of crisis. This thesis examines technology transfers within the European defence industry from a transferring firm’s perspective. The main research question of this thesis is: What is the role of technology transfers to a European defence industry firm? That question is answered by examining why European defence industry firms engage in technology transfers and how does the technology transfer process take place. First, a literature review on technology transfer was conducted during which four technology transfer dimensions were identified: 1) the transfer object, 2) the transfer actors, 3) the transfer mechanisms, and 4) the transfer co</w:t>
      </w:r>
    </w:p>
    <w:p>
      <w:pPr/>
      <w:r>
        <w:rPr>
          <w:b/>
        </w:rPr>
        <w:t>POSSIBLE 2026:</w:t>
      </w:r>
      <w:r>
        <w:t xml:space="preserve"> Financial, innovation and fiscal drivers of ecological efficiency across Western and Eastern European Union member states — https://doi.org/10.1007/s44274-026-01111-6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Abstract This study quantifies how green finance, financial development, green technology innovation efficiency and environmental taxes shape ecological efficiency in the European Union, and tests whether these effects differ between Western and Eastern member states. The sample covers all 27 member states over 2000–2023, giving 648 country-year observations. Ecological efficiency is measured by a dynamic slack-based measure model that treats reused water and waste incinerated for energy recovery as carry-overs, and green technology innovation efficiency by a slack-based measure model. The second-stage model regresses the logarithm of ecological efficiency on the logarithms of the four drivers, controlling for trade openness, industrial structure, human development and urbanization, and is estimated by feasible generalized least squares; robustness is assessed by system generalized method of moments, censored and bootstrapped truncated regressions, estimators robust to cross-sectional dependence, and specifications without controls. Mean ecological efficiency is 0.790, with Luxembourg, Germany and Italy highest and Bulgaria, Slovakia and Hungary lowest, and Eastern scores remain persistently below Western scores. Green finance, financial development and environmental taxes raise ecological efficiency in the full sample and in the West, whereas in the East these effects are stat</w:t>
      </w:r>
    </w:p>
    <w:p>
      <w:pPr/>
      <w:r>
        <w:rPr>
          <w:b/>
        </w:rPr>
        <w:t>POSSIBLE 2025:</w:t>
      </w:r>
      <w:r>
        <w:t xml:space="preserve"> Minding the Gaps: Solidaristic Transfers and Burden‐Sharing in the European Union and Its Member States' Pandemic Response — https://doi.org/10.1111/jcms.13726</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Abstract The paper offers a hitherto‐lacking comprehensive appraisal of solidaristic transfers by European Union Member States (EUMS) during the first year of the COVID‐19 pandemic. These transfers include bilateral assistance, collective burden‐sharing on the EU level and even external EU aid. The article uses data on inter‐EUMS solidarity actions collected by the European Solidarity Tracker (EST), a widely referenced dataset on pandemic‐related actions of solidarity. It cleans these data to address its deficiencies, including by filtering out symbolic and tokenistic actions, to focus on instances of truly meaningful assistance between EUMS. The EST is complemented by two further sets of data: an overview of EU‐level measures, as examples of institutionalized and institutionally enabled forms of solidarity; and, given the global connectedness of the EU, data on pandemic assistance to developing countries. Based on this broad understanding of solidaristic transfers, the EU's response is found to have been significant but insufficient overall to fill the gaps in pandemic response. The gaps identified have inevitably fed into the pandemic, contributing to permissive conditions for its resurgence. EU‐level measures mattered, but practical manifestations of bilateral solidarity between EUMS have been haphazard. Furthermore, although the EU increased its external health and other de</w:t>
      </w:r>
    </w:p>
    <w:p>
      <w:pPr/>
      <w:r>
        <w:rPr>
          <w:b/>
        </w:rPr>
        <w:t>POSSIBLE 2025:</w:t>
      </w:r>
      <w:r>
        <w:t xml:space="preserve"> POLICY TRANSFER IN AI GOVERNANCE: ADAPTING THE EUROPEAN UNION AI ACT TO PAKISTAN’S REGULATORY LANDSCAPE — https://openalex.org/W7220082439</w:t>
      </w:r>
    </w:p>
    <w:p>
      <w:pPr/>
      <w:r>
        <w:rPr>
          <w:b/>
        </w:rPr>
        <w:t>Shared claim-specific concepts:</w:t>
      </w:r>
      <w:r>
        <w:t xml:space="preserve"> transfer, states, transferability; EU scope visible. This is a provisional connection, not an outcome finding.</w:t>
      </w:r>
    </w:p>
    <w:p>
      <w:pPr>
        <w:pStyle w:val="SourceNote"/>
      </w:pPr>
      <w:r>
        <w:rPr>
          <w:b/>
        </w:rPr>
        <w:t>Available abstract (not full text):</w:t>
      </w:r>
      <w:r>
        <w:t xml:space="preserve"> The rapid diffusion of artificial intelligence (AI) regulation worldwide has placed the European Union’s Artificial Intelligence Act (Regulation (EU) 2024/1689) at the centre of global regulatory discourse. It has prompted developing states to consider whether, and how, its provisions can be transplanted into different legal and administrative environments. This paper applies Policy Transfer Theory to examine the transferability of the EU AI Act to Pakistan. The paper employs qualitative comparative policy analysis of primary legal texts and secondary policy documents including Pakistan’s National Artificial Intelligence Policy 2025 to develop an original analytical tool termed as the Pakistan AI Regulatory Adaptation Framework (PARAF). It classifies EU AI Act provisions into three categories; Directly Transferable, Transferable with Adaptation, and Not Currently Transferable. The analysis indicates that transparency obligations and risk-tiering principles are comparatively easier to adapt to Pakistan's regulatory context. In contrast, the enforcement architecture and conformity assessment mechanisms require substantial modification to align with Pakistan's federal and administrative structure. It further suggests that provisions dependent on comprehensive data protection legislation and independent regulatory authorities are not presently transferable because Pakistan lacks co</w:t>
      </w:r>
    </w:p>
    <w:p>
      <w:pPr/>
      <w:r>
        <w:rPr>
          <w:b/>
        </w:rPr>
        <w:t>POSSIBLE 2025:</w:t>
      </w:r>
      <w:r>
        <w:t xml:space="preserve"> Elections to the European Parliament of the European Union: legal and regulatory framework and impact on electoral procedures in EU member states — https://doi.org/10.24144/2307-3322.2025.88.4.2</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During the research, it was found that elections to the European Parliament are a key element of democratic governance in the European Union (hereinafter referred to as the EU). It was established that the basis for the legal regulation of elections to the European Parliament is the Act concerning the election of the members of the European Parliament by direct universal suffrage of 1976, adopted by the Council of the EU. It forms key principles of the electoral process, including: the use of proportional representation as the main system for allocating seats in the European Parliament; ensuring universal, direct and equal suffrage for all EU citizens; flexibility in the application of electoral systems, which provides for the possibility of establishing closed or open lists or a single transitional vote system. At the same time, it was proven that, unlike national elections in EU member states, where stricter restrictions may apply, the 1976 Act provides countries with a certain autonomy in adapting electoral procedures, which contributes to political diversity, but on the other hand complicates unification. In the context of the evolution of EU law, the issue of adapting the Act to modern realities is relevant, in particular considering the digitalization of the electoral process and the protection of voter data in accordance with the General Data Protection Regulation of 201</w:t>
      </w:r>
    </w:p>
    <w:p>
      <w:pPr>
        <w:pStyle w:val="Heading2"/>
      </w:pPr>
      <w:r>
        <w:t>822. Pressures on soil functions from soil management in Germany. A foresight review</w:t>
      </w:r>
    </w:p>
    <w:p>
      <w:pPr>
        <w:pStyle w:val="SourceNote"/>
      </w:pPr>
      <w:r>
        <w:rPr>
          <w:b/>
        </w:rPr>
        <w:t>Original source (2017):</w:t>
      </w:r>
      <w:r>
        <w:t xml:space="preserve"> https://doi.org/10.1007/s13593-017-0473-3</w:t>
      </w:r>
    </w:p>
    <w:p>
      <w:pPr/>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POSSIBLE 2026:</w:t>
      </w:r>
      <w:r>
        <w:t xml:space="preserve"> CYBER THREATS TO NATIONAL ECONOMIC SECURITY: DRIVERS AND RESPONSE MECHANISMS — https://doi.org/10.32750/2026-0309</w:t>
      </w:r>
    </w:p>
    <w:p>
      <w:pPr/>
      <w:r>
        <w:rPr>
          <w:b/>
        </w:rPr>
        <w:t>Shared claim-specific concepts:</w:t>
      </w:r>
      <w:r>
        <w:t xml:space="preserve"> analyzed, socio-economic, drivers, identified, management, intensification; EU scope visible. This is a provisional connection, not an outcome finding.</w:t>
      </w:r>
    </w:p>
    <w:p>
      <w:pPr>
        <w:pStyle w:val="SourceNote"/>
      </w:pPr>
      <w:r>
        <w:rPr>
          <w:b/>
        </w:rPr>
        <w:t>Available abstract (not full text):</w:t>
      </w:r>
      <w:r>
        <w:t xml:space="preserve"> The article examines modern mechanisms for addressing cyber threats within the state economic security system in the context of digital transformation and the growing scale of cyber risks. The study demonstrates that the digitalization of the financial sector, public administration, critical infrastructure, and business processes, while creating new opportunities for socio-economic development, significantly increases the vulnerability of economic systems to cyberattacks, digital fraud, and other forms of cybercrime. The purpose of the study is to generalize international experience and systematize modern mechanisms for addressing cyber threats in the context of ensuring state economic security. The methodological framework is based on the methods of systems analysis, comparative analysis, structural-functional analysis, logical generalization, and graphical visualization of research findings. The article identifies and systematizes the key drivers of cyber threat development, including the growing scale of cyberattacks, increasing economic losses caused by cyber incidents, the growing sophistication of cyber threats, increasing digital interdependence of economic systems, the intensification of hybrid threats, changes in the international regulatory environment, increasing dependence on digital infrastructure, and the human factor. International approaches to cyber risk manage</w:t>
      </w:r>
    </w:p>
    <w:p>
      <w:pPr/>
      <w:r>
        <w:rPr>
          <w:b/>
        </w:rPr>
        <w:t>POSSIBLE 2026:</w:t>
      </w:r>
      <w:r>
        <w:t xml:space="preserve"> Sustainable Infrastructure Investment: Financial Drivers, Policy Dynamics and Socio-Economic Challenges — https://doi.org/10.61093/sec.10(1).27-41.2026</w:t>
      </w:r>
    </w:p>
    <w:p>
      <w:pPr/>
      <w:r>
        <w:rPr>
          <w:b/>
        </w:rPr>
        <w:t>Shared claim-specific concepts:</w:t>
      </w:r>
      <w:r>
        <w:t xml:space="preserve"> socio-economic, technological, drivers, identified, less, sustainable; EU scope not established. This is a provisional connection, not an outcome finding.</w:t>
      </w:r>
    </w:p>
    <w:p>
      <w:pPr>
        <w:pStyle w:val="SourceNote"/>
      </w:pPr>
      <w:r>
        <w:rPr>
          <w:b/>
        </w:rPr>
        <w:t>Available abstract (not full text):</w:t>
      </w:r>
      <w:r>
        <w:t xml:space="preserve"> Green finance is an important tool that would help in reducing environmental degradation and promoting sustainable development as a means of reducing the burning socio-economic challenges inherent in rapidly urbanizing nations where infrastructure development must align with net zero emissions targets by 2070 to ensure long term ecological balance and economic resilience. Although many advances have been made in regulations and production of renewable energy in India, environmentally friendly financing in the infrastructure sector is not thoroughly studied regarding socio-economic challenges and the specific interaction of financial drivers within this developing economic context leaving a critical research gap for policymakers. This paper determines key determinants that can affect the uptake of green finance by Indian infrastructure companies using primary empirical data to come up with context-dependent information for stakeholders interested in aligning operations with sustainability goals and national developmental priorities. Primary data was gathered in 2025 in India using a structured questionnaire from 54 valid responses obtained from loan disbursement professionals in the banking sector including credit analysts and senior decision-makers across public and private institutions following rigorous data screening procedures and validation. Data analysis was done using SP</w:t>
      </w:r>
    </w:p>
    <w:p>
      <w:pPr/>
      <w:r>
        <w:rPr>
          <w:b/>
        </w:rPr>
        <w:t>POSSIBLE 2026:</w:t>
      </w:r>
      <w:r>
        <w:t xml:space="preserve"> Socio-Economic Drivers of Herpetofauna Resource Utilization Around Hadejia Wetlands National Park, Jigawa State Nigeria — https://doi.org/10.70882/josrar.2026.v3i4.276</w:t>
      </w:r>
    </w:p>
    <w:p>
      <w:pPr/>
      <w:r>
        <w:rPr>
          <w:b/>
        </w:rPr>
        <w:t>Shared claim-specific concepts:</w:t>
      </w:r>
      <w:r>
        <w:t xml:space="preserve"> socio-economic, drivers, management, factors, positive, sustainable; EU scope not established. This is a provisional connection, not an outcome finding.</w:t>
      </w:r>
    </w:p>
    <w:p>
      <w:pPr>
        <w:pStyle w:val="SourceNote"/>
      </w:pPr>
      <w:r>
        <w:rPr>
          <w:b/>
        </w:rPr>
        <w:t>Available abstract (not full text):</w:t>
      </w:r>
      <w:r>
        <w:t xml:space="preserve"> Herpetofauna are among the most endangered vertebrate taxa globally, however ethnobiological data and the socioeconomic drivers influencing its utilization around sub-Saharan regions remain undocumented especially Hadejia Wetlands National Park. This study explored the socio economic inducing factors towards the traditional usage of the Herpetofauna in the study area. Cross sectional survey method was employed for the information was through the aid of structured questionnaires and key-informant interviews in communities neighboring to the park, three hundred (300) copies of questionnaires were administered across the seven (7) sampled communities and the effects of socioeconomic variables on herpetofauna utilization were evaluated using Nominal, and binary logistics regressiona. Ethnozoological findings demonstrated that herpetofauna are extensively utilized for medicinal, nutritional, cultural, and spiritual purposes. The nominal regression results indicated that farmland size was the only variable that significantly influenced herpetofauna utilization at the 5% level of significance (p &lt; 0.05). Specifically, farmland size recorded a positive regression coefficient (B = 0.299) with a statistically significant Wald value (Wald = 9.596, p = 0.002). Utilization patterns were significantly associated with respondents’ education level, occupation, age, and cultural beliefs. The re</w:t>
      </w:r>
    </w:p>
    <w:p>
      <w:pPr/>
      <w:r>
        <w:rPr>
          <w:b/>
        </w:rPr>
        <w:t>POSSIBLE 2026:</w:t>
      </w:r>
      <w:r>
        <w:t xml:space="preserve"> Preserving agrobiodiversity: socio-cultural and economic drivers of landrace conservation in Odisha, India — https://doi.org/10.3389/fsufs.2026.1769950</w:t>
      </w:r>
    </w:p>
    <w:p>
      <w:pPr/>
      <w:r>
        <w:rPr>
          <w:b/>
        </w:rPr>
        <w:t>Shared claim-specific concepts:</w:t>
      </w:r>
      <w:r>
        <w:t xml:space="preserve"> socio-economic, drivers, two, quantitative; EU scope not established. This is a provisional connection, not an outcome finding.</w:t>
      </w:r>
    </w:p>
    <w:p>
      <w:pPr>
        <w:pStyle w:val="SourceNote"/>
      </w:pPr>
      <w:r>
        <w:rPr>
          <w:b/>
        </w:rPr>
        <w:t>Available abstract (not full text):</w:t>
      </w:r>
      <w:r>
        <w:t xml:space="preserve"> Introduction Paddy landraces play a vital role in sustaining agrobiodiversity, climate resilience, and the socio-cultural heritage of farming communities. Odisha is recognized as one of India’s richest regions for traditional rice diversity, with the highest registration of landraces and farmer varieties. Understanding their conservation status and socio-economic importance is essential for designing strategies that strengthen both livelihoods and biodiversity conservation. Methods The study was conducted in Odisha state of India. Odisha ranks first in maximum registration of landraces and farmer varieties. Two regions, western and eastern, were selected, with five villages randomly chosen from each region. For focus group discussions and four-square analysis, 15 custodian farmers were selected from each village, totalling 150 in Odisha. The study evaluates the conservation status and socio-economic significance of paddy landraces across Western and Eastern Odisha using a multi-criteria sampling approach. Four-Square Analysis, Focus Group Discussions, and a Value-Added Quantitative Score (AddValQS) were employed to assess biodiversity patterns and economic significance. Results The research identifies distinct regional biodiversity patterns: Western Odisha maintains a diverse array of specialized varieties (e.g., Kalabati, Kusumkali) valued for medicinal and physiological trait</w:t>
      </w:r>
    </w:p>
    <w:p>
      <w:pPr/>
      <w:r>
        <w:rPr>
          <w:b/>
        </w:rPr>
        <w:t>POSSIBLE 2026:</w:t>
      </w:r>
      <w:r>
        <w:t xml:space="preserve"> Empirical Examination of Socio-Economic Drivers of Migration in Nigeria: The Case of Jigawa State — https://doi.org/10.70861/ujed20260301017</w:t>
      </w:r>
    </w:p>
    <w:p>
      <w:pPr/>
      <w:r>
        <w:rPr>
          <w:b/>
        </w:rPr>
        <w:t>Shared claim-specific concepts:</w:t>
      </w:r>
      <w:r>
        <w:t xml:space="preserve"> socio-economic, drivers, sustainable; EU scope not established. This is a provisional connection, not an outcome finding.</w:t>
      </w:r>
    </w:p>
    <w:p>
      <w:pPr>
        <w:pStyle w:val="SourceNote"/>
      </w:pPr>
      <w:r>
        <w:rPr>
          <w:b/>
        </w:rPr>
        <w:t>Available abstract (not full text):</w:t>
      </w:r>
      <w:r>
        <w:t xml:space="preserve"> Rural-urban migration remains a significant development challenge in many developing countries, including Nigeria. This study examines the socio-economic determinants of rural-urban migration and their implications for rural development in Jigawa South-west, Jigawa State, focusing on the Dutse, Kiyawa, and Miga Local Government Areas. Primary data were collected through structured questionnaires administered to selected respondents. Descriptive statistics and multiple regression analysis were used to analyse the data. The findings show that age, educational attainment, employment opportunities, and marital status significantly influence migration decisions. The study further reveals that migration produces mixed outcomes for rural communities, including labour shortages in agriculture and changes in household income patterns. The paper concludes that improving rural infrastructure, expanding employment opportunities, and strengthening local economic activities can help reduce excessive migration and support sustainable rural development</w:t>
      </w:r>
    </w:p>
    <w:p>
      <w:pPr/>
      <w:r>
        <w:rPr>
          <w:b/>
        </w:rPr>
        <w:t>POSSIBLE 2025:</w:t>
      </w:r>
      <w:r>
        <w:t xml:space="preserve"> Socio-economic and Biophysical Resource Characterization in Gur Watershed, Girar Jarso District, North Shewa Zone, Oromia — https://doi.org/10.11648/j.ijema.20251303.14</w:t>
      </w:r>
    </w:p>
    <w:p>
      <w:pPr/>
      <w:r>
        <w:rPr>
          <w:b/>
        </w:rPr>
        <w:t>Shared claim-specific concepts:</w:t>
      </w:r>
      <w:r>
        <w:t xml:space="preserve"> analyzed, socio-economic, biophysical, management; EU scope not established. This is a provisional connection, not an outcome finding.</w:t>
      </w:r>
    </w:p>
    <w:p>
      <w:pPr>
        <w:pStyle w:val="SourceNote"/>
      </w:pPr>
      <w:r>
        <w:rPr>
          <w:b/>
        </w:rPr>
        <w:t>Available abstract (not full text):</w:t>
      </w:r>
      <w:r>
        <w:t xml:space="preserve">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pPr/>
      <w:r>
        <w:rPr>
          <w:b/>
        </w:rPr>
        <w:t>POSSIBLE 2025:</w:t>
      </w:r>
      <w:r>
        <w:t xml:space="preserve"> ADVANCEMENTS AND INTEGRATION OF BIOPHYSICAL, SOCIO-ECONOMIC, AND LOCAL KNOWLEDGE IN AGRICULTURAL LAND SUITABILITY ASSESSMENTS: A SYSTEMATIC LITERATURE REVIEW — https://doi.org/10.33899/mja.2025.156944.1531</w:t>
      </w:r>
    </w:p>
    <w:p>
      <w:pPr/>
      <w:r>
        <w:rPr>
          <w:b/>
        </w:rPr>
        <w:t>Shared claim-specific concepts:</w:t>
      </w:r>
      <w:r>
        <w:t xml:space="preserve"> socio-economic, biophysical, identified, management, factors, practices; EU scope not established. This is a provisional connection, not an outcome finding.</w:t>
      </w:r>
    </w:p>
    <w:p>
      <w:pPr>
        <w:pStyle w:val="SourceNote"/>
      </w:pPr>
      <w:r>
        <w:rPr>
          <w:b/>
        </w:rPr>
        <w:t>Available abstract (not full text):</w:t>
      </w:r>
      <w:r>
        <w:t xml:space="preserve">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pPr/>
      <w:r>
        <w:rPr>
          <w:b/>
        </w:rPr>
        <w:t>POSSIBLE 2025:</w:t>
      </w:r>
      <w:r>
        <w:t xml:space="preserve"> GOVERNANCE OF HOUSING SPATIAL PLANNING OF SEMARANG CITY IN LANDSLIDE MITIGATION AND THE INFLUENCE OF BIOPHYSICAL, CLIMATIC, AND SOCIO-ECONOMIC FACTORS — https://doi.org/10.21837/pm.v23i38.1783</w:t>
      </w:r>
    </w:p>
    <w:p>
      <w:pPr/>
      <w:r>
        <w:rPr>
          <w:b/>
        </w:rPr>
        <w:t>Shared claim-specific concepts:</w:t>
      </w:r>
      <w:r>
        <w:t xml:space="preserve"> socio-economic, biophysical, factors; EU scope not established. This is a provisional connection, not an outcome finding.</w:t>
      </w:r>
    </w:p>
    <w:p>
      <w:pPr>
        <w:pStyle w:val="SourceNote"/>
      </w:pPr>
      <w:r>
        <w:rPr>
          <w:b/>
        </w:rPr>
        <w:t>Available abstract (not full text):</w:t>
      </w:r>
      <w:r>
        <w:t xml:space="preserve">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pPr/>
      <w:r>
        <w:rPr>
          <w:b/>
        </w:rPr>
        <w:t>POSSIBLE 2025:</w:t>
      </w:r>
      <w:r>
        <w:t xml:space="preserve"> Addressing socio-economic drivers of management style evolution — https://openalex.org/W7219528483</w:t>
      </w:r>
    </w:p>
    <w:p>
      <w:pPr/>
      <w:r>
        <w:rPr>
          <w:b/>
        </w:rPr>
        <w:t>Shared claim-specific concepts:</w:t>
      </w:r>
      <w:r>
        <w:t xml:space="preserve"> socio-economic, drivers, management, factors, practices; EU scope not established. This is a provisional connection, not an outcome finding.</w:t>
      </w:r>
    </w:p>
    <w:p>
      <w:pPr>
        <w:pStyle w:val="SourceNote"/>
      </w:pPr>
      <w:r>
        <w:rPr>
          <w:b/>
        </w:rPr>
        <w:t>Available abstract (not full text):</w:t>
      </w:r>
      <w:r>
        <w:t xml:space="preserve"> Background: The information age has ushered in a novel economic model known as the information economy, challenging traditional bureaucratic mechanisms that were primarily seen as tools to mitigate uncertainty. Within this context, complex leadership emerges as a paradigm that thrives on systemic interactions and intricate dynamics. Here, the onus lies on establishing the framework and conditions that empower the adaptive essence of leadership to flourish. Purpose: The aim of this research is to establish a framework for optimal leadership management, uncovering previously unexplored factors shaping employee work behavior. By identifying and defining key components within management mechanisms that greatly enhance employee performance, the objective is to cultivate rooted and effective management practices. Study design/methodology/approach: The research involved 480 respondents from diverse sociodemographic backgrounds and companies. Complexity leadership was assessed using the Complexity Leadership Scale, measuring Generative and Administrative leadership. Employee cooperation was evaluated with the Scala Supportive and Non-Controlling Supervision. Statistical methods included multiple regression, Pearson correlation, t-tests, and MANOVA. Findings/conclusions: The evaluation shows that both Generative and Administrative leadership are moderately expressed. Generative leadersh</w:t>
      </w:r>
    </w:p>
    <w:p>
      <w:pPr/>
      <w:r>
        <w:rPr>
          <w:b/>
        </w:rPr>
        <w:t>POSSIBLE 2025:</w:t>
      </w:r>
      <w:r>
        <w:t xml:space="preserve"> Socio-Economic Drivers and Sustainability Challenges of Urban Green Space Distribution in Jinan, China — https://doi.org/10.3390/su17135993</w:t>
      </w:r>
    </w:p>
    <w:p>
      <w:pPr/>
      <w:r>
        <w:rPr>
          <w:b/>
        </w:rPr>
        <w:t>Shared claim-specific concepts:</w:t>
      </w:r>
      <w:r>
        <w:t xml:space="preserve"> socio-economic, drivers, two, types, factors; EU scope not established. This is a provisional connection, not an outcome finding.</w:t>
      </w:r>
    </w:p>
    <w:p>
      <w:pPr>
        <w:pStyle w:val="SourceNote"/>
      </w:pPr>
      <w:r>
        <w:rPr>
          <w:b/>
        </w:rPr>
        <w:t>Available abstract (not full text):</w:t>
      </w:r>
      <w:r>
        <w:t xml:space="preserve"> Urban green spaces (UGSs), including parks, forests, and community gardens, play a critical role in enhancing public health and well-being by providing essential ecosystem services such as improving air quality, reducing surface temperatures, and mitigating harmful substances. As urbanization accelerates, especially in rapidly growing cities like Jinan, China, the demand for UGSs is intensifying, necessitating careful urban planning to balance development and environmental protection. While previous studies have often focused on city-level green coverage, this study shifts the analytical focus from UGS as a whole to urban functional units (UFUs), allowing for a more detailed examination of how green space is distributed across different land use types. We investigate UGS changes in Jinan over the past two decades and assess the influence of socio-economic factors—such as housing prices, land use types, and building age—on UGS distribution within UFUs. Remote sensing technology was employed to analyze the spatiotemporal dynamics of UGS and its correlation with these variables. Our findings reveal a significant shift in UGS distribution, with parks and leisure areas becoming primary drivers of UGS expansion. This study also highlights the growing influence of economic factors, particularly housing prices, on UGS distribution in more affluent UFUs. Additionally, while UGS in Jinan</w:t>
      </w:r>
    </w:p>
    <w:p>
      <w:pPr/>
      <w:r>
        <w:rPr>
          <w:b/>
        </w:rPr>
        <w:t>POSSIBLE 2025:</w:t>
      </w:r>
      <w:r>
        <w:t xml:space="preserve"> Public Acceptance and Socio-Economic Drivers of Renewable District Heating: Evidence from Italy — https://doi.org/10.3390/en19010096</w:t>
      </w:r>
    </w:p>
    <w:p>
      <w:pPr/>
      <w:r>
        <w:rPr>
          <w:b/>
        </w:rPr>
        <w:t>Shared claim-specific concepts:</w:t>
      </w:r>
      <w:r>
        <w:t xml:space="preserve"> socio-economic, technological, drivers, factors; EU scope visible. This is a provisional connection, not an outcome finding.</w:t>
      </w:r>
    </w:p>
    <w:p>
      <w:pPr>
        <w:pStyle w:val="SourceNote"/>
      </w:pPr>
      <w:r>
        <w:rPr>
          <w:b/>
        </w:rPr>
        <w:t>Available abstract (not full text):</w:t>
      </w:r>
      <w:r>
        <w:t xml:space="preserve"> District heating (DH) is increasingly recognised as a crucial solution for urban energy needs, contributing to energy efficiency and the reduction of greenhouse gas emissions. However, the transition towards adopting renewable energy sources (RES) in DH poses several challenges. The success of such a transition depends on technological innovation, acceptance, and public perception as well as a range of socio-economic, regulatory, and behavioural factors. This study investigates how these key dimensions influence public attitudes towards renewable DH systems in Italy. Based on a survey of 1,200 citizens in Turin we examine how public attitudes towards decarbonised heating options, the integration of renewables and demand-side flexibility are influenced by socio-economic characteristics. These characteristics include income, education, age, housing tenure, eco-awareness, trust in institutions, and technological affinity. Results show widespread support for efficiency and comfort benefits of DH. However, the results also show a limited willingness to pay more for renewable heat, particularly among economically vulnerable groups. The study has important implications for strategies that can facilitate the transition towards adopting RES in DH. In particular, the study points to the relevance of economic incentives, institutional trust, and clarity about benefits, as well as communit</w:t>
      </w:r>
    </w:p>
    <w:p>
      <w:pPr/>
      <w:r>
        <w:rPr>
          <w:b/>
        </w:rPr>
        <w:t>POSSIBLE 2025:</w:t>
      </w:r>
      <w:r>
        <w:t xml:space="preserve"> Analyzing the Drivers and Preferences of Functional Dairy Food Consumption: A Socio-Economic Perspective from Tamil Nadu — https://doi.org/10.33785/ijds.2025.v78i05.010</w:t>
      </w:r>
    </w:p>
    <w:p>
      <w:pPr/>
      <w:r>
        <w:rPr>
          <w:b/>
        </w:rPr>
        <w:t>Shared claim-specific concepts:</w:t>
      </w:r>
      <w:r>
        <w:t xml:space="preserve"> analyzed, socio-economic, drivers, factors; EU scope not established. This is a provisional connection, not an outcome finding.</w:t>
      </w:r>
    </w:p>
    <w:p>
      <w:pPr>
        <w:pStyle w:val="SourceNote"/>
      </w:pPr>
      <w:r>
        <w:rPr>
          <w:b/>
        </w:rPr>
        <w:t>Available abstract (not full text):</w:t>
      </w:r>
      <w:r>
        <w:t xml:space="preserve"> In today's consumer market, individuals are subject to various stimuli such as advertising campaigns, popular magazines etc., which shape their marginal consumption propensity. However, as Economic Theory teaches us, this propensity does not necessarily translate into consumer spending. This is strongly affected by consumers' eating habits, individual circumstances and other contextual variables. This study, conducted in the Tamil Nadu state of India explores the consumer preferences and factors moderating the consumption of functional dairy foods (FDFs) based on the data collected from 160 respondents chosen from different sale locations. Socioeconomic profiles were analyzed using tabular and frequency analysis, while indices were constructed to assess consumer preferences using Likert scale. The Seemingly Unrelated Regression model was employed to identify factors moderating functional dairy food consumption. The findings highlight that safety/trustworthiness was the most valued attribute among consumers, followed closely by nutritional and health benefits. Despite being in the early stages of adoption, functional dairy foods, particularly fortified milk, demonstrate significant growth potential. Key determinants of consumption include family income, occupation, dietary habits, family size and geographic location.</w:t>
      </w:r>
    </w:p>
    <w:p>
      <w:pPr>
        <w:pStyle w:val="Heading2"/>
      </w:pPr>
      <w:r>
        <w:t>823. Projections of Future Precipitation Extremes Over Europe: A Multimodel Assessment of Climate Simulations</w:t>
      </w:r>
    </w:p>
    <w:p>
      <w:pPr>
        <w:pStyle w:val="SourceNote"/>
      </w:pPr>
      <w:r>
        <w:rPr>
          <w:b/>
        </w:rPr>
        <w:t>Original source (2017):</w:t>
      </w:r>
      <w:r>
        <w:t xml:space="preserve"> https://doi.org/10.1002/2017jd027176</w:t>
      </w:r>
    </w:p>
    <w:p>
      <w:pPr/>
      <w:r>
        <w:t>Original wording (abstract; indexed_source_text_not_full_document_verified):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POSSIBLE 2026:</w:t>
      </w:r>
      <w:r>
        <w:t xml:space="preserve"> European summer precipitation — https://doi.org/10.5194/acp-26-2041-2026</w:t>
      </w:r>
    </w:p>
    <w:p>
      <w:pPr/>
      <w:r>
        <w:rPr>
          <w:b/>
        </w:rPr>
        <w:t>Shared claim-specific concepts:</w:t>
      </w:r>
      <w:r>
        <w:t xml:space="preserve"> abstract, projections, precipitation, over, regional, climate; EU scope visible. This is a provisional connection, not an outcome finding.</w:t>
      </w:r>
    </w:p>
    <w:p>
      <w:pPr>
        <w:pStyle w:val="SourceNote"/>
      </w:pPr>
      <w:r>
        <w:rPr>
          <w:b/>
        </w:rPr>
        <w:t>Available abstract (not full text):</w:t>
      </w:r>
      <w:r>
        <w:t xml:space="preserve">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pPr/>
      <w:r>
        <w:rPr>
          <w:b/>
        </w:rPr>
        <w:t>POSSIBLE 2026:</w:t>
      </w:r>
      <w:r>
        <w:t xml:space="preserve"> Persisting Modulation of Interdecadal Pacific Oscillation on Near‐Future Winter Precipitation Projections in Northern Europe — https://doi.org/10.1029/2025gl119484</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precipitation, over, regional,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projections, precipitation, extremes, over, ensemble, regional;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Remote impacts of maritime continent deforestation on early summer precipitation across Asia — https://doi.org/10.1007/s10584-026-04152-1</w:t>
      </w:r>
    </w:p>
    <w:p>
      <w:pPr/>
      <w:r>
        <w:rPr>
          <w:b/>
        </w:rPr>
        <w:t>Shared claim-specific concepts:</w:t>
      </w:r>
      <w:r>
        <w:t xml:space="preserve"> precipitation, over, continent, regional; EU scope not established. This is a provisional connection, not an outcome finding.</w:t>
      </w:r>
    </w:p>
    <w:p>
      <w:pPr>
        <w:pStyle w:val="SourceNote"/>
      </w:pPr>
      <w:r>
        <w:rPr>
          <w:b/>
        </w:rPr>
        <w:t>Available abstract (not full text):</w:t>
      </w:r>
      <w:r>
        <w:t xml:space="preserve"> Abstract Deforestation in the Indo-Pacific Maritime Continent (MC) has intensified in recent decades, yet its remote impacts on Asian monsoon precipitation remain inadequately understood. Using idealized land-use perturbation experiments with the Community Earth System Model, we demonstrate that MC deforestation reorganizes early-summer (May–June) precipitation across Asia through large-scale circulation changes. Our results show that Meiyu precipitation, the early-summer rainy season along the subtropical East Asian coastal zone (SEAC), is suppressed by strengthened subsidence and column drying, whereas precipitation over the Indian Peninsula increases under enhanced ascent and vertically integrated moisture-flux convergence. Precipitation characteristics also shift regionally: the SEAC exhibits simultaneous reductions in both frequency and intensity, the Indian Peninsula shows increases in both metrics, and the MC itself experiences fewer but more intense events. A joint frequency–intensity analysis reveals that these precipitation patterns reflect regional thermodynamic and dynamic controls, where reduced near-surface humidity and equivalent potential temperature suppress event initiation, while elevated values facilitate initiation, and variations in column moisture and moisture-flux convergence regulate precipitation intensity. Collectively, these results identify a land-u</w:t>
      </w:r>
    </w:p>
    <w:p>
      <w:pPr/>
      <w:r>
        <w:rPr>
          <w:b/>
        </w:rPr>
        <w:t>POSSIBLE 2026:</w:t>
      </w:r>
      <w:r>
        <w:t xml:space="preserve"> Continental-scale bias correction and random forest downscaling of CMIP6 precipitation across Europe — https://doi.org/10.1080/10106049.2026.2657618</w:t>
      </w:r>
    </w:p>
    <w:p>
      <w:pPr/>
      <w:r>
        <w:rPr>
          <w:b/>
        </w:rPr>
        <w:t>Shared claim-specific concepts:</w:t>
      </w:r>
      <w:r>
        <w:t xml:space="preserve"> projections, precipitation, regional, climate; EU scope visible. This is a provisional connection, not an outcome finding.</w:t>
      </w:r>
    </w:p>
    <w:p>
      <w:pPr>
        <w:pStyle w:val="SourceNote"/>
      </w:pPr>
      <w:r>
        <w:rPr>
          <w:b/>
        </w:rPr>
        <w:t>Available abstract (not full text):</w:t>
      </w:r>
      <w:r>
        <w:t xml:space="preserve"> This study evaluated bias-correction-based downscaling approaches for precipitation data from 11 high-resolution CMIP6 models across Europe. The empirical quantile mapping technique demonstrated superior performance by aligning the model outputs with observed precipitation data. Random forest-empirical quantile mapping model outperformed the random forest model, particularly for low rainfall intensities (0–5 mm/day), and exhibited residual errors closer to zero across most European regions. Precipitation overestimations by CMIP6 models in Central and Eastern Europe were significantly reduced through the application of empirical quantile mapping, random forest and random forest empirical quantile mapping approaches. Seasonal analysis revealed lower residual errors in summer than in winter for the evaluated methods. Future projections will provide insights into the reduced overestimation of high quantiles, leading to reliable precipitation estimates. The proposed methodological framework suggests that integrating bias correction complemented by machine learning techniques enhances the accuracy of regional precipitation downscaling, which is crucial for climate risk management in Europe.</w:t>
      </w:r>
    </w:p>
    <w:p>
      <w:pPr/>
      <w:r>
        <w:rPr>
          <w:b/>
        </w:rPr>
        <w:t>POSSIBLE 2026:</w:t>
      </w:r>
      <w:r>
        <w:t xml:space="preserve"> Revisiting Extreme Precipitation of European Summer 2012: The Role of Atlantic Tropical Storm Debby — https://doi.org/10.3390/meteorology5040035</w:t>
      </w:r>
    </w:p>
    <w:p>
      <w:pPr/>
      <w:r>
        <w:rPr>
          <w:b/>
        </w:rPr>
        <w:t>Shared claim-specific concepts:</w:t>
      </w:r>
      <w:r>
        <w:t xml:space="preserve"> projections, precipitation, over, continent, climate; EU scope visible. This is a provisional connection, not an outcome finding.</w:t>
      </w:r>
    </w:p>
    <w:p>
      <w:pPr>
        <w:pStyle w:val="SourceNote"/>
      </w:pPr>
      <w:r>
        <w:rPr>
          <w:b/>
        </w:rPr>
        <w:t>Available abstract (not full text):</w:t>
      </w:r>
      <w:r>
        <w:t xml:space="preserve"> The summer of 2012 in Europe was characterized by sharp contrasts in precipitation. The United Kingdom recorded its wettest summer season (June–August) since 1912. Spain faced drought and wildfires, as summer precipitation levels there were the second lowest in the last 60 years. These anomalies demonstrate an unexpectedly rapid northward shift of the precipitation zone across Europe. The shift contradicted, however, prevailing climate change projections, according to which severe summer drying across the continent and a slower trend toward increased wetting of northern Europe have been expected. The physical mechanisms responsible for the extreme trend remain not clear. It is worth noting that a significant part of 2012 summer precipitation occurred from mid-June to mid-July. Hurricane Chris and Tropical Storm Debby also formed in the North Atlantic in June of that year. This paper presents evidence that the extreme climate behavior of the summer of 2012 and the anomalous summer precipitation distribution in Europe could have been largely determined by the intense transport of moist air from the tropical Atlantic associated with the formation of Tropical Storm Debby, which should be considered among the main drivers of intense flooding events over northwestern and southeastern Europe during the 2012 summer season.</w:t>
      </w:r>
    </w:p>
    <w:p>
      <w:pPr/>
      <w:r>
        <w:rPr>
          <w:b/>
        </w:rPr>
        <w:t>POSSIBLE 2026:</w:t>
      </w:r>
      <w:r>
        <w:t xml:space="preserve"> ClimRisk.eu: Regional climate projections for Europe — https://doi.org/10.5194/ems2026-518</w:t>
      </w:r>
    </w:p>
    <w:p>
      <w:pPr/>
      <w:r>
        <w:rPr>
          <w:b/>
        </w:rPr>
        <w:t>Shared claim-specific concepts:</w:t>
      </w:r>
      <w:r>
        <w:t xml:space="preserve"> projections, precipitation, ensemble, resolution, regional, climate;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Ensemble boosting of extreme precipitation in the Alps — https://doi.org/10.5194/egusphere-egu26-10755</w:t>
      </w:r>
    </w:p>
    <w:p>
      <w:pPr/>
      <w:r>
        <w:rPr>
          <w:b/>
        </w:rPr>
        <w:t>Shared claim-specific concepts:</w:t>
      </w:r>
      <w:r>
        <w:t xml:space="preserve"> projections, precipitation, extremes, ensemble, resolution, climate; EU scope visible. This is a provisional connection, not an outcome finding.</w:t>
      </w:r>
    </w:p>
    <w:p>
      <w:pPr>
        <w:pStyle w:val="SourceNote"/>
      </w:pPr>
      <w:r>
        <w:rPr>
          <w:b/>
        </w:rPr>
        <w:t>Available abstract (not full text):</w:t>
      </w:r>
      <w:r>
        <w:t xml:space="preserve"> The Alps, with their complex topography, important geographic location and varying climatic influences have become a highly vulnerable region. Especially extreme precipitation and its associated impacts - from floods to landslides - are directly amplified by this distinct local environment.Because observational timeseries are rather short and sample only limited locations, the impact-producing extreme tail of the precipitation distribution remains largely unexplored. In addition, the non-stationarity of the climate system makes data from a past climate less useful for gaining insights into current and future conditions. Coarse resolution global climate models can be used to produce long simulations including rare extreme events, but important processes such as topographic forcing and deep convection are poorly resolved, which limits physical interpretability. A different approach is needed to produce robust and actionable climate information on the local scales required for stress testing, early warning, adaptation and risk mitigation.We suggest expanding the method of Ensemble Boosting into the realm of high-resolution modeling. We employ a global ICON setup with 10-20 km grid spacing with a two-way nested kilometer-scale European domain. Our initial goal is to simulate the 2013 Northern Alps flooding using ERA5 initial conditions. We asses lead time sensitivities for reinitia</w:t>
      </w:r>
    </w:p>
    <w:p>
      <w:pPr/>
      <w:r>
        <w:rPr>
          <w:b/>
        </w:rPr>
        <w:t>POSSIBLE 2026:</w:t>
      </w:r>
      <w:r>
        <w:t xml:space="preserve"> Future Changes in Severe Frontal Precipitation Events over Europe and Their Drivers — https://doi.org/10.5194/egusphere-2026-1712</w:t>
      </w:r>
    </w:p>
    <w:p>
      <w:pPr/>
      <w:r>
        <w:rPr>
          <w:b/>
        </w:rPr>
        <w:t>Shared claim-specific concepts:</w:t>
      </w:r>
      <w:r>
        <w:t xml:space="preserve"> projections, precipitation, extremes, over, regional, climate; EU scope visible. This is a provisional connection, not an outcome finding.</w:t>
      </w:r>
    </w:p>
    <w:p>
      <w:pPr>
        <w:pStyle w:val="SourceNote"/>
      </w:pPr>
      <w:r>
        <w:rPr>
          <w:b/>
        </w:rPr>
        <w:t>Available abstract (not full text):</w:t>
      </w:r>
      <w:r>
        <w:t xml:space="preserve"> Abstract. Atmospheric fronts are closely linked to extreme precipitation across the mid-latitudes, which is projected to intensify in many regions under global warming. Understanding the physical drivers of these changes is essential to improve confidence in climate projections. Here, we analyze projected changes in seasonal heavy and extreme frontal precipitation events over Europe using the CMIP6 and EURO-CORDEX ensembles, combining event frequency analysis with frontal composite cross-sections to assess the changes of the underlying thermodynamic and dynamic processes. We find that the number of heavy frontal precipitation events increases by up to 50 % per degree of global warming, while extreme events are projected to more than double per degree. Large-scale circulation changes account for most regional reductions in frontal extremes, but contribute only weakly to the widespread increases. Thermodynamic changes, however, dominate the intensification of extremes. Increases in specific humidity are the primary driver of more intense events, while changes in the frontal circulation are minimal, likely because a more stable atmosphere counteracts potential strengthening from enhanced latent heat release.</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abstract, projections, precipitation, over, analyzed,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2025:</w:t>
      </w:r>
      <w:r>
        <w:t xml:space="preserve"> Decadal predictions outperform climate projections in forecasting Mediterranean wintertime precipitation — https://doi.org/10.1088/1748-9326/adb59e</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pPr>
        <w:pStyle w:val="Heading2"/>
      </w:pPr>
      <w:r>
        <w:t>824. Realising transition pathways for a more electric, low-carbon energy system in the United Kingdom: Challenges, insights and opportunities</w:t>
      </w:r>
    </w:p>
    <w:p>
      <w:pPr>
        <w:pStyle w:val="SourceNote"/>
      </w:pPr>
      <w:r>
        <w:rPr>
          <w:b/>
        </w:rPr>
        <w:t>Original source (2017):</w:t>
      </w:r>
      <w:r>
        <w:t xml:space="preserve"> https://doi.org/10.1177/0957650917695448</w:t>
      </w:r>
    </w:p>
    <w:p>
      <w:pPr/>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POSSIBLE 2026:</w:t>
      </w:r>
      <w:r>
        <w:t xml:space="preserve"> Open-Source AI and Market Competition: Why the United Kingdom Is Well Placed to Promote Openness as Competition Policy — https://doi.org/10.2139/ssrn.7431620</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The Law of Treaty Withdrawal in the United Kingdom — https://doi.org/10.4324/9781003712633-7</w:t>
      </w:r>
    </w:p>
    <w:p>
      <w:pPr/>
      <w:r>
        <w:rPr>
          <w:b/>
        </w:rPr>
        <w:t>Shared claim-specific concepts:</w:t>
      </w:r>
      <w:r>
        <w:t xml:space="preserve"> united, kingdom, placed, framework; EU scope visible. This is a provisional connection, not an outcome finding.</w:t>
      </w:r>
    </w:p>
    <w:p>
      <w:pPr>
        <w:pStyle w:val="SourceNote"/>
      </w:pPr>
      <w:r>
        <w:rPr>
          <w:b/>
        </w:rPr>
        <w:t>Available abstract (not full text):</w:t>
      </w:r>
      <w:r>
        <w:t xml:space="preserve"> Constitutional law in the United Kingdom has traditionally placed processes relating to international treaties in the hands of the executive. Although there has been considerable political pressure and reform of the process surrounding the ratification of treaties, until R (Miller) v Secretary of State for Exiting the European Union , the process surrounding treaty withdrawal had not been given as much attention. This chapter analyses the approach in UK constitutional law to treaty withdrawal and assesses how this interacts with the law of treaty withdrawal on the international plane. Drawing on comparative case studies from other jurisdictions, international case law, and the experience of the Brexit process, it is shown how treaty withdrawal should not simply be treated as the inverse of treaty ratification in domestic law. The first section of this chapter assesses how the decision to denounce a treaty on the international plane is made. The second section looks at the domestic legal framework on treaties, which highlights the paucity of controls in respect of treaty withdrawal. The final part of this chapter sets out the case for reforming domestic law in relation to treaty withdrawal, in relation to both incorporated and unincorporated treaties, highlighting the gaps in relation to the protection of rights and the tensions that this could raise with the devolved parliament</w:t>
      </w:r>
    </w:p>
    <w:p>
      <w:pPr/>
      <w:r>
        <w:rPr>
          <w:b/>
        </w:rPr>
        <w:t>POSSIBLE 2026:</w:t>
      </w:r>
      <w:r>
        <w:t xml:space="preserve"> United Kingdom energy transition: Taxes on energy, transport, and pollution resources — https://doi.org/10.1186/s12302-025-01288-2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Abstract This study investigates the heterogeneous and quantile-dependent impacts of eco-taxation on renewable energy transition and economic growth in the United Kingdom. Using quarterly data from 1997 to 2022, the analysis employs the Quantile-on-Quantile Regression (QQR) and Quantile-on-Quantile Granger Causality (QQGC) methods to capture nonlinear and asymmetric interdependencies between energy, transport, and pollution resource taxes and the dynamics of renewable energy and GDP. The results reveal that energy and transport taxes exert consistently positive effects on renewable energy across medium to upper quantiles, suggesting their strong role in accelerating the energy transition under conditions of higher energy demand and greater renewable capacity penetration. Pollution resource taxes exhibit mixed but increasingly positive impacts in higher quantiles, indicating that their effectiveness strengthens as economies advance along the transition curve and adopt cleaner technologies. For economic growth, the effects of eco-taxation are nonlinear and vary across output levels. Energy and transport taxes promote GDP growth at lower and middle quantiles, suggesting countercyclical potential during periods of slower output, while their effects become neutral or mildly positive at higher quantiles, suggesting stabilisation rather than suppression of growth during expansionary p</w:t>
      </w:r>
    </w:p>
    <w:p>
      <w:pPr/>
      <w:r>
        <w:rPr>
          <w:b/>
        </w:rPr>
        <w:t>POSSIBLE 2026:</w:t>
      </w:r>
      <w:r>
        <w:t xml:space="preserve"> Taking stock of twenty-five years of devolution in the United Kingdom — https://doi.org/10.1080/02606755.2026.2616934</w:t>
      </w:r>
    </w:p>
    <w:p>
      <w:pPr/>
      <w:r>
        <w:rPr>
          <w:b/>
        </w:rPr>
        <w:t>Shared claim-specific concepts:</w:t>
      </w:r>
      <w:r>
        <w:t xml:space="preserve"> united, kingdom, placed, provided, within; EU scope visible. This is a provisional connection, not an outcome finding.</w:t>
      </w:r>
    </w:p>
    <w:p>
      <w:pPr>
        <w:pStyle w:val="SourceNote"/>
      </w:pPr>
      <w:r>
        <w:rPr>
          <w:b/>
        </w:rPr>
        <w:t>Available abstract (not full text):</w:t>
      </w:r>
      <w:r>
        <w:t xml:space="preserve"> This special issue examines twenty-five years of devolution in the United Kingdom by focusing on the evolution of representative institutions and parliamentary practices across the devolved territories. Since its introduction at the end of the 1990s, devolution has transformed the UK's constitutional landscape, giving rise to new legislatures and executives while preserving parliamentary sovereignty at Westminster. The contributions explore how these devolved institutions have developed over time, both individually and in relation to one another, within an asymmetrical and often contested system of territorial governance. Particular attention is paid to the functioning of parliaments as sites of representation, negotiation and conflict, as well as to the mechanisms designed to manage relations between the central and devolved levels of government. Several articles address the impact of Brexit on intergovernmental and interparliamentary relations, highlighting the strain placed on existing conventions and cooperative frameworks. The issue also considers the ways in which devolved parliaments have provided arenas for the articulation of nationalist claims, challenging earlier assumptions that devolution would stabilise the Union. Comparative perspectives on Scotland and Wales, alongside analyses of Northern Ireland's distinctive power-sharing arrangements, underline the diversity</w:t>
      </w:r>
    </w:p>
    <w:p>
      <w:pPr/>
      <w:r>
        <w:rPr>
          <w:b/>
        </w:rPr>
        <w:t>POSSIBLE 2026:</w:t>
      </w:r>
      <w:r>
        <w:t xml:space="preserve"> Standardization of Intelligence Analysis: A comparative case study of the United States, the United Kingdom, and Australia — https://doi.org/10.5937/bezbednost2601047k</w:t>
      </w:r>
    </w:p>
    <w:p>
      <w:pPr/>
      <w:r>
        <w:rPr>
          <w:b/>
        </w:rPr>
        <w:t>Shared claim-specific concepts:</w:t>
      </w:r>
      <w:r>
        <w:t xml:space="preserve"> united, kingdom, placed, within, systems, framework; EU scope not established. This is a provisional connection, not an outcome finding.</w:t>
      </w:r>
    </w:p>
    <w:p>
      <w:pPr>
        <w:pStyle w:val="SourceNote"/>
      </w:pPr>
      <w:r>
        <w:rPr>
          <w:b/>
        </w:rPr>
        <w:t>Available abstract (not full text):</w:t>
      </w:r>
      <w:r>
        <w:t xml:space="preserve"> The standardization of analytical work in intelligence services has become a subject of continuous professional and academic interest, particularly in English-speaking countries, following major intelligence failures related to the terrorist attacks of September 11, 2001, and the inaccurate assessments of Iraq's weapons of mass destruction program prior to the 2003 Iraq War. These events exposed significant structural and methodological weaknesses within intelligence systems, especially in the United States, where the complex structure of numerous civilian and military intelligence agencies, limited interagency coordination, and insufficient information sharing hindered effective analytical performance. In response, a series of institutional and procedural reforms were initiated with the aim of improving cooperation, analytical rigor, and the overall effectiveness of intelligence activities. The establishment of the Office of the Director of National Intelligence (ODNI) and the adoption of the Intelligence Community Directive 203 (ICD 203) represented key steps toward the formalization and standardization of analytical practices within the U.S. Intelligence Community. These reforms introduced a unified framework of analytic standards designed to ensure objectivity, independence from political influence, timeliness, and the use of all available sources of intelligence informatio</w:t>
      </w:r>
    </w:p>
    <w:p>
      <w:pPr/>
      <w:r>
        <w:rPr>
          <w:b/>
        </w:rPr>
        <w:t>POSSIBLE 2026:</w:t>
      </w:r>
      <w:r>
        <w:t xml:space="preserve"> The Politics of Cohesion in France, Germany and the United Kingdom — https://doi.org/10.83164/10477144</w:t>
      </w:r>
    </w:p>
    <w:p>
      <w:pPr/>
      <w:r>
        <w:rPr>
          <w:b/>
        </w:rPr>
        <w:t>Shared claim-specific concepts:</w:t>
      </w:r>
      <w:r>
        <w:t xml:space="preserve"> united, kingdom, placed, society, against; EU scope visible. This is a provisional connection, not an outcome finding.</w:t>
      </w:r>
    </w:p>
    <w:p>
      <w:pPr>
        <w:pStyle w:val="SourceNote"/>
      </w:pPr>
      <w:r>
        <w:rPr>
          <w:b/>
        </w:rPr>
        <w:t>Available abstract (not full text):</w:t>
      </w:r>
      <w:r>
        <w:t xml:space="preserve"> Over the last two decades, social cohesion has become a widespread political concern. Governments across Western Europe consider how social cohesion may be at risk and propose political initiatives to safeguard cohesion. This objective is usually seen to require the active contribution of citizens who are called upon to evince responsibility for social unity. Cohesion agendas have been developed with the intention to instil this responsibility through measures of social activation. The proximity between cohesion and activation, however, has rarely been explored. While their mutual dependence tends to be considered as a given or a natural fact, this thesis seeks to show how the two orientations have been conjoined as a result of changing conceptualizations of society in political debate. In studies of such debates and of agenda-setting moments, the thesis examines the development of new concerns, concepts and political measures in France, Germany and the United Kingdom. Cohésion sociale was introduced in the context of ambiguous definitions of social exclusion that had emerged in French political discourse since the early 1980s. It was developed as a political objective that would respond to Jacques Chirac’s diagnosis of fracture sociale. Bürgergesellschaft in Germany was defined against the background of anxiety about collective immobility, social sclerosis and political apathy</w:t>
      </w:r>
    </w:p>
    <w:p>
      <w:pPr/>
      <w:r>
        <w:rPr>
          <w:b/>
        </w:rPr>
        <w:t>POSSIBLE 2026:</w:t>
      </w:r>
      <w:r>
        <w:t xml:space="preserve"> United Kingdom — https://doi.org/10.1007/978-3-032-12610-8_7</w:t>
      </w:r>
    </w:p>
    <w:p>
      <w:pPr/>
      <w:r>
        <w:rPr>
          <w:b/>
        </w:rPr>
        <w:t>Shared claim-specific concepts:</w:t>
      </w:r>
      <w:r>
        <w:t xml:space="preserve"> united, kingdom, emissions, within, framework; EU scope visible. This is a provisional connection, not an outcome finding.</w:t>
      </w:r>
    </w:p>
    <w:p>
      <w:pPr>
        <w:pStyle w:val="SourceNote"/>
      </w:pPr>
      <w:r>
        <w:rPr>
          <w:b/>
        </w:rPr>
        <w:t>Available abstract (not full text):</w:t>
      </w:r>
      <w:r>
        <w:t xml:space="preserve"> This chapter examines climate policy efforts across four UK jurisdictions that joined the Under2 Coalition at different timepoints: founding member Wales, early joiner Scotland, and later joiners Northern Ireland and Isle of Man. Operating within the UK’s constitutionally asymmetric devolution framework, these subnational entities demonstrate varied climate leadership trajectories shaped by differential legislative powers, political contexts, and institutional capacities. Wales exhibits normative and cognitive leadership through pioneering an innovative intergenerational approach to climate action despite constitutional entanglement with English law limiting implementation capacity. Scotland, though only an early Under2 Coalition joiner, demonstrates the strongest climate ambition of all nations, driven by independence aspirations and serving as European Under2 Coalition co-chair, though recent difficulties in meeting the GHG emissions reduction target prompted the adoption of carbon budgets. Northern Ireland’s delayed policy-based climate action reflects post-conflict recovery priorities and repeated Assembly suspensions, while Isle of Man exemplifies followership through policy emulation and reliance on external expertise. The findings reveal mixed support for our two propositions regarding founding member advantages, highlighting how constitutional autonomy and political sta</w:t>
      </w:r>
    </w:p>
    <w:p>
      <w:pPr/>
      <w:r>
        <w:rPr>
          <w:b/>
        </w:rPr>
        <w:t>POSSIBLE 2025:</w:t>
      </w:r>
      <w:r>
        <w:t xml:space="preserve"> United Kingdom — https://doi.org/10.1093/9780197758847.003.0031</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pPr/>
      <w:r>
        <w:rPr>
          <w:b/>
        </w:rPr>
        <w:t>POSSIBLE 2025:</w:t>
      </w:r>
      <w:r>
        <w:t xml:space="preserve"> The United Kingdom — https://doi.org/10.1017/9781009665872.008</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pPr/>
      <w:r>
        <w:rPr>
          <w:b/>
        </w:rPr>
        <w:t>POSSIBLE 2025:</w:t>
      </w:r>
      <w:r>
        <w:t xml:space="preserve"> New developments in optometric training in the United Kingdom — https://doi.org/10.1080/08164622.2024.2448242</w:t>
      </w:r>
    </w:p>
    <w:p>
      <w:pPr/>
      <w:r>
        <w:rPr>
          <w:b/>
        </w:rPr>
        <w:t>Shared claim-specific concepts:</w:t>
      </w:r>
      <w:r>
        <w:t xml:space="preserve"> united, kingdom, placed, systems, framework; EU scope not established. This is a provisional connection, not an outcome finding.</w:t>
      </w:r>
    </w:p>
    <w:p>
      <w:pPr>
        <w:pStyle w:val="SourceNote"/>
      </w:pPr>
      <w:r>
        <w:rPr>
          <w:b/>
        </w:rPr>
        <w:t>Available abstract (not full text):</w:t>
      </w:r>
      <w:r>
        <w:t xml:space="preserve"> With optometrists well placed to address the challenges and opportunities faced by contemporary eye care systems, it is ever more important to understand the genesis and development of the profession, so that optometrists can continue to build on this legacy for patient benefit. While the optometry profession of optometry in the United Kingdom can arguably trace its foundation back to 1629 and the Royal Charter gifted by Charles I to the Worshipful Company of Spectacle Makers to establish the 60th Livery Company of the City of London, the genesis of optometry as an independent profession (initially known as ‘ophthalmic optics’) can perhaps best be attributed to the formation of the British Optical Association in 1895. This paper reviews the current legal framework and recent changes that dictates how the optometry profession are trained and practice, along with clinical and educational innovations that are shaping the future role of the profession.</w:t>
      </w:r>
    </w:p>
    <w:p>
      <w:pPr/>
      <w:r>
        <w:rPr>
          <w:b/>
        </w:rPr>
        <w:t>POSSIBLE 2025:</w:t>
      </w:r>
      <w:r>
        <w:t xml:space="preserve"> Renewable energy transition and economic development in the united Kingdom — https://doi.org/10.1007/s43621-025-01752-2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Given that the effect of the synergy between natural resources and environmental sustainability varies by country and economic structure, this study examines the dynamic impacts of FDI, mineral markets, GDP, NORE, FID, REN, and EB on the ENT in the UK. It makes contributions to the related literature by (i) revisiting this question for the energy transition in the UK and (ii) using QQR and NCQ to detail the interplay between the time series. The empirical outcomes highlight that renewable energy, FDI, FID, and urbanization have a tremendous impact on this country's energy transition, which supports sustainable development goals. Results also show a mixed reaction of GDP, non-renewable energy, and mineral markets to the energy transition in the UK. These findings offer insightful policy suggestions for all interested parties to advance the shift to REN for low-carbon and environmentally friendly growth.</w:t>
      </w:r>
    </w:p>
    <w:p>
      <w:pPr/>
      <w:r>
        <w:rPr>
          <w:b/>
        </w:rPr>
        <w:t>POSSIBLE 2025:</w:t>
      </w:r>
      <w:r>
        <w:t xml:space="preserve"> Cognizance of Climate Change Within the United Kingdom — https://doi.org/10.1007/978-981-96-6609-6_22</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Unavailable</w:t>
      </w:r>
    </w:p>
    <w:p>
      <w:pPr>
        <w:pStyle w:val="Heading2"/>
      </w:pPr>
      <w:r>
        <w:t>825. Scenarios for Chemistry Teacher Training and Practice in Romania in 2030: Views of Chemistry Students</w:t>
      </w:r>
    </w:p>
    <w:p>
      <w:pPr>
        <w:pStyle w:val="SourceNote"/>
      </w:pPr>
      <w:r>
        <w:rPr>
          <w:b/>
        </w:rPr>
        <w:t>Original source (2017):</w:t>
      </w:r>
      <w:r>
        <w:t xml:space="preserve"> https://doi.org/10.13187/ejced.2017.4.797</w:t>
      </w:r>
    </w:p>
    <w:p>
      <w:pPr/>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POSSIBLE 2026:</w:t>
      </w:r>
      <w:r>
        <w:t xml:space="preserve"> The Current Landscape of Ophthalmology Training in Europe — https://doi.org/10.7759/cureus.103487</w:t>
      </w:r>
    </w:p>
    <w:p>
      <w:pPr/>
      <w:r>
        <w:rPr>
          <w:b/>
        </w:rPr>
        <w:t>Shared claim-specific concepts:</w:t>
      </w:r>
      <w:r>
        <w:t xml:space="preserve"> four, training, practice, two; EU scope visible. This is a provisional connection, not an outcome finding.</w:t>
      </w:r>
    </w:p>
    <w:p>
      <w:pPr>
        <w:pStyle w:val="SourceNote"/>
      </w:pPr>
      <w:r>
        <w:rPr>
          <w:b/>
        </w:rPr>
        <w:t>Available abstract (not full text):</w:t>
      </w:r>
      <w:r>
        <w:t xml:space="preserve"> Ophthalmology training across Europe has undergone a significant transformation over the last two decades. Although individual countries retain distinct systems for resident recruitment, training structure, and surgical exposure, the overarching goal has been to converge toward competency-based education guided by the European Board of Ophthalmology (EBO) and the European Union of Medical Specialists (UEMS). This narrative review draws on official EBO and UEMS policy documents, recent peer-reviewed literature, national curricula, and surveys of residents and educators. It examines the structure and duration of training, curriculum reforms, surgical exposure, simulation, fellowship opportunities, and the influence of European legislation on professional mobility. Residency programs in Europe vary in length from four to six years, with considerable heterogeneity in surgical case volume, fellowship opportunities, and access to simulation. The 2024 European Training Requirements (ETR) introduced Entrustable Professional Activities (EPAs), programmatic assessment, and e-portfolios, providing a common reference for national curricula. The EBO Diploma (EBOD) serves as a recognized benchmark for harmonization. Simulation-based cataract training has moved from optional to integral, though adoption remains inconsistent. Pressures such as the European Working Time Directive (EWTD) and the</w:t>
      </w:r>
    </w:p>
    <w:p>
      <w:pPr/>
      <w:r>
        <w:rPr>
          <w:b/>
        </w:rPr>
        <w:t>POSSIBLE 2026:</w:t>
      </w:r>
      <w:r>
        <w:t xml:space="preserve"> The 11th European variety in university chemistry education (EuroVariety) 2025 conference in Kraków, Poland — https://doi.org/10.1515/cti-2026-0058</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Since the inaugural EuroVariety (European Variety in University Chemistry Education) conference (Figure 1) organised by the European Chemical Society Division of Chemical Education, was held in Kraków in 2005, chemistry educators and chemistry education researchers from across Europe and beyond have convened biennially to discuss emerging issues and developments in higher chemistry education.Each EuroVariety conference provides a collaborative forum for the exchange of ideas, experiences, and innovative pedagogical approaches.A defining characteristic of the this conference has been its strong emphasis on practice-informed chemistry teaching and learning at tertiary level, highlighting effective strategies that have been successfully implemented in diverse academic settings.Over the past two decades, EuroVariety has become an important platform for disseminating educational innovations and fostering dialogue on approaches that extend beyond traditional models of chemistry instruction.Through oral presentations, poster sessions, workshops, and networking opportunities, the conference promotes both the sharing of educational research and the adoption of evidence-based teaching practices that enhance student learning and engagement.In 2025, marking the 20th anniversary of the conference series, EuroVariety returned to its birthplace at the Faculty of Chemistry, Jagiellonian Univer</w:t>
      </w:r>
    </w:p>
    <w:p>
      <w:pPr/>
      <w:r>
        <w:rPr>
          <w:b/>
        </w:rPr>
        <w:t>POSSIBLE 2026:</w:t>
      </w:r>
      <w:r>
        <w:t xml:space="preserve"> The significance of Indigenous chemistry knowledge in Western chemistry education — https://doi.org/10.3389/feduc.2026.1844328</w:t>
      </w:r>
    </w:p>
    <w:p>
      <w:pPr/>
      <w:r>
        <w:rPr>
          <w:b/>
        </w:rPr>
        <w:t>Shared claim-specific concepts:</w:t>
      </w:r>
      <w:r>
        <w:t xml:space="preserve"> regarding, chemistry, teacher, design, teachers; EU scope not established. This is a provisional connection, not an outcome finding.</w:t>
      </w:r>
    </w:p>
    <w:p>
      <w:pPr>
        <w:pStyle w:val="SourceNote"/>
      </w:pPr>
      <w:r>
        <w:rPr>
          <w:b/>
        </w:rPr>
        <w:t>Available abstract (not full text):</w:t>
      </w:r>
      <w:r>
        <w:t xml:space="preserve"> Introduction This study explored the potential role of indigenous chemistry knowledge (ICK) within Western chemistry education frameworks from the learner's perspective. This research offers distinct novelty by shifting the focus from passive curriculum consumption in primary or secondary schools to active pedagogical translation within an initial teacher education framework. By examining preservice teachers—who act as both daily practitioners of indigenous chemistry and future Science, Technology, Engineering, and Mathematics educators—this study bypasses broad decolonial theory to target the exact pipeline, where cultural knowledge transforms into actionable classroom pedagogy. Furthermore, it provides a reproducible mapping strategy using concrete, localized biochemical entry points, such as the thermal regulation of enzymes in the Mahewu fermentation and agricultural fruit oxidation. Methods Guided by a social constructivist theoretical framework, this study employed a qualitative research methodology with a descriptive design. Data were collected from 29 purposively sampled pre-service science teachers through focus group interviews, observations, and document analysis. The constant comparative method, categorical coding, the rule of literal presence, and the four-part verification framework were applied as data analysis techniques. Results The findings reveal a distinct t</w:t>
      </w:r>
    </w:p>
    <w:p>
      <w:pPr/>
      <w:r>
        <w:rPr>
          <w:b/>
        </w:rPr>
        <w:t>POSSIBLE 2026:</w:t>
      </w:r>
      <w:r>
        <w:t xml:space="preserve"> Reframing the Reduction–Emergence Debate around Chemistry — https://doi.org/10.1093/9780191954887.003.0007</w:t>
      </w:r>
    </w:p>
    <w:p>
      <w:pPr/>
      <w:r>
        <w:rPr>
          <w:b/>
        </w:rPr>
        <w:t>Shared claim-specific concepts:</w:t>
      </w:r>
      <w:r>
        <w:t xml:space="preserve"> chemistry, two, account; EU scope not established. This is a provisional connection, not an outcome finding.</w:t>
      </w:r>
    </w:p>
    <w:p>
      <w:pPr>
        <w:pStyle w:val="SourceNote"/>
      </w:pPr>
      <w:r>
        <w:rPr>
          <w:b/>
        </w:rPr>
        <w:t>Available abstract (not full text):</w:t>
      </w:r>
      <w:r>
        <w:t xml:space="preserve"> Abstract The study of molecular structure has played a central role in the debate around chemistry’s reduction to quantum physics. So far, this case has been invoked to support the non-reducibility of chemistry. However, recent papers claim that there might not be any structure to be assigned to isolated molecules, thus prompting a deeper investigation of the nature of molecular structure. To this end, this paper explores two alternative accounts of structure: the relational and dispositional accounts. Each metaphysical account has interesting implications for the reduction debate and opens news ways of arguing for (but also against) the reducibility of chemistry. The aim is to show that the debate around chemistry’s reduction needs to be radically reframed so as to include a rigorous metaphysical analysis of the nature of molecular structure.</w:t>
      </w:r>
    </w:p>
    <w:p>
      <w:pPr/>
      <w:r>
        <w:rPr>
          <w:b/>
        </w:rPr>
        <w:t>POSSIBLE 2026:</w:t>
      </w:r>
      <w:r>
        <w:t xml:space="preserve"> Education and training of home hemodialysis patients in Europe: a scoping review — https://doi.org/10.33393/gcnd.2026.3589</w:t>
      </w:r>
    </w:p>
    <w:p>
      <w:pPr/>
      <w:r>
        <w:rPr>
          <w:b/>
        </w:rPr>
        <w:t>Shared claim-specific concepts:</w:t>
      </w:r>
      <w:r>
        <w:t xml:space="preserve"> training, two, account; EU scope visible. This is a provisional connection, not an outcome finding.</w:t>
      </w:r>
    </w:p>
    <w:p>
      <w:pPr>
        <w:pStyle w:val="SourceNote"/>
      </w:pPr>
      <w:r>
        <w:rPr>
          <w:b/>
        </w:rPr>
        <w:t>Available abstract (not full text):</w:t>
      </w:r>
      <w:r>
        <w:t xml:space="preserve"> Introduction: Home hemodialysis (HHD) began in the 1960s; it has largely moved to the dialysis centers in recentdecades, particularly across Europe. HHD patients account for &lt;2% of the dialysis patient population. Trainingprograms aimed at addressing the benefits, enablers and obstacles of home hemodialysis may therefore be relevantwhen considering this modality of renal replacement therapy (RRT). The aim was to conduct a scopingreview of studies about training in HHD patients.Methods: Using Arksey and O’Malley’s framework, three databases were searched on CINAHL, PubMed andScopus. The search included studies published in English from August 2013 to August 2023.Results: Five studies met the scoping review criteria (two observational, two qualitative and one narrative review).Three education themes were identified: technique and management of the dialysis machine, self-cannulationof arterio-venous fistulas and safety.Conclusion: The educational fields described represent a systematic approach to foster the growing use of homehemodialysis, but to date, further research is needed to investigate the feasibility and effects of educationaltraining to understand if they meet the educational needs of patients. Finally, in Europe, there are obstacles tothe implementation of home hemodialysis concerning health costs, logistics, but above all, the lack of specializedand dedicated medical </w:t>
      </w:r>
    </w:p>
    <w:p>
      <w:pPr/>
      <w:r>
        <w:rPr>
          <w:b/>
        </w:rPr>
        <w:t>POSSIBLE 2026:</w:t>
      </w:r>
      <w:r>
        <w:t xml:space="preserve"> Training Practices and Organisational Citizenship Behaviour in The Informal Sector in Nigeria — https://doi.org/10.64388/irev9i11-1717234</w:t>
      </w:r>
    </w:p>
    <w:p>
      <w:pPr/>
      <w:r>
        <w:rPr>
          <w:b/>
        </w:rPr>
        <w:t>Shared claim-specific concepts:</w:t>
      </w:r>
      <w:r>
        <w:t xml:space="preserve"> four, regarding, training, developed, design, driving; EU scope not established. This is a provisional connection, not an outcome finding.</w:t>
      </w:r>
    </w:p>
    <w:p>
      <w:pPr>
        <w:pStyle w:val="SourceNote"/>
      </w:pPr>
      <w:r>
        <w:rPr>
          <w:b/>
        </w:rPr>
        <w:t>Available abstract (not full text):</w:t>
      </w:r>
      <w:r>
        <w:t xml:space="preserve"> The informal sector serves as a structural cornerstone of both developed and emerging labour markets, functioning as a primary engine for global employment generation, socioeconomic survival, and macroeconomic expansion. However, despite the systemic importance of informal work, scholarly inquiry remains disproportionately focused on formal institutions. There exists a significant empirical gap regarding how human capital development influences employee attitudinal and behavioral outcomes within the informal economy-specifically in Nigeria, a context defined by a vast and heterogeneous informal workforce. To address this gap, the present study investigates the effect of training practices on Organizational Citizenship Behavior (OCB) in selected bread production business in Akungba-Akoko, Ondo State. Adopting a cross-sectional survey design and a census sampling approach, the study gathered data from 30 respondents, comprising managers and employees across four selected bread-making enterprises. The data were subjected to rigorous descriptive and inferential statistical analysis to determine the predictive power of training practices. The findings reveal that, in aggregate, training practices constitute a significant predictor of helping behavior among employees (R2 = 0.249 (F-val. = 8.048, p &lt; 0.005). However, a more granular examination of specific modalities suggests that the</w:t>
      </w:r>
    </w:p>
    <w:p>
      <w:pPr/>
      <w:r>
        <w:rPr>
          <w:b/>
        </w:rPr>
        <w:t>POSSIBLE 2026:</w:t>
      </w:r>
      <w:r>
        <w:t xml:space="preserve"> Placebo and nocebo in clinical practice: An online cross-sectional survey of healthcare professionals from European countries on views, practices and training needs — https://doi.org/10.1371/journal.pone.0338905</w:t>
      </w:r>
    </w:p>
    <w:p>
      <w:pPr/>
      <w:r>
        <w:rPr>
          <w:b/>
        </w:rPr>
        <w:t>Shared claim-specific concepts:</w:t>
      </w:r>
      <w:r>
        <w:t xml:space="preserve"> regarding, training, practice, developed; EU scope visible. This is a provisional connection, not an outcome finding.</w:t>
      </w:r>
    </w:p>
    <w:p>
      <w:pPr>
        <w:pStyle w:val="SourceNote"/>
      </w:pPr>
      <w:r>
        <w:rPr>
          <w:b/>
        </w:rPr>
        <w:t>Available abstract (not full text):</w:t>
      </w:r>
      <w:r>
        <w:t xml:space="preserve"> BACKGROUND: Placebo and nocebo effects significantly influence health outcomes, yet healthcare professionals receive limited training and guidance on their mechanisms and clinical application, creating a gap in education and practical understanding. Conducted within the European PANACEA Consortium, this study evaluated healthcare professionals' knowledge, attitudes, and practices regarding placebo and nocebo effects, and assessed their needs in further education. METHODS: An online cross-sectional survey among a European multi-country convenience sample of healthcare professionals collected data assessing participants' knowledge, perceptions, and experiences regarding placebo and nocebo effects; their application and ethical considerations in clinical practice; and investigated educational needs and interest in further training. Quantitative data were analyzed using descriptive statistics, and thematic analysis was applied to the free-text responses. RESULTS: Amongst 807 participants, 71.7% reported taking advantage of placebo effects in their practice, and over half of participants (55.8%) observing nocebo effects. Participants reported feeling somewhat confident (53.3%) in harnessing placebo effects with 47.5% feeling confident in preventing nocebo effects. The majority of respondents had not received formal training on placebo and nocebo effects, with most expressing an inte</w:t>
      </w:r>
    </w:p>
    <w:p>
      <w:pPr/>
      <w:r>
        <w:rPr>
          <w:b/>
        </w:rPr>
        <w:t>POSSIBLE 2026:</w:t>
      </w:r>
      <w:r>
        <w:t xml:space="preserve"> Attitudes and practices of veterinarians regarding feline pain management in Western vs Eastern Europe — https://doi.org/10.1177/1098612x261484766</w:t>
      </w:r>
    </w:p>
    <w:p>
      <w:pPr/>
      <w:r>
        <w:rPr>
          <w:b/>
        </w:rPr>
        <w:t>Shared claim-specific concepts:</w:t>
      </w:r>
      <w:r>
        <w:t xml:space="preserve"> regarding, practice, developed; EU scope visible. This is a provisional connection, not an outcome finding.</w:t>
      </w:r>
    </w:p>
    <w:p>
      <w:pPr>
        <w:pStyle w:val="SourceNote"/>
      </w:pPr>
      <w:r>
        <w:rPr>
          <w:b/>
        </w:rPr>
        <w:t>Available abstract (not full text):</w:t>
      </w:r>
      <w:r>
        <w:t xml:space="preserve"> OBJECTIVES: This study aimed to report and compare attitudes and practices of veterinarians regarding feline pain management in Eastern and Western Europe. METHODS: A questionnaire was developed and divided into demographic data, drug availability/administration, and pain management practices. The questionnaire went through content and face validity and was translated into several languages. An internet-based survey was created, and responses were collected using a convenience sampling method. Data were analyzed using multiple correspondence analysis. RESULTS: In total, 833 participants from Europe were included. Most respondents indicated good knowledge of acute pain assessment and recognition (n = 478, 57.4%). The Feline Grimace Scale was the most commonly used instrument to assess acute pain (n = 346, 41.5%). Chronic pain scoring instruments were not used by 48.5% (n = 404) of participants. Meloxicam and robenacoxib were the most used non-steroidal anti-inflammatory drugs (NSAIDs) for chronic pain management. Limited knowledge of pain assessment, non-use of NSAIDs in cats undergoing surgery, and postoperative use of opioids were more closely associated with Eastern than Western Europe. Reported good knowledge of pain management, pre- and intraoperative use of NSAIDs, use of pain scales and preoperative opioids, having a specialty diploma, and working in a cat-friendly practi</w:t>
      </w:r>
    </w:p>
    <w:p>
      <w:pPr/>
      <w:r>
        <w:rPr>
          <w:b/>
        </w:rPr>
        <w:t>POSSIBLE 2025:</w:t>
      </w:r>
      <w:r>
        <w:t xml:space="preserve"> Knowledge, attitudes, and practices of esophageal cancer patients regarding pulmonary rehabilitation training — https://doi.org/10.3389/fpubh.2025.1647650</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Introduction This study aimed to assess the knowledge, attitudes, and practices (KAP) of esophageal cancer patients concerning pulmonary rehabilitation training. Methods A cross-sectional study was conducted at the Henan Cancer Hospital from July 1, 2024, to August 31, 2024. Data were collected through questionnaires that gathered demographic information and KAP scores. Results A total of 530 esophageal cancer patients participated, including 197 (37.17%) regular smokers and 145 (27.36%) regular alcohol consumers. The mean ± SD scores were 7.78 ± 4.56 for knowledge (range: 0–20), 40.42 ± 4.66 for attitudes (range: 10–50), and 21.13 ± 3.08 for practices (range: 5–25). Correlation analyses showed positive relationships between knowledge and attitude scores ( r = 0.335, p &lt; 0.001), knowledge and practice scores ( r = 0.323, p &lt; 0.001), and attitude and practice scores ( r = 0.567, p &lt; 0.001). Structural Equation Modeling (SEM) indicated significant effects of knowledge on attitude ( β = 0.420, p &lt; 0.001) and attitude on practice ( β = 0.711, p &lt; 0.001). Conclusion Esophageal cancer patients showed inadequate knowledge but positive attitudes and proactive practices regarding pulmonary rehabilitation. These findings highlight the need for targeted educational interventions to improve patient knowledge, enhancing overall engagement in rehabilitation practices.</w:t>
      </w:r>
    </w:p>
    <w:p>
      <w:pPr/>
      <w:r>
        <w:rPr>
          <w:b/>
        </w:rPr>
        <w:t>POSSIBLE 2025:</w:t>
      </w:r>
      <w:r>
        <w:t xml:space="preserve"> Operational Practices and Related Issues Regarding Intellectual Property Education and Training at Selected Universities in Zimbabwe — https://doi.org/10.6017/ijahe.v12i1.20767</w:t>
      </w:r>
    </w:p>
    <w:p>
      <w:pPr/>
      <w:r>
        <w:rPr>
          <w:b/>
        </w:rPr>
        <w:t>Shared claim-specific concepts:</w:t>
      </w:r>
      <w:r>
        <w:t xml:space="preserve"> four, regarding, training; EU scope not established. This is a provisional connection, not an outcome finding.</w:t>
      </w:r>
    </w:p>
    <w:p>
      <w:pPr>
        <w:pStyle w:val="SourceNote"/>
      </w:pPr>
      <w:r>
        <w:rPr>
          <w:b/>
        </w:rPr>
        <w:t>Available abstract (not full text):</w:t>
      </w:r>
      <w:r>
        <w:t xml:space="preserve"> The quality of an Intellectual Property (IP) educational programme largely depends on the level of experience and interest of the IP educator. However, in most universities in Zimbabwe there seems to be operational glitches since IP education and training is conducted in diﬀerent disciplines and mostly by staﬀ without practical skills nor prior technical background in IP. The study sought to investigate the operational practices in relation to IP education and training within the universities. A survey of four universities was carried out with a sample of lecturers (692), research ofcers (4), IP ofcer (1), and faculty librarians (4). Questionnaires were administered to the lecturers while interviews were administered to the IP ofcer, research ofcers and faculty librarians. The questionnaire response rate was 52.9% (366 lecturers) while all the nine selected participants were interviewed. The results indicated that 147 (40%) lecturers were unaware of departments responsible for IP education and training within their universities. The interview results suggested that the IP ofce, the library, the research ofce and teaching departments were responsible for IP education and training in the universities.</w:t>
      </w:r>
    </w:p>
    <w:p>
      <w:pPr/>
      <w:r>
        <w:rPr>
          <w:b/>
        </w:rPr>
        <w:t>POSSIBLE 2025:</w:t>
      </w:r>
      <w:r>
        <w:t xml:space="preserve"> Problem-Based Learning in the Disciplines of Applied Genetics, General Chemistry and Inorganic Chemistry — https://doi.org/10.56147/jbhs.2.4.60</w:t>
      </w:r>
    </w:p>
    <w:p>
      <w:pPr/>
      <w:r>
        <w:rPr>
          <w:b/>
        </w:rPr>
        <w:t>Shared claim-specific concepts:</w:t>
      </w:r>
      <w:r>
        <w:t xml:space="preserve"> four, regarding, chemistry, training, developed, two; EU scope not established. This is a provisional connection, not an outcome finding.</w:t>
      </w:r>
    </w:p>
    <w:p>
      <w:pPr>
        <w:pStyle w:val="SourceNote"/>
      </w:pPr>
      <w:r>
        <w:rPr>
          <w:b/>
        </w:rPr>
        <w:t>Available abstract (not full text):</w:t>
      </w:r>
      <w:r>
        <w:t xml:space="preserve"> The research analyzed the application of the problem-based learning method in the disciplines of Applied genetics, general chemistry and inorganic chemistryat two higher education institutions in Benguela, Angola, over four consecutive academic years, highlighting how this methodology can contribute to improving learning and developing integrative skills. The study followed a mixed methods research format and used document analysis, participant observationanda questionnaire. The results revealed that the problem-based learning method contributes to developing students’ ability to analyzeand interpret concrete situations, encourages teamwork, integrates theory, research, practiceandreal-world aspects and requires the mobilization of diverse basic knowledge and skills and the integration of competencies. The results also demonstrated that this methodology effectively contributes to the training profile defined for the courses studied. This study is part of a program that has been developed within the scope of the challenges facing higher education in Angola, regarding the current perspectives of science teaching that prioritize problem-based learning with a view to building knowledge and developing integrative skills.</w:t>
      </w:r>
    </w:p>
    <w:p>
      <w:pPr/>
      <w:r>
        <w:rPr>
          <w:b/>
        </w:rPr>
        <w:t>POSSIBLE 2024:</w:t>
      </w:r>
      <w:r>
        <w:t xml:space="preserve"> Envisioning chemistry education in the anthropocene — https://doi.org/10.24834/isbn.9789178775132</w:t>
      </w:r>
    </w:p>
    <w:p>
      <w:pPr/>
      <w:r>
        <w:rPr>
          <w:b/>
        </w:rPr>
        <w:t>Shared claim-specific concepts:</w:t>
      </w:r>
      <w:r>
        <w:t xml:space="preserve"> four, regarding, chemistry, teacher, developed, two; EU scope visible. This is a provisional connection, not an outcome finding.</w:t>
      </w:r>
    </w:p>
    <w:p>
      <w:pPr>
        <w:pStyle w:val="SourceNote"/>
      </w:pPr>
      <w:r>
        <w:rPr>
          <w:b/>
        </w:rPr>
        <w:t>Available abstract (not full text):</w:t>
      </w:r>
      <w:r>
        <w:t xml:space="preserve">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pPr>
        <w:pStyle w:val="Heading2"/>
      </w:pPr>
      <w:r>
        <w:t>826. THE EUROPEAN MIGRATION CRISIS – ECONOMIC AND POLITICAL FACTORS AND CHALLENGES FOR THE FUTURE</w:t>
      </w:r>
    </w:p>
    <w:p>
      <w:pPr>
        <w:pStyle w:val="SourceNote"/>
      </w:pPr>
      <w:r>
        <w:rPr>
          <w:b/>
        </w:rPr>
        <w:t>Original source (2017):</w:t>
      </w:r>
      <w:r>
        <w:t xml:space="preserve"> https://doi.org/10.5755/j01.eis.0.11.18958</w:t>
      </w:r>
    </w:p>
    <w:p>
      <w:pPr/>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POSSIBLE 2026:</w:t>
      </w:r>
      <w:r>
        <w:t xml:space="preserve"> Between North and Europe : A case study of Nordic cooperation during the pandemic — https://openalex.org/W7154931280</w:t>
      </w:r>
    </w:p>
    <w:p>
      <w:pPr/>
      <w:r>
        <w:rPr>
          <w:b/>
        </w:rPr>
        <w:t>Shared claim-specific concepts:</w:t>
      </w:r>
      <w:r>
        <w:t xml:space="preserve"> cooperation, countries, mechanisms; EU scope visible. This is a provisional connection, not an outcome finding.</w:t>
      </w:r>
    </w:p>
    <w:p>
      <w:pPr>
        <w:pStyle w:val="SourceNote"/>
      </w:pPr>
      <w:r>
        <w:rPr>
          <w:b/>
        </w:rPr>
        <w:t>Available abstract (not full text):</w:t>
      </w:r>
      <w:r>
        <w:t xml:space="preserve"> The thesis looks into what the COVID‑19 pandemic reveals about the character of regional order and institutions of the Nordic regional international society. The main argument is that the choice of policy instruments and cooperation practices between the Nordic countries reflects the underlying institutional architecture. The thesis uses the pandemic as a lens to reveal that Nordic cooperation operates within, and is constrained by, a wider European and EU framework. The study adopts an English School perspective, focusing on Nordic regional international society and the primary and secondary institutions within it. The starting point is an established framework of the Scandinavian international society by Laust Schouenborg. In this thesis, secondary institutions and their respective organizational subunits are systematically incorporated in this framework and treated as key to understanding a possible change from Schouenborg’s earlier notions about the regional international society in question. In doing so, the thesis advances English School debates by showing how secondary institutions and their subunits can be analytically integrated into the study of institutional evolution within a regional international society. The institutional change is mostly based on Tonny Brems Knudsen and Kalevi Holsti’s theorizations. Methodologically, the study uses Ludvig Norman’s Interpretive </w:t>
      </w:r>
    </w:p>
    <w:p>
      <w:pPr/>
      <w:r>
        <w:rPr>
          <w:b/>
        </w:rPr>
        <w:t>POSSIBLE 2026:</w:t>
      </w:r>
      <w:r>
        <w:t xml:space="preserve"> Rivalry and cooperation: how the Japanese photographic industry went global — https://doi.org/10.82444/warw.33485725</w:t>
      </w:r>
    </w:p>
    <w:p>
      <w:pPr/>
      <w:r>
        <w:rPr>
          <w:b/>
        </w:rPr>
        <w:t>Shared claim-specific concepts:</w:t>
      </w:r>
      <w:r>
        <w:t xml:space="preserve"> tight, cooperation, over; EU scope visible. This is a provisional connection, not an outcome finding.</w:t>
      </w:r>
    </w:p>
    <w:p>
      <w:pPr>
        <w:pStyle w:val="SourceNote"/>
      </w:pPr>
      <w:r>
        <w:rPr>
          <w:b/>
        </w:rPr>
        <w:t>Available abstract (not full text):</w:t>
      </w:r>
      <w:r>
        <w:t xml:space="preserve"> This thesis analyzes the postwar political economy of the global photography industry, i.e. camera/lens and film, up to 1995 and finds that the Japanese industry has met unprecedented success. The question addressed in this thesis is: who drove the success of the Japanese photography industry, the government or firms? The words 'rivalry' and 'cooperation' are used in this thesis because they most aptly describe the three main relationships in the photography industry during the postwar period: bureaucrat-politician, government-industry and firm-firm. Cooperation and rivalry always existed in these relationships, but one often took precedence over the other. The camera/lens makers in Japan's photography industry benefited from cooperative relationships through export promotion and import protection policies from 1950 to 1973. Export promotion was effective because Japanese camera/lens firms began to 'export' to US military postal exchanges in Japan during the Allied Occupation (1945-1952). After that time, the US market was wide open to Japanese exports due to Japan's balance of payments problems and America's mounting security concerns in Asia. Exports of cameras/lenses to the US and Europe expanded throughout the 1950s and 1960s, while photographic film manufacturers (who also produced cameras/lenses) caught up technologically and enjoyed a protected domestic market for film. </w:t>
      </w:r>
    </w:p>
    <w:p>
      <w:pPr/>
      <w:r>
        <w:rPr>
          <w:b/>
        </w:rPr>
        <w:t>POSSIBLE 2025:</w:t>
      </w:r>
      <w:r>
        <w:t xml:space="preserve"> Bibliographic Review on Transnational Cooperation in Environmental Issues in European Countries (2010–2025) — https://doi.org/10.3390/earth7010002</w:t>
      </w:r>
    </w:p>
    <w:p>
      <w:pPr/>
      <w:r>
        <w:rPr>
          <w:b/>
        </w:rPr>
        <w:t>Shared claim-specific concepts:</w:t>
      </w:r>
      <w:r>
        <w:t xml:space="preserve"> need, cooperation, countries; EU scope visible. This is a provisional connection, not an outcome finding.</w:t>
      </w:r>
    </w:p>
    <w:p>
      <w:pPr>
        <w:pStyle w:val="SourceNote"/>
      </w:pPr>
      <w:r>
        <w:rPr>
          <w:b/>
        </w:rPr>
        <w:t>Available abstract (not full text):</w:t>
      </w:r>
      <w:r>
        <w:t xml:space="preserve"> Europe is dealing with environmental problems that require cooperation beyond national and regional borders. Air pollution, water pollution, biodiversity loss, and waste management are the major issues that are not only complex but also cross borders. Therefore, it is necessary to provide collaborative responses that go beyond the capacity of individual countries. This inquiry centers on the question of what the best way is to set up and govern the transnational cooperation in Europe to confront these major environmental challenges. A systematic bibliographic review of the research conducted between 2010 and 2025 forms the basis of this work. The research combines semantic analysis and Latent Dirichlet Allocation (LDA) modeling to study 80 selected publications to find the tenets of the themes discussed. The identified topics are urban climate change adaptation and mitigation, climate policy and management, adaptation and vulnerability frameworks, land use and biodiversity impacts, and future climate projections and assessment. The findings show that there are strong synergies between biodiversity and climate adaptation, resilience, and environmental governance, as well as the great influence of climate change on the water management sector. The study has unveiled the significance of institutional policy frameworks in bringing about environmental cooperation across borders. In </w:t>
      </w:r>
    </w:p>
    <w:p>
      <w:pPr/>
      <w:r>
        <w:rPr>
          <w:b/>
        </w:rPr>
        <w:t>POSSIBLE 2025:</w:t>
      </w:r>
      <w:r>
        <w:t xml:space="preserve"> OPPORTUNITIES OF TRANSBOUNDARY ENVIRONMENTAL COOPERATION IN THE CONTEXT OF THE EUROPEAN INTEGRATION AND POST-WAR GREEN RECOVERY OF UKRAINE — https://doi.org/10.17721/1728-2721.2025.92-93.5</w:t>
      </w:r>
    </w:p>
    <w:p>
      <w:pPr/>
      <w:r>
        <w:rPr>
          <w:b/>
        </w:rPr>
        <w:t>Shared claim-specific concepts:</w:t>
      </w:r>
      <w:r>
        <w:t xml:space="preserve"> cooperation, countries, help; EU scope visible. This is a provisional connection, not an outcome finding.</w:t>
      </w:r>
    </w:p>
    <w:p>
      <w:pPr>
        <w:pStyle w:val="SourceNote"/>
      </w:pPr>
      <w:r>
        <w:rPr>
          <w:b/>
        </w:rPr>
        <w:t>Available abstract (not full text):</w:t>
      </w:r>
      <w:r>
        <w:t xml:space="preserve"> Background. The article emphasizes the relevance of transboundary environmental cooperation for Ukraine in the context of new reality caused by Russian aggression: accelerated integration into the European Union (EU) against the backdrop of recovery process. Given Ukraine's geopolitical location and shared borders with 4 EU countries (Poland, Slovakia, Hungary and Romania) and 1 EU candidate (Moldova), transboundary cooperation presents significant opportunities. Methods. The following methods were employed in this study: analysis, synthesis, observation, and comparison to identify current trends and model prospects of environmental transboundary cooperation. Results. It was analyzed the state of Ukraine's transboundary environmental cooperation before the war. The role of Euroregions established with 4 EU neighboring countries and Moldova ("Carpathians," "Bug," "Upper Prut," and "Dniester") and the European Grouping of Territorial Cooperation (EGTC) with Hungary ("Tisza") as organizational forms of cooperation for implementing joint ecological initiatives is highlighted. The study examines the impact of Russia’s full-scale invasion on transboundary environmental collaboration, including shifts in priorities, emerging challenges, and, at the same time, new opportunities for cross-border environmental partnerships. The new opportunities are considered in the context of recovery </w:t>
      </w:r>
    </w:p>
    <w:p>
      <w:pPr/>
      <w:r>
        <w:rPr>
          <w:b/>
        </w:rPr>
        <w:t>POSSIBLE 2025:</w:t>
      </w:r>
      <w:r>
        <w:t xml:space="preserve"> Knowledge and entrepreneurship propensity in Central European countries: An analysis in universities — https://doi.org/10.1016/j.jik.2025.100758</w:t>
      </w:r>
    </w:p>
    <w:p>
      <w:pPr/>
      <w:r>
        <w:rPr>
          <w:b/>
        </w:rPr>
        <w:t>Shared claim-specific concepts:</w:t>
      </w:r>
      <w:r>
        <w:t xml:space="preserve"> support, countries; EU scope visible. This is a provisional connection, not an outcome finding.</w:t>
      </w:r>
    </w:p>
    <w:p>
      <w:pPr>
        <w:pStyle w:val="SourceNote"/>
      </w:pPr>
      <w:r>
        <w:rPr>
          <w:b/>
        </w:rPr>
        <w:t>Available abstract (not full text):</w:t>
      </w:r>
      <w:r>
        <w:t xml:space="preserve"> The motives for starting a business among university students represent a current and important topic of scientific research. A key scientific premise of this approach is that significant research has demonstrated the importance of entrepreneurial activities by university-educated entrepreneurs in contributing to economic and social development worldwide. This study aims to identify the key factors that determine the propensity of university students to engage in entrepreneurship in selected Central European countries and to present a comprehensive model. The empirical research, focused on investigating university students’ attitudes towards entrepreneurial opportunities, was conducted in the V4 countries (Slovakia, Hungary, Poland, and the Czech Republic) between March and June 2024. The research included 2310 respondents, defined as students currently studying at higher education institutions providing economic-social, university, or college education. Data collection was conducted using Google Forms. Structural equation modelling (SEM) was used to evaluate the statistical hypotheses. The strongest influence on university students’ propensity to engage in entrepreneurship was demonstrated by government support for entrepreneurship. The second most significant factor was the quality of the macroeconomic environment, followed by access to external financing. The final statistic</w:t>
      </w:r>
    </w:p>
    <w:p>
      <w:pPr/>
      <w:r>
        <w:rPr>
          <w:b/>
        </w:rPr>
        <w:t>POSSIBLE 2025:</w:t>
      </w:r>
      <w:r>
        <w:t xml:space="preserve"> Medical ‘othering’: qualitative evidence synthesis of health services experiences among women affected by female genital mutilation/cutting in Europe — https://doi.org/10.1101/2025.08.13.25333558</w:t>
      </w:r>
    </w:p>
    <w:p>
      <w:pPr/>
      <w:r>
        <w:rPr>
          <w:b/>
        </w:rPr>
        <w:t>Shared claim-specific concepts:</w:t>
      </w:r>
      <w:r>
        <w:t xml:space="preserve"> support, countries, affected; EU scope visible. This is a provisional connection, not an outcome finding.</w:t>
      </w:r>
    </w:p>
    <w:p>
      <w:pPr>
        <w:pStyle w:val="SourceNote"/>
      </w:pPr>
      <w:r>
        <w:rPr>
          <w:b/>
        </w:rPr>
        <w:t>Available abstract (not full text):</w:t>
      </w:r>
      <w:r>
        <w:t xml:space="preserve"> ABSTRACT Migration from countries with high female genital mutilation/cutting (FGM/C) prevalence to Europe has increased attention to health services needs and support for affected women. We explored literature on this foregrounding affected women’s voices, including 37 sources of 11,662 identified. Our findings are synthesised in three themes: medical ‘othering,’ challenged communication, and migration implications. Migrant women affected by FGM/C often struggled navigating health systems that were inflexible to their needs, with health providers often highlighting cultural differences instead of focusing on their health needs in potentially traumatic ways. Women also described feeling torn between conflicting FGM/C cultural norms, their health, and care practices in Europe.</w:t>
      </w:r>
    </w:p>
    <w:p>
      <w:pPr/>
      <w:r>
        <w:rPr>
          <w:b/>
        </w:rPr>
        <w:t>POSSIBLE 2024:</w:t>
      </w:r>
      <w:r>
        <w:t xml:space="preserve"> China-Central and Eastern European Countries Cooperation: Challenges and Restart — https://doi.org/10.18485/iipe_dijalozi_kina.2024.4.2.ch20</w:t>
      </w:r>
    </w:p>
    <w:p>
      <w:pPr/>
      <w:r>
        <w:rPr>
          <w:b/>
        </w:rPr>
        <w:t>Shared claim-specific concepts:</w:t>
      </w:r>
      <w:r>
        <w:t xml:space="preserve"> cooperation, countries, must, over; EU scope visible. This is a provisional connection, not an outcome finding.</w:t>
      </w:r>
    </w:p>
    <w:p>
      <w:pPr>
        <w:pStyle w:val="SourceNote"/>
      </w:pPr>
      <w:r>
        <w:rPr>
          <w:b/>
        </w:rPr>
        <w:t>Available abstract (not full text):</w:t>
      </w:r>
      <w:r>
        <w:t xml:space="preserve">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pPr/>
      <w:r>
        <w:rPr>
          <w:b/>
        </w:rPr>
        <w:t>POSSIBLE 2024:</w:t>
      </w:r>
      <w:r>
        <w:t xml:space="preserve"> Reflections on Economic Governance in the Central European Countries — https://doi.org/10.54237/profnet.2024.znecogov_37</w:t>
      </w:r>
    </w:p>
    <w:p>
      <w:pPr/>
      <w:r>
        <w:rPr>
          <w:b/>
        </w:rPr>
        <w:t>Shared claim-specific concepts:</w:t>
      </w:r>
      <w:r>
        <w:t xml:space="preserve"> need, countries, must, mechanisms; EU scope visible. This is a provisional connection, not an outcome finding.</w:t>
      </w:r>
    </w:p>
    <w:p>
      <w:pPr>
        <w:pStyle w:val="SourceNote"/>
      </w:pPr>
      <w:r>
        <w:rPr>
          <w:b/>
        </w:rPr>
        <w:t>Available abstract (not full text):</w:t>
      </w:r>
      <w:r>
        <w:t xml:space="preserve"> The integration of the European Union is constantly evolving and changing.The economic integration process is becoming increasingly extensive.However, linking national economies to a single system through economic integration involves economic and regulatory problems.1 Coordinating fiscal and monetary policies raises many problems for national, macroeconomic, and European Union (EU) economic policies.These conflicts are reflected in the regulatory level.As economic and social processes change, the integration processes are also in flux.The strengthening or weakening of national sovereignty influences both the deepening and weakening of conflict.However, integration processes must achieve the objective that the primary goal of integration is to ensure security, efficiency, and prosperity for the societies involved.2 The European Council defines what economic governance means.Economic governance is a system of institutions and procedures established to coordinate economic policies and achieve the objectives of the European Union.Therefore, for the EU to maintain a balanced economic situation, Member States' economies must also be free from imbalances.The fundamental aim is to ensure the regulatory framework is conducive to economic growth and low unemployment.This requires ensuring sustainable public finance management and economic growth.The regulatory framework that ensures thi</w:t>
      </w:r>
    </w:p>
    <w:p>
      <w:pPr/>
      <w:r>
        <w:rPr>
          <w:b/>
        </w:rPr>
        <w:t>POSSIBLE 2024:</w:t>
      </w:r>
      <w:r>
        <w:t xml:space="preserve"> Understanding Cooperation in an Intertemporal Context — https://doi.org/10.1287/mnsc.2020.03757</w:t>
      </w:r>
    </w:p>
    <w:p>
      <w:pPr/>
      <w:r>
        <w:rPr>
          <w:b/>
        </w:rPr>
        <w:t>Shared claim-specific concepts:</w:t>
      </w:r>
      <w:r>
        <w:t xml:space="preserve"> cooperation, support, strategy, mechanisms; EU scope visible. This is a provisional connection, not an outcome finding.</w:t>
      </w:r>
    </w:p>
    <w:p>
      <w:pPr>
        <w:pStyle w:val="SourceNote"/>
      </w:pPr>
      <w:r>
        <w:rPr>
          <w:b/>
        </w:rPr>
        <w:t>Available abstract (not full text):</w:t>
      </w:r>
      <w:r>
        <w:t xml:space="preserve"> Cooperation between individuals, a critical component of organizational and societal success, typically involves costs and benefits that accrue at different points in time. Using a series of controlled experiments, this paper provides a comprehensive analysis of the determinants of cooperation in an intertemporal context. Our findings demonstrate that cooperation is significantly reduced when the benefits of cooperation are shifted into the future, whereas delaying costs leads to an increase in cooperation. Our analysis of the underlying behavioral mechanisms reveals that the change in the level of cooperation can be explained by three factors: (i) a shift in the beliefs about others’ efforts, (ii) a shift in the willingness to conditionally cooperate, and (iii) an individual’s degree of impatience. We further find that injunctive norms of cooperation are unaffected by the timing of consequences, indicating that changes in behavior are due to a change in norm compliance rather than the norm itself. Implications for management practices are discussed. This paper was accepted by Yan Chen, behavioral economics and decision analysis. Funding: Financial support from the Center for Social and Economic Behavior at the University of Cologne and the Deutsche Forschungsgemeinschaft (German Research Foundation) under Germany’s Excellence Strategy [Grant EXC 2126/1- 390838866] is gratefull</w:t>
      </w:r>
    </w:p>
    <w:p>
      <w:pPr/>
      <w:r>
        <w:rPr>
          <w:b/>
        </w:rPr>
        <w:t>POSSIBLE 2024:</w:t>
      </w:r>
      <w:r>
        <w:t xml:space="preserve"> Migration as an economic component of the European countries' development — https://doi.org/10.3934/nar.2024023</w:t>
      </w:r>
    </w:p>
    <w:p>
      <w:pPr/>
      <w:r>
        <w:rPr>
          <w:b/>
        </w:rPr>
        <w:t>Shared claim-specific concepts:</w:t>
      </w:r>
      <w:r>
        <w:t xml:space="preserve"> support, countries, migrants; EU scope visible. This is a provisional connection, not an outcome finding.</w:t>
      </w:r>
    </w:p>
    <w:p>
      <w:pPr>
        <w:pStyle w:val="SourceNote"/>
      </w:pPr>
      <w:r>
        <w:rPr>
          <w:b/>
        </w:rPr>
        <w:t>Available abstract (not full text):</w:t>
      </w:r>
      <w:r>
        <w:t xml:space="preserve"> Most European countries view migrants as individuals who can increase the country's economic stability in the long run. Our purpose of the article was to determine the impact of Ukrainian migration on the development of the economic component of European countries. We began by analysing migration trends by country, identifying the sharp increase in migrants to Europe and the transport routes for crossing the border, and the European countries' financial challenges due to migrants, which indicated an uneven distribution of migrants in European countries. The methodology of the empirical research was based on theoretical analysis of scientific literature on migration issues; methods: Analysis and synthesis; systemic; comparative; historical; Pareto principle; and expert assessments of numerous statistical reports of international data. The results pointed to the largest migration of the Ukrainian population in history caused by the war in Europe. Various EU support programs for Ukrainian migrants contributed to increasing the labour force, population growth in Europe, and the economic well-being of the European countries' populations. As a result, 2 hypotheses were tested, which revealed: 1Н: European countries' economy is developing due to the migration of the Ukrainian population to Europe; 2Н: Ukrainian refugees have been integrating successfully since the beginning of the war</w:t>
      </w:r>
    </w:p>
    <w:p>
      <w:pPr/>
      <w:r>
        <w:rPr>
          <w:b/>
        </w:rPr>
        <w:t>POSSIBLE 2024:</w:t>
      </w:r>
      <w:r>
        <w:t xml:space="preserve"> Integration of Social Innovation Ecosystems in Four European Countries — https://doi.org/10.31235/osf.io/j4qb3</w:t>
      </w:r>
    </w:p>
    <w:p>
      <w:pPr/>
      <w:r>
        <w:rPr>
          <w:b/>
        </w:rPr>
        <w:t>Shared claim-specific concepts:</w:t>
      </w:r>
      <w:r>
        <w:t xml:space="preserve"> countries, creating, develop; EU scope visible. This is a provisional connection, not an outcome finding.</w:t>
      </w:r>
    </w:p>
    <w:p>
      <w:pPr>
        <w:pStyle w:val="SourceNote"/>
      </w:pPr>
      <w:r>
        <w:rPr>
          <w:b/>
        </w:rPr>
        <w:t>Available abstract (not full text):</w:t>
      </w:r>
      <w:r>
        <w:t xml:space="preserve"> This paper examines the integration of social innovation in Europe, facilitated by the EU-funded CHESS Project, which aims to construct ecosystems capable of addressing complex societal challenges. It delves into both the theoretical and practical aspects of social innovation ecosystems, using a comprehensive framework that encompasses norms, structures, roles, and functions to decode the dynamics within these systems. The study includes participatory action research and the testing and refinement of innovation tools designed to bolster collaboration among a diverse array of stakeholders in Slovenia, Italy, Lithuania, and Greece. This research outlines the process of tool selection, application, and evaluation through multiple phases of experimentation and reflection with the aim of creating a sustainable ecosystem that connects social actors and fosters lasting social change across Europe. The overarching goal is to develop robust social innovation ecosystems that not only interlinks diverse social actors but also sustains significant and lasting socialtransformation.</w:t>
      </w:r>
    </w:p>
    <w:p>
      <w:pPr/>
      <w:r>
        <w:rPr>
          <w:b/>
        </w:rPr>
        <w:t>POSSIBLE 2024:</w:t>
      </w:r>
      <w:r>
        <w:t xml:space="preserve"> On International Cooperation — https://doi.org/10.3386/w33161</w:t>
      </w:r>
    </w:p>
    <w:p>
      <w:pPr/>
      <w:r>
        <w:rPr>
          <w:b/>
        </w:rPr>
        <w:t>Shared claim-specific concepts:</w:t>
      </w:r>
      <w:r>
        <w:t xml:space="preserve"> cooperation, countries, over; EU scope not established. This is a provisional connection, not an outcome finding.</w:t>
      </w:r>
    </w:p>
    <w:p>
      <w:pPr>
        <w:pStyle w:val="SourceNote"/>
      </w:pPr>
      <w:r>
        <w:rPr>
          <w:b/>
        </w:rPr>
        <w:t>Available abstract (not full text):</w:t>
      </w:r>
      <w:r>
        <w:t xml:space="preserve"> A simple dynamic game is used for analyzing international environmental problems and climate agreements.Different countries are, over time, emitting as well as investing in green technology.In this framework, we can analyze the business-as-usual outcome, short vs. long term agreements, self-enforcing agreements, participation, compliance, alternative designs, and the development from the Kyoto Protocol to the Paris Agreement.The text should be accessible to students at any level.</w:t>
      </w:r>
    </w:p>
    <w:p>
      <w:pPr>
        <w:pStyle w:val="Heading2"/>
      </w:pPr>
      <w:r>
        <w:t>827. THREE INVESTMENT SCENARIOS FOR  FUTURE NUCLEAR REACTORS IN EUROPE</w:t>
      </w:r>
    </w:p>
    <w:p>
      <w:pPr>
        <w:pStyle w:val="SourceNote"/>
      </w:pPr>
      <w:r>
        <w:rPr>
          <w:b/>
        </w:rPr>
        <w:t>Original source (2017):</w:t>
      </w:r>
      <w:r>
        <w:t xml:space="preserve"> https://doi.org/10.15173/esr.v23i1.3312</w:t>
      </w:r>
    </w:p>
    <w:p>
      <w:pPr/>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POSSIBLE 2026:</w:t>
      </w:r>
      <w:r>
        <w:t xml:space="preserve"> Assessment of beryllium use in nuclear power generation — https://doi.org/10.1038/s43246-026-01295-7</w:t>
      </w:r>
    </w:p>
    <w:p>
      <w:pPr/>
      <w:r>
        <w:rPr>
          <w:b/>
        </w:rPr>
        <w:t>Shared claim-specific concepts:</w:t>
      </w:r>
      <w:r>
        <w:t xml:space="preserve"> nuclear, power, generation, reactors; EU scope not established. This is a provisional connection, not an outcome finding.</w:t>
      </w:r>
    </w:p>
    <w:p>
      <w:pPr>
        <w:pStyle w:val="SourceNote"/>
      </w:pPr>
      <w:r>
        <w:rPr>
          <w:b/>
        </w:rPr>
        <w:t>Available abstract (not full text):</w:t>
      </w:r>
      <w:r>
        <w:t xml:space="preserve"> Abstract Beryllium has extraordinary physical, mechanical, and nuclear properties that make it an ideal material for improving nuclear reactor physics, particularly for compact and high-performance reactors such as fission microreactors and fusion reactors. However, beryllium and its useful oxide have been excluded from commercial power reactors because they are expensive. This review discusses why beryllium is disproportionately more expensive than other metals and presents current opportunities to reduce costs for implementation in advanced nuclear reactors. The cost is primarily caused by the health hazards of beryllium which require extensive infrastructure and procedures to keep personnel safe throughout the entire supply chain and lifecycle. The hazards of beryllium have been discussed elsewhere and are only summarized before discussing practical hazard mitigation strategies. Detection of beryllium contamination is identified as a major challenge that inflates costs of research and industry. Additional costs arise from the supply chain, fabrication, and a relatively small market share for nuclear applications. Available beryllium material forms and manufacturing methods are discussed to assess their potential value to reactor designers along with corrosion and irradiation constraints. Aluminum-beryllium composites and additive manufacturing of beryllium are identified as </w:t>
      </w:r>
    </w:p>
    <w:p>
      <w:pPr/>
      <w:r>
        <w:rPr>
          <w:b/>
        </w:rPr>
        <w:t>POSSIBLE 2026:</w:t>
      </w:r>
      <w:r>
        <w:t xml:space="preserve"> Nuclear Technology Transition Towards SMR and Generation-IV — https://doi.org/10.1007/978-3-032-15512-2_15</w:t>
      </w:r>
    </w:p>
    <w:p>
      <w:pPr/>
      <w:r>
        <w:rPr>
          <w:b/>
        </w:rPr>
        <w:t>Shared claim-specific concepts:</w:t>
      </w:r>
      <w:r>
        <w:t xml:space="preserve"> nuclear, power, reactors, climate; EU scope visible. This is a provisional connection, not an outcome finding.</w:t>
      </w:r>
    </w:p>
    <w:p>
      <w:pPr>
        <w:pStyle w:val="SourceNote"/>
      </w:pPr>
      <w:r>
        <w:rPr>
          <w:b/>
        </w:rPr>
        <w:t>Available abstract (not full text):</w:t>
      </w:r>
      <w:r>
        <w:t xml:space="preserve"> Concern about climate warming is a strong driving force for reduced fossil fuel consumption. European leaders want to reduce greenhouse gas releases to nearly zero by 2050 and extend the electrification of final energy use as much as possible. Nuclear energy should be a primary choice in this perspective. Unfortunately, hostility towards nuclear energy persists despite past successful achievements. The arguments of deniers are based on economic viability, risks of accidents and long-lived nuclear wastes. None of these arguments—partially justified for today’s light-water technology—is a showstopper in the long term. Technologies have something in common with the living world: they are in constant evolution. The process is slow, taking almost a century to produce disruptive changes. Starting in 1950, nuclear technology should be very different in 2050 as a result of current R&amp;D. Factory-made modules with reduced power sizes known as SMR ( Small Modular Reactors ), will address some of the economic and safety concerns. Emergent technologies dubbed Generation-IV will considerably enlarge the applications towards water desalination, high temperature heat and naval propulsion. Adoption of different reactor coolant fluids (helium gas, liquid heavy metals or molten salts) instead of water should reduce the safety concerns. Combining specific choices of reactor fuels with adequate neut</w:t>
      </w:r>
    </w:p>
    <w:p>
      <w:pPr/>
      <w:r>
        <w:rPr>
          <w:b/>
        </w:rPr>
        <w:t>POSSIBLE 2026:</w:t>
      </w:r>
      <w:r>
        <w:t xml:space="preserve"> Review of Direct Air Capture Systems Powered by Nuclear Energy — https://doi.org/10.3390/en19061528</w:t>
      </w:r>
    </w:p>
    <w:p>
      <w:pPr/>
      <w:r>
        <w:rPr>
          <w:b/>
        </w:rPr>
        <w:t>Shared claim-specific concepts:</w:t>
      </w:r>
      <w:r>
        <w:t xml:space="preserve"> nuclear, power, technological, electricity, analyzes; EU scope not established. This is a provisional connection, not an outcome finding.</w:t>
      </w:r>
    </w:p>
    <w:p>
      <w:pPr>
        <w:pStyle w:val="SourceNote"/>
      </w:pPr>
      <w:r>
        <w:rPr>
          <w:b/>
        </w:rPr>
        <w:t>Available abstract (not full text):</w:t>
      </w:r>
      <w:r>
        <w:t xml:space="preserve"> Direct air capture (DAC) is a carbon removal technology that selectively extracts CO2 from ambient air, where it exists at trace concentrations of approximately 400 ppm (0.04%), using chemical or physical separation processes. As the only CO2 capture approach capable of delivering negative net emissions, DAC has emerged as a critical CO2 removal (CDR) strategy for achieving global net-zero targets. However, its operation requires substantial electrical energy to drive large air flows and significant thermal energy for sorbent regeneration, which remains a major barrier to large-scale deployment. Coupling DAC with nuclear power has been proposed as a promising approach because nuclear systems can provide stable, carbon-free electricity and heat. This review summarizes recent studies on the integration of DAC with nuclear power plants and analyzes the current technological maturity of nuclear–DAC systems. In particular, the paper compares different DAC configurations, evaluates their energy requirements and integration strategies with nuclear heat and power sources, and identifies key technical and economic challenges for future deployment.</w:t>
      </w:r>
    </w:p>
    <w:p>
      <w:pPr/>
      <w:r>
        <w:rPr>
          <w:b/>
        </w:rPr>
        <w:t>POSSIBLE 2026:</w:t>
      </w:r>
      <w:r>
        <w:t xml:space="preserve"> Geopolitics and uncertainty for power generation in the context of the energy transition — https://openalex.org/W7157515688</w:t>
      </w:r>
    </w:p>
    <w:p>
      <w:pPr/>
      <w:r>
        <w:rPr>
          <w:b/>
        </w:rPr>
        <w:t>Shared claim-specific concepts:</w:t>
      </w:r>
      <w:r>
        <w:t xml:space="preserve"> nuclear, power, generation, events; EU scope visible. This is a provisional connection, not an outcome finding.</w:t>
      </w:r>
    </w:p>
    <w:p>
      <w:pPr>
        <w:pStyle w:val="SourceNote"/>
      </w:pPr>
      <w:r>
        <w:rPr>
          <w:b/>
        </w:rPr>
        <w:t>Available abstract (not full text):</w:t>
      </w:r>
      <w:r>
        <w:t xml:space="preserve"> The ongoing energy transition, driven in the first place by EU regulatory requirements, has been characterized by further degrees of complexity due to the forced disruption of traditional Russian- European natural gas supply relationships. Unprecedented scenarios unveil from a geopolitical standpoint. In this evolving landscape, natural gas, long considered a key element in the transition to less carbonintensive energy generation, faces new challenges with the increasing role of LNG at the expenses of piped gas. Albeit current economic slowdown appears favorable for achieving decarbonization goals - with gas quotations showing reduced volatility compared to the initial phases of the Ukraine conflict - prices remain above pre-war levels. An economic rebound could ignite natural gas demand thus heightening the commodity’s vulnerability to disruptive events, exacerbated by growing LNG dependence. But commodity markets are undergoing a further fundamental transformation, with critical metals gaining prominence in the global economy. This shift, particularly evident in the EU’s push toward decarbonization targets, suggests a transition from a "well to mine" economic paradigm. The emergence of new energy solutions and storage technologies has intensified the demand for these critical materials, while simultaneously raising concerns about supply chain stability and geopolitical risks.</w:t>
      </w:r>
    </w:p>
    <w:p>
      <w:pPr/>
      <w:r>
        <w:rPr>
          <w:b/>
        </w:rPr>
        <w:t>POSSIBLE 2026:</w:t>
      </w:r>
      <w:r>
        <w:t xml:space="preserve"> A Comprehensive Comparative Analysis of Wind, Solar Photovoltaic, Fossil Fuel, and Nuclear Power Generation: Techno-Economic Metrics, Environmental Footprints, and Biodiversity Impacts — https://doi.org/10.64943/esjti2026.020105</w:t>
      </w:r>
    </w:p>
    <w:p>
      <w:pPr/>
      <w:r>
        <w:rPr>
          <w:b/>
        </w:rPr>
        <w:t>Shared claim-specific concepts:</w:t>
      </w:r>
      <w:r>
        <w:t xml:space="preserve"> nuclear, power, generation, electricity, conditions; EU scope not established. This is a provisional connection, not an outcome finding.</w:t>
      </w:r>
    </w:p>
    <w:p>
      <w:pPr>
        <w:pStyle w:val="SourceNote"/>
      </w:pPr>
      <w:r>
        <w:rPr>
          <w:b/>
        </w:rPr>
        <w:t>Available abstract (not full text):</w:t>
      </w:r>
      <w:r>
        <w:t xml:space="preserve"> This paper presents a comparative analysis of four major electrical power generation technologies; wind energy, solar photovoltaics (PV), fossil fuels (coal and natural gas) and nuclear power through an integrative comparative analysis. This paper examines energy densities, Levelized Cost of Electricity (LCOE), capacity factor, carbon intensity, as well as direct effects on ecosystems and living organisms using a systematic life-cycle assessment (LCA) and techno-economic review framework. Although fossil fuels still have high capacity factors, their externalities on the environment namely the issue of greenhouse gases and ambient air pollution are existential threats. On the other hand, wind and solar PV provide clean operation, but have a spatial footprint requirement and intermittency. Nuclear energy provides high-density, low-carbon baseload electricity but has very stringent economic, regulatory and waste management conditions. It is in these dimensions that this paper will synthesize to provide probable energy transition pathways</w:t>
      </w:r>
    </w:p>
    <w:p>
      <w:pPr/>
      <w:r>
        <w:rPr>
          <w:b/>
        </w:rPr>
        <w:t>POSSIBLE 2026:</w:t>
      </w:r>
      <w:r>
        <w:t xml:space="preserve"> Powering the future through multiscale modelling of nuclear reactor materials — https://doi.org/10.66233/innp-027-30256</w:t>
      </w:r>
    </w:p>
    <w:p>
      <w:pPr/>
      <w:r>
        <w:rPr>
          <w:b/>
        </w:rPr>
        <w:t>Shared claim-specific concepts:</w:t>
      </w:r>
      <w:r>
        <w:t xml:space="preserve"> nuclear, power, reactors, decades, electricity; EU scope visible. This is a provisional connection, not an outcome finding.</w:t>
      </w:r>
    </w:p>
    <w:p>
      <w:pPr>
        <w:pStyle w:val="SourceNote"/>
      </w:pPr>
      <w:r>
        <w:rPr>
          <w:b/>
        </w:rPr>
        <w:t>Available abstract (not full text):</w:t>
      </w:r>
      <w:r>
        <w:t xml:space="preserve"> Powering the future through multiscale modelling of nuclear reactor materials As demand for nuclear energy surges, computational materials design offers a faster, safer path towards developing new reactors. The world is experiencing a dramatic resurgence of interest in nuclear energy. Driven by surging electricity demand from data centres, artificial intelligence (AI) infrastructure, and the broader digitalisation of society, governments and energy companies across North America, Europe, and Asia are committing to new reactor construction at a pace not seen in decades. Small modular reactors, high-temperature gas-cooled reactors, molten salt reactors, and fast reactors are moving from concept to deployment with remarkable speed, each promising cleaner, more reliable power for a world in urgent need of low-carbon energy. But the path from reactor concept to operating plant runs directly through one of the hardest problems in materials science: developing materials that can survive, and perform reliably, in some of the most extreme environments on Earth. Without advances in how those materials are discovered, tested, and qualified for use, the promise of next-generation nuclear power risks being delayed by decades.</w:t>
      </w:r>
    </w:p>
    <w:p>
      <w:pPr/>
      <w:r>
        <w:rPr>
          <w:b/>
        </w:rPr>
        <w:t>POSSIBLE 2026:</w:t>
      </w:r>
      <w:r>
        <w:t xml:space="preserve"> Flexible operation of nuclear power plants: international experience and perspectives for India — https://doi.org/10.18520/cs/v131/i2/121-129</w:t>
      </w:r>
    </w:p>
    <w:p>
      <w:pPr/>
      <w:r>
        <w:rPr>
          <w:b/>
        </w:rPr>
        <w:t>Shared claim-specific concepts:</w:t>
      </w:r>
      <w:r>
        <w:t xml:space="preserve"> nuclear, power, experience, reactors, article; EU scope not established. This is a provisional connection, not an outcome finding.</w:t>
      </w:r>
    </w:p>
    <w:p>
      <w:pPr>
        <w:pStyle w:val="SourceNote"/>
      </w:pPr>
      <w:r>
        <w:rPr>
          <w:b/>
        </w:rPr>
        <w:t>Available abstract (not full text):</w:t>
      </w:r>
      <w:r>
        <w:t xml:space="preserve"> While India is taking ambitious steps in nuclear power deployment, rising variable renewable penetration prompts discussions on characteristics of nuclear power reactors related to operational flexibility.The present article reviews international experience of flexible operation across reactor technologies, emphasising those relevant to India.The review shows that feasible flexibility is fundamentally technology-specific and remains limited for the pressurised heavy water reactors and fast reactors underpinning India's indigenous nuclear programme.Long-term energy modelling hints that planned baseload deployment does not hamper renewable integration, suggesting that policymakers prioritise rapid nuclear capacity expansion while periodically assessing future flexibility requirements to guide reactor development and deployment.</w:t>
      </w:r>
    </w:p>
    <w:p>
      <w:pPr/>
      <w:r>
        <w:rPr>
          <w:b/>
        </w:rPr>
        <w:t>POSSIBLE 2026:</w:t>
      </w:r>
      <w:r>
        <w:t xml:space="preserve"> Does policy matter : A study on the Swedish energy policy with a focus on nuclear power — https://openalex.org/W7134996966</w:t>
      </w:r>
    </w:p>
    <w:p>
      <w:pPr/>
      <w:r>
        <w:rPr>
          <w:b/>
        </w:rPr>
        <w:t>Shared claim-specific concepts:</w:t>
      </w:r>
      <w:r>
        <w:t xml:space="preserve"> nuclear, power, reactors, within, events, question; EU scope visible. This is a provisional connection, not an outcome finding.</w:t>
      </w:r>
    </w:p>
    <w:p>
      <w:pPr>
        <w:pStyle w:val="SourceNote"/>
      </w:pPr>
      <w:r>
        <w:rPr>
          <w:b/>
        </w:rPr>
        <w:t>Available abstract (not full text):</w:t>
      </w:r>
      <w:r>
        <w:t xml:space="preserve"> This master’s thesis examines the relationship between Swedish energy policy and its impact on the energy market, with a particular focus on the nuclear power sector. The central research question addressed is: "To what extent do political decisions influence the energy sector?" Through an in-depth analysis of historical data, policy frameworks, and market dynamics, the study investigates how political decisions shape the operational outcomes, (e.g. Real-life decision, running operations and investments) particularly concerning nuclear power in Sweden. The research is framed by a statement made by Sweden’s former Minister for Climate and Environment in 2022, which claimed that the decision to close reactors at the Ringhals nuclear power plant was driven solely by market forces rather than governmental policy changes. This assertion serves as a focal point for exploring the interplay between political decisions and market mechanisms (e.g. How the market behaves upon political decisions) in shaping energy outcomes. The thesis also delves into historical events related to nuclear power on a global scale and their influence on global public opinion and safety considerations within the nuclear industry and in particular how these opinions have been considered from a Swedish perspective. A comparative analysis with France is undertaken, as both Sweden and France embarked on ambitious</w:t>
      </w:r>
    </w:p>
    <w:p>
      <w:pPr/>
      <w:r>
        <w:rPr>
          <w:b/>
        </w:rPr>
        <w:t>POSSIBLE 2026:</w:t>
      </w:r>
      <w:r>
        <w:t xml:space="preserve"> India’s Nuclear Status: Policy, Power and Projection in 1974 — https://openalex.org/W7218061616</w:t>
      </w:r>
    </w:p>
    <w:p>
      <w:pPr/>
      <w:r>
        <w:rPr>
          <w:b/>
        </w:rPr>
        <w:t>Shared claim-specific concepts:</w:t>
      </w:r>
      <w:r>
        <w:t xml:space="preserve"> nuclear, power, drivers, conditions; EU scope not established. This is a provisional connection, not an outcome finding.</w:t>
      </w:r>
    </w:p>
    <w:p>
      <w:pPr>
        <w:pStyle w:val="SourceNote"/>
      </w:pPr>
      <w:r>
        <w:rPr>
          <w:b/>
        </w:rPr>
        <w:t>Available abstract (not full text):</w:t>
      </w:r>
      <w:r>
        <w:t xml:space="preserve"> India’s nuclear programme can trace its origin to March 1944 and its three-stage efforts in technology were established by Homi Jehangir Bhabha when he founded the nuclear research centre, the Tata Institute of Fundamental Research. After independence, the most distinguished feature of Indian nuclear policy has been determination to be selfreliant and retain a wide measure of autonomy in nuclear matters and the main drivers of India’s nuclear posture are its geopolitical competition with China, and its simmering rivalry with Pakistan which has influenced India’s international security conditions and gradually encouraged the development of nuclear programme. India’s nuclear weapons are deeply rooted in the 1962 humiliation, which was followed two years later by its first nuclear test in 1964. It necessitated the development of India’s nuclear programme to deter another attack by China and finally the former began a designed work in 1965 which culminated in publicly demonstrating India’s nuclear capability through the peaceful nuclear explosion of 1974. The paper analyses systematically the development of India’s nuclear policy, power and expression in its nuclear test.</w:t>
      </w:r>
    </w:p>
    <w:p>
      <w:pPr/>
      <w:r>
        <w:rPr>
          <w:b/>
        </w:rPr>
        <w:t>POSSIBLE 2026:</w:t>
      </w:r>
      <w:r>
        <w:t xml:space="preserve"> Structural Dependence and Attitudinal Divergence: A Comparative Analysis of Nuclear Power Acceptance between Highly- and Lowly-Nuclear-Power-Dependent Countries in Europe — https://doi.org/10.31637/epsir-2026-2972</w:t>
      </w:r>
    </w:p>
    <w:p>
      <w:pPr/>
      <w:r>
        <w:rPr>
          <w:b/>
        </w:rPr>
        <w:t>Shared claim-specific concepts:</w:t>
      </w:r>
      <w:r>
        <w:t xml:space="preserve"> nuclear, power, electricity; EU scope visible. This is a provisional connection, not an outcome finding.</w:t>
      </w:r>
    </w:p>
    <w:p>
      <w:pPr>
        <w:pStyle w:val="SourceNote"/>
      </w:pPr>
      <w:r>
        <w:rPr>
          <w:b/>
        </w:rPr>
        <w:t>Available abstract (not full text):</w:t>
      </w:r>
      <w:r>
        <w:t xml:space="preserve"> Introduction: Nuclear energy remains one of the most contested energy sources globally, and public acceptance is critical for energy policymakers. This study addresses a gap in the literature by comparing public acceptance between Highly-Nuclear-Power-Dependent Countries (HNPDCs) and Lowly-Nuclear-Power-Dependent Countries (LNPDCs) in Europe. Methodology: Using Eurobarometer 72.2 data (2009, N = 26,663; 27 EU member states), we conducted OLS regression analyses for each group, supplemented by country-level macro-indicator comparisons. HNPDCs are defined as countries where nuclear power exceeds 30% of total electricity production. Results: Perceived benefit and trust are the strongest positive predictors of nuclear acceptance; perceived risk exerts the strongest negative effect in both groups. In HNPDCs, proximity to a nuclear facility and self-assessed information level significantly predict acceptance; in LNPDCs, educational attainment plays a more prominent role. Discussion: Nuclear dependency shapes distinct cognitive pathways for attitude formation. HNPDCs exhibit higher acceptance, higher perceived risk and benefit, and stronger trust, yet also greater organized environmental opposition. Conclusions: Nuclear dependency shapes both the level and determinant structure of public attitudes, with important implications for context-sensitive energy communication strategies.</w:t>
      </w:r>
    </w:p>
    <w:p>
      <w:pPr/>
      <w:r>
        <w:rPr>
          <w:b/>
        </w:rPr>
        <w:t>POSSIBLE 2026:</w:t>
      </w:r>
      <w:r>
        <w:t xml:space="preserve"> Power Trip: The Big Tech Push for Nuclear-Powered Data Centers — https://doi.org/10.5325/jinfopoli.16.2026.0012</w:t>
      </w:r>
    </w:p>
    <w:p>
      <w:pPr/>
      <w:r>
        <w:rPr>
          <w:b/>
        </w:rPr>
        <w:t>Shared claim-specific concepts:</w:t>
      </w:r>
      <w:r>
        <w:t xml:space="preserve"> nuclear, power, electricity, article; EU scope not established. This is a provisional connection, not an outcome finding.</w:t>
      </w:r>
    </w:p>
    <w:p>
      <w:pPr>
        <w:pStyle w:val="SourceNote"/>
      </w:pPr>
      <w:r>
        <w:rPr>
          <w:b/>
        </w:rPr>
        <w:t>Available abstract (not full text):</w:t>
      </w:r>
      <w:r>
        <w:t xml:space="preserve"> Abstract In the 2020s, the big tech industry requires skyrocketing amounts of electricity to fuel data centers that support power-hungry new technologies like artificial intelligence (AI) and cryptocurrency. The American power grid is unlikely to fulfill near-future big tech energy demands, so industry has turned to lobbying efforts to boost nuclear energy and expedite the associated regulatory and permitting processes. This article argues that a rapid revival and expansion of nuclear power is unlikely in the near future for political, economic, and structural reasons.</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power, reactors, within;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pStyle w:val="Heading2"/>
      </w:pPr>
      <w:r>
        <w:t>828. The European Union and Africa towards 2030: perspectives from transnational civil society organisations</w:t>
      </w:r>
    </w:p>
    <w:p>
      <w:pPr>
        <w:pStyle w:val="SourceNote"/>
      </w:pPr>
      <w:r>
        <w:rPr>
          <w:b/>
        </w:rPr>
        <w:t>Original source (2017):</w:t>
      </w:r>
      <w:r>
        <w:t xml:space="preserve"> https://doi.org/10.4000/151gv</w:t>
      </w:r>
    </w:p>
    <w:p>
      <w:pPr/>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POSSIBLE 2026:</w:t>
      </w:r>
      <w:r>
        <w:t xml:space="preserve"> In Search of a Global Approach to Air Pollution: Some Legal Reflections on the Role of the SDGs — https://doi.org/10.1177/18785395261435146</w:t>
      </w:r>
    </w:p>
    <w:p>
      <w:pPr/>
      <w:r>
        <w:rPr>
          <w:b/>
        </w:rPr>
        <w:t>Shared claim-specific concepts:</w:t>
      </w:r>
      <w:r>
        <w:t xml:space="preserve"> legal, framework, actors, contribute, sustainable, poor; EU scope not established. This is a provisional connection, not an outcome finding.</w:t>
      </w:r>
    </w:p>
    <w:p>
      <w:pPr>
        <w:pStyle w:val="SourceNote"/>
      </w:pPr>
      <w:r>
        <w:rPr>
          <w:b/>
        </w:rPr>
        <w:t>Available abstract (not full text):</w:t>
      </w:r>
      <w:r>
        <w:t xml:space="preserve">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pPr/>
      <w:r>
        <w:rPr>
          <w:b/>
        </w:rPr>
        <w:t>POSSIBLE 2026:</w:t>
      </w:r>
      <w:r>
        <w:t xml:space="preserve"> Critical Success Factors and a Modus Operandi Framework for Managing Multi‐Actor Research Partnerships for Sustainable Food Systems — https://doi.org/10.1002/sd.70930</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ABSTRACT This paper investigates critical success factors for managing multi‐actor research partnerships for sustainable food systems along their lifecycle. Such partnerships coordinate both internal activities and manage externally funded projects. Drawing on evidence from case studies and workshops with diverse experts, the study identifies critical success factors for distinguishable development and operational phases, core pillars, and management categories for supported research projects. Guiding principles like adaptability, trust, transparency, consensus, and proactiveness are essential for ensuring inclusiveness and sustainability‐orientation. Additionally, successful partnership management depends on key performance indicators, in critical success factor represented areas, for continuous coordination and management, monitoring and reporting, and coherent communication, dissemination, and exploitation. Based on these unique expert‐driven insights, a novel conceptual Modus Operandi framework is developed, contributing to knowledge on research partnership management. Once validated in different contexts, this framework can support project managers and policymakers in effectively managing and guiding food system research partnerships.</w:t>
      </w:r>
    </w:p>
    <w:p>
      <w:pPr/>
      <w:r>
        <w:rPr>
          <w:b/>
        </w:rPr>
        <w:t>POSSIBLE 2026:</w:t>
      </w:r>
      <w:r>
        <w:t xml:space="preserve"> Navigating the 2030 Agenda: A Holistic Evaluation of Global Progress and Systemic Barriers Across All 17 Sustainable Development Goals — https://doi.org/10.65326/u7y.specsdg10010</w:t>
      </w:r>
    </w:p>
    <w:p>
      <w:pPr/>
      <w:r>
        <w:rPr>
          <w:b/>
        </w:rPr>
        <w:t>Shared claim-specific concepts:</w:t>
      </w:r>
      <w:r>
        <w:t xml:space="preserve"> sets, binding, sustainable; EU scope not established. This is a provisional connection, not an outcome finding.</w:t>
      </w:r>
    </w:p>
    <w:p>
      <w:pPr>
        <w:pStyle w:val="SourceNote"/>
      </w:pPr>
      <w:r>
        <w:rPr>
          <w:b/>
        </w:rPr>
        <w:t>Available abstract (not full text):</w:t>
      </w:r>
      <w:r>
        <w:t xml:space="preserve"> With five years remaining before the 2030 deadline, the United Nations reports that 35% of assessable Sustainable Development Goal targets are on track or advancing moderately and that 18% have regressed below their 2015 baseline. Explanations for the shortfall divide into three diagnoses that are rarely tested against one another: an investment gap now estimated near four trillion dollars a year, a governance architecture that sets goals without binding anyone to them, and a measurement system that cannot see roughly half of what it is meant to track. This policy analysis appraises the progress record against the monitoring infrastructure that produces it, then examines the four constraints that the literature treats as parallel obstacles: commitment design, measurement and visibility, selective national implementation, and financing. The analysis finds the constraints are causally coupled rather than additive. Indicator selection removed the distributional and environmental content of several goals; the goals that lost measurability were subsequently deprioritised in national reviews; weak accountability then permitted the shortfall to be attributed to insufficient finance; and financing responses concentrated on the goals that remained visible. Shocks act on this cycle as an amplifier rather than an independent cause. The paper sets out three feedback loops that sustain the </w:t>
      </w:r>
    </w:p>
    <w:p>
      <w:pPr/>
      <w:r>
        <w:rPr>
          <w:b/>
        </w:rPr>
        <w:t>POSSIBLE 2026:</w:t>
      </w:r>
      <w:r>
        <w:t xml:space="preserve"> Reimagining SDG 17 in Africa Through the Marshall Plan Paradigm: A Conceptual Framework for Equitable and Sustainable Global Partnerships — https://doi.org/10.3390/su18083688</w:t>
      </w:r>
    </w:p>
    <w:p>
      <w:pPr/>
      <w:r>
        <w:rPr>
          <w:b/>
        </w:rPr>
        <w:t>Shared claim-specific concepts:</w:t>
      </w:r>
      <w:r>
        <w:t xml:space="preserve"> framework, actors, sustainable; EU scope not established. This is a provisional connection, not an outcome finding.</w:t>
      </w:r>
    </w:p>
    <w:p>
      <w:pPr>
        <w:pStyle w:val="SourceNote"/>
      </w:pPr>
      <w:r>
        <w:rPr>
          <w:b/>
        </w:rPr>
        <w:t>Available abstract (not full text):</w:t>
      </w:r>
      <w:r>
        <w:t xml:space="preserve"> This study develops a conceptual framework for reimagining Sustainable Development Goal 17 (SDG 17) in Africa through a reinterpretation of the Marshall Plan’s governance logic. The primary focus is to address persistent failures in development partnerships—namely, fragmentation, weak coordination, power asymmetries, and limited institutional capacity—by proposing a structured model of partnership governance. Using a theory-building methodology grounded in historical analysis and documentary evidence, the study applies a systematic adaptation logic in which core governance mechanisms from the Marshall Plan are re-specified to reflect African institutional realities. These mechanisms—coordination, mutual accountability, collective action, state capacity, and trust—are translated into eight operational pillars: co-development, institutional strengthening, structural transformation, regional integration, blended finance, digital public infrastructure, knowledge co-production, and resilience. The framework conceptualizes SDG 17 as a meta-governance system that aligns actors, institutions, and resources across sectors. By moving from historical abstraction to context-sensitive application, the study contributes a coherent, Africa-centered governance model that enhances partnership effectiveness and informs post-2030 development policy.</w:t>
      </w:r>
    </w:p>
    <w:p>
      <w:pPr/>
      <w:r>
        <w:rPr>
          <w:b/>
        </w:rPr>
        <w:t>POSSIBLE 2026:</w:t>
      </w:r>
      <w:r>
        <w:t xml:space="preserve"> From global multistakeholder partnerships to local action: the translation of partnering practices — https://doi.org/10.1007/s10784-026-09724-1</w:t>
      </w:r>
    </w:p>
    <w:p>
      <w:pPr/>
      <w:r>
        <w:rPr>
          <w:b/>
        </w:rPr>
        <w:t>Shared claim-specific concepts:</w:t>
      </w:r>
      <w:r>
        <w:t xml:space="preserve"> sdg17, framework, sustainable; EU scope not established. This is a provisional connection, not an outcome finding.</w:t>
      </w:r>
    </w:p>
    <w:p>
      <w:pPr>
        <w:pStyle w:val="SourceNote"/>
      </w:pPr>
      <w:r>
        <w:rPr>
          <w:b/>
        </w:rPr>
        <w:t>Available abstract (not full text):</w:t>
      </w:r>
      <w:r>
        <w:t xml:space="preserve"> Abstract In this article, we use translation and legitimation as a framework to analyze how the Global Water Partnership (GWP) translates ideas of partnership at the global level into partnering practices at the country level in South and South-East Asia. The United Nation 2030 Agenda promotes multistakeholder partnerships (MSPs) as important means of implementation of the Sustainable Development Goals (SDGs), which gain legitimacy with a dedicated goal, SDG17. Little attention has been paid to how the dynamic between partnering and legitimation practices plays out across governance levels. With a focus on legitimacy, we therefore ask: How is partnership translated into practices across different levels of governance? We use qualitative document analysis, participatory observations, and in-depth interviews to study the partnering practices in GWP at different levels of governance. The analysis shows that while GWP’s translation of partnership on the global level has enabled it to act as a partner in a complex network of global organisations, at the national level partnership translates into loosely connected networks of partner organisations providing bottom-up legitimacy to the network. Partnering practices reveal that the identification as a neutral convener was a common legitimation practice across levels, and that this identity was challenged by changing accountability meas</w:t>
      </w:r>
    </w:p>
    <w:p>
      <w:pPr/>
      <w:r>
        <w:rPr>
          <w:b/>
        </w:rPr>
        <w:t>POSSIBLE 2026:</w:t>
      </w:r>
      <w:r>
        <w:t xml:space="preserve"> Green hydrogen pathways for a net-zero future: technologies, circular economy integration, life-cycle performance and safety dimensions — https://doi.org/10.1039/d5ra09599a</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This review critically evaluates the technological, environmental, and policy dimensions of green hydrogen using an integrated framework grounded in green chemistry, the circular economy, and the sustainable development goals. Rather than treating green hydrogen as a universal energy solution, the review synthesises advances in production, storage, transport, safety, and policy instruments to assess where and under what conditions hydrogen deployment is sustainable. Conventional, biological, electrolytic, photocatalytic, and waste-derived pathways are compared in terms of efficiency, lifecycle emissions, resource intensity, material criticality, and toxicity. Storage and distribution options including compressed and liquefied hydrogen, chemical carriers, and porous materials are assessed for energy density, safety, recyclability, and infrastructure readiness. Life-cycle assessment data are integrated to identify key hotspots in global warming potential, water use, cumulative energy demand, and human toxicity. Policy frameworks, including India's National Green Hydrogen Mission, are examined with emphasis on implementation mechanisms, certification, and industrial integration. The analysis demonstrates that no single pathway satisfies all sustainability criteria, highlighting the need for targeted deployment, system integration, and regional optimisation. Embedding green chemist</w:t>
      </w:r>
    </w:p>
    <w:p>
      <w:pPr/>
      <w:r>
        <w:rPr>
          <w:b/>
        </w:rPr>
        <w:t>POSSIBLE 2026:</w:t>
      </w:r>
      <w:r>
        <w:t xml:space="preserve"> The interaction of public-private partnerships (PPP) and SDG 17 (Partnership for the Goals) in achieving sustainable development — https://doi.org/10.1007/s43545-026-01525-2</w:t>
      </w:r>
    </w:p>
    <w:p>
      <w:pPr/>
      <w:r>
        <w:rPr>
          <w:b/>
        </w:rPr>
        <w:t>Shared claim-specific concepts:</w:t>
      </w:r>
      <w:r>
        <w:t xml:space="preserve"> legal, framework, sustainable, line; EU scope not established. This is a provisional connection, not an outcome finding.</w:t>
      </w:r>
    </w:p>
    <w:p>
      <w:pPr>
        <w:pStyle w:val="SourceNote"/>
      </w:pPr>
      <w:r>
        <w:rPr>
          <w:b/>
        </w:rPr>
        <w:t>Available abstract (not full text):</w:t>
      </w:r>
      <w:r>
        <w:t xml:space="preserve"> Abstract While the United Nations has identified partnerships as key means to achieve the Sustainable Development Goals (SDGs), as illustrated in SDG 17, the contemporary academic discourse on partnerships in line with public-private partnerships (PPPs) indicates that legal, regulatory, and contractual problems threaten the efficacy of PPPs as a tool for achieving sustainable development, yet underexplored. In this regard, we offer a model for mitigating partnership issues to improve their efficacy in achieving the UN SDGs. To achieve this, we draw on our subject matter expertise and contemporary academic discourse on the topic to conceptually illustrate our understanding of current PPP governance issues and potential solutions, thereby better positioning them to meet the UN SDGs. This article is therefore positioned as a conceptual paper informed by an illustrative synthesis of PPP, SDG, governance, legal, regulatory, and contractual scholarship. The contribution is not to provide an exhaustive evidence map of the literature, but to develop the PPP Governance Triad (PGT) as an organising framework for linking contractual design, applicable law, regulatory oversight, and power relations to SDG-aligned partnership outcomes. We set a research agenda on the governance of PPPs to encourage research on SDG 17 in accounting, governance and management journals, where there has been a </w:t>
      </w:r>
    </w:p>
    <w:p>
      <w:pPr/>
      <w:r>
        <w:rPr>
          <w:b/>
        </w:rPr>
        <w:t>POSSIBLE 2026:</w:t>
      </w:r>
      <w:r>
        <w:t xml:space="preserve"> Emerging Technologies and International Law: DAO and AI Research in the Context of Globalisation — https://doi.org/10.60923/issn.2724-6299/24290</w:t>
      </w:r>
    </w:p>
    <w:p>
      <w:pPr/>
      <w:r>
        <w:rPr>
          <w:b/>
        </w:rPr>
        <w:t>Shared claim-specific concepts:</w:t>
      </w:r>
      <w:r>
        <w:t xml:space="preserve"> legal, among, sustainable; EU scope not established. This is a provisional connection, not an outcome finding.</w:t>
      </w:r>
    </w:p>
    <w:p>
      <w:pPr>
        <w:pStyle w:val="SourceNote"/>
      </w:pPr>
      <w:r>
        <w:rPr>
          <w:b/>
        </w:rPr>
        <w:t>Available abstract (not full text):</w:t>
      </w:r>
      <w:r>
        <w:t xml:space="preserve"> The global political economy shaped by globalization is an environment that entails both potentials and limitations for research approaches. Important themes range from sustainable development goals, green transition, social justice disparities, technological issues to conflicts and complex emergencies. International law researchers deal with all these issues. International law and legal sciences as part of social sciences progress in a polysemic interplay with global trends. Research shapes values, beliefs and norms, and vice versa. To allow for the interplay in the creation of meaning by research activity on the one hand and cultural consciousnesses on the other, this paper discusses inter-disciplinarity – broadly understood – in research approaches using international legal research and emerging technologies, in particular artificial intelligence (AI) and decentralised autonomous organisations based on blockchain technology, as examplary fields and themes. Since all sciences are part of cultural life of societies, they are mutually embedded in and dynamically connected to other societal forces. Globalization is a transnational social force that comes about in a complex orchestration among other forces, institutions and phenomena whether legal, cultural, political, economic, social or all. To isolate it or its effects on a research theme would be extremely difficult if not ou</w:t>
      </w:r>
    </w:p>
    <w:p>
      <w:pPr/>
      <w:r>
        <w:rPr>
          <w:b/>
        </w:rPr>
        <w:t>POSSIBLE 2026:</w:t>
      </w:r>
      <w:r>
        <w:t xml:space="preserve"> Evaluating the efficiency of countries in achieving the Sustainable Development Goals using data envelopment analysis — https://doi.org/10.1057/s41599-026-08395-2</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All UN member states are committed to achieving the 17 Sustainable Development Goals (SDGs) under the 2030 Agenda for Sustainable Development, but global progress has fallen seriously behind schedule. This article proposes a multi-indicator framework to evaluate national SDG performance by integrating outcome-based indicators (i.e., SDG scores), trend-based indicators (i.e., estimated years), and efficiency-oriented indicators (i.e., static and dynamic efficiency) that account for heterogeneous realistic constraints. Methodologically, SDG scores are calculated based on the SDG Index, estimated years are derived by linear least squares fitting, static efficiency is measured via DEA-CCR and DEA-BCC models, and dynamic efficiency is assessed through the global DEA-Malmquist model. Applying this framework to 132 countries from 2011 to 2023 reveals significant heterogeneity in SDG performance across countries, which is further reflected in differences by development level, geographic region, and participation in international organizations. The results indicate a significant gap between current trajectories and the 2030 SDG targets, a gap that is particularly pronounced in the developing countries. Developed countries maintain higher baseline performances but show signs of decelerating improvement. Developing countries, meanwhile, are characterized by faster efficiency gains, yet th</w:t>
      </w:r>
    </w:p>
    <w:p>
      <w:pPr/>
      <w:r>
        <w:rPr>
          <w:b/>
        </w:rPr>
        <w:t>POSSIBLE 2026:</w:t>
      </w:r>
      <w:r>
        <w:t xml:space="preserve"> The Global Sport and Sustainable Development Goals Baseline and Initial Impact Report — https://doi.org/10.14217/tlke7905</w:t>
      </w:r>
    </w:p>
    <w:p>
      <w:pPr/>
      <w:r>
        <w:rPr>
          <w:b/>
        </w:rPr>
        <w:t>Shared claim-specific concepts:</w:t>
      </w:r>
      <w:r>
        <w:t xml:space="preserve"> framework, contribute, sustainable; EU scope not established. This is a provisional connection, not an outcome finding.</w:t>
      </w:r>
    </w:p>
    <w:p>
      <w:pPr>
        <w:pStyle w:val="SourceNote"/>
      </w:pPr>
      <w:r>
        <w:rPr>
          <w:b/>
        </w:rPr>
        <w:t>Available abstract (not full text):</w:t>
      </w:r>
      <w:r>
        <w:t xml:space="preserve"> This report evaluates how physical education, physical activity and sport-related policies might contribute to the Sustainable Development Goals (SDGs), providing a baseline for measurement. It represents the first attempt to develop a sport and SDG measurement tool, offering an innovative framework for assessing the impact of sports on sustainable development.</w:t>
      </w:r>
    </w:p>
    <w:p>
      <w:pPr/>
      <w:r>
        <w:rPr>
          <w:b/>
        </w:rPr>
        <w:t>POSSIBLE 2025:</w:t>
      </w:r>
      <w:r>
        <w:t xml:space="preserve"> Do European Social Funds Matter in Achieving the Sustainable Development Goals? — https://doi.org/10.3390/su17020381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r>
        <w:rPr>
          <w:b/>
        </w:rPr>
        <w:t>POSSIBLE 2025:</w:t>
      </w:r>
      <w:r>
        <w:t xml:space="preserve"> Sustainable Development Goal‐Related Innovations and Financial Performance: Evidence From European Grocery Retailers — https://doi.org/10.1002/csr.70013</w:t>
      </w:r>
    </w:p>
    <w:p>
      <w:pPr/>
      <w:r>
        <w:rPr>
          <w:b/>
        </w:rPr>
        <w:t>Shared claim-specific concepts:</w:t>
      </w:r>
      <w:r>
        <w:t xml:space="preserve"> sustainable, line; EU scope visible. This is a provisional connection, not an outcome finding.</w:t>
      </w:r>
    </w:p>
    <w:p>
      <w:pPr>
        <w:pStyle w:val="SourceNote"/>
      </w:pPr>
      <w:r>
        <w:rPr>
          <w:b/>
        </w:rPr>
        <w:t>Available abstract (not full text):</w:t>
      </w:r>
      <w:r>
        <w:t xml:space="preserve">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pPr>
        <w:pStyle w:val="Heading2"/>
      </w:pPr>
      <w:r>
        <w:t>829. The European forest sector: past and future carbon budget and fluxes under different management scenarios</w:t>
      </w:r>
    </w:p>
    <w:p>
      <w:pPr>
        <w:pStyle w:val="SourceNote"/>
      </w:pPr>
      <w:r>
        <w:rPr>
          <w:b/>
        </w:rPr>
        <w:t>Original source (2017):</w:t>
      </w:r>
      <w:r>
        <w:t xml:space="preserve"> https://doi.org/10.5194/bg-14-2387-2017</w:t>
      </w:r>
    </w:p>
    <w:p>
      <w:pPr/>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POSSIBLE 2026:</w:t>
      </w:r>
      <w:r>
        <w:t xml:space="preserve"> New Zeolitic Imidazolate Framework‐Derived N‐Doped Carbon LiCl Composites for Sorption Thermal Batteries Utilizing Solar Energy — https://doi.org/10.1002/cey2.70256</w:t>
      </w:r>
    </w:p>
    <w:p>
      <w:pPr/>
      <w:r>
        <w:rPr>
          <w:b/>
        </w:rPr>
        <w:t>Shared claim-specific concepts:</w:t>
      </w:r>
      <w:r>
        <w:t xml:space="preserve"> show, incipient, decrease; EU scope not established. This is a provisional connection, not an outcome finding.</w:t>
      </w:r>
    </w:p>
    <w:p>
      <w:pPr>
        <w:pStyle w:val="SourceNote"/>
      </w:pPr>
      <w:r>
        <w:rPr>
          <w:b/>
        </w:rPr>
        <w:t>Available abstract (not full text):</w:t>
      </w:r>
      <w:r>
        <w:t xml:space="preserve"> ABSTRACT The potential of sorption thermal batteries utilizing solar energy is increasingly recognized, but developing cost‐effective, stable, and high‐performance storage materials remains a major challenge. Here, we demonstrate for the first time the use of zeolitic imidazolate framework (ZIF)‐derived nitrogen‐doped carbons (ZDCs) as hosts for LiCl‐embedded water sorbent composites. ZIF‐90 and ZIF‐94 were synthesized in acetone–water solvent mixtures and subsequently pyrolyzed at 950°C in argon to obtain N‐doped disordered carbons with specific surface areas up to 842 m 2 g −1 , hierarchical porosity, and maximal water adsorption capacity of up to 0.69 g g −1 . The structural features of the carbons were elucidated by transmission electron microscopy, X‐ray photoelectron spectroscopy, Raman, and solid‐state nuclear magnetic resonance spectroscopy. The composites with LiCl, prepared via incipient wetness impregnation, exhibited excellent cycling stability and showed no deliquescence or decrease in water uptake over 50 cycles under adsorption at 30°C, desorption at 120°C, and condensation/evaporation at 10°C. Remarkably, under these conditions, an energy storage density of 966.9 kWh m −3 can be achieved. These results show that ZDC‐LiCl composites represent a promising class of stable, high‐performance materials for efficient sorption thermal batteries.</w:t>
      </w:r>
    </w:p>
    <w:p>
      <w:pPr/>
      <w:r>
        <w:rPr>
          <w:b/>
        </w:rPr>
        <w:t>POSSIBLE 2026:</w:t>
      </w:r>
      <w:r>
        <w:t xml:space="preserve"> Optimum seeding rate for biomass sorghum in response to harvesting and planting dates in the Mid-Atlantic Regions — https://doi.org/10.1038/s41598-026-41418-1</w:t>
      </w:r>
    </w:p>
    <w:p>
      <w:pPr/>
      <w:r>
        <w:rPr>
          <w:b/>
        </w:rPr>
        <w:t>Shared claim-specific concepts:</w:t>
      </w:r>
      <w:r>
        <w:t xml:space="preserve"> harvest, rate, greater, compared; EU scope not established. This is a provisional connection, not an outcome finding.</w:t>
      </w:r>
    </w:p>
    <w:p>
      <w:pPr>
        <w:pStyle w:val="SourceNote"/>
      </w:pPr>
      <w:r>
        <w:rPr>
          <w:b/>
        </w:rPr>
        <w:t>Available abstract (not full text):</w:t>
      </w:r>
      <w:r>
        <w:t xml:space="preserve"> Seeding rate is an important factor in optimizing dry matter yield of biomass sorghum [ Sorghum bicolor (L.) Moench]. It is vital to understand how seeding rate (S rate) varies across environments, planting dates, and whether optimum S rate changes by date of harvest in the Mid-Atlantic region. From 2017 to 2019, a study was conducted at Virginia Tech’s Tidewater Agricultural Research &amp; Extension Center in Suffolk, VA, across two locations (Holland and Hare) with six seeding rates (120, 160, 200, 240, 260, and 310 thousand seeds ha − 1 ), two planting dates [early planting (EP) date as in a full season cropping system versus late planting (LP) mimicking a double-crop system] and three harvesting dates (August – October) to determine the economic optimum seeding rate of biomass sorghum. Dry matter yield, plant height, stem diameter, disease, and lodging severity were evaluated. Results showed that compared to LP, EP increased dry matter yield by 69%, plant height by 21%, and stem diameter by 15%. Dry matter yield decreased with higher S rates under EP, whereas under LP, higher S rates increased yield in 3 of the 6 environments. In contrast, plant height and stem diameter consistently decreased with increase in S rate. In general, a S rate of 120,000 ha − 1 was optimum under EP, and 310,000 ha − 1 under LP, when considering the disease and lodging resistance as well as economics.</w:t>
      </w:r>
    </w:p>
    <w:p>
      <w:pPr/>
      <w:r>
        <w:rPr>
          <w:b/>
        </w:rPr>
        <w:t>POSSIBLE 2025:</w:t>
      </w:r>
      <w:r>
        <w:t xml:space="preserve"> Understanding Europe's Forest Harvesting Regimes — https://doi.org/10.1029/2024ef005225</w:t>
      </w:r>
    </w:p>
    <w:p>
      <w:pPr/>
      <w:r>
        <w:rPr>
          <w:b/>
        </w:rPr>
        <w:t>Shared claim-specific concepts:</w:t>
      </w:r>
      <w:r>
        <w:t xml:space="preserve"> harvest, forests, forest; EU scope visible. This is a provisional connection, not an outcome finding.</w:t>
      </w:r>
    </w:p>
    <w:p>
      <w:pPr>
        <w:pStyle w:val="SourceNote"/>
      </w:pPr>
      <w:r>
        <w:rPr>
          <w:b/>
        </w:rPr>
        <w:t>Available abstract (not full text):</w:t>
      </w:r>
      <w:r>
        <w:t xml:space="preserve"> Abstract European forests are being shaped by active human use and management, and by harvesting of wood in particular. Yet, our understanding of how forests are harvested across Europe is limited, as the real harvest regimes are not well described by currently available data. Here, we analyse recent harvests, as observed in permanent plots of forest inventories in 11 European countries, totaling to 182,649 plots and covering all major forest types. We (a) characterize harvest regimes through the frequency and intensity of harvest events spatially across Europe, and (b) build models for the probability and intensity of harvest events at the plot‐level and examine the links to potential drivers of harvest, including the pre‐harvest forest structure and composition, climatic, topographic and socio‐economic factors, and past natural disturbances. The results revealed notable variation in harvest regimes across Europe, ranging from high‐frequency and low‐intensity harvests in eastern Central Europe to low‐frequency and high‐intensity harvests in the north, with different strategies emerging in regions with similar total harvest rates. The harvest regimes were strongly driven by country‐level variation, emphasizing the role of national‐level factors. Pre‐harvest forest properties were important drivers for the intensity of harvest, whereas the probability of harvest was more related</w:t>
      </w:r>
    </w:p>
    <w:p>
      <w:pPr/>
      <w:r>
        <w:rPr>
          <w:b/>
        </w:rPr>
        <w:t>POSSIBLE 2025:</w:t>
      </w:r>
      <w:r>
        <w:t xml:space="preserve"> DESIGN AND EXPERIMENTAL OPTIMIZATION OF A CONTINUOUS VIBRATION-BASED LYCIUM BARBARUM L. HARVESTING DEVICE — https://doi.org/10.35633/inmateh-77-56</w:t>
      </w:r>
    </w:p>
    <w:p>
      <w:pPr/>
      <w:r>
        <w:rPr>
          <w:b/>
        </w:rPr>
        <w:t>Shared claim-specific concepts:</w:t>
      </w:r>
      <w:r>
        <w:t xml:space="preserve"> rate, findings, existing, compared; EU scope not established. This is a provisional connection, not an outcome finding.</w:t>
      </w:r>
    </w:p>
    <w:p>
      <w:pPr>
        <w:pStyle w:val="SourceNote"/>
      </w:pPr>
      <w:r>
        <w:rPr>
          <w:b/>
        </w:rPr>
        <w:t>Available abstract (not full text):</w:t>
      </w:r>
      <w:r>
        <w:t xml:space="preserve"> Compared with manual harvesting of Lycium barbarum, existing large-scale harvesters have achieved a certain degree of efficiency improvement. Nevertheless, their intermittent operation mode remains a bottleneck restricting overall harvesting performance. To address this issue, a continuous vibration-based L. barbarum harvesting device was developed in this study. Plackett–Burman experiments indicated that vibration angle, vibration frequency, and the spacing between the upper and lower vibrating rods were the primary factors affecting the harvesting performance. Further parameter optimization experiments were carried out by considering the harvesting rate of ripe fruits, the mis-harvesting rate of unripe fruits, and the damage rate of ripe fruits. The optimal parameter combination was determined as a vibration angle of 46°, a vibration frequency of 9 Hz, and a spacing of 62 mm between the upper and lower vibrating rods. Based on these parameters, performance verification tests were conducted. The results showed that the harvesting rate of ripe fruits reached 85.40%, the mis-harvesting rate of unripe fruits was 4.61%, and the damage rate of ripe fruits was 3.19%. These findings provide technical and equipment support for the development of continuous mechanized harvesting of L. barbarum.</w:t>
      </w:r>
    </w:p>
    <w:p>
      <w:pPr/>
      <w:r>
        <w:rPr>
          <w:b/>
        </w:rPr>
        <w:t>POSSIBLE 2024:</w:t>
      </w:r>
      <w:r>
        <w:t xml:space="preserve"> Evaluation of Pencycuron Residue Dynamics in Eggplant Using LC-MS/MS and Establishment of Pre-Harvest Residue Limits — https://doi.org/10.3390/foods13233754</w:t>
      </w:r>
    </w:p>
    <w:p>
      <w:pPr/>
      <w:r>
        <w:rPr>
          <w:b/>
        </w:rPr>
        <w:t>Shared claim-specific concepts:</w:t>
      </w:r>
      <w:r>
        <w:t xml:space="preserve"> constant, harvest, rate, period; EU scope visible. This is a provisional connection, not an outcome finding.</w:t>
      </w:r>
    </w:p>
    <w:p>
      <w:pPr>
        <w:pStyle w:val="SourceNote"/>
      </w:pPr>
      <w:r>
        <w:rPr>
          <w:b/>
        </w:rPr>
        <w:t>Available abstract (not full text):</w:t>
      </w:r>
      <w:r>
        <w:t xml:space="preserve"> Pencycuron is a fungicide whose maximum residue limit (MRL) in eggplant is either set at very low levels (0.02 mg/kg in European Union) or remains unestablished in many countries, necessitating stringent pesticide management. To enable timely interventions by farmers and regulators, pre-harvest residue limits (PHRLs) propose maximum allowable pesticide concentrations for each day during the pre-harvest period. An analytical method was developed to conduct residue determination trials, demonstrating that graphitized carbon black (GCB) effectively removes eggplant matrices during sample preparation. The LC-MS/MS method was established with a limit of quantification (LOQ) of 0.005 mg/kg, recovery rates ranging from 102.6% to 106.1% with relative standard deviation (RSD; 2.3–6.4%), and a matrix effect (%ME) of +8.1%. Residue analysis revealed a concentration of 0.045 mg/kg at 0 days after treatment (DAT), decreasing to 0.006 mg/kg at 14 DAT. The residue dynamics followed a first-order kinetic model, as confirmed by the F-test, with a rate constant of 0.1405. Therefore, the half-life was determined to be 4.9 d. Based on the MRL value of 0.02 mg/kg at 0 days before harvest (DBH), the PHRL was determined using both k and kmin, resulting in values of 0.04 mg/kg and 0.02 mg/kg at 5 days and 0.08 mg/kg and 0.03 mg/kg at 10 DBH, respectively. Using kmin yields more conservative results, w</w:t>
      </w:r>
    </w:p>
    <w:p>
      <w:pPr/>
      <w:r>
        <w:rPr>
          <w:b/>
        </w:rPr>
        <w:t>POSSIBLE 2024:</w:t>
      </w:r>
      <w:r>
        <w:t xml:space="preserve"> Preliminary results of dandelion cultivation under different seeding rates and harvest regimes — https://doi.org/10.1002/agg2.20521</w:t>
      </w:r>
    </w:p>
    <w:p>
      <w:pPr/>
      <w:r>
        <w:rPr>
          <w:b/>
        </w:rPr>
        <w:t>Shared claim-specific concepts:</w:t>
      </w:r>
      <w:r>
        <w:t xml:space="preserve"> harvest, rate, compared; EU scope visible. This is a provisional connection, not an outcome finding.</w:t>
      </w:r>
    </w:p>
    <w:p>
      <w:pPr>
        <w:pStyle w:val="SourceNote"/>
      </w:pPr>
      <w:r>
        <w:rPr>
          <w:b/>
        </w:rPr>
        <w:t>Available abstract (not full text):</w:t>
      </w:r>
      <w:r>
        <w:t xml:space="preserve"> Abstract In the past, several wild plants were widely consumed as food by humans. Dandelion [Taraxacum officinale (L.) Weber ex F.H. Wigg] is a wild species with remarkable nutritional and medicinal properties. Many studies have investigated the chemical components of the plant for human health. Nonetheless, little research has been carried out on the cultivation and related production of this species. With this study, we intend to investigate some cultural practices to start defining an efficient protocol for dandelion cultivation in northern Italy. Two seeding rates (0.14 and 0.55 g m−2) and two harvest regimes (when leaves reached a length of 20 cm and 1 week later) were compared. Leaf fresh weight yield was determined at each harvest, and the following morphological parameters were measured: plant height, number of plants per square meter, number of leaves per square meter, leaf area index, number of leaves per plant, leaf weight, and specific leaf weight. The productivity of dandelion was found to be unaffected by the seeding rate, and no significant differences were found between harvest regimes. The delayed harvest regime was only advantageous at the first cut as it allowed for a longer establishment phase, resulting in a higher yield. The nitrate content in the leaves differed between the first two cuts and the third and fourth cuts with both harvest regimes and both so</w:t>
      </w:r>
    </w:p>
    <w:p>
      <w:pPr/>
      <w:r>
        <w:rPr>
          <w:b/>
        </w:rPr>
        <w:t>POSSIBLE 2024:</w:t>
      </w:r>
      <w:r>
        <w:t xml:space="preserve"> Improving the productivity and competitiveness of banana plantations through efficient irrigation systems — https://doi.org/10.24294/jipd.v8i11.8228</w:t>
      </w:r>
    </w:p>
    <w:p>
      <w:pPr/>
      <w:r>
        <w:rPr>
          <w:b/>
        </w:rPr>
        <w:t>Shared claim-specific concepts:</w:t>
      </w:r>
      <w:r>
        <w:t xml:space="preserve"> rate, incipient, increases; EU scope not established. This is a provisional connection, not an outcome finding.</w:t>
      </w:r>
    </w:p>
    <w:p>
      <w:pPr>
        <w:pStyle w:val="SourceNote"/>
      </w:pPr>
      <w:r>
        <w:rPr>
          <w:b/>
        </w:rPr>
        <w:t>Available abstract (not full text):</w:t>
      </w:r>
      <w:r>
        <w:t xml:space="preserve"> The Urabá region, known for its banana production, faces significant challenges due to seasonal droughts that affect crop productivity. The implementation of innovative technologies, such as efficient irrigation systems, is presented as a potential solution to improve the sustainability and profitability of plantations. This study validates the implementation of an irrigation system in a banana (Musa spp.) plantation located in the region of Urabá, in order to meet the water needs of the crop during periods of drought. A case study was carried out in a banana plantation in the region of Urabá, considering the maximum and minimum monthly losses due to drought, and a random sample was used to measure the weight before and after the implementation of the irrigation system, in order to carry out an economic analysis. The study shows that the implementation of a sprinkler irrigation system increases the average weight of the harvested bunches by 20%, which is reflected in an annual increase of 30.3% of exported boxes, obtaining satisfactory results in terms of internal rate of return, cost-benefit ratio and return on investment. The implementation of irrigation systems makes it possible to increase competitiveness in international markets, especially in regions such as Urabá, where the use of these technologies is still incipient.</w:t>
      </w:r>
    </w:p>
    <w:p>
      <w:pPr/>
      <w:r>
        <w:rPr>
          <w:b/>
        </w:rPr>
        <w:t>POSSIBLE 2024:</w:t>
      </w:r>
      <w:r>
        <w:t xml:space="preserve"> Relationship of Rate of Dry Matter Remobilization on Harvest Index and Yield of Medium Aged Rice Varieties — https://doi.org/10.4038/sljfa.v10i1-2.112</w:t>
      </w:r>
    </w:p>
    <w:p>
      <w:pPr/>
      <w:r>
        <w:rPr>
          <w:b/>
        </w:rPr>
        <w:t>Shared claim-specific concepts:</w:t>
      </w:r>
      <w:r>
        <w:t xml:space="preserve"> harvest, rate, greater, sink; EU scope not established. This is a provisional connection, not an outcome finding.</w:t>
      </w:r>
    </w:p>
    <w:p>
      <w:pPr>
        <w:pStyle w:val="SourceNote"/>
      </w:pPr>
      <w:r>
        <w:rPr>
          <w:b/>
        </w:rPr>
        <w:t>Available abstract (not full text):</w:t>
      </w:r>
      <w:r>
        <w:t xml:space="preserve"> Rapid human population growth required more rice in future. Thus, it is important to increase yield potential of future rice varieties. As a physiological approach increasing rate of remobilization of assimilate as non-structural carbon to panicle, varietal variation of assimilate partitioning, quantify subsequent remobilization from leaf, sheath and stem to panicle, impact on partitioned dry matter on yield and harvest index are important to study. The field experiment was conducted in 3 consecutive seasons from 2020/21 Maha to 2021 Yala seasons in Rice Research and Development Institute (RRDI), Batalagoda. Fifteen rice varieties were screened under irrigated condition. All cultural practices were done according to Department of Agriculture recommendations. Rate of Remobilization of Dry Matter (RRDM) of leaf, sheath and stem were calculated from flowering to maturity. All agronomic data were analyzed using STAR computer package (Statistical Tool for Agricultural Research, 2014) of IRRI, Philippines for general linear model, Duncan mean separation, Principal Component Analysis. Important yield related parameters clearly separated by stepwise regression analysis by model with strong R2, grain yield explained RRDM leaf and stem, total soluble solid in stem (brix value). Bw 367 and Bg 370 have most efficient translocation system among the tested varieties. Total soluble solid cont</w:t>
      </w:r>
    </w:p>
    <w:p>
      <w:pPr/>
      <w:r>
        <w:rPr>
          <w:b/>
        </w:rPr>
        <w:t>POSSIBLE 2023:</w:t>
      </w:r>
      <w:r>
        <w:t xml:space="preserve"> The carbon costs of global wood harvests — https://doi.org/10.1038/s41586-023-06187-1</w:t>
      </w:r>
    </w:p>
    <w:p>
      <w:pPr/>
      <w:r>
        <w:rPr>
          <w:b/>
        </w:rPr>
        <w:t>Shared claim-specific concepts:</w:t>
      </w:r>
      <w:r>
        <w:t xml:space="preserve"> harvest, forests, although, forest; EU scope not established. This is a provisional connection, not an outcome finding.</w:t>
      </w:r>
    </w:p>
    <w:p>
      <w:pPr>
        <w:pStyle w:val="SourceNote"/>
      </w:pPr>
      <w:r>
        <w:rPr>
          <w:b/>
        </w:rPr>
        <w:t>Available abstract (not full text):</w:t>
      </w:r>
      <w:r>
        <w:t xml:space="preserve">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pPr/>
      <w:r>
        <w:rPr>
          <w:b/>
        </w:rPr>
        <w:t>POSSIBLE 2023:</w:t>
      </w:r>
      <w:r>
        <w:t xml:space="preserve"> Response of forage maize yield and quality to mulch film and harvest time in Northern Europe — https://doi.org/10.23986/afsci.125326</w:t>
      </w:r>
    </w:p>
    <w:p>
      <w:pPr/>
      <w:r>
        <w:rPr>
          <w:b/>
        </w:rPr>
        <w:t>Shared claim-specific concepts:</w:t>
      </w:r>
      <w:r>
        <w:t xml:space="preserve"> harvest, rate, although; EU scope visible. This is a provisional connection, not an outcome finding.</w:t>
      </w:r>
    </w:p>
    <w:p>
      <w:pPr>
        <w:pStyle w:val="SourceNote"/>
      </w:pPr>
      <w:r>
        <w:rPr>
          <w:b/>
        </w:rPr>
        <w:t>Available abstract (not full text):</w:t>
      </w:r>
      <w:r>
        <w:t xml:space="preserve"> Forage maize (Zea mays L.) yield and nutritional quality fluctuate markedly in Northern Europe due to weather conditions. A field experiment was conducted in Southern Finland (Helsinki, 2018–2020) and in Central Finland (Maaninka, Kuopio, 2019–2020) to study the effect of harvest time and use of mulch film, in order to optimize the dry matter (DM) yield and quality. Treatments included oxo-biodegradable mulch film and no mulch, and three harvest times (the latter only in Helsinki). Mulch film increased DM yield on average by 2.3 Mg ha-1 in Helsinki and by 3.8 Mg ha-1 in Maaninka. Mulch film had a minor effect on the quality, and overall, the quality improved, although DM yield accumulation had already ceased. Nevertheless, the starch contents fluctuated and remained mostly below the target rate – 300 g kg-1 DM – especially in Central Finland. The results indicate that mulch film improves forage maize yield, but a late harvest is still required to improve forage quality. However, climate conditions still restrict starch accumulation to ears in Northern European climate conditions, especially in the important milk production area in Central Finland.</w:t>
      </w:r>
    </w:p>
    <w:p>
      <w:pPr/>
      <w:r>
        <w:rPr>
          <w:b/>
        </w:rPr>
        <w:t>POSSIBLE 2023:</w:t>
      </w:r>
      <w:r>
        <w:t xml:space="preserve"> A Model for Predicting Forest Growth and Harvesting Level — https://doi.org/10.21275/sr23718231315</w:t>
      </w:r>
    </w:p>
    <w:p>
      <w:pPr/>
      <w:r>
        <w:rPr>
          <w:b/>
        </w:rPr>
        <w:t>Shared claim-specific concepts:</w:t>
      </w:r>
      <w:r>
        <w:t xml:space="preserve"> harvest, rate, forests, forest; EU scope not established. This is a provisional connection, not an outcome finding.</w:t>
      </w:r>
    </w:p>
    <w:p>
      <w:pPr>
        <w:pStyle w:val="SourceNote"/>
      </w:pPr>
      <w:r>
        <w:rPr>
          <w:b/>
        </w:rPr>
        <w:t>Available abstract (not full text):</w:t>
      </w:r>
      <w:r>
        <w:t xml:space="preserve"> The study of forest dynamics is concerned with the changes in forest structure and composition over time,and it is obvious that forests managed in a sustainable manner are able to produce both high quality wood products and other ecological goods and services which include water purification, wildlife habitat and carbon sequestration.Similarly, forest management practices that protect aquatic systems, minimise soil disturbance and erosion, and promote rapid forest regeneration are all components of sustainable forestry.These factors have therefore necessitated this study of modelling forest growth and its associated harvesting policy for determining future sequence in order not to compromise its benefits.A number of growth models such as The Malthusian Growth Model, The Logistic Growth Model, Verhulst Logistic Growth Scaled with a 'Delaying' Factor   1 1 c N K     , and Richard's Growth Equation were some of the growth models mentioned in this study of the dynamics of the forest stand.The two possible equilibrium values for the solution of the model are 0 e P  and   1000 1 5 e Ph  .Whenever hr  , this will lead to extinction of the population and therefore as 0.2 hr  , the population size will settle down to the stable equilibrium 15 e Ph  .Hence for as long as 0 0.2 h  one can be confident that, the population won't die out.Again, 0.1 h  which is one-half </w:t>
      </w:r>
    </w:p>
    <w:p>
      <w:pPr/>
      <w:r>
        <w:rPr>
          <w:b/>
        </w:rPr>
        <w:t>POSSIBLE 2023:</w:t>
      </w:r>
      <w:r>
        <w:t xml:space="preserve"> Power Gain from Energy Harvesting Sources at High MPPT Sampling Rates — https://doi.org/10.3390/s23094388</w:t>
      </w:r>
    </w:p>
    <w:p>
      <w:pPr/>
      <w:r>
        <w:rPr>
          <w:b/>
        </w:rPr>
        <w:t>Shared claim-specific concepts:</w:t>
      </w:r>
      <w:r>
        <w:t xml:space="preserve"> constant, rate, process, increases, period; EU scope not established. This is a provisional connection, not an outcome finding.</w:t>
      </w:r>
    </w:p>
    <w:p>
      <w:pPr>
        <w:pStyle w:val="SourceNote"/>
      </w:pPr>
      <w:r>
        <w:rPr>
          <w:b/>
        </w:rPr>
        <w:t>Available abstract (not full text):</w:t>
      </w:r>
      <w:r>
        <w:t xml:space="preserve"> Energy harvesting (EH) sources require the tracking of their maximum power point (MPP) to ensure that maximum energy is captured. This tracking process, performed by an MPP tracker (MPPT), is performed by periodically measuring the EH transducer's output at a given sampling rate. The harvested power as a function of the sampling parameters has been analyzed in a few works, but the power gain achieved with respect to the case of a much slower sampling rate than the EH source's frequency has not been assessed so far. In this work, simple expressions are obtained that predict this gain assuming a Thévenin equivalent for the EH transducer. It is shown that the power gain depends on the relationship between the square of AC to DC open circuit voltage of the EH transducer. On the other hand, it is proven that harvested power increases, using a suitable constant signal for the MPP voltage instead of tracking the MPP at a low sampling rate. Experimental results confirmed the theoretical predictions. First, a function generator with a series resistor of 1 kΩ was used, emulating a generic Thévenin equivalent EH. Three waveform types were used (sinus, square, and triangular) with a DC voltage of 2.5 V and AC rms voltage of 0.83 V. A commercial MPPT with a fixed sampling rate of 3 Hz was used and the frequency of the waveforms was changed from 50 mHz to 50 Hz, thus effectively emulating di</w:t>
      </w:r>
    </w:p>
    <w:p>
      <w:pPr>
        <w:pStyle w:val="Heading2"/>
      </w:pPr>
      <w:r>
        <w:t>830. The European pulp and paper industry in transition to a bio-economy: A Delphi study</w:t>
      </w:r>
    </w:p>
    <w:p>
      <w:pPr>
        <w:pStyle w:val="SourceNote"/>
      </w:pPr>
      <w:r>
        <w:rPr>
          <w:b/>
        </w:rPr>
        <w:t>Original source (2017):</w:t>
      </w:r>
      <w:r>
        <w:t xml:space="preserve"> https://doi.org/10.1016/j.futures.2017.02.002</w:t>
      </w:r>
    </w:p>
    <w:p>
      <w:pPr/>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POSSIBLE 2026:</w:t>
      </w:r>
      <w:r>
        <w:t xml:space="preserve"> ‘Show me the money!’ - The Changing Dynamics of Economic Governance in the European Union — https://doi.org/10.1080/13501763.2026.2658000</w:t>
      </w:r>
    </w:p>
    <w:p>
      <w:pPr/>
      <w:r>
        <w:rPr>
          <w:b/>
        </w:rPr>
        <w:t>Shared claim-specific concepts:</w:t>
      </w:r>
      <w:r>
        <w:t xml:space="preserve"> explore, key, creation; EU scope visible. This is a provisional connection, not an outcome finding.</w:t>
      </w:r>
    </w:p>
    <w:p>
      <w:pPr>
        <w:pStyle w:val="SourceNote"/>
      </w:pPr>
      <w:r>
        <w:rPr>
          <w:b/>
        </w:rPr>
        <w:t>Available abstract (not full text):</w:t>
      </w:r>
      <w:r>
        <w:t xml:space="preserve"> This introduction examines the ongoing transformation of economic governance in the European Union over the past decade. It argues that a series of crisis-driven reforms – most notably, the creation of the Recovery and Resilience Facility, the expansion of EU fiscal capacity, and the growing emphasis on industrial policy and economic security – have collectively reshaped the EU’s macroeconomic framework. While these developments do not constitute a coherent grand design, their cumulative effect amounts to a significant shift in governance practices at both the EU and national levels. The article identifies key structural and political pressures underpinning this transformation, including sluggish growth, socio-economic inequalities, the green and digital transitions, geoeconomic competition, and rising political fragmentation. It highlights an increasing reliance on flexible, adaptive instruments and a strengthening of executive and technocratic authority. The contributions to the special issue introduced by this paper explore these dynamics in greater detail, offering insights into the evolving balance among integration, responsiveness, and legitimacy in EU economic governance.</w:t>
      </w:r>
    </w:p>
    <w:p>
      <w:pPr/>
      <w:r>
        <w:rPr>
          <w:b/>
        </w:rPr>
        <w:t>POSSIBLE 2026:</w:t>
      </w:r>
      <w:r>
        <w:t xml:space="preserve"> European Integration of Ukraine: Testing Liberal Intergovernmentalism Approach [before doctoral defense] — https://openalex.org/W7213843321</w:t>
      </w:r>
    </w:p>
    <w:p>
      <w:pPr/>
      <w:r>
        <w:rPr>
          <w:b/>
        </w:rPr>
        <w:t>Shared claim-specific concepts:</w:t>
      </w:r>
      <w:r>
        <w:t xml:space="preserve"> approach, key, question; EU scope visible. This is a provisional connection, not an outcome finding.</w:t>
      </w:r>
    </w:p>
    <w:p>
      <w:pPr>
        <w:pStyle w:val="SourceNote"/>
      </w:pPr>
      <w:r>
        <w:rPr>
          <w:b/>
        </w:rPr>
        <w:t>Available abstract (not full text):</w:t>
      </w:r>
      <w:r>
        <w:t xml:space="preserve"> Ukraine's relations with the European Union represent a unique case for European integration studies, especially in light of its recent application for EU membership. Despite serious challenges such as the war with Russia, political instability and economic difficulties, Ukraine's integration with the EU continues to strengthen. This dissertation aims to identify the key motivations driving Ukraine's integration with the EU at both the governmental and societal levels. The choice of Ukraine as a case study in this research, which focuses on its path to integration into the European Union through the prism of a Liberal intergovernmental mechanism, is relevant for several reasons. First, Ukraine's geographic location between Russia and the European Union makes its European integration process a unique and important example for understanding the broader dynamics of EU enlargement. Since 2004, Ukraine has pursued integration with the European Union. At the same time, Ukraine's aspirations to join European institutions have become a key challenge to Russian influence in the region, providing a rich context for studying the interplay between the formation of Ukrainian national preferences, international negotiations with Russia and the EU, and institutional arrangements with them. Second, the Ukrainian case is also historically significant because Ukraine's European integration has b</w:t>
      </w:r>
    </w:p>
    <w:p>
      <w:pPr/>
      <w:r>
        <w:rPr>
          <w:b/>
        </w:rPr>
        <w:t>POSSIBLE 2025:</w:t>
      </w:r>
      <w:r>
        <w:t xml:space="preserve"> Climate change skepticism of European farmers and implications for effective policy actions — https://doi.org/10.1038/s43247-025-02304-2</w:t>
      </w:r>
    </w:p>
    <w:p>
      <w:pPr/>
      <w:r>
        <w:rPr>
          <w:b/>
        </w:rPr>
        <w:t>Shared claim-specific concepts:</w:t>
      </w:r>
      <w:r>
        <w:t xml:space="preserve"> key, according; EU scope visible. This is a provisional connection, not an outcome finding.</w:t>
      </w:r>
    </w:p>
    <w:p>
      <w:pPr>
        <w:pStyle w:val="SourceNote"/>
      </w:pPr>
      <w:r>
        <w:rPr>
          <w:b/>
        </w:rPr>
        <w:t>Available abstract (not full text):</w:t>
      </w:r>
      <w:r>
        <w:t xml:space="preserve"> European farmers struggle with mitigating global emissions of greenhouse gases effectively and to cope with climate change. European regulators and national governments encounter obstacles in implementing environmental policies, feeding frustration amongst farmers. We hypothesize that these issues relate to climate change skepticism within the farming community and dissensus with non-farmers and between countries. To test this hypothesis, we analyzed climate attribution and impact skepticism amongst farmers and the rest of the working population using the Eurobarometer and the European Social Survey, and national data about gross domestic product (GDP), innovativeness, share of agricultural land, and climate damage risk for agriculture. Impact skepticism of farmers increases with decreasing risk of climate damage and increasing GDP, causing a South-North gradient in Europe. The majority of farmers in the EU countries were more skeptical than non-farmers. Understanding and reducing this skepticism provides a key to more effective mitigation and adaptation. The majority of farmers in European Union countries are more skeptical about climate change impact and attribution than the general population, and more so in more innovative and higher-income countries, according to an analysis of European-level surveys.</w:t>
      </w:r>
    </w:p>
    <w:p>
      <w:pPr/>
      <w:r>
        <w:rPr>
          <w:b/>
        </w:rPr>
        <w:t>POSSIBLE 2025:</w:t>
      </w:r>
      <w:r>
        <w:t xml:space="preserve"> Game Changers: National Referendums and the Politicization of Europe — https://doi.org/10.17645/pag.9261</w:t>
      </w:r>
    </w:p>
    <w:p>
      <w:pPr/>
      <w:r>
        <w:rPr>
          <w:b/>
        </w:rPr>
        <w:t>Shared claim-specific concepts:</w:t>
      </w:r>
      <w:r>
        <w:t xml:space="preserve"> key, question, include; EU scope visible. This is a provisional connection, not an outcome finding.</w:t>
      </w:r>
    </w:p>
    <w:p>
      <w:pPr>
        <w:pStyle w:val="SourceNote"/>
      </w:pPr>
      <w:r>
        <w:rPr>
          <w:b/>
        </w:rPr>
        <w:t>Available abstract (not full text):</w:t>
      </w:r>
      <w:r>
        <w:t xml:space="preserve"> How do national referendums shape political contestation? This article explores this question by examining the politicization of European integration, a key “cleavage issue” restructuring political conflict across Europe. While national referendums are often assumed to intensify public contestation over European integration, systematic comparative evidence remains limited. This study contributes to the debate by analyzing 87 public debates on European integration across six Western European countries (Austria, Britain, France, Germany, Sweden, and Switzerland), including 12 debates with national referendums. The analysis draws on the PolDem dataset (Hutter et al., 2016), updated to include the Brexit referendum. Through comprehensive across-debate and within-debate analyses, the findings show that referendums are associated with heightened politicization, particularly by expanding actor participation and increasing issue salience. Civil society and other non-executive actors gain visibility in referendum contexts, reinforcing the view that referendums level the political playing field. Although referendums increase framing diversity, they do not consistently lead to more polarized or identity-focused debates involving radical parties, challenging the notion that referendums inherently drive cultural conflict. This study advances our understanding of how direct democracy shapes </w:t>
      </w:r>
    </w:p>
    <w:p>
      <w:pPr/>
      <w:r>
        <w:rPr>
          <w:b/>
        </w:rPr>
        <w:t>POSSIBLE 2024:</w:t>
      </w:r>
      <w:r>
        <w:t xml:space="preserve"> Radical devices: Rethinking Art and Architecture as Forms of Dissensus in Urban Environments — https://doi.org/10.14198/uou.2024.8.12</w:t>
      </w:r>
    </w:p>
    <w:p>
      <w:pPr/>
      <w:r>
        <w:rPr>
          <w:b/>
        </w:rPr>
        <w:t>Shared claim-specific concepts:</w:t>
      </w:r>
      <w:r>
        <w:t xml:space="preserve"> explore, potential, creation; EU scope not established. This is a provisional connection, not an outcome finding.</w:t>
      </w:r>
    </w:p>
    <w:p>
      <w:pPr>
        <w:pStyle w:val="SourceNote"/>
      </w:pPr>
      <w:r>
        <w:rPr>
          <w:b/>
        </w:rPr>
        <w:t>Available abstract (not full text):</w:t>
      </w:r>
      <w:r>
        <w:t xml:space="preserve">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pPr/>
      <w:r>
        <w:rPr>
          <w:b/>
        </w:rPr>
        <w:t>POSSIBLE 2024:</w:t>
      </w:r>
      <w:r>
        <w:t xml:space="preserve"> Arming Europe — https://doi.org/10.33540/2454</w:t>
      </w:r>
    </w:p>
    <w:p>
      <w:pPr/>
      <w:r>
        <w:rPr>
          <w:b/>
        </w:rPr>
        <w:t>Shared claim-specific concepts:</w:t>
      </w:r>
      <w:r>
        <w:t xml:space="preserve"> industry, potential, according; EU scope visible. This is a provisional connection, not an outcome finding.</w:t>
      </w:r>
    </w:p>
    <w:p>
      <w:pPr>
        <w:pStyle w:val="SourceNote"/>
      </w:pPr>
      <w:r>
        <w:rPr>
          <w:b/>
        </w:rPr>
        <w:t>Available abstract (not full text):</w:t>
      </w:r>
      <w:r>
        <w:t xml:space="preserve"> This articles-based dissertation assesses the constitutional effectiveness of the European Commission’s defence-industrial policy in the wake of the 2016 European Defence Action Plan (EDAP). This plan focused on developing and integrating the defence industry of the European Union (EU) through defence industry subsidies and arms trade liberalisation. The dissertation studies the EDAP against the background of the EU’s constitution, formed by the Treaty on European Union (TEU) and Treaty on the Functioning of the European Union (TFEU). That constitution is characterised by purpose-driven functionalism: it grants the EU functionally-defined competences to pursue specified objectives. Among those competences, a separation must be made between economic policy (which is supranational) and defence policy (which is intergovernmental). The EU Treaties thus form a dual constitution, of which the two parts function according to distinct logics and governance structures while standing in service to shared objectives. For the EDAP to be considered constitutionally effective, it must simultaneously respect this constitutional separation of powers and contribute to the EU’s objectives of promoting peace, its values, and the wellbeing of its peoples. Arms controls are now regulated in part through the internal market, but fall primarily within the remit of the Common Foreign and Security Poli</w:t>
      </w:r>
    </w:p>
    <w:p>
      <w:pPr/>
      <w:r>
        <w:rPr>
          <w:b/>
        </w:rPr>
        <w:t>POSSIBLE 2024:</w:t>
      </w:r>
      <w:r>
        <w:t xml:space="preserve"> Are European Elections Still Second-Order? A Study of Spain and Portugal — https://doi.org/10.52224/21845263/rev42a2</w:t>
      </w:r>
    </w:p>
    <w:p>
      <w:pPr/>
      <w:r>
        <w:rPr>
          <w:b/>
        </w:rPr>
        <w:t>Shared claim-specific concepts:</w:t>
      </w:r>
      <w:r>
        <w:t xml:space="preserve"> order, question; EU scope visible. This is a provisional connection, not an outcome finding.</w:t>
      </w:r>
    </w:p>
    <w:p>
      <w:pPr>
        <w:pStyle w:val="SourceNote"/>
      </w:pPr>
      <w:r>
        <w:rPr>
          <w:b/>
        </w:rPr>
        <w:t>Available abstract (not full text):</w:t>
      </w:r>
      <w:r>
        <w:t xml:space="preserve"> This paper addresses the issue of ‘second order’ elections as applied to the electoral results of the 2019 and 2024 European Parliament elections in the Iberian states. Specifically, it aims to analyse whether these elections can be classified within this category. To achieve this objective and answer the research question, we have analysed through descriptive statistics the information related to three study variables extracted from the conceptual model adopted: level of electoral participation; strategic or affective orientation and motivation of the vote; level of support for the ruling party. The results show contrasting trends in relation to the expected values. In conclusion, we must point out the impossibility of effectively framing the elections analysed in the second-order category. We can affirm that the analytical model traditionally used presents important limitations in contexts of change and recomposition in party systems.</w:t>
      </w:r>
    </w:p>
    <w:p>
      <w:pPr/>
      <w:r>
        <w:rPr>
          <w:b/>
        </w:rPr>
        <w:t>POSSIBLE 2023:</w:t>
      </w:r>
      <w:r>
        <w:t xml:space="preserve"> The expected speed and impacts of vehicle automation in passenger and freight transport: A Dissensus Delphi study among UK professionals — https://doi.org/10.1016/j.rtbm.2023.100973</w:t>
      </w:r>
    </w:p>
    <w:p>
      <w:pPr/>
      <w:r>
        <w:rPr>
          <w:b/>
        </w:rPr>
        <w:t>Shared claim-specific concepts:</w:t>
      </w:r>
      <w:r>
        <w:t xml:space="preserve"> adopts, delphi, approach, potential; EU scope not established. This is a provisional connection, not an outcome finding.</w:t>
      </w:r>
    </w:p>
    <w:p>
      <w:pPr>
        <w:pStyle w:val="SourceNote"/>
      </w:pPr>
      <w:r>
        <w:rPr>
          <w:b/>
        </w:rPr>
        <w:t>Available abstract (not full text):</w:t>
      </w:r>
      <w:r>
        <w:t xml:space="preserve">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pPr/>
      <w:r>
        <w:rPr>
          <w:b/>
        </w:rPr>
        <w:t>POSSIBLE 2023:</w:t>
      </w:r>
      <w:r>
        <w:t xml:space="preserve"> Out-of-round railway wheels and polygonisation — https://doi.org/10.1080/00423114.2023.2194544</w:t>
      </w:r>
    </w:p>
    <w:p>
      <w:pPr/>
      <w:r>
        <w:rPr>
          <w:b/>
        </w:rPr>
        <w:t>Shared claim-specific concepts:</w:t>
      </w:r>
      <w:r>
        <w:t xml:space="preserve"> potential, main, material; EU scope not established. This is a provisional connection, not an outcome finding.</w:t>
      </w:r>
    </w:p>
    <w:p>
      <w:pPr>
        <w:pStyle w:val="SourceNote"/>
      </w:pPr>
      <w:r>
        <w:rPr>
          <w:b/>
        </w:rPr>
        <w:t>Available abstract (not full text):</w:t>
      </w:r>
      <w:r>
        <w:t xml:space="preserve"> Out-of-roundness in railway wheels, in particular polygonal wear resulting in regular, multi-lobed, out-of-round wheels, has become a significant problem in recent years.It is of concern to railway operators due to the increased noise and vibration it can cause.This polygonisation is caused by cyclic wear but the exact mechanism leading to this type of wear is not fully understood.It appears to be the result of dynamic linking between a resonance or other periodic excitation in the coupled vehicle-track system and the existing wear at the wheel.This paper reviews the developing body of research being carried out in many countries by research groups, manufacturers and operators.Some examples of polygonisation on different types of railway vehicles are reported including feight trains, urban transit trains and high-speed trains.The main theories for the formation mechanisms are presented and the current measurement methods, computer simulation techniques and the effects and potential mitigation methods are reviewed.In parallel, the mechanisms and consequences of discrete wheel tread irregularities, such as wheel flats and material fall-out due to rolling contact fatigue cracking, are addressed.</w:t>
      </w:r>
    </w:p>
    <w:p>
      <w:pPr/>
      <w:r>
        <w:rPr>
          <w:b/>
        </w:rPr>
        <w:t>POSSIBLE 2023:</w:t>
      </w:r>
      <w:r>
        <w:t xml:space="preserve"> Round Robin based Arbitration Mechanism for Signaling Approach based Router Architecture — https://doi.org/10.17762/ijritcc.v11i10.8666</w:t>
      </w:r>
    </w:p>
    <w:p>
      <w:pPr/>
      <w:r>
        <w:rPr>
          <w:b/>
        </w:rPr>
        <w:t>Shared claim-specific concepts:</w:t>
      </w:r>
      <w:r>
        <w:t xml:space="preserve"> approach, explore, value; EU scope not established. This is a provisional connection, not an outcome finding.</w:t>
      </w:r>
    </w:p>
    <w:p>
      <w:pPr>
        <w:pStyle w:val="SourceNote"/>
      </w:pPr>
      <w:r>
        <w:rPr>
          <w:b/>
        </w:rPr>
        <w:t>Available abstract (not full text):</w:t>
      </w:r>
      <w:r>
        <w:t xml:space="preserve"> In Network-on-Chip the effectiveness of the network resource allocation is demonstrated by the flow control mechanism. There are two types of flow control mechanisms: buffered and bufferless. Compared to buffered flow control methods, buffer less flow control mechanisms are easier to use, need less power, and take up less space. When there are congestion and resource conflicts, it experiences higher packet loss and packet misrouting inside the network. A good buffered control mechanism useful as it overcomes the limitations of buffer less mechanism. There are numerous buffered and bufferless flow control methods available. In this paper, signaling-based Virtual Output Queue Router Arbiter Mechanism is used to explore credit-based flow control. This mechanism worked on new concept that is “stress value”. This information is generated in the form of credit whenever any input buffer has free space. Then, using this credit data, the node's stress value is determined. Free buffer space takes precedence over stress value if it is bigger. The stress value will increase if there is less available buffer space. To handle the congestion problem, the signaling block then sends this stress value to a neighboring router. To help the arbitrator make a more accurate decision, the crediting system constantly operates in tandem with arbitration.</w:t>
      </w:r>
    </w:p>
    <w:p>
      <w:pPr/>
      <w:r>
        <w:rPr>
          <w:b/>
        </w:rPr>
        <w:t>POSSIBLE 2023:</w:t>
      </w:r>
      <w:r>
        <w:t xml:space="preserve"> Disrupting European politics? Rhetorical analysis of MEP Manon Aubry’s politicising strategies in Twitter — https://doi.org/10.1080/14782804.2023.2177836</w:t>
      </w:r>
    </w:p>
    <w:p>
      <w:pPr/>
      <w:r>
        <w:rPr>
          <w:b/>
        </w:rPr>
        <w:t>Shared claim-specific concepts:</w:t>
      </w:r>
      <w:r>
        <w:t xml:space="preserve"> approach, question, potential, material; EU scope visible. This is a provisional connection, not an outcome finding.</w:t>
      </w:r>
    </w:p>
    <w:p>
      <w:pPr>
        <w:pStyle w:val="SourceNote"/>
      </w:pPr>
      <w:r>
        <w:rPr>
          <w:b/>
        </w:rPr>
        <w:t>Available abstract (not full text):</w:t>
      </w:r>
      <w:r>
        <w:t xml:space="preserve"> This article takes a conceptual approach to EU politicisation and analyses the empirical case study of MEP Manon Aubry’s use of Twitter as political activity from a rhetorical perspective. A self-proclaimed ‘activist deputy’ representing La France Insoumise is illustrated of using politicising strategies in Twitter after the European elections in 2019 to assume the representative role of a ‘disruptive outsider’. Here rhetorical analysis is used to answer the question: to what extent Aubry’s use of Twitter was a case of disruption, and whether or not it contributes to EU politicisation? Aubry, who was threatened of a sanction by the President of the European Parliament for inciting the occupation of the plenary by Extinction Rebellion, argued that her political freedom and free speech were under threat. Although the analysis is limited to only one MEP, examining the case study is an effort into conceptualising and advancing future research on disruption in European politics with a contribution in the EU politicisation literature. The aim here is not to provide evidence of how widespread this kind of politicisation is, but it offers material for further research on political careers in the EP aiming at understanding the role of newcomers as potential ‘disruptive outsiders’.</w:t>
      </w:r>
    </w:p>
    <w:p>
      <w:pPr/>
      <w:r>
        <w:rPr>
          <w:b/>
        </w:rPr>
        <w:t>POSSIBLE 2023:</w:t>
      </w:r>
      <w:r>
        <w:t xml:space="preserve"> Why we need a gradient approach to word order — https://doi.org/10.1515/ling-2021-0098</w:t>
      </w:r>
    </w:p>
    <w:p>
      <w:pPr/>
      <w:r>
        <w:rPr>
          <w:b/>
        </w:rPr>
        <w:t>Shared claim-specific concepts:</w:t>
      </w:r>
      <w:r>
        <w:t xml:space="preserve"> approach, order, potential; EU scope not established. This is a provisional connection, not an outcome finding.</w:t>
      </w:r>
    </w:p>
    <w:p>
      <w:pPr>
        <w:pStyle w:val="SourceNote"/>
      </w:pPr>
      <w:r>
        <w:rPr>
          <w:b/>
        </w:rPr>
        <w:t>Available abstract (not full text):</w:t>
      </w:r>
      <w:r>
        <w:t xml:space="preserve"> Abstract This article argues for a gradient approach to word order, which treats word order preferences, both within and across languages, as a continuous variable. Word order variability should be regarded as a basic assumption, rather than as something exceptional. Although this approach follows naturally from the emergentist usage-based view of language, we argue that it can be beneficial for all frameworks and linguistic domains, including language acquisition, processing, typology, language contact, language evolution and change, and formal approaches. Gradient approaches have been very fruitful in some domains, such as language processing, but their potential is not fully realized yet. This may be due to practical reasons. We discuss the most pressing methodological challenges in corpus-based and experimental research of word order and propose some practical solutions.</w:t>
      </w:r>
    </w:p>
    <w:p>
      <w:pPr>
        <w:pStyle w:val="Heading2"/>
      </w:pPr>
      <w:r>
        <w:t>831. The Future of Rural Poland: the Main Trends and Possible Scenarios.</w:t>
      </w:r>
    </w:p>
    <w:p>
      <w:pPr>
        <w:pStyle w:val="SourceNote"/>
      </w:pPr>
      <w:r>
        <w:rPr>
          <w:b/>
        </w:rPr>
        <w:t>Original source (2017):</w:t>
      </w:r>
      <w:r>
        <w:t xml:space="preserve"> https://doi.org/10.1515/eec-2017-0004</w:t>
      </w:r>
    </w:p>
    <w:p>
      <w:pPr/>
      <w:r>
        <w:t>Original wording (abstract; indexed_source_text_not_full_document_verified):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POSSIBLE 2026:</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Shared claim-specific concepts:</w:t>
      </w:r>
      <w:r>
        <w:t xml:space="preserve"> objective, identification, shape; EU scope visible. This is a provisional connection, not an outcome finding.</w:t>
      </w:r>
    </w:p>
    <w:p>
      <w:pPr>
        <w:pStyle w:val="SourceNote"/>
      </w:pPr>
      <w:r>
        <w:rPr>
          <w:b/>
        </w:rPr>
        <w:t>Available abstract (not full text):</w:t>
      </w:r>
      <w:r>
        <w:t xml:space="preserve"> Abstract This paper presents a new method for differentiating postcranial bone remains of red deer ( Cervus elaphus ), fallow deer ( Dama dama ), and roe deer ( Capreolus capreolus ) from archaeological contexts. These species have a very similar bone morphology and partly overlapping size ranges, often preventing species-level identification in faunal research. Traditional methods, such as the use of diagnostic morphological criteria, or aDNA analysis, present practical and methodological limitations. In this study, bone biometric data from modern specimens, sourced from various institutions across northern and southern Europe, are analysed to determine size ranges and shape indices that can separate the three species, focussing on both adult and immature individuals. By comparing measurement values from archaeological remains with these biometric criteria, species identification can be attempted. The low-tech nature of this approach and the transparent, diagrammatic presentation of biometric results make the new method objective, highly accessible, and inclusive. In European and Mediterranean archaeology, the separation of fallow deer from other cervid species is crucial in the investigation of past biogeography, trading activities, hunting strategies, cultural values, and social status.</w:t>
      </w:r>
    </w:p>
    <w:p>
      <w:pPr/>
      <w:r>
        <w:rPr>
          <w:b/>
        </w:rPr>
        <w:t>POSSIBLE 2026:</w:t>
      </w:r>
      <w:r>
        <w:t xml:space="preserve"> How Personal Perspectives Shape Perceived Objectivity and Trustworthiness — https://openalex.org/W7164262789</w:t>
      </w:r>
    </w:p>
    <w:p>
      <w:pPr/>
      <w:r>
        <w:rPr>
          <w:b/>
        </w:rPr>
        <w:t>Shared claim-specific concepts:</w:t>
      </w:r>
      <w:r>
        <w:t xml:space="preserve"> objective, attempt, shape, not; EU scope not established. This is a provisional connection, not an outcome finding.</w:t>
      </w:r>
    </w:p>
    <w:p>
      <w:pPr>
        <w:pStyle w:val="SourceNote"/>
      </w:pPr>
      <w:r>
        <w:rPr>
          <w:b/>
        </w:rPr>
        <w:t>Available abstract (not full text):</w:t>
      </w:r>
      <w:r>
        <w:t xml:space="preserve"> Across three chapters, this dissertation investigates the psychological processes that underlie people’s decisions to trust others based on their personal perspectives on social issues. The first two chapters focus on contexts traditionally dominated by objectivity norms (e.g., science, journalism) where professionals’ suppression of their personal views is seen as a virtue in service of truth. The third chapter examines the interpersonal consequences of withholding one’s views on sociopolitical issues in workplace conversations more broadly. Across these chapters, my findings challenge existing work on when and why people trust others. With the intention of protecting public trust in the news, journalists are often asked to recuse themselves from reporting on topics on which they may be perceived as biased, such as when they have prior life experiences of harm related to the topic (e.g., a journalist who has previously been assaulted reporting on assault). Thus, journalists frequently attempt to predict how their known life experiences or backgrounds will influence public perceptions. In Chapter 1, I ask whether individuals, including journalists themselves, accurately anticipate the impact of a journalist’s related prior experience of harm on public trust. Across three studies (N = 2,290), I find that people systematically overestimate how much these experiences undermine per</w:t>
      </w:r>
    </w:p>
    <w:p>
      <w:pPr/>
      <w:r>
        <w:rPr>
          <w:b/>
        </w:rPr>
        <w:t>POSSIBLE 2026:</w:t>
      </w:r>
      <w:r>
        <w:t xml:space="preserve"> The politics of borders:How intra-European border policies shape political attitudes in the European Union — https://openalex.org/W7204152672</w:t>
      </w:r>
    </w:p>
    <w:p>
      <w:pPr/>
      <w:r>
        <w:rPr>
          <w:b/>
        </w:rPr>
        <w:t>Shared claim-specific concepts:</w:t>
      </w:r>
      <w:r>
        <w:t xml:space="preserve"> significant, shape, not, shifts; EU scope visible. This is a provisional connection, not an outcome finding.</w:t>
      </w:r>
    </w:p>
    <w:p>
      <w:pPr>
        <w:pStyle w:val="SourceNote"/>
      </w:pPr>
      <w:r>
        <w:rPr>
          <w:b/>
        </w:rPr>
        <w:t>Available abstract (not full text):</w:t>
      </w:r>
      <w:r>
        <w:t xml:space="preserve"> When governments close borders, how do they justify this and what happens to the people who live near them? This dissertation investigates how intra-European border policies shape the political attitudes of EU citizens. Although the Schengen Area was built on the promise of free movement, Member States have increasingly reintroduced temporary border controls, as was most visible during the migration crisis and the COVID-19 pandemic. This dissertation asks whether these decisions impact not just travel and trade, but also how citizens relate to their governments and to Europe itself. I argue that border policies reach citizens through both, direct experience and official communication. Those living in border regions feel the consequences in their daily lives through disrupted routines, economic uncertainty, and changed social interactions. Citizens are also exposed to how governments justify these measures, for example as legal obligations, security, or cooperative action. Drawing on original datasets that combine survey data, government communications, and detailed border closure records across Germany, France, and the Netherlands, the findings reveal a mixed picture. Direct exposure produces significant but temporary attitudinal shifts. Government justifications matter less for their specific content than for whether they meet basic standards of accountability. Taken together,</w:t>
      </w:r>
    </w:p>
    <w:p>
      <w:pPr/>
      <w:r>
        <w:rPr>
          <w:b/>
        </w:rPr>
        <w:t>POSSIBLE 2026:</w:t>
      </w:r>
      <w:r>
        <w:t xml:space="preserve"> Preschool Inclusion: Factors Shaping Teachers’ Attitudes — https://doi.org/10.15507/1991-9468.26303.593-610</w:t>
      </w:r>
    </w:p>
    <w:p>
      <w:pPr/>
      <w:r>
        <w:rPr>
          <w:b/>
        </w:rPr>
        <w:t>Shared claim-specific concepts:</w:t>
      </w:r>
      <w:r>
        <w:t xml:space="preserve"> objective, significant, factors; EU scope not established. This is a provisional connection, not an outcome finding.</w:t>
      </w:r>
    </w:p>
    <w:p>
      <w:pPr>
        <w:pStyle w:val="SourceNote"/>
      </w:pPr>
      <w:r>
        <w:rPr>
          <w:b/>
        </w:rPr>
        <w:t>Available abstract (not full text):</w:t>
      </w:r>
      <w:r>
        <w:t xml:space="preserve"> Introduction. The importance of developing an inclusive educational environment focused on ensuring equal development opportunities for all children determines the relevance of this study. The research problem is the lack of information on the conditions under which teachers’ attitudes toward inclusion in preschool education are shaped. The objective is to analyze the factors mediating preschool teachers’ attitudes toward the inclusion of children with special educational needs.Materials and Methods. The study was conducted in the spring and summer of 2024 using an online survey of 2,595 preschool teachers from seven federal districts. The relationship between the respondents’ socio-demographic characteristics and integrated indicators of attitudes toward inclusion was examined using linear regression analysis. Respondents’ perceptions of the organizational environment were examined using principal component analysis. The Teacher Attitudes to Inclusion scale was used, along with an adapted 11-item questionnaire assessing teachers’ attitudes toward inclusion across three original subscales (MBI, QES, CAT).Results. Respondents’ attitudes toward preschool inclusion were associated with their age, experience working with children under six, and education level. A regression model revealed a point effect of experience. Respondents in older age groups and with secondary vocational an</w:t>
      </w:r>
    </w:p>
    <w:p>
      <w:pPr/>
      <w:r>
        <w:rPr>
          <w:b/>
        </w:rPr>
        <w:t>POSSIBLE 2026:</w:t>
      </w:r>
      <w:r>
        <w:t xml:space="preserve"> On national and civilizational identification: polemical notes on R. Brubaker’s concept, drawing on the ideas of L.M. Drobizheva — https://doi.org/10.22378/he.2026-11-1.101-115</w:t>
      </w:r>
    </w:p>
    <w:p>
      <w:pPr/>
      <w:r>
        <w:rPr>
          <w:b/>
        </w:rPr>
        <w:t>Shared claim-specific concepts:</w:t>
      </w:r>
      <w:r>
        <w:t xml:space="preserve"> identification, outline, areas; EU scope visible. This is a provisional connection, not an outcome finding.</w:t>
      </w:r>
    </w:p>
    <w:p>
      <w:pPr>
        <w:pStyle w:val="SourceNote"/>
      </w:pPr>
      <w:r>
        <w:rPr>
          <w:b/>
        </w:rPr>
        <w:t>Available abstract (not full text):</w:t>
      </w:r>
      <w:r>
        <w:t xml:space="preserve"> This article is intended as a polemical essay. The presented points have two main objectives. The first one is to outline the areas of agreement and scholarly disagreement between the author and the ideas of renowned ethnosociologist Rogers Brubaker, expressed in his 2017 article on two types of political identity (nationalist and civilizational). The paper argues with the American sociologist that civilizationalism is supposedly displacing nationalism in the political strategy of right-wing populists in Europe. The author is even more dubious about attempts to equate the civilizational ideology of European right-wing populists with the civilizational ideas of Russian right-wing forces. From the author’s point of view, such an equation is inconsistent with reality and fails to take into account Russia’s historical and cultural characteristics. Secondly, the article is motivated by the author’s desire to remind the ethnosociological community of a number of important theoretical and methodological propositions by L.M. Drobizheva regarding the particular aspects of civic and state identification in Russia and the differences between Russian principles of such identification and those that developed within Western political culture. The distinguished Russian sociologist and ethnologist’s ideas are extremely relevant in the context of contemporary discussions about the specifics of</w:t>
      </w:r>
    </w:p>
    <w:p>
      <w:pPr/>
      <w:r>
        <w:rPr>
          <w:b/>
        </w:rPr>
        <w:t>POSSIBLE 2025:</w:t>
      </w:r>
      <w:r>
        <w:t xml:space="preserve"> Abstracts of the 19th European Congress of Psychology — https://doi.org/10.1024/2673-8627/a000085</w:t>
      </w:r>
    </w:p>
    <w:p>
      <w:pPr/>
      <w:r>
        <w:rPr>
          <w:b/>
        </w:rPr>
        <w:t>Shared claim-specific concepts:</w:t>
      </w:r>
      <w:r>
        <w:t xml:space="preserve"> significant, shape, not;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A DIGITAL MATURITY OF INSTITUTIONS IN POLAND – AN ATTEMPT AT IDENTIFICATION — https://doi.org/10.29119/1641-3466.2025.228.13</w:t>
      </w:r>
    </w:p>
    <w:p>
      <w:pPr/>
      <w:r>
        <w:rPr>
          <w:b/>
        </w:rPr>
        <w:t>Shared claim-specific concepts:</w:t>
      </w:r>
      <w:r>
        <w:t xml:space="preserve"> attempt, identification, significant, factors, polish, areas; EU scope visible. This is a provisional connection, not an outcome finding.</w:t>
      </w:r>
    </w:p>
    <w:p>
      <w:pPr>
        <w:pStyle w:val="SourceNote"/>
      </w:pPr>
      <w:r>
        <w:rPr>
          <w:b/>
        </w:rPr>
        <w:t>Available abstract (not full text):</w:t>
      </w:r>
      <w:r>
        <w:t xml:space="preserve"> Purpose: The purpose of this article is to identify and assess the level of digital maturity among institutions in Poland, with a focus on distinguishing patterns between public and private sector organizations. Design/methodology/approach: The study combines a systematic literature review with an empirical survey conducted among representatives of Polish institutions. The survey, based on a 7-point Likert scale, examined eight dimensions of digital maturity. Findings: The results indicate a moderate level of digital maturity across both public and private institutions, with notable differences in specific areas. While public institutions demonstrate higher maturity in regulated areas such as data management and infrastructure, private institutions score higher in digital leadership and cultural readiness. However, both sectors exhibit insufficient levels of innovation and agility, confirming that technological development alone does not ensure comprehensive digital transformation. Research limitations/implications: This study is limited to the Polish context and uses self reported data, which may be subject to bias. Future research could incorporate comparative studies across different countries or sectors, and expand with qualitative methods to explore internal organizational factors that support or hinder digital maturity. Practical implications: The findings offer practical</w:t>
      </w:r>
    </w:p>
    <w:p>
      <w:pPr/>
      <w:r>
        <w:rPr>
          <w:b/>
        </w:rPr>
        <w:t>POSSIBLE 2025:</w:t>
      </w:r>
      <w:r>
        <w:t xml:space="preserve"> The role of social, policy and economic forces in shaping forest restoration practices in Europe — https://doi.org/10.1016/j.landusepol.2025.107876</w:t>
      </w:r>
    </w:p>
    <w:p>
      <w:pPr/>
      <w:r>
        <w:rPr>
          <w:b/>
        </w:rPr>
        <w:t>Shared claim-specific concepts:</w:t>
      </w:r>
      <w:r>
        <w:t xml:space="preserve"> factors, rural; EU scope visible. This is a provisional connection, not an outcome finding.</w:t>
      </w:r>
    </w:p>
    <w:p>
      <w:pPr>
        <w:pStyle w:val="SourceNote"/>
      </w:pPr>
      <w:r>
        <w:rPr>
          <w:b/>
        </w:rPr>
        <w:t>Available abstract (not full text):</w:t>
      </w:r>
      <w:r>
        <w:t xml:space="preserve"> Forest restoration in Europe has a complex history strongly influenced by various social, policy and economic factors. Understanding these influences is essential for shaping effective restoration strategies and avoiding past mistakes, particularly in light of meeting ambitious targets outlined in initiatives such as the EU Nature Restoration Regulation. Here we identify the key social, policy and economic drivers, barriers and enablers that have historically shaped forest restoration across Europe. We analyzed and synthesized detailed information from historical national narratives on forest restoration provided by experts from 18 European countries. Our work details how wars, changes in governance (centralization vs. decentralization) and forest tenure (privatization vs. nationalization), different policy instruments (regulatory, financial, persuasive and organizational), market fluctuations and sociodemographic changes (e.g., rural abandonment, changes in public opinion) have driven the development of forest restoration in Europe. The findings underscore the need to use inclusive and innovative governance mechanisms to reconcile diverging societal paradigms (e.g., rural vs. urban, conservation vs. forestry) partly reflected in incoherent forest-related policies, as well as to address the fragmentation resulting from forest privatization. Ensuring stable funding mechanisms (e</w:t>
      </w:r>
    </w:p>
    <w:p>
      <w:pPr/>
      <w:r>
        <w:rPr>
          <w:b/>
        </w:rPr>
        <w:t>POSSIBLE 2025:</w:t>
      </w:r>
      <w:r>
        <w:t xml:space="preserve"> Shaping the Doctrine of European and Constitutional Identity into the Context of the European Integration of Ukraine — https://doi.org/10.62733/2025.2.89-121</w:t>
      </w:r>
    </w:p>
    <w:p>
      <w:pPr/>
      <w:r>
        <w:rPr>
          <w:b/>
        </w:rPr>
        <w:t>Shared claim-specific concepts:</w:t>
      </w:r>
      <w:r>
        <w:t xml:space="preserve"> perspective, not; EU scope visible. This is a provisional connection, not an outcome finding.</w:t>
      </w:r>
    </w:p>
    <w:p>
      <w:pPr>
        <w:pStyle w:val="SourceNote"/>
      </w:pPr>
      <w:r>
        <w:rPr>
          <w:b/>
        </w:rPr>
        <w:t>Available abstract (not full text):</w:t>
      </w:r>
      <w:r>
        <w:t xml:space="preserve"> The concept of constitutional identity is a fundamental idea that was developed into the jurisprudence of the Federal Constitutional Court of Germany and other European constitutional courts. It reflects the trends that have developed into the national constitutional law of the EU Member States as a result of determining the role and significance of national constitutions in the process of European integration. As a rule, national constitutions have the highest legal force within national legal systems, which in turn is closely related to the principle of state sovereignty and the priority of the constituent power of the people. The modern concept of constitutional identity defines the boundaries of state sovereignty and the need for national constitutional control over the state powers delegated to European institutions. In addition, national European constitutions have their own special nature, core and eternal values that cannot be replaced or abolished even in the process of constitutional changes. Fundamental rights and freedoms also retain their identity, their essential content, which must be protected from laws, politicians and European institutions by CJEU and national judiciary (constitutional courts). Ukraine not only announced its desire to join the EU, but also established in the Preamble to the Constitution its European geopolitical choice and the European identit</w:t>
      </w:r>
    </w:p>
    <w:p>
      <w:pPr/>
      <w:r>
        <w:rPr>
          <w:b/>
        </w:rPr>
        <w:t>POSSIBLE 2025:</w:t>
      </w:r>
      <w:r>
        <w:t xml:space="preserve"> Factors that Shape an Honest and Ethical Culture — https://doi.org/10.21532/apfjournal.v10i1.373</w:t>
      </w:r>
    </w:p>
    <w:p>
      <w:pPr/>
      <w:r>
        <w:rPr>
          <w:b/>
        </w:rPr>
        <w:t>Shared claim-specific concepts:</w:t>
      </w:r>
      <w:r>
        <w:t xml:space="preserve"> factors, shape, not; EU scope not established. This is a provisional connection, not an outcome finding.</w:t>
      </w:r>
    </w:p>
    <w:p>
      <w:pPr>
        <w:pStyle w:val="SourceNote"/>
      </w:pPr>
      <w:r>
        <w:rPr>
          <w:b/>
        </w:rPr>
        <w:t>Available abstract (not full text):</w:t>
      </w:r>
      <w:r>
        <w:t xml:space="preserve"> This research aims to identify the factors that shape an honest and ethical culture in the context of fraud prevention. It is important to conduct this research as unethical and dishonest incidents often occur all over the world. The sampling technique was conducted on employees currently working and with work experience in Indonesia, resulting in 200 respondents. Data analysis was performed using Structural Equation Modelling (SEM). The results of this study found that only the tone at the top and effective reward and punishment significantly influenced the formation of an honest and ethical culture. Meanwhile, proper employee recruitment, communication of expectations, and a positive work environment did not significantly impact. This research contributes to stakeholders, especially management considerations, to form an honest and ethical culture within a company.</w:t>
      </w:r>
    </w:p>
    <w:p>
      <w:pPr/>
      <w:r>
        <w:rPr>
          <w:b/>
        </w:rPr>
        <w:t>POSSIBLE 2025:</w:t>
      </w:r>
      <w:r>
        <w:t xml:space="preserve"> Personality and the Use of Artificial Intelligence as Factors Shaping Decision-Making — https://doi.org/10.35808/ersj/4292</w:t>
      </w:r>
    </w:p>
    <w:p>
      <w:pPr/>
      <w:r>
        <w:rPr>
          <w:b/>
        </w:rPr>
        <w:t>Shared claim-specific concepts:</w:t>
      </w:r>
      <w:r>
        <w:t xml:space="preserve"> objective, attempt, factors, shape, polish; EU scope not established. This is a provisional connection, not an outcome finding.</w:t>
      </w:r>
    </w:p>
    <w:p>
      <w:pPr>
        <w:pStyle w:val="SourceNote"/>
      </w:pPr>
      <w:r>
        <w:rPr>
          <w:b/>
        </w:rPr>
        <w:t>Available abstract (not full text):</w:t>
      </w:r>
      <w:r>
        <w:t xml:space="preserve"> Purpose: The main objective of the article, identified with the research problem, was to identify the relationships between personality and decision-making.An attempt was also made to determine, in the light of the literature on the subject, whether personality and the use of artificial intelligence shape decision-making.Design/Methodology/Approach: In order to solve the research problem and verify the hypothesis that personality and the use of artificial intelligence shape decision-making, the methods of analysis and criticism of literature, diagnostic survey and statistical methods were used.Empirical, quantitative and qualitative research was conducted using a survey on a sample of 4,217 people from Generations X, Y and Z.The Polish adaptation of the Ten Item Personality Inventory (TIPI) -TIPI-PL was used for personality assessment.Decision-making ability, like other competency variables, was measured on the basis of self-assessment on a seven-point Likert scale.The relationships between variables were examined using Pearson's linear correlation coefficient.Findings: It was found that people who rate their decision-making abilities higher also rate their willingness to run their own business, their ability to work/run a business in Economy 4.0, their commitment to their work and employer higher, but also feel more "overwhelmed" by technological progress.It turned out that th</w:t>
      </w:r>
    </w:p>
    <w:p>
      <w:pPr/>
      <w:r>
        <w:rPr>
          <w:b/>
        </w:rPr>
        <w:t>POSSIBLE 2025:</w:t>
      </w:r>
      <w:r>
        <w:t xml:space="preserve"> Orientalist Translation of the Holy Qur‘an: Between Objective Cognitive Neutrality and Ideological Employment — https://doi.org/10.56334/sei/8.5.02</w:t>
      </w:r>
    </w:p>
    <w:p>
      <w:pPr/>
      <w:r>
        <w:rPr>
          <w:b/>
        </w:rPr>
        <w:t>Shared claim-specific concepts:</w:t>
      </w:r>
      <w:r>
        <w:t xml:space="preserve"> objective, identification, shape; EU scope visible. This is a provisional connection, not an outcome finding.</w:t>
      </w:r>
    </w:p>
    <w:p>
      <w:pPr>
        <w:pStyle w:val="SourceNote"/>
      </w:pPr>
      <w:r>
        <w:rPr>
          <w:b/>
        </w:rPr>
        <w:t>Available abstract (not full text):</w:t>
      </w:r>
      <w:r>
        <w:t xml:space="preserve"> This article aims to uncover the underlying motivations behind the interest of Orientalists in translating the Quran.It distinguishes between the cognitive, cultural, and religious aspects of these translations and the potential ideological and colonial backgrounds they may carry.In this context, the research addresses several points that enable a better understanding of the nature and goals of these translations, including an analysis of the general features distinguishing Orientalist translations of the Quran, and the identification of the methodologies used in their production-whether they adhere to scientific accuracy and objectivity, or lean toward bias and subjective viewpoints.The article also discusses the major consequences of transferring the Quranic text into European languages, attempting to determine whether these translations aim to interpret the Quran as a religious reference, or if they seek to shape and frame the consciousness of Muslim populations in ways that serve projects of dominance and control.</w:t>
      </w:r>
    </w:p>
    <w:p>
      <w:pPr>
        <w:pStyle w:val="Heading2"/>
      </w:pPr>
      <w:r>
        <w:t>832. Towards the European Union's Foreign Policy 2025 – Taking Stock of the Dahrendorf Foresight Project</w:t>
      </w:r>
    </w:p>
    <w:p>
      <w:pPr>
        <w:pStyle w:val="SourceNote"/>
      </w:pPr>
      <w:r>
        <w:rPr>
          <w:b/>
        </w:rPr>
        <w:t>Original source (2017):</w:t>
      </w:r>
      <w:r>
        <w:t xml:space="preserve"> https://doi.org/10.1111/1758-5899.12438</w:t>
      </w:r>
    </w:p>
    <w:p>
      <w:pPr/>
      <w:r>
        <w:t>Original wording (abstract; indexed_source_text_not_full_document_verified): Based on an analysis of the current state of the Union, this paper takes stock of the outcomes of the Dahrendorf Foresight Project and looks ahead at the EU 's role in the world of 2025.</w:t>
      </w:r>
    </w:p>
    <w:p>
      <w:pPr/>
      <w:r>
        <w:rPr>
          <w:b/>
        </w:rPr>
        <w:t>POSSIBLE 2026:</w:t>
      </w:r>
      <w:r>
        <w:t xml:space="preserve"> Current state and potential of hospitals for automated healthcare-associated infection surveillance: data from 24 European countries, 2022 to 2023 — https://doi.org/10.2807/1560-7917.es.2026.31.19.2500736</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BACKGROUND Although electronic health records are increasingly used for automated surveillance (AS) of healthcare-associated infections (HAIs), implementation is still a challenge. To develop more targeted implementation initiatives across Europe, knowledge about the current state of AS and potential to implement AS systems is needed. AIM To assess the adoption and feasibility of AS based on the 2022–2023 European Centre for Disease Prevention and Control (ECDC) Point Prevalence Survey (PPS). METHODS The 2022–2023 ECDC PPS included questions on the degree of AS and digital data storage for seven HAIs. Descriptive analyses of the responses were performed and stratified by geographic region and hospital characteristics. Categorical variables were analysed as such and converted to ordinal scales. RESULTS Overall, 992 hospitals from 24 European countries participated. Across all seven HAIs, fully manual surveillance was the most common method (from healthcare-associated pneumonia (HAP) 38.8% to Clostridioides difficile infection (CDI) 45.4%). A considerable proportion, i.e. 19.3% (HAP) to 29.8% (CDI), employed some form of automation (automated denominator 5.3–11.3%; semi-automated 12.2–16.9%; fully automated 1.8–2.9%). Many hospitals not employing AS had required source data digitally stored. Generally, tertiary hospitals had higher levels of automation and digital data storage co</w:t>
      </w:r>
    </w:p>
    <w:p>
      <w:pPr/>
      <w:r>
        <w:rPr>
          <w:b/>
        </w:rPr>
        <w:t>POSSIBLE 2026:</w:t>
      </w:r>
      <w:r>
        <w:t xml:space="preserve"> Predicting Tesla’s stock based on machine learning — https://doi.org/10.54097/v4g7nt55</w:t>
      </w:r>
    </w:p>
    <w:p>
      <w:pPr/>
      <w:r>
        <w:rPr>
          <w:b/>
        </w:rPr>
        <w:t>Shared claim-specific concepts:</w:t>
      </w:r>
      <w:r>
        <w:t xml:space="preserve"> based, current, takes, stock; EU scope not established. This is a provisional connection, not an outcome finding.</w:t>
      </w:r>
    </w:p>
    <w:p>
      <w:pPr>
        <w:pStyle w:val="SourceNote"/>
      </w:pPr>
      <w:r>
        <w:rPr>
          <w:b/>
        </w:rPr>
        <w:t>Available abstract (not full text):</w:t>
      </w:r>
      <w:r>
        <w:t xml:space="preserve"> This article emphasizes that when using economic theories to predict stocks, a certain logical sequence needs to be followed. Among the many well-known stocks, Tesla's stock is highly volatile. If the stock prediction can be relatively accurate, it will better demonstrate the feasibility of using machine learning to predict stocks. Therefore, the paper takes the prediction of Tesla's stock using machine learning as an example. First, machine learning was used to analyze the data distribution, and then it was used to analyze the data relationships. Based on the results of the first two steps, the model needed for prediction was derived, and then the prediction model (LSTM) was used to accurately predict the stock price fluctuations of Tesla over the past five years. The experimental results indicate that the model has good predictive performance. Finally, it points out the current shortcomings of using machine learning to predict stocks and the future directions for improvement.</w:t>
      </w:r>
    </w:p>
    <w:p>
      <w:pPr/>
      <w:r>
        <w:rPr>
          <w:b/>
        </w:rPr>
        <w:t>POSSIBLE 2026:</w:t>
      </w:r>
      <w:r>
        <w:t xml:space="preserve"> Historical background and current state of air transport in the organization of tourist travel in europe and the world — https://doi.org/10.32589/2412-9321.32.2026.363217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The purpose of the article is to study the historical preconditions for the development of airline transport in the field of tourist travel and to analyse its current state in Europe and the world in the context of post-COVID recovery, as well as to identify new market needs that arise for passengers when travelling by air. The research methodology is based on a combination of general scientific and special methods of cognition. In the course of the work, the historical-logical method, a systematic approach, methods of analysis and generalisation, comparative analysis, statistical and logical methods were used.The scientific novelty of the study lies in a comprehensive study of the current stage of development of air transport through the prism of post-pandemic recovery of the tourism industry. It is substantiated that the pandemic has become not only a factor of decline, but also a point of change that has affected the process of serving tourists in air transport in terms of sanitary and safety requirements, digitalisation of service, and reorientation of tourist flows. Research results. The article examines the state of air transport in the first months of the pandemic and the post-pandemic period of industry recovery; it examines the dynamics of global passenger traffic with forecasts until 2030; examines the share of passenger air travel by region of the world (Asia-Pacific</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2025:</w:t>
      </w:r>
      <w:r>
        <w:t xml:space="preserve"> The current state of cranioplasty in Europe – Results from a European cranioplasty survey — https://doi.org/10.1016/j.bas.2025.104214</w:t>
      </w:r>
    </w:p>
    <w:p>
      <w:pPr/>
      <w:r>
        <w:rPr>
          <w:b/>
        </w:rPr>
        <w:t>Shared claim-specific concepts:</w:t>
      </w:r>
      <w:r>
        <w:t xml:space="preserve"> current, state, outcomes; EU scope visible. This is a provisional connection, not an outcome finding.</w:t>
      </w:r>
    </w:p>
    <w:p>
      <w:pPr>
        <w:pStyle w:val="SourceNote"/>
      </w:pPr>
      <w:r>
        <w:rPr>
          <w:b/>
        </w:rPr>
        <w:t>Available abstract (not full text):</w:t>
      </w:r>
      <w:r>
        <w:t xml:space="preserve"> Introduction: Cranioplasty, a surgical procedure to restore skull integrity and aesthetic contour following decompressive craniectomy, poses challenges in material selection and timing, driven by the lack of guidelines and ongoing regulatory changes. Research question: This study aimed to provide an overview of current cranioplasty practices in Europe, explicitly addressing a potential shift towards alloplastic materials and the management of patients with concomitant hydrocephalus. Material and methods: An online survey was conducted among European neurosurgical centers from January to March 2024, collecting data on material preferences, timing of procedures, and management strategies for cranioplasty. Descriptive and statistical analyses were performed on 110 complete responses. Results: Respondents favored alloplastic materials over autologous bone for cranioplasty, citing regulatory constraints and reduced infection risk as primary reasons. Variability was observed in the timing of procedures and the management of patients with hydrocephalus, with most centers adopting staged approaches. Discussion and conclusion: The shift towards alloplastic materials in cranioplasty reflects regulatory pressures rather than material-specific considerations. Despite variability in practice, our findings underscore the need for standardized guidelines and further research to optimize patie</w:t>
      </w:r>
    </w:p>
    <w:p>
      <w:pPr/>
      <w:r>
        <w:rPr>
          <w:b/>
        </w:rPr>
        <w:t>POSSIBLE 2025:</w:t>
      </w:r>
      <w:r>
        <w:t xml:space="preserve"> The current state, opportunities and challenges for upscaling private investment in biodiversity in Europe — https://doi.org/10.1038/s41559-024-02632-0</w:t>
      </w:r>
    </w:p>
    <w:p>
      <w:pPr/>
      <w:r>
        <w:rPr>
          <w:b/>
        </w:rPr>
        <w:t>Shared claim-specific concepts:</w:t>
      </w:r>
      <w:r>
        <w:t xml:space="preserve"> current, state, outcomes, role; EU scope visible. This is a provisional connection, not an outcome finding.</w:t>
      </w:r>
    </w:p>
    <w:p>
      <w:pPr>
        <w:pStyle w:val="SourceNote"/>
      </w:pPr>
      <w:r>
        <w:rPr>
          <w:b/>
        </w:rPr>
        <w:t>Available abstract (not full text):</w:t>
      </w:r>
      <w:r>
        <w:t xml:space="preserve"> European countries have committed to ambitious upscaling of privately funded nature conservation. We review the status and drivers of biodiversity finance in Europe. By implementing semistructured interviews with 25 biodiversity finance key informants and three focus groups across Europe, we explore opportunities and challenges for upscaling private investment in nature. Opportunities arise from macroeconomic and regulatory changes, along with various technological and financial innovations and growing professional experience. However, persistent barriers to upscaling include the ongoing lack of highly profitable investment opportunities and the multitude of risks facing investors, including political, ecological and reputational risks influencing supply and demand of investment opportunities. Public policy plays the foundational role in creating and hindering these mechanisms. Public policy can create nature markets and investment opportunities, meanwhile agricultural subsidies and poor coordination between public funding sources undermine the supply of return-seeking investment opportunities. Investors demand derisking investments from uncertainties; in part caused by political uncertainty. These markets require profound state intervention to enable upscaling whilst achieving positive ecological outcomes; private investment will probably not upscale without major public polic</w:t>
      </w:r>
    </w:p>
    <w:p>
      <w:pPr/>
      <w:r>
        <w:rPr>
          <w:b/>
        </w:rPr>
        <w:t>POSSIBLE 2024:</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MONITORING OF THE CURRENT STATE OF THE STOCK MARKET OF UKRAINE — https://doi.org/10.32782/1814-1161/2024-3-7</w:t>
      </w:r>
    </w:p>
    <w:p>
      <w:pPr/>
      <w:r>
        <w:rPr>
          <w:b/>
        </w:rPr>
        <w:t>Shared claim-specific concepts:</w:t>
      </w:r>
      <w:r>
        <w:t xml:space="preserve"> based, current, state, stock, world; EU scope not established. This is a provisional connection, not an outcome finding.</w:t>
      </w:r>
    </w:p>
    <w:p>
      <w:pPr>
        <w:pStyle w:val="SourceNote"/>
      </w:pPr>
      <w:r>
        <w:rPr>
          <w:b/>
        </w:rPr>
        <w:t>Available abstract (not full text):</w:t>
      </w:r>
      <w:r>
        <w:t xml:space="preserve"> The article monitors the stock market of Ukraine in the period 2019–2023. The definition of the concept of “stock market” is considered. Analyzed different periods, both before the full-scale invasion and during the war. The stock market in any country in the world is characterized by the number of issued financial instruments by business entities. It is also characterized by the volume of exchange trading in these instruments. The stock market is an indicator of the state of the country’s economy. It also performs specific functions in the financial policy of the country. Its development and increase in functionality is a priority task of the government. The development of the stock market of our country is based on the experience of the developed countries of the world. It should be noted that the stock market of our country is at the stage of formation, based on the volume and number of financial instruments with which operations are carried out on the market. Based on the MSCI classification, the stock market of our country belongs to the least developed category. This is due to certain restrictions introduced by the NBU for foreign investors, as well as their failure to perform their main functions properly. It is clear that the full-scale invasion of the Russian Federation, which took place in February 2022, had a negative impact on the capital market of our country. Base</w:t>
      </w:r>
    </w:p>
    <w:p>
      <w:pPr/>
      <w:r>
        <w:rPr>
          <w:b/>
        </w:rPr>
        <w:t>POSSIBLE 2024:</w:t>
      </w:r>
      <w:r>
        <w:t xml:space="preserve"> Current State of Education for Sustainable Development — https://doi.org/10.4324/9781003492597-3</w:t>
      </w:r>
    </w:p>
    <w:p>
      <w:pPr/>
      <w:r>
        <w:rPr>
          <w:b/>
        </w:rPr>
        <w:t>Shared claim-specific concepts:</w:t>
      </w:r>
      <w:r>
        <w:t xml:space="preserve"> based, current, state, outcomes, project; EU scope visible. This is a provisional connection, not an outcome finding.</w:t>
      </w:r>
    </w:p>
    <w:p>
      <w:pPr>
        <w:pStyle w:val="SourceNote"/>
      </w:pPr>
      <w:r>
        <w:rPr>
          <w:b/>
        </w:rPr>
        <w:t>Available abstract (not full text):</w:t>
      </w:r>
      <w:r>
        <w:t xml:space="preserve"> This chapter draws insights on Education for Sustainable Development (ESD) with a focus on the current state of sustainability education in Europe. It provides a comprehensive overview of the landscape of numerous practices, addressing key challenges and opportunities. The chapter delves into different initiatives, policies, and institutional strategies that shape the ESD landscape across European countries. A central feature of this discussion is the placement of the GreenSCENT project within this spectrum. To this end, the chapter analyses the GreenSCENT approach, exploring its objectives, methodologies, and outcomes. It highlights the project’s innovative approaches to embedding sustainability principles in education, in the light of competency development (GreenSCENT Competence Framework). Thus, through competence-based curricula, new transformative educational pathways were delineated with the use of accessible digital and hands-on demonstrators (GreenSCENT Toolbox), providing at the same time, a robust European Qualifications Framework (EQF) for sustainability competences based on the key pillars of the European Green Deal.</w:t>
      </w:r>
    </w:p>
    <w:p>
      <w:pPr/>
      <w:r>
        <w:rPr>
          <w:b/>
        </w:rPr>
        <w:t>POSSIBLE 2023:</w:t>
      </w:r>
      <w:r>
        <w:t xml:space="preserve"> Area-based conservation: Taking stock and looking ahead — https://doi.org/10.1016/j.oneear.2023.01.012</w:t>
      </w:r>
    </w:p>
    <w:p>
      <w:pPr/>
      <w:r>
        <w:rPr>
          <w:b/>
        </w:rPr>
        <w:t>Shared claim-specific concepts:</w:t>
      </w:r>
      <w:r>
        <w:t xml:space="preserve"> stock, outcomes, ahead, world; EU scope not established. This is a provisional connection, not an outcome finding.</w:t>
      </w:r>
    </w:p>
    <w:p>
      <w:pPr>
        <w:pStyle w:val="SourceNote"/>
      </w:pPr>
      <w:r>
        <w:rPr>
          <w:b/>
        </w:rPr>
        <w:t>Available abstract (not full text):</w:t>
      </w:r>
      <w:r>
        <w:t xml:space="preserve"> Area-based conservation, particularly of protected areas, is the primary approach used globally to address biodiversity decline and currently covers 8% of the world's oceans and 17% of its lands. In the wake of the adoption of the Kunming-Montreal Global Biodiversity Framework under the Convention on Biological Diversity, area-based conservation (including protected areas and other effective area-based conservation measures [OECMs]) is set to diversify and rapidly expand as mandated by the 30x30 target to protect 30% of the planet by 2030. At this pivotal point, we take stock of the approach, including its history in global conservation policy and performance to date. We outline the following priority directions to ensure area-based conservation contributes to securing a sustainable and just future: (1) embracing a diverse area-based conservation toolbox to stem biodiversity loss, (2) centering social equity in area-based conservation, and (3) adopting robust monitoring and review processes to ensure effective and equitable outcomes.</w:t>
      </w:r>
    </w:p>
    <w:p>
      <w:pPr/>
      <w:r>
        <w:rPr>
          <w:b/>
        </w:rPr>
        <w:t>POSSIBLE 2023:</w:t>
      </w:r>
      <w:r>
        <w:t xml:space="preserve"> CURRENT STATE OF BURNOUT SYNDROME FREQUENCY IN EUROPEAN MEDICAL PROFESSIONALS — https://doi.org/10.32689/2663-0672-2023-1-2</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Formulation of the problem. The article is devoted to study the issues related to current state of burnout syndrome frequency in European medical professionals which are important not only for domestic and foreign psychology, but also for clinical medicine in particular, due to its increased social significance and worldwide prevalence, while therefore there is a need for more detailed research. Analysis of recent research and publications. Burnout syndrome among medical professionals is common and usually may associate with negative consequences that can lead to poor patient’s care. According to the World Health Organization (ICD-11: Burnout QD85), burnout syndrome is understood as an occupational phenomenon that contains 3 components: emotional exhaustion/EE, depersonalization/DP, and also reduced personal accomplishment/PA. Formulation of the aim of an article. Article aimed to determine the current state of burnout syndrome frequency in European medical professionals. Presenting main material. The article includes the scientific studies of researchers who explored burnout syndrome among medical professionals (including family doctors) by using the Maslach Burnout Inventory/MBI and Copenhagen Burnout Inventory/CBI. Conclusions and prospects for additional research. Based on our study, we consider it necessary to conclude the following: the majority of research on the investi</w:t>
      </w:r>
    </w:p>
    <w:p>
      <w:pPr>
        <w:pStyle w:val="Heading2"/>
      </w:pPr>
      <w:r>
        <w:t>833. Transition pathways for a UK low-carbon electricity system: Comparing scenarios and technology implications</w:t>
      </w:r>
    </w:p>
    <w:p>
      <w:pPr>
        <w:pStyle w:val="SourceNote"/>
      </w:pPr>
      <w:r>
        <w:rPr>
          <w:b/>
        </w:rPr>
        <w:t>Original source (2017):</w:t>
      </w:r>
      <w:r>
        <w:t xml:space="preserve"> https://doi.org/10.1016/j.rser.2017.10.007</w:t>
      </w:r>
    </w:p>
    <w:p>
      <w:pPr/>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POSSIBLE 2026:</w:t>
      </w:r>
      <w:r>
        <w:t xml:space="preserve"> Feasibility and Outcomes of Social Enterprise Models to Enhance Financial Sustainability in Kenyan Health Systems: A Systematic Review — https://doi.org/10.5281/zenodo.19565505</w:t>
      </w:r>
    </w:p>
    <w:p>
      <w:pPr/>
      <w:r>
        <w:rPr>
          <w:b/>
        </w:rPr>
        <w:t>Shared claim-specific concepts:</w:t>
      </w:r>
      <w:r>
        <w:t xml:space="preserve"> aid, informed, feasibility; EU scope not established. This is a provisional connection, not an outcome finding.</w:t>
      </w:r>
    </w:p>
    <w:p>
      <w:pPr>
        <w:pStyle w:val="SourceNote"/>
      </w:pPr>
      <w:r>
        <w:rPr>
          <w:b/>
        </w:rPr>
        <w:t>Available abstract (not full text):</w:t>
      </w:r>
      <w:r>
        <w:t xml:space="preserve"> Abstract This systematic review evaluates the feasibility and outcomes of social enterprise models in Kenyan health systems as mechanisms to enhance financial sustainability by combining social missions with revenue generation. A comprehensive search of databases and grey literature focusing on Kenya and similar settings was conducted. Two independent reviewers screened and extracted data on regulatory, governance, infrastructure, stakeholder, and economic factors, resolving discrepancies by consensus. Methodological quality was assessed using standardized tools, and findings were synthesized narratively following the Preferred Reporting Items for Systematic Reviews and Meta-Analyses (PRISMA) guidelines, informed by resource dependence and institutional theory within a social enterprise framework. The results show that implementing social enterprises in Kenya is feasible but depends on enabling institutional environments. Fragmented policies limit operational flexibility, and infrastructural deficits restrict scalability, with only 58% of facilities supporting innovative financing. Weak governance affects strategic coherence, with approximately 40% of enterprises struggling to maintain direction. Economic volatility, including 5.7% annual inflation, threatens revenue stability. Reported benefits include improved healthcare access, enhanced operational efficiency, and progress t</w:t>
      </w:r>
    </w:p>
    <w:p>
      <w:pPr/>
      <w:r>
        <w:rPr>
          <w:b/>
        </w:rPr>
        <w:t>POSSIBLE 2026:</w:t>
      </w:r>
      <w:r>
        <w:t xml:space="preserve"> Feasibility, acceptability, and usability of a patient decision aid for participation in the DAHANCA 35 proton radiotherapy trial: A qualitative study — https://doi.org/10.1016/j.tipsro.2026.100425</w:t>
      </w:r>
    </w:p>
    <w:p>
      <w:pPr/>
      <w:r>
        <w:rPr>
          <w:b/>
        </w:rPr>
        <w:t>Shared claim-specific concepts:</w:t>
      </w:r>
      <w:r>
        <w:t xml:space="preserve"> aid, informed, feasibility, acceptability; EU scope not established. This is a provisional connection, not an outcome finding.</w:t>
      </w:r>
    </w:p>
    <w:p>
      <w:pPr>
        <w:pStyle w:val="SourceNote"/>
      </w:pPr>
      <w:r>
        <w:rPr>
          <w:b/>
        </w:rPr>
        <w:t>Available abstract (not full text):</w:t>
      </w:r>
      <w:r>
        <w:t xml:space="preserve"> Background: Clinical trial participation in oncology remains low, despite its importance for advancing treatment. Patients are often asked to consider trial participation in emotionally and cognitively demanding situations, which may limit their ability to engage with complex information and relate decisions to their values and life context. Patient decision aids (PtDAs) may support informed, value-based decision-making, but their feasibility in clinical trial settings warrants further exploration. Objective: To qualitatively assess the feasibility of integrating a clinical trial PtDA into routine trial communication and to explore its acceptability and usability in practice. Methods: A qualitative feasibility study using interpretive description methodology was conducted. Semi-structured telephone interviews were performed with 11 patients and 14 healthcare professionals involved in a Danish randomised controlled trial comparing photon and proton radiotherapy. Data were analysed inductively. Results: Integration of the PtDA into clinical workflows was feasible. However, its acceptability and usability varied depending on how it was introduced and embedded in clinical interactions. Patients engaged with the PtDA in different ways; some used it independently or with family members, while others required clinician support. Participants described the PtDA as supporting understandi</w:t>
      </w:r>
    </w:p>
    <w:p>
      <w:pPr/>
      <w:r>
        <w:rPr>
          <w:b/>
        </w:rPr>
        <w:t>POSSIBLE 2026:</w:t>
      </w:r>
      <w:r>
        <w:t xml:space="preserve"> Updated International Patient Decision Aid Standards (IPDAS version 5.0): modified Delphi, evidence informed consensus process — https://doi.org/10.1136/bmj-2025-088116</w:t>
      </w:r>
    </w:p>
    <w:p>
      <w:pPr/>
      <w:r>
        <w:rPr>
          <w:b/>
        </w:rPr>
        <w:t>Shared claim-specific concepts:</w:t>
      </w:r>
      <w:r>
        <w:t xml:space="preserve"> aid, informed, goal; EU scope not established. This is a provisional connection, not an outcome finding.</w:t>
      </w:r>
    </w:p>
    <w:p>
      <w:pPr>
        <w:pStyle w:val="SourceNote"/>
      </w:pPr>
      <w:r>
        <w:rPr>
          <w:b/>
        </w:rPr>
        <w:t>Available abstract (not full text):</w:t>
      </w:r>
      <w:r>
        <w:t xml:space="preserve"> Patient decision aids (PDAs) are evidence informed tools designed to support patients in the process of making decisions about their health. The International Patient Decision Aid Standards (IPDAS) Collaboration last updated the standards in 2013 and the evidence about patient decision aids has expanded substantially. In this article, we report on an update to IPDAS that used a modified Delphi process with two rounds of voting to reach consensus on evidence informed changes to the criteria. The 202 participants were from 26 countries, and included patients/consumers, policy makers, researchers, and clinician researchers. IPDAS 5.0 includes seven qualifying criteria (necessary to be a patient decision aid), 10 essential criteria (necessary to reduce biased decisions), and 54 enhancing criteria (additional criteria that might improve the quality of a patient decision aid). The updated standards reflect the IPDAS Collaboration’s founding goal of providing high quality patient decision aids for patients that minimise potential biases in the decisions made about potential healthcare options.</w:t>
      </w:r>
    </w:p>
    <w:p>
      <w:pPr/>
      <w:r>
        <w:rPr>
          <w:b/>
        </w:rPr>
        <w:t>POSSIBLE 2026:</w:t>
      </w:r>
      <w:r>
        <w:t xml:space="preserve"> Virtual reality to aid recovery from critical illness: a feasibility trial of a rehabilitation intervention co-developed with key stakeholders — https://doi.org/10.1136/bmjopen-2026-119613</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Improved survival from critical illness has led to an increase in patients with long-term physical and psychological morbidity. Postintensive care rehabilitation services are variable and it is recognised that there is a need for inclusive and accessible interventions to support recovery after critical illness. We engaged with people with lived experience of critical care admission to co-produce a virtual reality mediated intervention (ViRtual REality to AiD recoverY post intensive care unit (ICU) (VR READY). OBJECTIVES: included assessment of the feasibility and acceptability of selected outcome measures for use in future efficacy and cost-effectiveness studies for ICU recovery. DESIGN: The co-developed intervention (VR READY) was evaluated in a single arm, non-randomised feasibility trial with embedded process evaluation in patients leaving critical care. SETTING: District General Hospital in Wales. PARTICIPANTS: Adults who had been admitted to an ICU requiring organ support for more than 48 hours during their current hospital admission. Patients were approached at the point of stepping down from the ICU to a general ward (±48 hours). 87 patients were screened for eligibility, 37 were approached and 22 participants were recruited. INTERVENTION: Participants were asked to use VR READY for at least 5 min per day for 14 days. PRIMARY AND SECONDARY OUTCOME MEASURES: T</w:t>
      </w:r>
    </w:p>
    <w:p>
      <w:pPr/>
      <w:r>
        <w:rPr>
          <w:b/>
        </w:rPr>
        <w:t>POSSIBLE 2026:</w:t>
      </w:r>
      <w:r>
        <w:t xml:space="preserve"> Feasibility and Acceptability of Link Worker–Led Social Prescribing for Urban Older Adults at Risk of Social Isolation: A Feasibility Study in Japan — https://doi.org/10.1155/hsc/1973687</w:t>
      </w:r>
    </w:p>
    <w:p>
      <w:pPr/>
      <w:r>
        <w:rPr>
          <w:b/>
        </w:rPr>
        <w:t>Shared claim-specific concepts:</w:t>
      </w:r>
      <w:r>
        <w:t xml:space="preserve"> feasibility, acceptability; EU scope not established. This is a provisional connection, not an outcome finding.</w:t>
      </w:r>
    </w:p>
    <w:p>
      <w:pPr>
        <w:pStyle w:val="SourceNote"/>
      </w:pPr>
      <w:r>
        <w:rPr>
          <w:b/>
        </w:rPr>
        <w:t>Available abstract (not full text):</w:t>
      </w:r>
      <w:r>
        <w:t xml:space="preserve"> Background Social prescribing connects patients to nonmedical support services to improve their social and emotional well‐being. However, this approach has yet to be systematically implemented and evaluated in Japan. This study evaluated the acceptability and feasibility of a pilot social prescribing programme for urban older adults at high risk of social isolation in Japan. Methods This single‐arm study involved individuals in Suginami Ward of Tokyo aged ≥ 65 years with chronic diseases who were at high risk of social isolation. Participants received social prescribing, comprising referrals to social resources by link workers, utilisation of public baths and monthly group walking activities. Link workers, community navigators providing preventive and continuity‐based support between healthcare and community settings (distinct from social workers who specialise in high‐risk cases and statutory or institutional interventions), connected participants to local social resources. Acceptability indicators were participation, eligibility and completion rates, while exploratory outcome measures included a binary social isolation criterion (face‐to‐face or non–face‐to‐face contact less than once per week), the Japanese version of the Subjective Happiness Scale and the Eleven‐Check Questionnaire for frailty. Results Of the 24 potential candidates, 22 participated in the initial assessmen</w:t>
      </w:r>
    </w:p>
    <w:p>
      <w:pPr/>
      <w:r>
        <w:rPr>
          <w:b/>
        </w:rPr>
        <w:t>POSSIBLE 2026:</w:t>
      </w:r>
      <w:r>
        <w:t xml:space="preserve"> From Colonial Support to Strategic Replacement: U.S. Foreign Aid and The Transformation of American Policy in Vietnam, 1949–1955 — https://doi.org/10.5281/zenodo.21835769</w:t>
      </w:r>
    </w:p>
    <w:p>
      <w:pPr/>
      <w:r>
        <w:rPr>
          <w:b/>
        </w:rPr>
        <w:t>Shared claim-specific concepts:</w:t>
      </w:r>
      <w:r>
        <w:t xml:space="preserve"> aid, informed, united; EU scope not established. This is a provisional connection, not an outcome finding.</w:t>
      </w:r>
    </w:p>
    <w:p>
      <w:pPr>
        <w:pStyle w:val="SourceNote"/>
      </w:pPr>
      <w:r>
        <w:rPr>
          <w:b/>
        </w:rPr>
        <w:t>Available abstract (not full text):</w:t>
      </w:r>
      <w:r>
        <w:t xml:space="preserve"> This article examines the transformation of U.S. foreign aid to Vietnam between 1949 and 1955, arguing that American assistance evolved beyond military and economic support into a mechanism of strategic replacement through which the United States gradually supplanted French influence. Existing scholarship has largely interpreted U.S. aid during the First Indochina War either as an extension of Cold War containment or as financial support for French military operations, paying comparatively little attention to the institutional processes through which aid reshaped political authority and administrative governance. Drawing upon archival materials from Vietnam and the United States, official government publications, diplomatic records, and statistical evidence, the study adopts a qualitative historical approach informed by historical institutionalism. The findings demonstrate that organizations such as the Military Assistance Advisory Group (MAAG), the Mutual Security Agency (MSA), the United States Operations Mission (USOM), and the Counterpart Fund created an integrated institutional framework through which Washington expanded its influence over military assistance, financial governance, and state administration. Although U.S. aid failed to secure French victory in the First Indochina War, it established the institutional foundations that enabled the United States to emerge as t</w:t>
      </w:r>
    </w:p>
    <w:p>
      <w:pPr/>
      <w:r>
        <w:rPr>
          <w:b/>
        </w:rPr>
        <w:t>POSSIBLE 2025:</w:t>
      </w:r>
      <w:r>
        <w:t xml:space="preserve"> Forms of autonomy and dependence in food aid: unravelling how they are related and perceived by recipients — https://doi.org/10.1007/s10460-025-10715-2</w:t>
      </w:r>
    </w:p>
    <w:p>
      <w:pPr/>
      <w:r>
        <w:rPr>
          <w:b/>
        </w:rPr>
        <w:t>Shared claim-specific concepts:</w:t>
      </w:r>
      <w:r>
        <w:t xml:space="preserve"> aid, informed, society; EU scope visible. This is a provisional connection, not an outcome finding.</w:t>
      </w:r>
    </w:p>
    <w:p>
      <w:pPr>
        <w:pStyle w:val="SourceNote"/>
      </w:pPr>
      <w:r>
        <w:rPr>
          <w:b/>
        </w:rPr>
        <w:t>Available abstract (not full text):</w:t>
      </w:r>
      <w:r>
        <w:t xml:space="preserve"> Abstract Dependence is an inherent aspect of human existence, yet independence and autonomy are powerful ideals, especially where they seem lacking. In the case of food aid, the dependence that it signifies is often experienced as shameful. Food justice scholars and practitioners advocate that people with low incomes should have greater autonomy in exercising their right to food, for example by receiving cash transfers instead of food donations. In this paper, we challenge an understanding of autonomy defined in opposition to dependence. Using a relational autonomy lens, we unravel how practices of autonomy are interrelated with forms of dependence in a food aid initiative. By better understanding these interrelations, and how forms of autonomy and dependence are experienced by recipients, it becomes possible to have more informed debates about desirable and undesirable ways of doing food aid. Our analysis is rooted in an ethnographic case study of a pilot program for money-based food aid in the Netherlands. This program gave food-insecure households a weekly budget to buy healthy groceries at regular stores. We unravel how this form of food aid shifted dependencies compared to the parcel-based aid it replaced, and how this reshaped practices of autonomy for recipients. Through the themes ‘concealing and revealing charity’, ‘upholding norms and caring through food choices’, and</w:t>
      </w:r>
    </w:p>
    <w:p>
      <w:pPr/>
      <w:r>
        <w:rPr>
          <w:b/>
        </w:rPr>
        <w:t>POSSIBLE 2025:</w:t>
      </w:r>
      <w:r>
        <w:t xml:space="preserve"> Psychological First Aid Manual — https://doi.org/10.5281/zenodo.19708751</w:t>
      </w:r>
    </w:p>
    <w:p>
      <w:pPr/>
      <w:r>
        <w:rPr>
          <w:b/>
        </w:rPr>
        <w:t>Shared claim-specific concepts:</w:t>
      </w:r>
      <w:r>
        <w:t xml:space="preserve"> aid, reducing; EU scope visible. This is a provisional connection, not an outcome finding.</w:t>
      </w:r>
    </w:p>
    <w:p>
      <w:pPr>
        <w:pStyle w:val="SourceNote"/>
      </w:pPr>
      <w:r>
        <w:rPr>
          <w:b/>
        </w:rPr>
        <w:t>Available abstract (not full text):</w:t>
      </w:r>
      <w:r>
        <w:t xml:space="preserve"> From the outset, it is essential to define what is meant by Psychological First Aid (PFA). Although this concept will be explored in greater detail in Chapter Four, we wish to emphasize that PFA should not be considered as a clinical or therapeutic intervention. Instead, it refers to a series of evidence-informed actions based on fundamental psychological principles aimed at reducing initial distress and supporting the short- and medium-term recovery of individuals affected by acute stress. Therefore, it is not necessarily delivered by mental health professionals, yet can be implemented by trained personnel across diverse settings, including education, social care, and humanitarian response.This manual advocates for the use of creative practices as tools within PFA. As we will see in the following chapters, we recognize that immediately following acute traumatic events creative interventions may not be appropriate for a number of reasons. However, some time later, when the initial stress has subsided but remains at a high level and carries the risk of becoming chronic (for example, generalized anxiety and hypervigilance weeks after an earthquake), creative practices developed in educational or social settings can serve as highly useful preventive tools. In this sense, and with a flexible approach, we understand them as instruments of PFA.Stress and change are closely interconne</w:t>
      </w:r>
    </w:p>
    <w:p>
      <w:pPr/>
      <w:r>
        <w:rPr>
          <w:b/>
        </w:rPr>
        <w:t>POSSIBLE 2025:</w:t>
      </w:r>
      <w:r>
        <w:t xml:space="preserve"> Are AudioviSual maTERials disseminated via sOcIal meDia effective to improve evidence-based rehabilitation implementation for physiotherapists (ASTEROID trial)? A feasibility study — https://doi.org/10.1186/s13104-025-07259-3</w:t>
      </w:r>
    </w:p>
    <w:p>
      <w:pPr/>
      <w:r>
        <w:rPr>
          <w:b/>
        </w:rPr>
        <w:t>Shared claim-specific concepts:</w:t>
      </w:r>
      <w:r>
        <w:t xml:space="preserve"> technical, feasibility; EU scope not established. This is a provisional connection, not an outcome finding.</w:t>
      </w:r>
    </w:p>
    <w:p>
      <w:pPr>
        <w:pStyle w:val="SourceNote"/>
      </w:pPr>
      <w:r>
        <w:rPr>
          <w:b/>
        </w:rPr>
        <w:t>Available abstract (not full text):</w:t>
      </w:r>
      <w:r>
        <w:t xml:space="preserve"> OBJECTIVE: The present study aimed to evaluate the feasibility of an educational program disseminated via social media to improve the scientific and technical knowledge of physiotherapists. RESULTS: In this single-group interventional feasibility study, practicing physiotherapists participated in a 10-week Instagram-based program, which included 20 infographics posted twice weekly. Feasibility was evaluated using the RE-AIM framework (Reach, Effectiveness, Adoption, Implementation, and Maintenance). After the intervention, semi-structured interviews were conducted to gather feedback on participant experiences. Of the 30 physiotherapists recruited, 15 initiated the program, and 8 (53%) completed it. No significant differences were observed between pre- and post-program scores on effectiveness outcomes related to perceptions, utilization, and understanding of scientific information for clinical practice. While 63% of participants reported that the program helped them overcome barriers to EBP, overall perceptions and behaviors showed minimal change. Nonetheless, all participants recognized a positive impact on their clinical practice, with 50% reporting that they applied program content to their work. Although 63% indicated they would maintain their approach to studying technical content, all participants affirmed their intention to use resources that facilitate knowledge acquisit</w:t>
      </w:r>
    </w:p>
    <w:p>
      <w:pPr/>
      <w:r>
        <w:rPr>
          <w:b/>
        </w:rPr>
        <w:t>POSSIBLE 2025:</w:t>
      </w:r>
      <w:r>
        <w:t xml:space="preserve"> Attachment-informed interventions for adults who support children and young people: A meta-synthesis and a feasibility and acceptability study. — https://openalex.org/W7113175957</w:t>
      </w:r>
    </w:p>
    <w:p>
      <w:pPr/>
      <w:r>
        <w:rPr>
          <w:b/>
        </w:rPr>
        <w:t>Shared claim-specific concepts:</w:t>
      </w:r>
      <w:r>
        <w:t xml:space="preserve"> feasibility, acceptability, itself; EU scope visible. This is a provisional connection, not an outcome finding.</w:t>
      </w:r>
    </w:p>
    <w:p>
      <w:pPr>
        <w:pStyle w:val="SourceNote"/>
      </w:pPr>
      <w:r>
        <w:rPr>
          <w:b/>
        </w:rPr>
        <w:t>Available abstract (not full text):</w:t>
      </w:r>
      <w:r>
        <w:t xml:space="preserve"> Paper one is a systematic review of existing research in the UK and Ireland that explores how staff working with children and young people across health, social and educational settings experience attachment-informed training interventions. Attachment-informed interventions can offer staff knowledge and confidence in attachment-informed practice, which then can improve outcomes for children who have experienced disrupted attachment relationships and trauma. The review identified nine relevant studies, which explored staff experience of attachment-informed training interventions and the implementation of attachment-informed practice. Thematic synthesis of the data led to four overarching analytical themes. The first theme, “Changing for the better”, described how the attachment-informed training interventions enabled staff to engage in changes that were perceived as being beneficial for their practice and, therefore, for the children they work with. The second theme, “Shifting perspective” emphasised how the attachment-informed training intervention led to staff doing things differently, noticing changes in themselves and seeing the child differently. The third theme, “Maintaining the change”, highlighted factors that either supported or hindered the ongoing implementation of these changes, which included access or a lack of access to continued training and a space to reflect. A</w:t>
      </w:r>
    </w:p>
    <w:p>
      <w:pPr/>
      <w:r>
        <w:rPr>
          <w:b/>
        </w:rPr>
        <w:t>POSSIBLE 2025:</w:t>
      </w:r>
      <w:r>
        <w:t xml:space="preserve"> Alpha-Stim AID Cranial Electrotherapy Stimulation (CES) for Anxiety in Chronic Breathlessness: A Qualitative Exploration of Feasibility, Usability, and Acceptability — https://doi.org/10.4236/psych.2025.1611075</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Anxiety is common in people living with chronic breathlessness. Cranial Electrotherapy Stimulation (CES) with the Alpha-Stim Anxiety, Insomnia, Depression (AID) has evidence of effectiveness in the treatment of anxiety disorders, but little is known about its feasibility, usability, and acceptability for people living with anxiety associated with chronic breathlessness. Aim: To explore individuals’ experiences of using Alpha-Stim AID to manage their anxiety associated with their breathlessness. Methods: Participants were recruited from two hospices, with advanced chronic respiratory disease and breathlessness and anxiety, and followed either a Set Dose Regime (SDR) or a Personalised Dose Regime (PDR). Semi-structured interview with 15 participants who had used Alpha-Stim AID (SDR and/or PDR) daily for eight weeks were analysed thematically using the predefined domains of feasibility, usability, and acceptability. Results: Feasibility: the Alpha-Stim AID was readily integrated into daily routines, providing a valued hour of calmness and fostering adherence to Alpha-Stim AID use. Usability: most participants reported benefits including reduced anxiety, improved mood, better sleep, and subtle mindset shifts such as cognitive reframing, although a minority reported limited impact. Acceptability: The device was perceived as simple to use and intuitive and associated with</w:t>
      </w:r>
    </w:p>
    <w:p>
      <w:pPr/>
      <w:r>
        <w:rPr>
          <w:b/>
        </w:rPr>
        <w:t>POSSIBLE 2025:</w:t>
      </w:r>
      <w:r>
        <w:t xml:space="preserve"> A decision aid is not the quick fix for improving shared decision-making in advanced Parkinson’s disease: results of a mixed methods feasibility study — https://doi.org/10.1007/s00415-025-12972-x</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Choosing a device-assisted treatment for persons with Parkinson's disease (PwPD) is a complex decision. We developed a shared decision-making (SDM) intervention to facilitate this decision. In this study, we evaluate the feasibility of this intervention from the patients' perspective. METHODS: We performed a multi-center, mixed-methods feasibility study with an uncontrolled pre-post-intervention design. Five neurologists and seven Parkinson nurse specialists from five Dutch hospitals participated. We aimed to enroll 20 PwPD in the usual-care group receiving decision support as usual, and 20 PwPD receiving the SDM intervention. The intervention consisted of a patient decision aid and a training for professionals. We evaluated feasibility by measuring acceptability, level of implementation, efficacy and the study procedures. For data collection, we used questionnaires, interviews, cognitive testing, consultation recordings, fieldnotes, and usage of the patient decision aid. RESULTS: We included 19 PwPD in the usual-care group and 13 in the intervention group. Acceptability was good and implementation levels at the patient level were adequate: 92% of the participants used the patient decision aid, of which 77% the website and 69% the value clarification tool. The intervention improved PwPD's knowledge on treatment options, however, it did not improve SDM. The SDM inter</w:t>
      </w:r>
    </w:p>
    <w:p>
      <w:pPr>
        <w:pStyle w:val="Heading2"/>
      </w:pPr>
      <w:r>
        <w:t>834. An exploratory policy analysis of electric vehicle sales competition and sensitivity to infrastructure in Europe</w:t>
      </w:r>
    </w:p>
    <w:p>
      <w:pPr>
        <w:pStyle w:val="SourceNote"/>
      </w:pPr>
      <w:r>
        <w:rPr>
          <w:b/>
        </w:rPr>
        <w:t>Original source (2016):</w:t>
      </w:r>
      <w:r>
        <w:t xml:space="preserve"> https://doi.org/10.1016/j.techfore.2016.08.007</w:t>
      </w:r>
    </w:p>
    <w:p>
      <w:pPr/>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POSSIBLE 2026:</w:t>
      </w:r>
      <w:r>
        <w:t xml:space="preserve"> Public Charging Infrastructure and Electrification Dynamics in Europe: A Descriptive Assessment of Infrastructure Strain — https://doi.org/10.3390/en19092063</w:t>
      </w:r>
    </w:p>
    <w:p>
      <w:pPr/>
      <w:r>
        <w:rPr>
          <w:b/>
        </w:rPr>
        <w:t>Shared claim-specific concepts:</w:t>
      </w:r>
      <w:r>
        <w:t xml:space="preserve"> infrastructure, but, uptake, share, over; EU scope visible. This is a provisional connection, not an outcome finding.</w:t>
      </w:r>
    </w:p>
    <w:p>
      <w:pPr>
        <w:pStyle w:val="SourceNote"/>
      </w:pPr>
      <w:r>
        <w:rPr>
          <w:b/>
        </w:rPr>
        <w:t>Available abstract (not full text):</w:t>
      </w:r>
      <w:r>
        <w:t xml:space="preserve">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pPr/>
      <w:r>
        <w:rPr>
          <w:b/>
        </w:rPr>
        <w:t>POSSIBLE 2026:</w:t>
      </w:r>
      <w:r>
        <w:t xml:space="preserve"> Mapping school food provision models in European cities: Operational, infrastructural, and financial insights — https://doi.org/10.1016/j.ypmed.2026.108515</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pPr/>
      <w:r>
        <w:rPr>
          <w:b/>
        </w:rPr>
        <w:t>POSSIBLE 2026:</w:t>
      </w:r>
      <w:r>
        <w:t xml:space="preserve"> Public–Private Collaboration in the European Framework — https://openalex.org/W7128894318</w:t>
      </w:r>
    </w:p>
    <w:p>
      <w:pPr/>
      <w:r>
        <w:rPr>
          <w:b/>
        </w:rPr>
        <w:t>Shared claim-specific concepts:</w:t>
      </w:r>
      <w:r>
        <w:t xml:space="preserve"> infrastructure, provision, important, other;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but, furthermore;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Infrastructuring the future for advanced therapies in Europe — https://doi.org/10.54337/aau.dasts2026</w:t>
      </w:r>
    </w:p>
    <w:p>
      <w:pPr/>
      <w:r>
        <w:rPr>
          <w:b/>
        </w:rPr>
        <w:t>Shared claim-specific concepts:</w:t>
      </w:r>
      <w:r>
        <w:t xml:space="preserve"> but, attempt; EU scope visible. This is a provisional connection, not an outcome finding.</w:t>
      </w:r>
    </w:p>
    <w:p>
      <w:pPr>
        <w:pStyle w:val="SourceNote"/>
      </w:pPr>
      <w:r>
        <w:rPr>
          <w:b/>
        </w:rPr>
        <w:t>Available abstract (not full text):</w:t>
      </w:r>
      <w:r>
        <w:t xml:space="preserve"> According to Geiger and Bourgeron (2025), the dominant model for pharmaceutical innovation has reached a ‘peak’, i.e. a tipping point where new approaches are urgently needed. The limits of this model are especially visible in the field of Advanced Therapy Medicinal Products (ATMPs), including gene, cell, and tissue engineered therapies. ATMPs hold significant potential for rare diseases, but high development and manufacturing costs combined with small patient populations have resulted in ‘peak prices’, failed price negotiations, and the withdrawal of products from the European market, delaying patient access. Consequently, European health systems increasingly face dilemmas about where to draw boundaries for access to expensive treatments. Across Europe, alternative innovation models have begun to emerge. This paper examines the tensions and limitations arising from existing regulatory standards, funding models, and organizational structures in the ATMP field. Drawing on document analysis and 14 interviews with administrators, researchers, and clinicians in Denmark, Germany, Spain, Poland, and Italy, we explore how innovators at ‘the margins’ attempt to repair and challenge the constraints of ‘peak pharma,’ the logics guiding their efforts, and the infrastructural work involved. By tracing attempts to reshape current infrastructures to enable alternative pathways we track which</w:t>
      </w:r>
    </w:p>
    <w:p>
      <w:pPr/>
      <w:r>
        <w:rPr>
          <w:b/>
        </w:rPr>
        <w:t>POSSIBLE 2026:</w:t>
      </w:r>
      <w:r>
        <w:t xml:space="preserve"> ENSURING CYBER RESILIENCE OF CRITICAL INFRASTRUCTURE FACILITIES IN THE EUROPEAN UNION: REGULATORY AND LEGAL ASPECT — https://doi.org/10.5281/zenodo.19383483</w:t>
      </w:r>
    </w:p>
    <w:p>
      <w:pPr/>
      <w:r>
        <w:rPr>
          <w:b/>
        </w:rPr>
        <w:t>Shared claim-specific concepts:</w:t>
      </w:r>
      <w:r>
        <w:t xml:space="preserve"> infrastructure, provision, important, other; EU scope visible. This is a provisional connection, not an outcome finding.</w:t>
      </w:r>
    </w:p>
    <w:p>
      <w:pPr>
        <w:pStyle w:val="SourceNote"/>
      </w:pPr>
      <w:r>
        <w:rPr>
          <w:b/>
        </w:rPr>
        <w:t>Available abstract (not full text):</w:t>
      </w:r>
      <w:r>
        <w:t xml:space="preserve"> Security is the basis for the European way of life. While the challenges of achieving and maintaining security have always been present, in recent years the security situation in the EU has become increasingly complex. The use of and dependence on information and communication technologies have become fundamental aspects in all sectors of economic activity and society in light of the ever increasing interconnectedness and interdependence of Member State public administrations, businesses and citizens across sectors and borders, simultaneously introducing possible vulnerabilities. The magnitude, frequency and impact of cybersecurity incidents, including supply chain attacks for the purposes of cyberespionage, ransomware or disruption, are increasing at Union and global level. They represent a major threat to the functioning of network and information systems. In view of the fast-evolving threat landscape, the threat of possible large-scale cybersecurity incidents causing significant disruption or damage to critical infrastructure demands a heightened preparedness of the Union’s cybersecurity framework. That threat goes beyond Russia’s war of aggression against Ukraine, and is likely to persist given the multiplicity of actors involved in current geopolitical tensions. Such incidents can impede the provision of public services as cyberattacks are frequently targeted at local, reg</w:t>
      </w:r>
    </w:p>
    <w:p>
      <w:pPr/>
      <w:r>
        <w:rPr>
          <w:b/>
        </w:rPr>
        <w:t>POSSIBLE 2025:</w:t>
      </w:r>
      <w:r>
        <w:t xml:space="preserve"> The European Union and the Protection Of Critical Space Infrastructure from Cyber-Threats: A Strategic Approach? — https://doi.org/10.34190/eccws.24.1.3576</w:t>
      </w:r>
    </w:p>
    <w:p>
      <w:pPr/>
      <w:r>
        <w:rPr>
          <w:b/>
        </w:rPr>
        <w:t>Shared claim-specific concepts:</w:t>
      </w:r>
      <w:r>
        <w:t xml:space="preserve"> infrastructure, provision, important, furthermore; EU scope visible. This is a provisional connection, not an outcome finding.</w:t>
      </w:r>
    </w:p>
    <w:p>
      <w:pPr>
        <w:pStyle w:val="SourceNote"/>
      </w:pPr>
      <w:r>
        <w:rPr>
          <w:b/>
        </w:rPr>
        <w:t>Available abstract (not full text):</w:t>
      </w:r>
      <w:r>
        <w:t xml:space="preserve"> The functioning of terrestrial critical infrastructures, such as electricity, transportation, and finance depends on critical space infrastructures (CSI). CSI underlie the provision of vital goods and services, economic activities, national and global security. Consequently, securing CSI from cyber-attacks is important to avoid disruptions in the provision of critical goods and services and ensure high levels of security in our societies. Existing cases of cyber-attacks against ground and space components of CSI have proven the consequences of such attacks for domestic and international security, economic, systemic, environmental and social safety and stability. With strategic gains increasingly motivating state and state-sponsored attacks against CSI, the European Union (EU) expanded its resilience and response toolbox to address cyber-threats against CSI. Space has become a highly strategic domain with the EU Strategic Compass, since 2022. Furthermore, in 2023, the High Representative and the Commission put forward an EU Space Strategy for Security and Defence, presenting the EU’s vision for space security. This programmatic document marks a shift in the EU’s configuration of space, from a domain for scientific and civilian enterprises, to one central to security and defence. This paper examines the quick evolution of the EU’s approach to protecting CSI between 2020 and 2024 </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2025:</w:t>
      </w:r>
      <w:r>
        <w:t xml:space="preserve"> Transport Infrastructure and Policy Evaluation — https://doi.org/10.3386/w34096</w:t>
      </w:r>
    </w:p>
    <w:p>
      <w:pPr/>
      <w:r>
        <w:rPr>
          <w:b/>
        </w:rPr>
        <w:t>Shared claim-specific concepts:</w:t>
      </w:r>
      <w:r>
        <w:t xml:space="preserve"> infrastructure, provision, other; EU scope not established. This is a provisional connection, not an outcome finding.</w:t>
      </w:r>
    </w:p>
    <w:p>
      <w:pPr>
        <w:pStyle w:val="SourceNote"/>
      </w:pPr>
      <w:r>
        <w:rPr>
          <w:b/>
        </w:rPr>
        <w:t>Available abstract (not full text):</w:t>
      </w:r>
      <w:r>
        <w:t xml:space="preserve"> How beneficial are transport infrastructure investments and other transport policies?This chapter develops a framework whose goal is to survey and synthesize the answers that regional and urban economists have given to this question.Emphasis is placed on theoretical results about sufficient statistics that capture approximate impacts in both distorted and undistorted economies, as well as how new advances in data collection and causal inference are poised to leverage these theoretical results and thereby modernize and extend standard templates for infrastructure and policy evaluation.The chapter concludes with discussions of optimal policy, political economy, and practical matters of infrastructure provision.</w:t>
      </w:r>
    </w:p>
    <w:p>
      <w:pPr/>
      <w:r>
        <w:rPr>
          <w:b/>
        </w:rPr>
        <w:t>POSSIBLE 2025:</w:t>
      </w:r>
      <w:r>
        <w:t xml:space="preserve"> Reduction of Cloud infrastructure power consumption through dynamic resource provisioning — https://doi.org/10.70675/4d7ce7e9z1009z4296z8dd8z301febed8677</w:t>
      </w:r>
    </w:p>
    <w:p>
      <w:pPr/>
      <w:r>
        <w:rPr>
          <w:b/>
        </w:rPr>
        <w:t>Shared claim-specific concepts:</w:t>
      </w:r>
      <w:r>
        <w:t xml:space="preserve"> infrastructure, improving, other, around; EU scope not established. This is a provisional connection, not an outcome finding.</w:t>
      </w:r>
    </w:p>
    <w:p>
      <w:pPr>
        <w:pStyle w:val="SourceNote"/>
      </w:pPr>
      <w:r>
        <w:rPr>
          <w:b/>
        </w:rPr>
        <w:t>Available abstract (not full text):</w:t>
      </w:r>
      <w:r>
        <w:t xml:space="preserve"> The Information and Communication Technologies (ICT) sector contributes significantly to climate change. In 2020, this sector was responsible for between 2.1% and 3.9% of greenhouse gas (GHG) emissions. More than its current contribution, this sector is growing rapidly economically, and the GHG emissions and other environmental impacts it produces are also increasing. Datacenters are responsible for a non-negligible portion of the ICT sector's impact: estimated global emissions in 2020 vary between 18% and 45% depending on the study, part of which is linked to their electricity consumption. In 2024, the International Energy Agency (IEA) estimates the total electricity consumption of datacenters at 416TWh, or around 1.4% of global electricity consumption.In order to limit the growth in data centers power consumption, a number of energy efficiency methods have been introduced. These energy efficiency levers concern both IT equipment and technical infrastructures such as cooling systems. Nevertheless, today's datacenters are integrating increasing computing and storage power to meet growing user demand. Quite often, these infrastructures are sized by datacenter operators to meet the theoretical maximum demand in order to respect quality of service. This leads to an overall oversizing of cloud infrastructures, and consequently a waste of resources and electricity.Virtual Machine (V</w:t>
      </w:r>
    </w:p>
    <w:p>
      <w:pPr/>
      <w:r>
        <w:rPr>
          <w:b/>
        </w:rPr>
        <w:t>POSSIBLE 2025:</w:t>
      </w:r>
      <w:r>
        <w:t xml:space="preserve"> International standards for the provision of social services — https://doi.org/10.24144/2788-6018.2025.05.1.69</w:t>
      </w:r>
    </w:p>
    <w:p>
      <w:pPr/>
      <w:r>
        <w:rPr>
          <w:b/>
        </w:rPr>
        <w:t>Shared claim-specific concepts:</w:t>
      </w:r>
      <w:r>
        <w:t xml:space="preserve"> infrastructure, provision, important, improving; EU scope visible. This is a provisional connection, not an outcome finding.</w:t>
      </w:r>
    </w:p>
    <w:p>
      <w:pPr>
        <w:pStyle w:val="SourceNote"/>
      </w:pPr>
      <w:r>
        <w:rPr>
          <w:b/>
        </w:rPr>
        <w:t>Available abstract (not full text):</w:t>
      </w:r>
      <w:r>
        <w:t xml:space="preserve"> The article provides a description of international standards for social services as a component of individuals’ social protection. It was concluded that the formation of a system of social service standards as objects of legal definition within the framework of international/European acts is an important prerequisite for the development of effective legal mechanisms for the implementation of the rights of recipients of such services. It was noted that harmonization of national legislation with international and European standards contributes to Ukraine’s integration into the relevant legal space. It was emphasized that providing individuals/families with social services is an integral part of ensuring their decent standard of living. It was stressed that social standards relate to active policies concerning individuals (promoting employment, independence, self-reliance, etc.), as well as the development of a social services system (institutional capacity, involvement of various sectors, interaction between the state and civil society). It was emphasized that the use of best international practices and international social standards will contribute to improving social guarantees for vulnerable groups. It was noted that international acts define a broad framework of obligations standardized by the global community regarding the provision of social services in such a way that eac</w:t>
      </w:r>
    </w:p>
    <w:p>
      <w:pPr/>
      <w:r>
        <w:rPr>
          <w:b/>
        </w:rPr>
        <w:t>POSSIBLE 2025:</w:t>
      </w:r>
      <w:r>
        <w:t xml:space="preserve"> Decarbonising the Inland Waterways: A Review of Fuel-Agnostic Energy Provision and the Infrastructure Challenges — https://doi.org/10.3390/en18195146</w:t>
      </w:r>
    </w:p>
    <w:p>
      <w:pPr/>
      <w:r>
        <w:rPr>
          <w:b/>
        </w:rPr>
        <w:t>Shared claim-specific concepts:</w:t>
      </w:r>
      <w:r>
        <w:t xml:space="preserve"> infrastructure, provision, but, over; EU scope not established. This is a provisional connection, not an outcome finding.</w:t>
      </w:r>
    </w:p>
    <w:p>
      <w:pPr>
        <w:pStyle w:val="SourceNote"/>
      </w:pPr>
      <w:r>
        <w:rPr>
          <w:b/>
        </w:rPr>
        <w:t>Available abstract (not full text):</w:t>
      </w:r>
      <w:r>
        <w:t xml:space="preserve"> Inland Waterway Transport (IWT) is widely recognised as an energy-efficient freight mode, yet its decarbonisation is increasingly constrained not by propulsion technology, but by the absence of infrastructure capable of delivering clean energy where and when it is needed. This paper presents a structured review of over a decade of academic, policy and technical literature, identifying systemic gaps in current decarbonisation strategies. The analysis shows that most pilot projects are vessel-specific, and poorly scalable, with infrastructure planning rarely based on vessel-level energy demand data, leaving energy provision as an afterthought. Current approaches overemphasise technology readiness while neglecting the complexity of aligning supply chains, operational diversity, and infrastructure deployment. This review reframes IWT decarbonisation as a problem of provision, not propulsion. It calls for demand-led, demand driven, fuel agnostic infrastructure models and proposes a roadmap that integrates technical, operational, and policy considerations. Without rethinking energy access as a core design challenge—on par with vessel systems and regulatory standards—the sector risks investing in stranded assets and missing climate and modal shift targets. Aligning vessel operations with dynamic, scalable energy delivery systems is essential to achieve a commercially viable, fully dec</w:t>
      </w:r>
    </w:p>
    <w:p>
      <w:pPr>
        <w:pStyle w:val="Heading2"/>
      </w:pPr>
      <w:r>
        <w:t>835. Argentinian Energy Landscapes - Case Study of the Neo-Carbon Energy Project</w:t>
      </w:r>
    </w:p>
    <w:p>
      <w:pPr>
        <w:pStyle w:val="SourceNote"/>
      </w:pPr>
      <w:r>
        <w:rPr>
          <w:b/>
        </w:rPr>
        <w:t>Original source (2016):</w:t>
      </w:r>
      <w:r>
        <w:t xml:space="preserve"> https://doi.org/10.13140/rg.2.2.13727.82088</w:t>
      </w:r>
    </w:p>
    <w:p>
      <w:pPr/>
      <w:r>
        <w:t>Original wording (abstract; indexed_source_text_not_full_document_verified): Therefore, it is important to explore different scenarios of how neo-carbon energy system can affect a society, businesses, individual’s lives and relationships.</w:t>
      </w:r>
    </w:p>
    <w:p>
      <w:pPr/>
      <w:r>
        <w:rPr>
          <w:b/>
        </w:rPr>
        <w:t>POSSIBLE 2026:</w:t>
      </w:r>
      <w:r>
        <w:t xml:space="preserve"> Exploring learners — https://doi.org/10.4324/9781003588924-6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pPr/>
      <w:r>
        <w:rPr>
          <w:b/>
        </w:rPr>
        <w:t>POSSIBLE 2026:</w:t>
      </w:r>
      <w:r>
        <w:t xml:space="preserve"> Carbon Emission, Energy Consumption and Economic Growth In Nigeria — https://doi.org/10.56201/ijefm.v10.no8.2025.pg66.80</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study examines the nexuses amongst Carbon Emission, energy Consumption and economic growth in Nigeria utilizing the ARDL approach to cointegration. Time series data was employed from 1981 – 2023. To achieve the main objective of the study an econometric model expressing the relationship amongst Gross Domestic Product, Carbon Emissions, energy consumption and electricity consumption was used. The unit root test was carried out to establish the stationary of the variables, the output of the result indicated that the time series variables were found to be stationary after the first difference and hence they are series of order (1). The result reveals that the intercept and the coefficient of Carbon emission are negative. This means that one percent change in Carbon emission will lead to a decrease in the percentage of GDP. Energy consumption is significant while electricity consumption is insignificant. This is not surprising given the epileptic power supply in Nigeria. The policy implication deduced from the study is that government should improve on electricity supply to boost economic activities in the country.</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Pathways for low-carbon energy transition in the southern and eastern Mediterranean region: an institutional mechanism map — https://doi.org/10.1017/s1355770x26100448</w:t>
      </w:r>
    </w:p>
    <w:p>
      <w:pPr/>
      <w:r>
        <w:rPr>
          <w:b/>
        </w:rPr>
        <w:t>Shared claim-specific concepts:</w:t>
      </w:r>
      <w:r>
        <w:t xml:space="preserve"> energy, system; EU scope not established. This is a provisional connection, not an outcome finding.</w:t>
      </w:r>
    </w:p>
    <w:p>
      <w:pPr>
        <w:pStyle w:val="SourceNote"/>
      </w:pPr>
      <w:r>
        <w:rPr>
          <w:b/>
        </w:rPr>
        <w:t>Available abstract (not full text):</w:t>
      </w:r>
      <w:r>
        <w:t xml:space="preserve"> Abstract In the Southern and Eastern Mediterranean (SEMed) region, the transition to low-carbon power must be achieved while ensuring security of supply, affordability and development. Using the Just and Sustainable Energy Transition framework and a neo-institutional lens, we analysed 470 study–country–family observations (2000–2025) across 11 jurisdictions and 7 instrument families to create an institutional mechanism map. Three regularities stand out. Systems performance signals dominate in nine countries, primarily through time-differentiated pricing, settlement discipline and codified connection, queuing and curtailment rules. Financing and integration risks are often addressed together where auctions, revenue-support schemes, published access terms and standardised long-term contracts coexist with system rules. Equity-related signals arise where prosumer compensation and reconciliation rules influence participation and cost sharing at the retail margin. These patterns provide an interpretive basis for sequencing constraint-led reforms in SEMed power systems that target binding risks while respecting fiscal and distributional constraints.</w:t>
      </w:r>
    </w:p>
    <w:p>
      <w:pPr/>
      <w:r>
        <w:rPr>
          <w:b/>
        </w:rPr>
        <w:t>POSSIBLE 2026:</w:t>
      </w:r>
      <w:r>
        <w:t xml:space="preserve"> Exploring huntington's disease from a neurodevelopmental perspective — https://doi.org/10.7150/ijbs.124552</w:t>
      </w:r>
    </w:p>
    <w:p>
      <w:pPr/>
      <w:r>
        <w:rPr>
          <w:b/>
        </w:rPr>
        <w:t>Shared claim-specific concepts:</w:t>
      </w:r>
      <w:r>
        <w:t xml:space="preserve"> therefore, explore, different; EU scope not established. This is a provisional connection, not an outcome finding.</w:t>
      </w:r>
    </w:p>
    <w:p>
      <w:pPr>
        <w:pStyle w:val="SourceNote"/>
      </w:pPr>
      <w:r>
        <w:rPr>
          <w:b/>
        </w:rPr>
        <w:t>Available abstract (not full text):</w:t>
      </w:r>
      <w:r>
        <w:t xml:space="preserve"> gene. The classic concept is that HD is a degenerative disease that primarily affects the striatum, caused by a gain-of-function mutant mHTT that kills neurons. However, increasing evidence suggests that the effects of mHTT on development may be an alternative view of HD. Therefore, we describe the importance of HTT for neurodevelopment and then summarize the effects of mHTT on neurodevelopment that have been revealed so far in different models. Importantly, we provide new insights into the use of different models to study HD development, and propose new therapeutic strategies for intervening in HD early in development to improve disease progression. Furthermore, we explore potential connections between neurodevelopmental abnormalities and neurodegenerative processes in HD. This review provides a systematic synthesis of current knowledge regarding HD development and pathogenesis.</w:t>
      </w:r>
    </w:p>
    <w:p>
      <w:pPr/>
      <w:r>
        <w:rPr>
          <w:b/>
        </w:rPr>
        <w:t>POSSIBLE 2025:</w:t>
      </w:r>
      <w:r>
        <w:t xml:space="preserve"> Carbon Management Disclosure and Firm Value in the Nigerian Energy Market — https://doi.org/10.71113/jcsis.v2i7.333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 absence of robust carbon disclosure mechanisms undermines investor trust, increases information asymmetry, and weakens market efficiency. Nigerian energy firms may inadvertently appear less competitive or unattractive to international investors who prioritize sustainable environmental performance. Hence, the study investigated the extent to which carbon management disclosure influences firm value in the Nigerian energy sector. Ex-post facto research design was adopted in the study. All the nine listed energy firms in Nigeria made up the population of the study. Purposive sampling was used to select the sample size of six. Secondary data were collected from the annual reports of the firms over an eleven year period from 2014-2024. The data collected were preliminarily analysed using descriptive analysis, test of autocorrelation and test of heteroskedasticity. Robust least square regression was used to test the hypothesis. The study found that carbon management disclosure (proxy by greenhouse gas emission disclosure) has a significant positive influence on firm value (proxy by share price) in the Nigerian energy sector (β = 200.5120, p = 0.0000). In conclusion, in today’s capital markets, transparency in carbon management is no longer peripheral—it is central to value creation, reputation management, and sustainable corporate performance. We recommend that the Nigerian Securi</w:t>
      </w:r>
    </w:p>
    <w:p>
      <w:pPr/>
      <w:r>
        <w:rPr>
          <w:b/>
        </w:rPr>
        <w:t>POSSIBLE 2025:</w:t>
      </w:r>
      <w:r>
        <w:t xml:space="preserve"> Anchor Fin Explored as an Important Design Parameter for Lamb Wave Resonators — https://doi.org/10.1109/jmems.2025.3636583</w:t>
      </w:r>
    </w:p>
    <w:p>
      <w:pPr/>
      <w:r>
        <w:rPr>
          <w:b/>
        </w:rPr>
        <w:t>Shared claim-specific concepts:</w:t>
      </w:r>
      <w:r>
        <w:t xml:space="preserve"> therefore, important, different; EU scope not established. This is a provisional connection, not an outcome finding.</w:t>
      </w:r>
    </w:p>
    <w:p>
      <w:pPr>
        <w:pStyle w:val="SourceNote"/>
      </w:pPr>
      <w:r>
        <w:rPr>
          <w:b/>
        </w:rPr>
        <w:t>Available abstract (not full text):</w:t>
      </w:r>
      <w:r>
        <w:t xml:space="preserve"> In this work, we present a newly proposed concept of engineering the anchor fins in a suspended Lamb wave resonator and using it as an important design parameter to optimize the resonator performance. The exploration was conducted on antisymmetric Lamb wave resonators based on 128° Y-cut lithium niobate (LN or LiNbO${}_{\mathbf {3}}$) and the deformation was adjusted by introducing different anchor fin designs that mount the suspended structure to the supporting substrate. The proposed design methodology was validated by the demonstration of first-order antisymmetric Lamb wave (A1-mode) resonators operating at 12GHz, and also third-order antisymmetric Lamb wave (A3-mode) resonators operating at 36GHz. It has been proved that special anchor fin design serves as an effective means to improve the power handling or linearity of Lamb wave resonators. Therefore, this work opens up a brand new design space for acoustic resonators based on a suspended thin-film structure, which makes it possible to realize further performance enhancement and optimization for Lamb wave resonators especially at centimeter wave (cmWave) and millimeter wave (mmWave) frequencies. [2025-0117]</w:t>
      </w:r>
    </w:p>
    <w:p>
      <w:pPr/>
      <w:r>
        <w:rPr>
          <w:b/>
        </w:rPr>
        <w:t>POSSIBLE 2025:</w:t>
      </w:r>
      <w:r>
        <w:t xml:space="preserve"> Exploring Environmental Unwellbeing - Wellbeing in Landscapes — https://openalex.org/W7204500890</w:t>
      </w:r>
    </w:p>
    <w:p>
      <w:pPr/>
      <w:r>
        <w:rPr>
          <w:b/>
        </w:rPr>
        <w:t>Shared claim-specific concepts:</w:t>
      </w:r>
      <w:r>
        <w:t xml:space="preserve"> therefore, important, explore, different, affect; EU scope visible. This is a provisional connection, not an outcome finding.</w:t>
      </w:r>
    </w:p>
    <w:p>
      <w:pPr>
        <w:pStyle w:val="SourceNote"/>
      </w:pPr>
      <w:r>
        <w:rPr>
          <w:b/>
        </w:rPr>
        <w:t>Available abstract (not full text):</w:t>
      </w:r>
      <w:r>
        <w:t xml:space="preserve"> Wellbeing is part of the WHO definition of health since 1948. Enhancing it ought therefore to be an important goal for individuals, groups, and societies. Measures of it inform our knowledge, and it is therefore essential to also include “unwellbeing” in assessments. Such knowledge is fundamental to understanding its status, counteracting negative conditions, and surveying how it may interact with a range of human facets, including the prevention and development of diseases. Appraisals of environmental unwellbeing–wellbeing can also be of great value in education, aiming to explore different types of landscapes, raise awareness, and foster reflections on how different spatial units and environmental conditions affect us and what this may be due to. For that purpose, a novel scale is described and used in two sets of ratings in a peri-urban green landscape in Greater Stockholm, Sweden. The results show that core areas in two historic parks (Haga and Ulriksdal) provided environmental wellbeing, whereas in a third area (Annelund), half of the appraisals indicated environmental unwellbeing. Further experience in monitoring this variable with scales across a range of environmental settings suggests a clear value in its use in education, research, and societal evaluations.</w:t>
      </w:r>
    </w:p>
    <w:p>
      <w:pPr/>
      <w:r>
        <w:rPr>
          <w:b/>
        </w:rPr>
        <w:t>POSSIBLE 2025:</w:t>
      </w:r>
      <w:r>
        <w:t xml:space="preserve"> Renewable Energy for Climate Policy? The Impact of Low- Carbon Industries on National Climate Politics — https://openalex.org/W4412209511</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 rise of low-carbon industries promises to transform the political economy of climate politics and provide renewed political energy for climate action. The core idea is that the expansion of domestic low-carbon industries will generate powerful coalitions of firms and citizens that benefit economically from this ‘green growth’ and support a rapid phaseout of fossil fuels. Through green industrial policy, more and more governments seek to leverage this dynamic and overcome the obstacles to stringent climate regulation indirectly by subsidising these industries. Nevertheless, these propositions remain largely untested. This dissertation asks how the rise of domestic low-carbon industries affects national climate politics and provides the most comprehensive answer to date. It proposes that structural, institutional, and informational barriers may undercut these expected effects, and it substantiates this through four empirical studies from which three central findings emerge. First, there is no evidence that the economic importance of domestic renewable energy industries is systematically associated with countries’ enactment of more stringent climate policies. Second, low-carbon business interests prioritise lobbying on narrow green industrial policies and are vastly outnumbered by high-carbon interests when they lobby on broader climate policies. Third, citizens who experience</w:t>
      </w:r>
    </w:p>
    <w:p>
      <w:pPr/>
      <w:r>
        <w:rPr>
          <w:b/>
        </w:rPr>
        <w:t>POSSIBLE 2024:</w:t>
      </w:r>
      <w:r>
        <w:t xml:space="preserve"> Exploring the factors that affect employee performance — https://doi.org/10.1051/shsconf/202418101038</w:t>
      </w:r>
    </w:p>
    <w:p>
      <w:pPr/>
      <w:r>
        <w:rPr>
          <w:b/>
        </w:rPr>
        <w:t>Shared claim-specific concepts:</w:t>
      </w:r>
      <w:r>
        <w:t xml:space="preserve"> therefore, important, affect; EU scope not established. This is a provisional connection, not an outcome finding.</w:t>
      </w:r>
    </w:p>
    <w:p>
      <w:pPr>
        <w:pStyle w:val="SourceNote"/>
      </w:pPr>
      <w:r>
        <w:rPr>
          <w:b/>
        </w:rPr>
        <w:t>Available abstract (not full text):</w:t>
      </w:r>
      <w:r>
        <w:t xml:space="preserve"> Enterprise innovation and development are inseparable from the gathering of talents, for the long-term development of enterprises, the stability of employees is particularly important, and employee performance directly affects the vital interests of employees. Correct understanding and scientific understanding of the factors affecting employee performance plays a decisive role in improving employee performance and ensuring the realization of corporate goals. This article explores the internal and external factors that affect employee performance by reviewing previous literature. This article found that the personal competence of employees, their emotional commitment, basic compensation and benefits, organization management, organizational commitment, and work design are the main influencing factors. Therefore, it is recommended that enterprises focus on cultivating employees’ work abilities and improve their performance through reasonable management, rewards, and work design.</w:t>
      </w:r>
    </w:p>
    <w:p>
      <w:pPr/>
      <w:r>
        <w:rPr>
          <w:b/>
        </w:rPr>
        <w:t>POSSIBLE 2024:</w:t>
      </w:r>
      <w:r>
        <w:t xml:space="preserve"> Economic performance and carbon emissions: revisiting the role of tourism and energy efficiency for BRICS economies — https://doi.org/10.1007/s10668-023-04394-4</w:t>
      </w:r>
    </w:p>
    <w:p>
      <w:pPr/>
      <w:r>
        <w:rPr>
          <w:b/>
        </w:rPr>
        <w:t>Shared claim-specific concepts:</w:t>
      </w:r>
      <w:r>
        <w:t xml:space="preserve"> different, energy, affect; EU scope not established. This is a provisional connection, not an outcome finding.</w:t>
      </w:r>
    </w:p>
    <w:p>
      <w:pPr>
        <w:pStyle w:val="SourceNote"/>
      </w:pPr>
      <w:r>
        <w:rPr>
          <w:b/>
        </w:rPr>
        <w:t>Available abstract (not full text):</w:t>
      </w:r>
      <w:r>
        <w:t xml:space="preserve"> Abstract Increased demands for infrastructure, water, electricity, and different natural assets have triggered land erosion, climate change, and pollution increase and deterioration in biodiversity. The purpose of this research is to look at how economic performance, tourism, renewable energy, and energy efficiency affect carbon emissions in the emerging economies of BRICS during 1990–2021. Using panel estimation approaches, the empirical outcomes validate the longer-run equilibrium connection between the components of the model. Using a nonparametric estimator, the study found that economic performance is the significant driver of higher emissions levels in the sample countries. In contrast, tourism, energy efficiency, and renewable energy substantially reduce emissions levels and improve environmental sustainability. The estimated results have been found robust, and the feedback effect is found valid between repressors and carbon emissions. This study further suggests that investment in research and development, improvement in energy-efficient tools and equipment utilization, and enhanced renewable energy output are the key policy efforts for ensuring environmental sustainability.</w:t>
      </w:r>
    </w:p>
    <w:p>
      <w:pPr>
        <w:pStyle w:val="Heading2"/>
      </w:pPr>
      <w:r>
        <w:t>836. Assessing the desirability and feasibility of scenarios on eco-efficient transport: a heuristic for efficient stakeholder involvement during foresight processes</w:t>
      </w:r>
    </w:p>
    <w:p>
      <w:pPr>
        <w:pStyle w:val="SourceNote"/>
      </w:pPr>
      <w:r>
        <w:rPr>
          <w:b/>
        </w:rPr>
        <w:t>Original source (2016):</w:t>
      </w:r>
      <w:r>
        <w:t xml:space="preserve"> https://doi.org/10.1108/fs-05-2014-0034</w:t>
      </w:r>
    </w:p>
    <w:p>
      <w:pPr/>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POSSIBLE 2026:</w:t>
      </w:r>
      <w:r>
        <w:t xml:space="preserve"> EDUCATION AND EUROPEAN INTEGRATION — https://doi.org/10.82444/warw.33551740</w:t>
      </w:r>
    </w:p>
    <w:p>
      <w:pPr/>
      <w:r>
        <w:rPr>
          <w:b/>
        </w:rPr>
        <w:t>Shared claim-specific concepts:</w:t>
      </w:r>
      <w:r>
        <w:t xml:space="preserve"> purpose, illustrate, discuss, used; EU scope visible. This is a provisional connection, not an outcome finding.</w:t>
      </w:r>
    </w:p>
    <w:p>
      <w:pPr>
        <w:pStyle w:val="SourceNote"/>
      </w:pPr>
      <w:r>
        <w:rPr>
          <w:b/>
        </w:rPr>
        <w:t>Available abstract (not full text):</w:t>
      </w:r>
      <w:r>
        <w:t xml:space="preserve">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pPr/>
      <w:r>
        <w:rPr>
          <w:b/>
        </w:rPr>
        <w:t>POSSIBLE 2026:</w:t>
      </w:r>
      <w:r>
        <w:t xml:space="preserve"> Fit‐for‐purpose risk assessment for low‐concern active substances and uses — https://doi.org/10.2903/sp.efsa.2026.en-9791</w:t>
      </w:r>
    </w:p>
    <w:p>
      <w:pPr/>
      <w:r>
        <w:rPr>
          <w:b/>
        </w:rPr>
        <w:t>Shared claim-specific concepts:</w:t>
      </w:r>
      <w:r>
        <w:t xml:space="preserve"> purpose, assessment, structured; EU scope not established. This is a provisional connection, not an outcome finding.</w:t>
      </w:r>
    </w:p>
    <w:p>
      <w:pPr>
        <w:pStyle w:val="SourceNote"/>
      </w:pPr>
      <w:r>
        <w:rPr>
          <w:b/>
        </w:rPr>
        <w:t>Available abstract (not full text):</w:t>
      </w:r>
      <w:r>
        <w:t xml:space="preserve"> Abstract This report describes a harmonised, stepwise methodology for the fit‐for‐purpose risk assessment of low‐concern active substances (LCASs), developed in response to EFSA's call GP/EFSA/PLANTS/2023/04. LCASs include substances such as semiochemicals, botanicals, inorganics, peptides, and double‐stranded RNA (dsRNA), which generally have lower risk profiles than conventional active substances. However, the current risk assessment framework – primarily designed for conventional substances – often lacks the flexibility required to appropriately address LCASs. The approach described here is based on problem formulation using generic pathways to harm. It offers a structured methodology aimed at harmonising case‐by‐case assessments based on the specific properties of individual LCASs. This approach supports both qualitative and quantitative assessments and covers hazards other than conventional toxicity, such as suffocation, desiccation and RNA interference. To apply this approach in practice, a problem formulation toolbox is provided, comprising three main elements: 1. Generic pathways to harm 2. Generic analysis plans, including the Analysis plan tool 3. Guidance on likelihood assessment</w:t>
      </w:r>
    </w:p>
    <w:p>
      <w:pPr/>
      <w:r>
        <w:rPr>
          <w:b/>
        </w:rPr>
        <w:t>POSSIBLE 2024:</w:t>
      </w:r>
      <w:r>
        <w:t xml:space="preserve"> Reviewing assessment strategies in European dental schools — https://doi.org/10.1016/j.jdent.2024.105091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OBJECTIVES: Effectively assessing dental students' knowledge and skills is an important part of their education. Assessment techniques available to teachers, have become more diverse as new technologies are introduced. This study aimed to investigate what dental educators thought about current and future assessment techniques. METHODS: This was a mixed method study; quantitative data being collected at an annual dental educators' conference, via on-screen questions requesting: i) demographic information; ii) type of student assessment currently used; iii) impact of Covid-19 on student assessment, and iv) future perceptions of assessment. Questions were posed in real time using the 'Vevox' platform. Descriptive statistical analysis was employed. Qualitative data were collected on 'post-its' and analysed thematically. RESULTS: 101 participants attended the study. 59.1% (n = 60) had &gt;11 years' experience. 64% (n = 55) considered their summative and formative assessments were effective in developing student learning. Few participants reported students' involvement in creating their own assessments (n = 8; 9.75%). 41.68% (n = 36) participants agreed it was a good idea for students to be involved in developing assessments, but only 9.75% (n = 8) reported it was already happening. Qualitative data indicated a reluctance to wholeheartedly embrace technology (including AI) when planning</w:t>
      </w:r>
    </w:p>
    <w:p>
      <w:pPr/>
      <w:r>
        <w:rPr>
          <w:b/>
        </w:rPr>
        <w:t>POSSIBLE 2023:</w:t>
      </w:r>
      <w:r>
        <w:t xml:space="preserve"> Coherency of the European resource adequacy framework — https://doi.org/10.1109/eem58374.2023.10161837</w:t>
      </w:r>
    </w:p>
    <w:p>
      <w:pPr/>
      <w:r>
        <w:rPr>
          <w:b/>
        </w:rPr>
        <w:t>Shared claim-specific concepts:</w:t>
      </w:r>
      <w:r>
        <w:t xml:space="preserve"> purpose, illustrate, discuss, used, system; EU scope visible. This is a provisional connection, not an outcome finding.</w:t>
      </w:r>
    </w:p>
    <w:p>
      <w:pPr>
        <w:pStyle w:val="SourceNote"/>
      </w:pPr>
      <w:r>
        <w:rPr>
          <w:b/>
        </w:rPr>
        <w:t>Available abstract (not full text):</w:t>
      </w:r>
      <w:r>
        <w:t xml:space="preserve"> The European Union (EU)’s resource adequacy framework consists of the reliability standard calculation, adequacy assessments and capacity remuneration mechanisms, three pillars which should conspire to deliver a realised adequacy in liberalised markets which is close to that which would be delivered by a central planner minimising total system costs. However, this framework is vulnerable to inconsistencies in the parameters used in each of the three pillars, making the framework internally incoherent and potentially increases system costs. We illustrate and discuss how an inconsistent choice of storage operation can lead to a sub-optimal level of adequacy. However, a consistent storage operation challenges the stated purpose of adequacy assessments in the EU which is to predict adequacy resulting from market operations.</w:t>
      </w:r>
    </w:p>
    <w:p>
      <w:pPr/>
      <w:r>
        <w:rPr>
          <w:b/>
        </w:rPr>
        <w:t>POSSIBLE 2023:</w:t>
      </w:r>
      <w:r>
        <w:t xml:space="preserve"> European Union Legislation for the Welfare of Animals Used for Scientific Purposes: Areas Identified for Further Discussion — https://doi.org/10.3390/ani13142367</w:t>
      </w:r>
    </w:p>
    <w:p>
      <w:pPr/>
      <w:r>
        <w:rPr>
          <w:b/>
        </w:rPr>
        <w:t>Shared claim-specific concepts:</w:t>
      </w:r>
      <w:r>
        <w:t xml:space="preserve"> assessment, used, stakeholders, about; EU scope visible. This is a provisional connection, not an outcome finding.</w:t>
      </w:r>
    </w:p>
    <w:p>
      <w:pPr>
        <w:pStyle w:val="SourceNote"/>
      </w:pPr>
      <w:r>
        <w:rPr>
          <w:b/>
        </w:rPr>
        <w:t>Available abstract (not full text):</w:t>
      </w:r>
      <w:r>
        <w:t xml:space="preserve"> The Directive 2010/63/EU of the European Parliament and of the Council has been in force for more than a decade and has brought about significant improvements and novel requirements for the welfare of animals used for scientific purposes, while safeguarding research integrity. The Directive sets clear provisions for its scope, the authorization procedures, animal welfare bodies, national committees, cost/benefit analysis, severity classification, retrospective assessment, and statistical reporting, among many others. From this perspective, indicative areas in the existing legislative texts and guidance documents, which may influence animal welfare and scientific integrity, have been identified by the authors after years of working in this field. Suggested solutions to address these areas by potential future revisions in the legislation or other actions to benefit animal welfare are discussed, with the aim to clarify and simplify them for all stakeholders involved.</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illustrate, assessment, debate, about, achieving, system;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Assessment of Trends and Uncertainties in the Atmospheric Boundary Layer Height Estimated Using Radiosounding Observations over Europe — https://doi.org/10.3390/atmos12030301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Trends in atmospheric boundary layer height may represent an indication of climate changes. The related modified interaction between the surface and free atmosphere affects both thermodynamics variables and dilution of chemical constituents. Boundary layer is also a major player in various feedback mechanisms of interest for climate models. This paper investigates trends in the nocturnal and convective boundary layer height at mid-latitudes in Europe using radiosounding profiles from the Integrated Global Radiosounding Archive (IGRA). Atmospheric data from the European Centre for Medium-Range Weather Forecasts (ECMWF) ReAnalysis v5 (ERA5) and from the GCOS Reference Upper-Air Network (GRUAN) Lindenberg station are used as intercomparison datasets for the study of structural and parametric uncertainties in the trend analysis. Trends are calculated after the removal of the lag-1 autocorrelation term for each time series. The study confirms the large differences reported in literature between the boundary layer height estimates obtained with the two different algorithms used for IGRA and ERA5 data: ERA5 shows a density distribution with median values of 350 m and 1150 m for the night and the daytime data, respectively, while the corresponding IGRA median values are of 1150 m and 1750 m. An overall good agreement between the estimated trends is found for nighttime data, while dayti</w:t>
      </w:r>
    </w:p>
    <w:p>
      <w:pPr/>
      <w:r>
        <w:rPr>
          <w:b/>
        </w:rPr>
        <w:t>POSSIBLE 2021:</w:t>
      </w:r>
      <w:r>
        <w:t xml:space="preserve"> Stakeholder perspectives and requirements on cybersecurity in Europe — https://doi.org/10.1016/j.jisa.2021.102916</w:t>
      </w:r>
    </w:p>
    <w:p>
      <w:pPr/>
      <w:r>
        <w:rPr>
          <w:b/>
        </w:rPr>
        <w:t>Shared claim-specific concepts:</w:t>
      </w:r>
      <w:r>
        <w:t xml:space="preserve"> stakeholder, stakeholders, achieving, transport; EU scope visible. This is a provisional connection, not an outcome finding.</w:t>
      </w:r>
    </w:p>
    <w:p>
      <w:pPr>
        <w:pStyle w:val="SourceNote"/>
      </w:pPr>
      <w:r>
        <w:rPr>
          <w:b/>
        </w:rPr>
        <w:t>Available abstract (not full text):</w:t>
      </w:r>
      <w:r>
        <w:t xml:space="preserve"> This article presents an overview and analysis of the key cybersecurity problems, challenges and requirements to be addressed in the future, which we derived through 63 interviews with European stakeholders from security-critical sectors including Open Banking, Supply Chain, Privacy-preserving Identity Management, Security Incident Reporting, Maritime Transport, Medical Data Exchange, and Smart Cities. We show that common problems, challenges and requirements across these sectors exist in relation to building trust, implementing privacy and identity management including secure and useable authentication, building resilient systems, standardisation and certification, achieving security and privacy by design, secure and privacy-compliant data and information sharing, and government regulations. Our results also indicate cybersecurity trends and allow to derive directions for future research and innovation activities that will be of high importance for Europe.</w:t>
      </w:r>
    </w:p>
    <w:p>
      <w:pPr/>
      <w:r>
        <w:rPr>
          <w:b/>
        </w:rPr>
        <w:t>POSSIBLE 2021:</w:t>
      </w:r>
      <w:r>
        <w:t xml:space="preserve"> Environmental impacts of household goods in Europe: a process-based life cycle assessment model to assess consumption footprint — https://doi.org/10.1007/s11367-021-01987-x</w:t>
      </w:r>
    </w:p>
    <w:p>
      <w:pPr/>
      <w:r>
        <w:rPr>
          <w:b/>
        </w:rPr>
        <w:t>Shared claim-specific concepts:</w:t>
      </w:r>
      <w:r>
        <w:t xml:space="preserve"> purpose, illustrate, assessment, used, therefore; EU scope visible. This is a provisional connection, not an outcome finding.</w:t>
      </w:r>
    </w:p>
    <w:p>
      <w:pPr>
        <w:pStyle w:val="SourceNote"/>
      </w:pPr>
      <w:r>
        <w:rPr>
          <w:b/>
        </w:rPr>
        <w:t>Available abstract (not full text):</w:t>
      </w:r>
      <w:r>
        <w:t xml:space="preserve"> Abstract Purpose Current patterns of household goods consumption generate relevant environmental pressures and impacts. Environmental impacts are not only limited to the European territory but also to third countries from where products are imported. Assessing the entire life cycle of products enables considering trade-related transboundary effects along supply chains. The goal of this paper is to illustrate the assessment of the environmental impacts of household goods consumption in Europe, modelled through the consumption footprint indicator. Methods The consumption footprint indicator was designed to assess the environmental impact of household consumption by covering five areas of consumption (food, mobility, housing, household goods and appliances), each of them modelled as a basket of products (BoP) representing the most consumed products by EU citizens. This paper focuses on the BoP household goods, entailing a large variety of products from clothes to personal care products. Consumption intensity was obtained from consumption statistical data for years 2010 and 2015. Life cycle inventory data for 30 representative products were obtained from EU Ecolabel background reports, screening reports of the Product Environmental Footprint pilots and literature. The 16 impact categories of the Environmental Footprint 3.0 method were employed for the impact assessment. Results and</w:t>
      </w:r>
    </w:p>
    <w:p>
      <w:pPr/>
      <w:r>
        <w:rPr>
          <w:b/>
        </w:rPr>
        <w:t>POSSIBLE 2021:</w:t>
      </w:r>
      <w:r>
        <w:t xml:space="preserve"> Exposure Assessment of Climate Extremes over the Europe–Mediterranean Region — https://doi.org/10.3390/atmos12050633</w:t>
      </w:r>
    </w:p>
    <w:p>
      <w:pPr/>
      <w:r>
        <w:rPr>
          <w:b/>
        </w:rPr>
        <w:t>Shared claim-specific concepts:</w:t>
      </w:r>
      <w:r>
        <w:t xml:space="preserve"> purpose, assessment, about; EU scope visible. This is a provisional connection, not an outcome finding.</w:t>
      </w:r>
    </w:p>
    <w:p>
      <w:pPr>
        <w:pStyle w:val="SourceNote"/>
      </w:pPr>
      <w:r>
        <w:rPr>
          <w:b/>
        </w:rPr>
        <w:t>Available abstract (not full text):</w:t>
      </w:r>
      <w:r>
        <w:t xml:space="preserve"> The use of a compact set of climate change indexes enhances our understanding of the combined impacts of extreme climatic conditions. In this study, we developed the modified Climate Extremes Index (mCEI) to obtain unified information about different types of extremes. For this purpose, we calculated 10 different climate change indexes considering the temperature extremes, extreme precipitation, and moisture surplus and drought over the Europe–Mediterranean (EURO–MED) region for the 1979–2016 period. As a holistic approach, mCEI provides spatiotemporal information, and the high-resolution grid-based data allow us to accomplish detailed country-based and city-based analyses. The analyses indicate that warm temperature extremes rise significantly over the EURO–MED region at a rate of 1.9% decade−1, whereas the cold temperature extremes decrease. Extreme drought has a significant increasing trend of 3.8% decade−1. Although there are regional differences, extreme precipitation indexes have a significant increasing tendency. According to the mCEI, the major hotspots for the combined extremes are the Mediterranean coasts, the Balkan countries, Eastern Europe, Iceland, western Russia, western Turkey, and western Iraq. The decadal changes of mCEI for these regions are in the range of 3–5% decade−1. The city-scale analysis based on urbanized locations reveals that Fes (Morocco), Izmir (</w:t>
      </w:r>
    </w:p>
    <w:p>
      <w:pPr/>
      <w:r>
        <w:rPr>
          <w:b/>
        </w:rPr>
        <w:t>POSSIBLE 2021:</w:t>
      </w:r>
      <w:r>
        <w:t xml:space="preserve"> The UK Integrated Assessment Model for source apportionment and air pollution policy applications to PM2.5 — https://doi.org/10.1016/j.envint.2021.106515</w:t>
      </w:r>
    </w:p>
    <w:p>
      <w:pPr/>
      <w:r>
        <w:rPr>
          <w:b/>
        </w:rPr>
        <w:t>Shared claim-specific concepts:</w:t>
      </w:r>
      <w:r>
        <w:t xml:space="preserve"> purpose, illustrate, assessment, used; EU scope visible. This is a provisional connection, not an outcome finding.</w:t>
      </w:r>
    </w:p>
    <w:p>
      <w:pPr>
        <w:pStyle w:val="SourceNote"/>
      </w:pPr>
      <w:r>
        <w:rPr>
          <w:b/>
        </w:rPr>
        <w:t>Available abstract (not full text):</w:t>
      </w:r>
      <w:r>
        <w:t xml:space="preserve"> Source apportionment and the effect of reducing individual sources is important input for the development of strategies to address air pollution. The UK Integrated Assessment Model, UKIAM, has been developed for this purpose as a flexible framework, combining information from different atmospheric dispersion models to cover different pollutant contributions, and span the range from European to local scale. In this paper we describe the UKIAM as developed for SO2, NOx, NH3, PM2.5 and VOCs. We illustrate its versatility and application with assessment of current PM2.5 concentrations and exposure of the UK population, as a case-study that has been used as the starting point to investigate potential improvement towards attainment of the WHO guideline of 10 µg/m3.</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therefore, transport;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pStyle w:val="Heading2"/>
      </w:pPr>
      <w:r>
        <w:t>837. Bioenergy futures in Sweden – Modeling integration scenarios for biofuel production</w:t>
      </w:r>
    </w:p>
    <w:p>
      <w:pPr>
        <w:pStyle w:val="SourceNote"/>
      </w:pPr>
      <w:r>
        <w:rPr>
          <w:b/>
        </w:rPr>
        <w:t>Original source (2016):</w:t>
      </w:r>
      <w:r>
        <w:t xml:space="preserve"> https://doi.org/10.1016/j.energy.2016.04.044</w:t>
      </w:r>
    </w:p>
    <w:p>
      <w:pPr/>
      <w:r>
        <w:t>Original wording (abstract; indexed_source_text_not_full_document_verified): However, even though biomass is a renewable resource, the potential is limited, and efficient use of available biomass resources will become increasingly important.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however, even, though, resources, increasingly;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2025:</w:t>
      </w:r>
      <w:r>
        <w:t xml:space="preserve"> Increased Holocene Diversity in Europe Linked to Human‐Associated Vegetation Change — https://doi.org/10.1111/geb.70166</w:t>
      </w:r>
    </w:p>
    <w:p>
      <w:pPr/>
      <w:r>
        <w:rPr>
          <w:b/>
        </w:rPr>
        <w:t>Shared claim-specific concepts:</w:t>
      </w:r>
      <w:r>
        <w:t xml:space="preserve"> however, though, use, increasingly; EU scope visible. This is a provisional connection, not an outcome finding.</w:t>
      </w:r>
    </w:p>
    <w:p>
      <w:pPr>
        <w:pStyle w:val="SourceNote"/>
      </w:pPr>
      <w:r>
        <w:rPr>
          <w:b/>
        </w:rPr>
        <w:t>Available abstract (not full text):</w:t>
      </w:r>
      <w:r>
        <w:t xml:space="preserve">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pPr/>
      <w:r>
        <w:rPr>
          <w:b/>
        </w:rPr>
        <w:t>POSSIBLE 2025:</w:t>
      </w:r>
      <w:r>
        <w:t xml:space="preserve"> Spatial distribution and drivers of renewable energies in European regions — https://doi.org/10.1016/j.eneco.2025.108340</w:t>
      </w:r>
    </w:p>
    <w:p>
      <w:pPr/>
      <w:r>
        <w:rPr>
          <w:b/>
        </w:rPr>
        <w:t>Shared claim-specific concepts:</w:t>
      </w:r>
      <w:r>
        <w:t xml:space="preserve"> renewable, resource; EU scope visible. This is a provisional connection, not an outcome finding.</w:t>
      </w:r>
    </w:p>
    <w:p>
      <w:pPr>
        <w:pStyle w:val="SourceNote"/>
      </w:pPr>
      <w:r>
        <w:rPr>
          <w:b/>
        </w:rPr>
        <w:t>Available abstract (not full text):</w:t>
      </w:r>
      <w:r>
        <w:t xml:space="preserve"> The energy transition is a complex process that varies significantly among European regions. This research uses spatial econometric panel models to investigate the evolution of wind and photovoltaic (PV) energy in Europe throughout the 21st century by identifying the main drivers (socioeconomic, institutional, geographic and demographic factors) of renewable energy capacity in European regions. The study reveals high heterogeneity in the development of these renewable energy sources . GDP per capita shows a positive relationship with both technologies, while the opposite is found for population density. While natural resource factors considered here do not seem to considerable impact the location of wind and PV farms, the pattern of territorial technology diffusion through spatial spillovers stand out as a determining factor in the wind and photovoltaic energy place-based evolutionary processes.</w:t>
      </w:r>
    </w:p>
    <w:p>
      <w:pPr/>
      <w:r>
        <w:rPr>
          <w:b/>
        </w:rPr>
        <w:t>POSSIBLE 2025:</w:t>
      </w:r>
      <w:r>
        <w:t xml:space="preserve"> Resource regimes and the success of local renewable energy projects — https://doi.org/10.1016/j.ecolecon.2025.108843</w:t>
      </w:r>
    </w:p>
    <w:p>
      <w:pPr/>
      <w:r>
        <w:rPr>
          <w:b/>
        </w:rPr>
        <w:t>Shared claim-specific concepts:</w:t>
      </w:r>
      <w:r>
        <w:t xml:space="preserve"> biomass, renewable, resource; EU scope not established. This is a provisional connection, not an outcome finding.</w:t>
      </w:r>
    </w:p>
    <w:p>
      <w:pPr>
        <w:pStyle w:val="SourceNote"/>
      </w:pPr>
      <w:r>
        <w:rPr>
          <w:b/>
        </w:rPr>
        <w:t>Available abstract (not full text):</w:t>
      </w:r>
      <w:r>
        <w:t xml:space="preserve"> While national governments and parliaments adopt policies to speed up the development of renewable energies, the local implementation of renewable energy projects often faces economic, ecological, and social challenges. The existing literature primarily focuses on conditions which foster local acceptance and policy integration to explain the (non-)realization of renewable energy projects. In contrast, property rights have not yet been explicitly considered as conditions. This study applies the institutional resource regime approach to investigate the joint impact of property rights and public policies on the local implementation of renewable energy projects. Drawing on a comparison of twelve cases which encompass solar, wind, biomass, and geothermal energy projects in three countries, the results show the importance of property rights within the project area, and the insufficiency of public policies alone to facilitate successful renewable energy projects. More specifically, public landownership and revenue sharing increase the chances of project success, as this entails the involvement of local democratic institutions and supports the resilience of project promotors against political contestation.</w:t>
      </w:r>
    </w:p>
    <w:p>
      <w:pPr/>
      <w:r>
        <w:rPr>
          <w:b/>
        </w:rPr>
        <w:t>POSSIBLE 2025:</w:t>
      </w:r>
      <w:r>
        <w:t xml:space="preserve"> Keep All the Flawed Options on the Table: Europe’s Nuclear Future — https://doi.org/10.1515/sirius-2025-2008</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Abstract U.S. extended nuclear deterrence has long underpinned European security, but renewed doubts under President Donald Trump’s leadership have shaken European confidence. In response, Europeans are debating alternatives, such as a “Eurodeterrent”, and in Poland’s case, even hinting at nuclear ambitions. However, these options all face major strategic, political, and technical challenges. This article argues that Europe’s best course is a hedging strategy–maintaining the U.S. umbrella while strengthening European deterrence, including through greater British-French nuclear cooperation, a conventional buildup, and even nuclear latency in select states. Though imperfect, hedging offers a pragmatic path amid growing uncertainty.</w:t>
      </w:r>
    </w:p>
    <w:p>
      <w:pPr/>
      <w:r>
        <w:rPr>
          <w:b/>
        </w:rPr>
        <w:t>POSSIBLE 2024:</w:t>
      </w:r>
      <w:r>
        <w:t xml:space="preserve"> Investigating the heterogeneity within Wild bird indices in Europe — https://doi.org/10.1016/j.biocon.2024.110452</w:t>
      </w:r>
    </w:p>
    <w:p>
      <w:pPr/>
      <w:r>
        <w:rPr>
          <w:b/>
        </w:rPr>
        <w:t>Shared claim-specific concepts:</w:t>
      </w:r>
      <w:r>
        <w:t xml:space="preserve"> however, even, though, potential, important;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THE FAILURE OF EUROPEAN CONSTITUTION — https://doi.org/10.62792/ut.jus.v12.i21-22.p2754</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however, even, renewable, resource, resources;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renewable, use, become;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Taxi Regulation and Its Impact on User Experience in European Countries — https://doi.org/10.58956/liikenne.144792</w:t>
      </w:r>
    </w:p>
    <w:p>
      <w:pPr/>
      <w:r>
        <w:rPr>
          <w:b/>
        </w:rPr>
        <w:t>Shared claim-specific concepts:</w:t>
      </w:r>
      <w:r>
        <w:t xml:space="preserve"> however, even, though, potential; EU scope visible. This is a provisional connection, not an outcome finding.</w:t>
      </w:r>
    </w:p>
    <w:p>
      <w:pPr>
        <w:pStyle w:val="SourceNote"/>
      </w:pPr>
      <w:r>
        <w:rPr>
          <w:b/>
        </w:rPr>
        <w:t>Available abstract (not full text):</w:t>
      </w:r>
      <w:r>
        <w:t xml:space="preserve"> The taxi industry is one of the few industries where quantities and maximum fare prices are still strictly controlled. However, even though large-scale shifts in regulatory structures are happening across the world, the impacts of these changes are still largely unknown. The aim of this article was to get a narrow picture of the potential effects of deregulation of the taxi industry in a European context by investigating and comparing the observed effects in two European capitals. When talking about the taxi industry, we refer to the “traditional” European taxis, meaning that digital taxi services such as Uber, Bolt etc. are excluded. The article provides an overview of the background to the regulation of the taxi industry and the most common justifications of regulation. According to the findings, deregulations of the taxi markets can have varied results even in cities with very similar regulatory structures and no specific framework for effects caused by deregulation could be made. However, the contention of whether taxi regulations are beneficial mainly focuses around quantitative and economic regulations.</w:t>
      </w:r>
    </w:p>
    <w:p>
      <w:pPr/>
      <w:r>
        <w:rPr>
          <w:b/>
        </w:rPr>
        <w:t>POSSIBLE 2023:</w:t>
      </w:r>
      <w:r>
        <w:t xml:space="preserve"> The potential impact of climate change on European renewable energy droughts — https://doi.org/10.1016/j.rser.2023.114011</w:t>
      </w:r>
    </w:p>
    <w:p>
      <w:pPr/>
      <w:r>
        <w:rPr>
          <w:b/>
        </w:rPr>
        <w:t>Shared claim-specific concepts:</w:t>
      </w:r>
      <w:r>
        <w:t xml:space="preserve"> renewable, potential;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Risk aversion in renewable resource harvesting — https://doi.org/10.1016/j.jeem.2023.102855</w:t>
      </w:r>
    </w:p>
    <w:p>
      <w:pPr/>
      <w:r>
        <w:rPr>
          <w:b/>
        </w:rPr>
        <w:t>Shared claim-specific concepts:</w:t>
      </w:r>
      <w:r>
        <w:t xml:space="preserve"> renewable, resource, use; EU scope not established. This is a provisional connection, not an outcome finding.</w:t>
      </w:r>
    </w:p>
    <w:p>
      <w:pPr>
        <w:pStyle w:val="SourceNote"/>
      </w:pPr>
      <w:r>
        <w:rPr>
          <w:b/>
        </w:rPr>
        <w:t>Available abstract (not full text):</w:t>
      </w:r>
      <w:r>
        <w:t xml:space="preserve"> We study optimal harvesting of a renewable resource with stochastic dynamics. To focus on the effect of risk aversion, we consider a resource user who is indifferent with respect to intertemporal variability. We find that a constant escapement strategy is optimal, i.e. the stock after harvesting is constant. Under common specifications of risk aversion, increas ing risk and risk aversion increase current resource use, the reason being a substitution effect, i.e. the resource user substitutes assets away from the risky resource stock. We apply the model to the case of the Eastern Baltic cod fishery and, in contrast to the previous literature, find a strong effect of risk and risk aversion on optimal harvesting.</w:t>
      </w:r>
    </w:p>
    <w:p>
      <w:pPr>
        <w:pStyle w:val="Heading2"/>
      </w:pPr>
      <w:r>
        <w:t>838. Changing knowledge, changing technology: implications for teacher education futures</w:t>
      </w:r>
    </w:p>
    <w:p>
      <w:pPr>
        <w:pStyle w:val="SourceNote"/>
      </w:pPr>
      <w:r>
        <w:rPr>
          <w:b/>
        </w:rPr>
        <w:t>Original source (2016):</w:t>
      </w:r>
      <w:r>
        <w:t xml:space="preserve"> https://doi.org/10.1080/02607476.2015.1125432</w:t>
      </w:r>
    </w:p>
    <w:p>
      <w:pPr/>
      <w:r>
        <w:t>Original wording (abstract; indexed_source_text_not_full_document_verified): Data from these interviews were analysed to stimulate the construction of four future teacher education scenarios.</w:t>
      </w:r>
    </w:p>
    <w:p>
      <w:pPr/>
      <w:r>
        <w:rPr>
          <w:b/>
        </w:rPr>
        <w:t>POSSIBLE 2026:</w:t>
      </w:r>
      <w:r>
        <w:t xml:space="preserve"> Digital Story 2. Visual timeline creation as a reflexive practice - an experiential approach to designing interview guides and analysing multimedia data — https://doi.org/10.6084/m9.figshare.31353376</w:t>
      </w:r>
    </w:p>
    <w:p>
      <w:pPr/>
      <w:r>
        <w:rPr>
          <w:b/>
        </w:rPr>
        <w:t>Shared claim-specific concepts:</w:t>
      </w:r>
      <w:r>
        <w:t xml:space="preserve"> data, interviews, analysed, four, teacher, education; EU scope not established. This is a provisional connection, not an outcome finding.</w:t>
      </w:r>
    </w:p>
    <w:p>
      <w:pPr>
        <w:pStyle w:val="SourceNote"/>
      </w:pPr>
      <w:r>
        <w:rPr>
          <w:b/>
        </w:rPr>
        <w:t>Available abstract (not full text):</w:t>
      </w:r>
      <w:r>
        <w:t xml:space="preserve">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pPr/>
      <w:r>
        <w:rPr>
          <w:b/>
        </w:rPr>
        <w:t>POSSIBLE 2026:</w:t>
      </w:r>
      <w:r>
        <w:t xml:space="preserve"> Towards a harmonised data framework for design for disassembly in construction — https://doi.org/10.5281/zenodo.22679835</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The construction industry's transition to a circular economy requires robust, standardised data management to support Design for Disassembly (DfD). This paper presents a two-phase research project developing a harmonised DfD data requirements framework for the built environment. Phase 1 synthesised 688 explicit data-level requirements from 42 literature sources, consolidated into 128 harmonised data points across 12 thematic clusters through a manual three-pass harmonisation process. Phase 2 extended and validated this framework through seven semi-structured interviews with sustainability engineers, architects, manufacturers, contractors, material data platform engineers, and a digital construction research scientist. Interview analysis produced 92 additional data points, 18 modifications, and identified a new thirteenth cluster on Stakeholder and Organisation dimensions, resulting in a revised framework of 211 substantive data points across 13 clusters. Key practitioner insights challenge assumptions prevalent in the literature, including the economic trade-off in connection reversibility, the primacy of short-lifecycle fit-out components for DfD impact, and the critical role of demolition contractors as knowledge holders. The framework serves as a foundation of data requirements to inform the development of a formal DfD ontology, supporting semantic interoperability for circu</w:t>
      </w:r>
    </w:p>
    <w:p>
      <w:pPr/>
      <w:r>
        <w:rPr>
          <w:b/>
        </w:rPr>
        <w:t>POSSIBLE 2026:</w:t>
      </w:r>
      <w:r>
        <w:t xml:space="preserve"> Translanguaging and Identity Construction in Pakistani YouTube Interviews: A Multimodal Discourse Analysis — https://openalex.org/W7221488103</w:t>
      </w:r>
    </w:p>
    <w:p>
      <w:pPr/>
      <w:r>
        <w:rPr>
          <w:b/>
        </w:rPr>
        <w:t>Shared claim-specific concepts:</w:t>
      </w:r>
      <w:r>
        <w:t xml:space="preserve"> interviews, construction, four; EU scope not established. This is a provisional connection, not an outcome finding.</w:t>
      </w:r>
    </w:p>
    <w:p>
      <w:pPr>
        <w:pStyle w:val="SourceNote"/>
      </w:pPr>
      <w:r>
        <w:rPr>
          <w:b/>
        </w:rPr>
        <w:t>Available abstract (not full text):</w:t>
      </w:r>
      <w:r>
        <w:t xml:space="preserve"> Despite the fact that Pakistani YouTube has a significant ecology of long-form interview programming, there has been a lack of work on the sociolinguistics of Pakistani multilingual digital practice that considers extended spoken interaction – written posts, questionnaires, and short-form content. This study investigates Urdu–English resources used by the speakers in their interviews on YouTube in Pakistan and analyzes the way these resources are used for meaning-making and how this practice helps in the construction of identity. The design is of a qualitative and interpretative type. Five interviews were purposively selected from three sources of publicly available material, and coded transcripts were used, with the English lexical items that occurred only in the Urdu line considered as evidence of code-mixed speech and the English that occurred only in the accompanying translation not being included in the linguistic analysis. This produced a highly analytic corpus of code-mixing in four interviews, while the fifth interview was used only in a contextual manner. The twelve extracts were analyzed using a translanguaging approach as well as Bucholtz and Hall's identity theory and a multimodal reading of the transcripts that focuses on what they do and do not preserve. These findings reveal four recurrent functions of English: conceptual and historiographic register anchoring (E</w:t>
      </w:r>
    </w:p>
    <w:p>
      <w:pPr/>
      <w:r>
        <w:rPr>
          <w:b/>
        </w:rPr>
        <w:t>POSSIBLE 2026:</w:t>
      </w:r>
      <w:r>
        <w:t xml:space="preserve"> Making Interview Multilingualism Visible: Transnational Chinese Language Teacher Identity Construction — https://doi.org/10.1111/ijal.70127</w:t>
      </w:r>
    </w:p>
    <w:p>
      <w:pPr/>
      <w:r>
        <w:rPr>
          <w:b/>
        </w:rPr>
        <w:t>Shared claim-specific concepts:</w:t>
      </w:r>
      <w:r>
        <w:t xml:space="preserve"> data, interviews, construction, teacher, education; EU scope not established. This is a provisional connection, not an outcome finding.</w:t>
      </w:r>
    </w:p>
    <w:p>
      <w:pPr>
        <w:pStyle w:val="SourceNote"/>
      </w:pPr>
      <w:r>
        <w:rPr>
          <w:b/>
        </w:rPr>
        <w:t>Available abstract (not full text):</w:t>
      </w:r>
      <w:r>
        <w:t xml:space="preserve"> ABSTRACT This study examines multilingual practices in research interviews, focusing on English lexical insertions in Chinese‐language research interviews with teachers of Chinese in Australian secondary schools, and treating these code‐switches as analytically meaningful rather than incidental. While interviews are widely used in language teacher‐identity research, the multilingual nature of interview interaction is often rendered invisible, as code‐switching within the interview itself is often sanitized in transcription and analysis. Drawing on data from 25 semi‐structured interviews, the analysis focuses on ten frequently code‐switched English terms, categorized into three thematic domains: (1) structural pressures and affective challenges, (2) classroom dynamics and teacher positioning, and (3) pedagogical approaches to language teaching. These code‐switches reveal how participants position themselves as transnational professionals, balancing cultural affiliations and pedagogical orientations while negotiating their roles as teachers of Chinese. The study extends research on language teacher identity and demonstrates the value of systematically transcribing and analyzing code‐switching in interview data. It also offers implications for teacher education programs that prepare teachers to reflect on their language use in negotiating identity and to support reflective and cul</w:t>
      </w:r>
    </w:p>
    <w:p>
      <w:pPr/>
      <w:r>
        <w:rPr>
          <w:b/>
        </w:rPr>
        <w:t>POSSIBLE 2026:</w:t>
      </w:r>
      <w:r>
        <w:t xml:space="preserve"> How Police-Led Recorded Investigative Interviews are Analysed: A Systematic Mapping Review — https://doi.org/10.17605/osf.io/skuvb</w:t>
      </w:r>
    </w:p>
    <w:p>
      <w:pPr/>
      <w:r>
        <w:rPr>
          <w:b/>
        </w:rPr>
        <w:t>Shared claim-specific concepts:</w:t>
      </w:r>
      <w:r>
        <w:t xml:space="preserve"> data, interviews, analysed; EU scope not established. This is a provisional connection, not an outcome finding.</w:t>
      </w:r>
    </w:p>
    <w:p>
      <w:pPr>
        <w:pStyle w:val="SourceNote"/>
      </w:pPr>
      <w:r>
        <w:rPr>
          <w:b/>
        </w:rPr>
        <w:t>Available abstract (not full text):</w:t>
      </w:r>
      <w:r>
        <w:t xml:space="preserve"> The objective of this systematic mapping review is to examine how police-led recorded investigative interviews have been empirically studied across disciplinary traditions. The review focuses specifically on recorded interviews conducted by sworn police officers or by police trainees acting in the interviewer role within institutional policing or formal police training contexts. Both real-world interviews and police-training mock interviews are included, provided they are police-led and institutionally situated. The review maps the types of recorded data analysed (e.g., real-world versus police-training mock interviews; suspect, witness, or victim interviews; audio versus video recordings; transcript derivation practices), the analytic approaches applied to those data, and recurring combinations of data type, analytic framework, and study design. No meta-analysis or outcome synthesis is planned. Findings will be presented as a structured descriptive mapping of methodological patterns across the literature.</w:t>
      </w:r>
    </w:p>
    <w:p>
      <w:pPr/>
      <w:r>
        <w:rPr>
          <w:b/>
        </w:rPr>
        <w:t>POSSIBLE 2025:</w:t>
      </w:r>
      <w:r>
        <w:t xml:space="preserve"> WORKWELL process evaluation: qualitative data analyses of the participant interviews at 12- and 36-month follow-ups — https://doi.org/10.1093/rap/rkaf034</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pPr/>
      <w:r>
        <w:rPr>
          <w:b/>
        </w:rPr>
        <w:t>POSSIBLE 2025:</w:t>
      </w:r>
      <w:r>
        <w:t xml:space="preserve"> Chatbots for Data Collection in Surveys: A Comparison of Four Theory-Based Interview Probes — https://doi.org/10.1145/3706598.3714128</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Surveys are a widespread method for collecting data at scale, but their rigid structure often limits the depth of qualitative insights obtained. While interviews naturally yield richer responses, they are challenging to conduct across diverse locations and large participant pools. To partially bridge this gap, we investigate the potential of using LLM-based chatbots to support qualitative data collection through interview probes embedded in surveys. We assess four theory-based interview probes: descriptive, idiographic, clarifying, and explanatory. Through a split-plot study design (N=64), we compare the probes' impact on response quality and user experience across three key stages of HCI research: exploration, requirements gathering, and evaluation. Our results show that probes facilitate the collection of high-quality survey data, with specific probes proving effective at different research stages. We contribute practical and methodological implications for using chatbots as research tools to enrich qualitative data collection.</w:t>
      </w:r>
    </w:p>
    <w:p>
      <w:pPr/>
      <w:r>
        <w:rPr>
          <w:b/>
        </w:rPr>
        <w:t>POSSIBLE 2025:</w:t>
      </w:r>
      <w:r>
        <w:t xml:space="preserve"> HOW TO DEVELOP A FRAMEWORK MANUALLY FROM QUALITATIVE INTERVIEW DATA — https://doi.org/10.55197/qjssh.v6i4.767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Framework development in qualitative research is the systematic categorisation and interpretation of information or data to construct a conceptual structure which can be presented to explain relationships between emerging themes. However, the prevailing trend to use advanced software tools to analyse qualitative data poses several challenges for many researchers, especially those who consider those tools nonintuitive, resource-consuming, or not well-suited for their specific depth of inquiry. The objective of this review is to outline a structured, manual process for developing a conceptual framework grounded in interview data, highlighting each analytical stage from data familiarisation to thematic synthesis and framework construction. This review is a narrative review that discusses the processes involved in manually constructing a conceptual framework using the interview data in qualitative research. In qualitative research, especially in research where interviews are methods for data collection, the formation of a conceptual framework is a systematic process of inquiry that is rooted in the experiences of the participants and reflects the aggregated data. The process typically unfolds in four sequential but iterative steps: (a) data familiarisation; (b) initial coding and categorisation; (c) theme development; and (d) framework construction. In conclusion, the manual proces</w:t>
      </w:r>
    </w:p>
    <w:p>
      <w:pPr/>
      <w:r>
        <w:rPr>
          <w:b/>
        </w:rPr>
        <w:t>POSSIBLE 2025:</w:t>
      </w:r>
      <w:r>
        <w:t xml:space="preserve"> A Study on the Construction of Living Lab in Hospital Using Focus Group Interview (FGI) — https://doi.org/10.34264/jkafa.2025.17.2.23</w:t>
      </w:r>
    </w:p>
    <w:p>
      <w:pPr/>
      <w:r>
        <w:rPr>
          <w:b/>
        </w:rPr>
        <w:t>Shared claim-specific concepts:</w:t>
      </w:r>
      <w:r>
        <w:t xml:space="preserve"> data, interviews, construction, education; EU scope not established. This is a provisional connection, not an outcome finding.</w:t>
      </w:r>
    </w:p>
    <w:p>
      <w:pPr>
        <w:pStyle w:val="SourceNote"/>
      </w:pPr>
      <w:r>
        <w:rPr>
          <w:b/>
        </w:rPr>
        <w:t>Available abstract (not full text):</w:t>
      </w:r>
      <w:r>
        <w:t xml:space="preserve"> Objective: The purpose of this study is to analyze specific measures related to the construction of living labs for experts for the “AI-Robot-Based Digital Twin Platform” project in the hospital and present practical grounds for the construction of living labs through this. Methods: This study selected seven experts with experience related to living labs and care robots at home and abroad and conducted focus group interviews. The research was conducted in six stages: expert selection, preliminary preparation, interview, transcription, analysis, and result derivation, and the core subjects were derived through open coding, axial coding, and selective coding using Kryger (1998)'s four-stage analysis process. Results: As a result of the analysis, five key elements were identified to build a living lab in the hospital. First, space and environmental design that reflects the specificity of medical institutions such as infection management, patient safety, hospital room structure, and mobility of equipment are needed. Second, it is important to actively participate not only in management but also in working-level officials such as nurses and caregivers and to cooperate with stakeholders through feedback sharing. Third, data management and security are essential, such as pseudonymizing sensitive medical data, limiting access rights, and establishing a storage system in the hospital. F</w:t>
      </w:r>
    </w:p>
    <w:p>
      <w:pPr/>
      <w:r>
        <w:rPr>
          <w:b/>
        </w:rPr>
        <w:t>POSSIBLE 2025:</w:t>
      </w:r>
      <w:r>
        <w:t xml:space="preserve"> Readiness to implement construction 4.0 applications in building construction projects in Sri Lanka — https://doi.org/10.31705/wcs.2025.88</w:t>
      </w:r>
    </w:p>
    <w:p>
      <w:pPr/>
      <w:r>
        <w:rPr>
          <w:b/>
        </w:rPr>
        <w:t>Shared claim-specific concepts:</w:t>
      </w:r>
      <w:r>
        <w:t xml:space="preserve"> data, interviews, analysed, construction, four; EU scope not established. This is a provisional connection, not an outcome finding.</w:t>
      </w:r>
    </w:p>
    <w:p>
      <w:pPr>
        <w:pStyle w:val="SourceNote"/>
      </w:pPr>
      <w:r>
        <w:rPr>
          <w:b/>
        </w:rPr>
        <w:t>Available abstract (not full text):</w:t>
      </w:r>
      <w:r>
        <w:t xml:space="preserve"> The Construction industry is a vital indicator of the country’s economic progress and development. Technological advancements play an essential role across various sectors, and their integration boosts both productivity and efficiency. Industry 4.0, a global concept, focuses on digitalising industries through cutting-edge technologies. Construction 4.0, as an application of Industry 4.0, seeks to enhance construction projects’ efficiency, effectiveness and profitability. While many countries have begun to adopt Construction 4.0 applications, studies show that the practical use of these technologies is significantly lower than their theoretical potential. This research investigates the readiness of the Sri Lankan building construction industry to implement Construction 4.0 technologies, with a specific focus on assessing the digital literacy of professionals in the sector. A qualitative approach was used, involving interviews with five experts, including academics and industry professionals, to evaluate the current level of digital literacy &amp; awareness. This study followed four main objectives. The research was conducted in two phases: a thorough literature review and semi-structured interviews with five experts using snowball sampling. Data was analysed through coding techniques using NVivo 14 software. The findings revealed that while some technologies are being adopted in Sri</w:t>
      </w:r>
    </w:p>
    <w:p>
      <w:pPr/>
      <w:r>
        <w:rPr>
          <w:b/>
        </w:rPr>
        <w:t>POSSIBLE 2025:</w:t>
      </w:r>
      <w:r>
        <w:t xml:space="preserve"> Digital Integration in Construction: A Case Study on Common Data Environment Implementation for a Metro Line Project — https://doi.org/10.3390/infrastructures10100266</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This study examines the deployment of a Common Data Environment (CDE) during the extension of a major North American metro line—an infrastructure project marked by complex stakeholder dynamics and fragmented digital practices. Employing a four-phase action research approach (diagnosis, planning, implementation, evaluation), the research identifies inefficiencies in existing document management through contract reviews, field observations, and stakeholder interviews. In response, three standardized processes were introduced to streamline document workflows within the Autodesk Construction Cloud (ACC). These processes enabled partial automation of data handling, reduced reliance on manual inputs, and improved the consistency of information exchanges. While constrained by limited governance and executive engagement, the initiative demonstrates the potential of CDEs to support digital integration and automation in construction. Findings highlight the need for early planning, field-level support, and a strategic framework to ensure sustainable adoption. The results contribute practical insights for leveraging CDEs to enhance automation in large-scale infrastructure projects.</w:t>
      </w:r>
    </w:p>
    <w:p>
      <w:pPr/>
      <w:r>
        <w:rPr>
          <w:b/>
        </w:rPr>
        <w:t>POSSIBLE 2025:</w:t>
      </w:r>
      <w:r>
        <w:t xml:space="preserve"> Team transcribing: an approach to analysing and interpreting online acquaintance interviews as collaborative achievements — https://doi.org/10.1016/j.rmal.2025.100250</w:t>
      </w:r>
    </w:p>
    <w:p>
      <w:pPr/>
      <w:r>
        <w:rPr>
          <w:b/>
        </w:rPr>
        <w:t>Shared claim-specific concepts:</w:t>
      </w:r>
      <w:r>
        <w:t xml:space="preserve"> data, interviews, analysed; EU scope not established. This is a provisional connection, not an outcome finding.</w:t>
      </w:r>
    </w:p>
    <w:p>
      <w:pPr>
        <w:pStyle w:val="SourceNote"/>
      </w:pPr>
      <w:r>
        <w:rPr>
          <w:b/>
        </w:rPr>
        <w:t>Available abstract (not full text):</w:t>
      </w:r>
      <w:r>
        <w:t xml:space="preserve"> Despite applied linguists’ understanding of interview data as collaboratively co-constructed, less attention has focused on how the interviewer’s involvement in the communicative event of an interview might go on to shape the ways in which the data is transcribed, analysed and interpreted, with implications for the generation of new knowledge. This article puts forward a team transcribing approach which addresses potential biases and partialities, and highlights how new knowledge is collaboratively achieved through recognising and valuing the diversity of voices within a team. The approach is illustrated through discussion of a research project, Mobile Conversations in Context (MoCo), which combined online video-recorded acquaintance interviews with analysis of diary and mobile messaging data. The interview data was collaboratively transcribed and analysed by two researchers on the team who brought different perspectives to the data: R1 who conducted the interviews and produced initial transcripts; and R2 who multimodally annotated and analysed the transcripts. Our collaboration stretched from initial conversations to the process of writing this paper and revealed the different ways in which interviewees resisted being positioned by the interviewer as mobile messaging users and informants, which in turn highlighted assumptions and attitudes which shaped their mobile messaging p</w:t>
      </w:r>
    </w:p>
    <w:p>
      <w:pPr>
        <w:pStyle w:val="Heading2"/>
      </w:pPr>
      <w:r>
        <w:t>839. Consistent economic cross-sectoral climate change impact scenario analysis: Method and application to Austria</w:t>
      </w:r>
    </w:p>
    <w:p>
      <w:pPr>
        <w:pStyle w:val="SourceNote"/>
      </w:pPr>
      <w:r>
        <w:rPr>
          <w:b/>
        </w:rPr>
        <w:t>Original source (2016):</w:t>
      </w:r>
      <w:r>
        <w:t xml:space="preserve"> https://doi.org/10.1016/j.cliser.2016.02.003</w:t>
      </w:r>
    </w:p>
    <w:p>
      <w:pPr/>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POSSIBLE 2026:</w:t>
      </w:r>
      <w:r>
        <w:t xml:space="preserve"> European Energy Transition – Germany in the Heart of Europe — https://doi.org/10.34657/40040</w:t>
      </w:r>
    </w:p>
    <w:p>
      <w:pPr/>
      <w:r>
        <w:rPr>
          <w:b/>
        </w:rPr>
        <w:t>Shared claim-specific concepts:</w:t>
      </w:r>
      <w:r>
        <w:t xml:space="preserve"> thus, here, applies, climate, framework;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 tection measures [1, 2]. These measures include Europe achieving net-zero greenhouse gas emissions by 2050. As an interim target, net greenhouse gas emissions are to be re- duced by 55% by 2030 compared to 1990 levels [3]. Achieving these goals will require a holistic transformation of the European energy system. Against this background, the ques- 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 ditions. The analyses are carried out using the ETHOS (Energy Transformation Pathway Optimization Suite) model family, which was developed by the Jülich Systems Analysis in- stitute (ICE-2) at Forschungszentrum Jülich [4]. This allows energy systems to be mapped on differ</w:t>
      </w:r>
    </w:p>
    <w:p>
      <w:pPr/>
      <w:r>
        <w:rPr>
          <w:b/>
        </w:rPr>
        <w:t>POSSIBLE 2025:</w:t>
      </w:r>
      <w:r>
        <w:t xml:space="preserve"> Cluster Analysis of the Transition to Climate Neutrality in the European Union — https://doi.org/10.1002/sd.70064</w:t>
      </w:r>
    </w:p>
    <w:p>
      <w:pPr/>
      <w:r>
        <w:rPr>
          <w:b/>
        </w:rPr>
        <w:t>Shared claim-specific concepts:</w:t>
      </w:r>
      <w:r>
        <w:t xml:space="preserve"> approach, climate;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Climate resilience of European wine regions — https://doi.org/10.1038/s41467-024-50549-w</w:t>
      </w:r>
    </w:p>
    <w:p>
      <w:pPr/>
      <w:r>
        <w:rPr>
          <w:b/>
        </w:rPr>
        <w:t>Shared claim-specific concepts:</w:t>
      </w:r>
      <w:r>
        <w:t xml:space="preserve"> thus, here, climate, socioeconomic, sector, assessment; EU scope visible. This is a provisional connection, not an outcome finding.</w:t>
      </w:r>
    </w:p>
    <w:p>
      <w:pPr>
        <w:pStyle w:val="SourceNote"/>
      </w:pPr>
      <w:r>
        <w:rPr>
          <w:b/>
        </w:rPr>
        <w:t>Available abstract (not full text):</w:t>
      </w:r>
      <w:r>
        <w:t xml:space="preserve">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coupled;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framework;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approach, climate, assessment, general;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2023:</w:t>
      </w:r>
      <w:r>
        <w:t xml:space="preserve"> The first map of crop sequence types in Europe over 2012–2018 — https://doi.org/10.5194/essd-15-5651-2023</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pPr/>
      <w:r>
        <w:rPr>
          <w:b/>
        </w:rPr>
        <w:t>POSSIBLE 2023:</w:t>
      </w:r>
      <w:r>
        <w:t xml:space="preserve"> The Future of HSR Program Evaluation: A European Perspective — https://doi.org/10.1093/eurpub/ckad160.052</w:t>
      </w:r>
    </w:p>
    <w:p>
      <w:pPr/>
      <w:r>
        <w:rPr>
          <w:b/>
        </w:rPr>
        <w:t>Shared claim-specific concepts:</w:t>
      </w:r>
      <w:r>
        <w:t xml:space="preserve"> thus, here, approach, framework;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2023:</w:t>
      </w:r>
      <w:r>
        <w:t xml:space="preserve"> Achieving 100 climate neutral cities in Europe: Investigating climate city contracts in Sweden — https://doi.org/10.1038/s44168-023-00035-8</w:t>
      </w:r>
    </w:p>
    <w:p>
      <w:pPr/>
      <w:r>
        <w:rPr>
          <w:b/>
        </w:rPr>
        <w:t>Shared claim-specific concepts:</w:t>
      </w:r>
      <w:r>
        <w:t xml:space="preserve"> develop, climate, framework; EU scope visible. This is a provisional connection, not an outcome finding.</w:t>
      </w:r>
    </w:p>
    <w:p>
      <w:pPr>
        <w:pStyle w:val="SourceNote"/>
      </w:pPr>
      <w:r>
        <w:rPr>
          <w:b/>
        </w:rPr>
        <w:t>Available abstract (not full text):</w:t>
      </w:r>
      <w:r>
        <w:t xml:space="preserve"> Abstract The European Commission has established a mission to achieve 100 climate neutral cities by 2030. A key element in the process is for municipalities to develop a Climate City Contract (CCC). Simultaneously, Viable Cities, a national strategic innovation program in Sweden, is also focusing on the transition to climate neutral cities where CCCs are being developed. Viable Cities is at the forefront of the process by not only creating the first CCCs at the national level but also in supporting the European Commission in developing the CCCs at the European level. This article investigates thefirstCCCs in Sweden and consequently Europe. To do so, it evaluates the content of the Swedish CCCs against a framework for best practice deep decarbonization plans, developed by Linton et al.1; and also analyses the process of developing them. This article is based on a literature review, document analysis of the Swedish CCCs from nine municipalities, and draws on five interviews with the municipalities of Lund, Umeå and Stockholm and Viable Cities. The objective of this article is to investigate the content and process of Swedish CCCs but also to generate insights for subsequent CCCs that are to be developed across Europe.</w:t>
      </w:r>
    </w:p>
    <w:p>
      <w:pPr/>
      <w:r>
        <w:rPr>
          <w:b/>
        </w:rPr>
        <w:t>POSSIBLE 2023:</w:t>
      </w:r>
      <w:r>
        <w:t xml:space="preserve"> Cost-effective adaptation strategies to rising river flood risk in Europe — https://doi.org/10.1038/s41558-022-01540-0</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River flood risk in Europe could rise to unprecedented levels due to global warming and continued development in flood-prone areas. Here, we appraise the potential of four key adaptation strategies to reduce flood risk across Europe based on flood risk modelling and cost–benefit analysis. We find that reducing flood peaks using detention areas is economically the most attractive option. In a scenario without climate mitigation (3 °C global warming), they can lower projected flood losses in Europe by 2100 from €44(30–61) billion to €8.1(5.5–10.7) billion per year and lower population exposed by 84% (75–90%) or achieve a risk level comparable to today. The economic investment required over 2020–2100 would provide a return of €4(3.5–6.3) for each €1 invested. The risk reduction potential of strengthening of dykes is somewhat lower, at 70% (59–83%) for a comparable annual investment. Implementing building-based flood proofing and relocation measures is less cost-effective but can reduce impacts in localized areas.</w:t>
      </w:r>
    </w:p>
    <w:p>
      <w:pPr/>
      <w:r>
        <w:rPr>
          <w:b/>
        </w:rPr>
        <w:t>POSSIBLE 2023:</w:t>
      </w:r>
      <w:r>
        <w:t xml:space="preserve"> 20th Century Atmospheric River Archive for Western North America and Europe — https://doi.org/10.5281/zenodo.8010793</w:t>
      </w:r>
    </w:p>
    <w:p>
      <w:pPr/>
      <w:r>
        <w:rPr>
          <w:b/>
        </w:rPr>
        <w:t>Shared claim-specific concepts:</w:t>
      </w:r>
      <w:r>
        <w:t xml:space="preserve"> thus, here, climate, framework, general; EU scope visible. This is a provisional connection, not an outcome finding.</w:t>
      </w:r>
    </w:p>
    <w:p>
      <w:pPr>
        <w:pStyle w:val="SourceNote"/>
      </w:pPr>
      <w:r>
        <w:rPr>
          <w:b/>
        </w:rPr>
        <w:t>Available abstract (not full text):</w:t>
      </w:r>
      <w:r>
        <w:t xml:space="preserve"> General Description This datasets provides 6-hourly instantaneous atmospheric river absence-presence time series for 13 sub-regions along the coastlines of Western North America and Europe, as well the corresponding Integrated Water Vapor (IVT) values and exceeded climatological quantiles. These data were retrieved from 3 distinct reanalyses: 1. ERA-20C, 1900-2010, 1.125 degrees resolution, here termed "era20c" 2. NOAA-CIRES 20th Century Reanalysis version 2, 1900-2012, 2 degrees resolution, here termed "c20", ARs were retrieved from instantaneous ensemble-mean data. 3. ECMWF ERA-Interim, 1979-2014, 0.75 degrees resolution, here termed "interim" The file structure is as in this example: ar_Brands_v0_interim_scalifornia_JFMAOND_1979_2014.nc translates to: ar_ _ _ _ _ _ _ .nc The 13 study regions are indicated in attached below and described in Brands et al. (2017). The lat-lon coordinates of each region are provided in the netCDF files. For western North America and Europe the October-through-April and October-through-March season is covered, respectively. The compressed netCDF4 files offered here come with detailed metadata information. For generating the present dataset, the initial version of the AR detection and tracking algorithm developed in my PhD thesis was used (here referred to as version 0, see Brands et al. 2017 for a full description). Although newer algorithm versi</w:t>
      </w:r>
    </w:p>
    <w:p>
      <w:pPr>
        <w:pStyle w:val="Heading2"/>
      </w:pPr>
      <w:r>
        <w:t>840. Decarbonizing the EU energy system by 2050: an important role for BECCS</w:t>
      </w:r>
    </w:p>
    <w:p>
      <w:pPr>
        <w:pStyle w:val="SourceNote"/>
      </w:pPr>
      <w:r>
        <w:rPr>
          <w:b/>
        </w:rPr>
        <w:t>Original source (2016):</w:t>
      </w:r>
      <w:r>
        <w:t xml:space="preserve"> https://doi.org/10.1080/14693062.2016.1242058</w:t>
      </w:r>
    </w:p>
    <w:p>
      <w:pPr/>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POSSIBLE 2026:</w:t>
      </w:r>
      <w:r>
        <w:t xml:space="preserve"> Guidance on negative emissions for cities — https://doi.org/10.2760/5398979</w:t>
      </w:r>
    </w:p>
    <w:p>
      <w:pPr/>
      <w:r>
        <w:rPr>
          <w:b/>
        </w:rPr>
        <w:t>Shared claim-specific concepts:</w:t>
      </w:r>
      <w:r>
        <w:t xml:space="preserve"> key, negative, emissions, use, carbon; EU scope not established. This is a provisional connection, not an outcome finding.</w:t>
      </w:r>
    </w:p>
    <w:p>
      <w:pPr>
        <w:pStyle w:val="SourceNote"/>
      </w:pPr>
      <w:r>
        <w:rPr>
          <w:b/>
        </w:rPr>
        <w:t>Available abstract (not full text):</w:t>
      </w:r>
      <w:r>
        <w:t xml:space="preserve"> This “Guidance on negative emissions for cities” primarily addresses cities involved in the 100 Climate-Neutral and Smart Cities Mission but can be used as a conceptual and practical reference by any city targeting net-zero emissions. The main objectives are to offer precise directions for negative emissions strategies and accounting, distil key principles and create a conceptual framework around the use of emissions compensation mechanisms (local carbon removals and carbon credits). The focus is on guaranteeing high climate and environmental integrity, managed through a transparent and ethical process, aligned with international best practices. Key recommendations include ensuring clarity in target boundary definitions, reporting separately each term of the net emissions equation (gross emissions, in-boundary removals, sold and retired credits), and avoiding double counting or claiming. This guidance underscores the importance of delivering a compelling set of co-benefits and diversifying compensation strategies while providing practical advice for cities to develop time- and cost-effective residual emissions strategies. It does not shift the attention away from the key objective of a climate neutrality target: priority is always on emissions reduction at source. A “Summary for Decision Makers” is published alongside this guidance to provide a concise and actionable roadmap fo</w:t>
      </w:r>
    </w:p>
    <w:p>
      <w:pPr/>
      <w:r>
        <w:rPr>
          <w:b/>
        </w:rPr>
        <w:t>POSSIBLE 2026:</w:t>
      </w:r>
      <w:r>
        <w:t xml:space="preserve"> Overshoot and recover? On the problem of substitution between negative emissions and emissions reductions — https://doi.org/10.1177/09632719261421916</w:t>
      </w:r>
    </w:p>
    <w:p>
      <w:pPr/>
      <w:r>
        <w:rPr>
          <w:b/>
        </w:rPr>
        <w:t>Shared claim-specific concepts:</w:t>
      </w:r>
      <w:r>
        <w:t xml:space="preserve"> negative, emissions, carbon, decarbonization; EU scope not established. This is a provisional connection, not an outcome finding.</w:t>
      </w:r>
    </w:p>
    <w:p>
      <w:pPr>
        <w:pStyle w:val="SourceNote"/>
      </w:pPr>
      <w:r>
        <w:rPr>
          <w:b/>
        </w:rPr>
        <w:t>Available abstract (not full text):</w:t>
      </w:r>
      <w:r>
        <w:t xml:space="preserve"> The remaining global carbon budget is so small that carbon dioxide removal (CDR) measures are very likely to be required to avoid dangerous climate change. Multiple scenarios consistent with a high probability of limiting global warming to well below 2 °C include removing hundreds of gigatons of carbon dioxide. At the same time, deep decarbonization pathways show that rapid and drastic emissions reductions can substantially reduce or even avoid the need for CDR. This article discusses one major problem raised by pathways relying on large-scale CDR: By potentially discouraging or at least delaying the implementation of deep decarbonization measures, such pathways might cause a substantial overshoot of the global carbon budget that would lead to severe injustices. More specifically, it highlights the problem of substitution between large-scale CDR and deep emissions reductions by explaining the structure of this problem, stressing the ethical issues it raises, and investigating three conditions under which it is likely to occur.</w:t>
      </w:r>
    </w:p>
    <w:p>
      <w:pPr/>
      <w:r>
        <w:rPr>
          <w:b/>
        </w:rPr>
        <w:t>POSSIBLE 2026:</w:t>
      </w:r>
      <w:r>
        <w:t xml:space="preserve"> Guidance on negative emissions for cities - Summary for Decision Makers — https://doi.org/10.2760/4262978</w:t>
      </w:r>
    </w:p>
    <w:p>
      <w:pPr/>
      <w:r>
        <w:rPr>
          <w:b/>
        </w:rPr>
        <w:t>Shared claim-specific concepts:</w:t>
      </w:r>
      <w:r>
        <w:t xml:space="preserve"> key, negative, emissions, carbon;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2026:</w:t>
      </w:r>
      <w:r>
        <w:t xml:space="preserve"> European practices for screening and follow-up in mixed connective tissue disease: a survey of clinicians from the European Federation of Internal Medicine and ERN ReCONNET — https://doi.org/10.1016/j.ejim.2026.107199</w:t>
      </w:r>
    </w:p>
    <w:p>
      <w:pPr/>
      <w:r>
        <w:rPr>
          <w:b/>
        </w:rPr>
        <w:t>Shared claim-specific concepts:</w:t>
      </w:r>
      <w:r>
        <w:t xml:space="preserve"> key, conclusions, use, also; EU scope visible. This is a provisional connection, not an outcome finding.</w:t>
      </w:r>
    </w:p>
    <w:p>
      <w:pPr>
        <w:pStyle w:val="SourceNote"/>
      </w:pPr>
      <w:r>
        <w:rPr>
          <w:b/>
        </w:rPr>
        <w:t>Available abstract (not full text):</w:t>
      </w:r>
      <w:r>
        <w:t xml:space="preserve"> INTRODUCTION: Mixed connective tissue disease (MCTD) is a rare systemic autoimmune disorder in which interstitial lung disease (ILD) and pulmonary hypertension (PH) constitute the leading causes of death. No MCTD-specific recommendations currently exist regarding the timing, frequency, or indications for key paraclinical investigations. This study aimed to assess current European clinical practices regarding the use of high-resolution computed tomography (HRCT), pulmonary function tests (PFTs), transthoracic echocardiography (TTE), and nailfold capillaroscopy (NFC) in MCTD patients. METHODS: We conducted a cross-sectional survey distributed through the European Federation of Internal Medicine (EFIM) and the European Reference Network for Rare and Complex Connective Tissue and Musculoskeletal Diseases (ERN ReCONNET). RESULTS: One hundred and thirty-five clinicians from 102 centers in 21 European countries were included. Respondents were predominantly rheumatologists (61.5%) and internists (32.6%). Systematic baseline screening was performed by 91.1% of respondents for PFTs, 85.9% for TTE, 74.1% for HRCT, and 71.9% for NFC. However, substantial heterogeneity was observed in follow-up strategies: 61.5% relied on clinical judgement alone to guide HRCT re-screening in ILD-negative patients, and 35.6% did not repeat NFC in patients with a scleroderma-like pattern at baseline. Referra</w:t>
      </w:r>
    </w:p>
    <w:p>
      <w:pPr/>
      <w:r>
        <w:rPr>
          <w:b/>
        </w:rPr>
        <w:t>POSSIBLE 2026:</w:t>
      </w:r>
      <w:r>
        <w:t xml:space="preserve"> Negative emissions in forest industry through biochar production and carbon capture — https://openalex.org/W7162049139</w:t>
      </w:r>
    </w:p>
    <w:p>
      <w:pPr/>
      <w:r>
        <w:rPr>
          <w:b/>
        </w:rPr>
        <w:t>Shared claim-specific concepts:</w:t>
      </w:r>
      <w:r>
        <w:t xml:space="preserve"> key, negative, emissions, use, carbon, capture; EU scope not established. This is a provisional connection, not an outcome finding.</w:t>
      </w:r>
    </w:p>
    <w:p>
      <w:pPr>
        <w:pStyle w:val="SourceNote"/>
      </w:pPr>
      <w:r>
        <w:rPr>
          <w:b/>
        </w:rPr>
        <w:t>Available abstract (not full text):</w:t>
      </w:r>
      <w:r>
        <w:t xml:space="preserve"> This study examines the potential for achieving negative carbon emissions in the forest industry through the integration of biochar production and carbon capture technologies. The study focuses on the technical and economic performance of different system configurations including biochar only, carbon capture only and combined systems in which both approaches are applied simultaneously. The purpose of the work is to evaluate how these alternatives may contribute to net CO₂ removal and how they compare in terms of energy use and economic feasibility. The theoretical part of the study reviews the principles of pyrolysis, biochar formation, carbon capture and negative emission technologies relevant to the forest industry. The study is limited to a comparative techno-economic assessment and does not include detailed engineering design, permitting or full-life cycle environmental analysis beyond the selected system boundaries. The results indicate that both biochar production and carbon capture can contribute to negative emissions, but their performance depends heavily on process configuration, carbon retention, energy requirements and cost assumptions. Carbon capture only systems offer higher net CO₂ removal potential although they may involve high utility demand and investment cost. The comparison of levelized carbon removal costs shows that the balance between technical performanc</w:t>
      </w:r>
    </w:p>
    <w:p>
      <w:pPr/>
      <w:r>
        <w:rPr>
          <w:b/>
        </w:rPr>
        <w:t>POSSIBLE 2025:</w:t>
      </w:r>
      <w:r>
        <w:t xml:space="preserve"> Cancer burden in Europe: a systematic analysis of the GLOBOCAN database (2022) — https://doi.org/10.1186/s12885-025-13862-1</w:t>
      </w:r>
    </w:p>
    <w:p>
      <w:pPr/>
      <w:r>
        <w:rPr>
          <w:b/>
        </w:rPr>
        <w:t>Shared claim-specific concepts:</w:t>
      </w:r>
      <w:r>
        <w:t xml:space="preserve"> key, conclusions, limited, also;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Conclusions on Land Policies in Europe — https://doi.org/10.1007/978-3-031-83725-8_17</w:t>
      </w:r>
    </w:p>
    <w:p>
      <w:pPr/>
      <w:r>
        <w:rPr>
          <w:b/>
        </w:rPr>
        <w:t>Shared claim-specific concepts:</w:t>
      </w:r>
      <w:r>
        <w:t xml:space="preserve"> key, conclusions, sector, use; EU scope visible. This is a provisional connection, not an outcome finding.</w:t>
      </w:r>
    </w:p>
    <w:p>
      <w:pPr>
        <w:pStyle w:val="SourceNote"/>
      </w:pPr>
      <w:r>
        <w:rPr>
          <w:b/>
        </w:rPr>
        <w:t>Available abstract (not full text):</w:t>
      </w:r>
      <w:r>
        <w:t xml:space="preserve">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pPr/>
      <w:r>
        <w:rPr>
          <w:b/>
        </w:rPr>
        <w:t>POSSIBLE 2025:</w:t>
      </w:r>
      <w:r>
        <w:t xml:space="preserve"> Key elements of follow-up care after acute pulmonary embolism focusing on long-term sequelae: a Delphi study among European experts — https://doi.org/10.1093/ehjqcco/qcaf053</w:t>
      </w:r>
    </w:p>
    <w:p>
      <w:pPr/>
      <w:r>
        <w:rPr>
          <w:b/>
        </w:rPr>
        <w:t>Shared claim-specific concepts:</w:t>
      </w:r>
      <w:r>
        <w:t xml:space="preserve"> key, limited, also; EU scope visible. This is a provisional connection, not an outcome finding.</w:t>
      </w:r>
    </w:p>
    <w:p>
      <w:pPr>
        <w:pStyle w:val="SourceNote"/>
      </w:pPr>
      <w:r>
        <w:rPr>
          <w:b/>
        </w:rPr>
        <w:t>Available abstract (not full text):</w:t>
      </w:r>
      <w:r>
        <w:t xml:space="preserve">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pPr/>
      <w:r>
        <w:rPr>
          <w:b/>
        </w:rPr>
        <w:t>POSSIBLE 2025:</w:t>
      </w:r>
      <w:r>
        <w:t xml:space="preserve"> Forest or machine? Public perceptions and acceptability of negative emissions technologies and practices across six European countries — https://doi.org/10.1007/s10584-025-04043-x</w:t>
      </w:r>
    </w:p>
    <w:p>
      <w:pPr/>
      <w:r>
        <w:rPr>
          <w:b/>
        </w:rPr>
        <w:t>Shared claim-specific concepts:</w:t>
      </w:r>
      <w:r>
        <w:t xml:space="preserve"> negative, emissions, carbon, capture, storage; EU scope visible. This is a provisional connection, not an outcome finding.</w:t>
      </w:r>
    </w:p>
    <w:p>
      <w:pPr>
        <w:pStyle w:val="SourceNote"/>
      </w:pPr>
      <w:r>
        <w:rPr>
          <w:b/>
        </w:rPr>
        <w:t>Available abstract (not full text):</w:t>
      </w:r>
      <w:r>
        <w:t xml:space="preserve"> Abstract To limit climate change to 1.5 °C, negative emission technologies and practices (NETPs) are needed to supplement, not replace, other essential mitigation efforts. We conducted a large scale survey on NETPs in six EU countries ( N = 5,310) to examine: (1) public preferences for NETPs, next to other mitigation options; (2) how people evaluate the environmental and intergenerational consequences and acceptability of nature-based (i.e., afforestation and reforestation; AR) and technology-based NETPs (i.e., direct air capture with carbon storage; DACCS); (3) the relationship between the evaluation of consequences and acceptability judgements of AR and DACCS; and (4) public preferences for AR and DACCS in general versus in their own country. In all six countries, people think NETPs are needed, but they prioritise the implementation of renewable energy sources and behaviour change. AR is preferred over DACCS, possibly because AR is evaluated more positively on its impacts on the quality of nature and environment, future generations, limiting global warming, and supporting other mitigation efforts than DACCS. Acceptability of AR is higher especially when people believe it positively impacts nature and the environment, while DACCS is more acceptable when people evaluate all four consequences more positively. We do not find evidence for the not-in-my-backyard conventional wisdom</w:t>
      </w:r>
    </w:p>
    <w:p>
      <w:pPr/>
      <w:r>
        <w:rPr>
          <w:b/>
        </w:rPr>
        <w:t>POSSIBLE 2024:</w:t>
      </w:r>
      <w:r>
        <w:t xml:space="preserve"> Carbon farming, overestimated negative emissions and the limits to emissions trading in land-use governance: the EU carbon removal certification proposal — https://doi.org/10.1186/s12302-024-00892-y</w:t>
      </w:r>
    </w:p>
    <w:p>
      <w:pPr/>
      <w:r>
        <w:rPr>
          <w:b/>
        </w:rPr>
        <w:t>Shared claim-specific concepts:</w:t>
      </w:r>
      <w:r>
        <w:t xml:space="preserve"> key, negative, emissions, use, carbon; EU scope visible. This is a provisional connection, not an outcome finding.</w:t>
      </w:r>
    </w:p>
    <w:p>
      <w:pPr>
        <w:pStyle w:val="SourceNote"/>
      </w:pPr>
      <w:r>
        <w:rPr>
          <w:b/>
        </w:rPr>
        <w:t>Available abstract (not full text):</w:t>
      </w:r>
      <w:r>
        <w:t xml:space="preserve"> Abstract This article conducts a qualitative governance analysis of the European Commission’s 2022 proposal for a certification framework for carbon removals (CRCF). It highlights potential challenges and legal implications—with a specific focus on carbon farming. While the European Union (EU) acknowledges carbon farming as an important strategy to offset residual emissions, such carbon removal activities are prone to reversals and models often overestimate their sequestration potential. The CRCF aims to account for these issues, but the analysis shows that the proposal may, in part, undermine international climate and biodiversity goals set by the Paris Agreement and the Convention on Biological Diversity. Key concerns include its failure to consider the normative hierarchy between emission reductions and removals mandated by EU and international law, the introduction of a temporary removal crediting system, the extensive delegation of powers to the Commission, the possibility that it may incentivise shifting effects, and its lack of alignment with other EU environmental policies. Additionally, the CRCF’s failure to restrict the use of carbon credits after certification increases the risk of double claiming of removal activities—and the proposal may open the door for to future integration of carbon removals into the EU’s emission trading scheme, which should be avoided for var</w:t>
      </w:r>
    </w:p>
    <w:p>
      <w:pPr/>
      <w:r>
        <w:rPr>
          <w:b/>
        </w:rPr>
        <w:t>POSSIBLE 2024:</w:t>
      </w:r>
      <w:r>
        <w:t xml:space="preserve"> The impact of the European Union emissions trading system on carbon dioxide emissions: a matrix completion analysis — https://doi.org/10.1038/s41598-024-70260-6</w:t>
      </w:r>
    </w:p>
    <w:p>
      <w:pPr/>
      <w:r>
        <w:rPr>
          <w:b/>
        </w:rPr>
        <w:t>Shared claim-specific concepts:</w:t>
      </w:r>
      <w:r>
        <w:t xml:space="preserve"> negative, emissions, carbon; EU scope visible. This is a provisional connection, not an outcome finding.</w:t>
      </w:r>
    </w:p>
    <w:p>
      <w:pPr>
        <w:pStyle w:val="SourceNote"/>
      </w:pPr>
      <w:r>
        <w:rPr>
          <w:b/>
        </w:rPr>
        <w:t>Available abstract (not full text):</w:t>
      </w:r>
      <w:r>
        <w:t xml:space="preserve"> Despite the negative externalities on the environment and human health, today's economies still produce excessive carbon dioxide emissions. As a result, governments are trying to shift production and consumption to more sustainable models that reduce the environmental impact of carbon dioxide emissions. The European Union, in particular, has implemented an innovative policy to reduce carbon dioxide emissions by creating a market for emission rights, the emissions trading system. The objective of this paper is to perform a counterfactual analysis to measure the impact of the emissions trading system on the reduction of carbon dioxide emissions. For this purpose, a recently-developed statistical machine learning method called matrix completion with fixed effects estimation is used and compared to traditional econometric techniques. We apply matrix completion with fixed effects estimation to the prediction of missing counterfactual entries of a carbon dioxide emissions matrix whose elements (indexed row-wise by country and column-wise by year) represent emissions without the emissions trading system for country-year pairs. The results obtained, confirmed by robust diagnostic tests, show a significant effect of the emissions trading system on the reduction of carbon dioxide emissions: the majority of European Union countries included in our analysis reduced their total carbon dioxi</w:t>
      </w:r>
    </w:p>
    <w:p>
      <w:pPr/>
      <w:r>
        <w:rPr>
          <w:b/>
        </w:rPr>
        <w:t>POSSIBLE 2024:</w:t>
      </w:r>
      <w:r>
        <w:t xml:space="preserve"> European viper bites: clinical management from pre-hospitalisation to follow-up a narrative review — https://doi.org/10.21037/jeccm-24-81</w:t>
      </w:r>
    </w:p>
    <w:p>
      <w:pPr/>
      <w:r>
        <w:rPr>
          <w:b/>
        </w:rPr>
        <w:t>Shared claim-specific concepts:</w:t>
      </w:r>
      <w:r>
        <w:t xml:space="preserve"> key, conclusions, use; EU scope visible. This is a provisional connection, not an outcome finding.</w:t>
      </w:r>
    </w:p>
    <w:p>
      <w:pPr>
        <w:pStyle w:val="SourceNote"/>
      </w:pPr>
      <w:r>
        <w:rPr>
          <w:b/>
        </w:rPr>
        <w:t>Available abstract (not full text):</w:t>
      </w:r>
      <w:r>
        <w:t xml:space="preserve"> Background and Objective: Venomous snakebites in Europe are mainly due to Viperidae species of the genus Vipera. They represent a medical emergency that needs to be treated in both out-of-hospital and emergency rooms. The immediate and long-term clinical sequelae can be dramatic. This represents a neglected public health risk with poorly defined incidence, morbidity, and mortality. For these reasons, the prehospital and hospital clinical approach is important. This paper aims to provide the clinician with essential information, updated according to the latest literature, on the management of these patients. Methods: The data for this narrative review are derived from a careful search of the following scientific databases such as PubMed, MedlinePlus, Cochrane Library. Key Content and Findings: We read 484 titles of scientific articles using the keywords: Viper bites: symptoms and treatment. Duplicate articles were excluded and the most relevant articles for our work were selected. Conclusions: In conclusion, it is important that the patient is brought to the emergency room and that prehospitalization maneuvers are correct. The use of snake antivenom should not be practiced in all patients but only in severity classes 2 and 3. In addition, hospitalization and eventual snake antivenom administration should be followed up over time.</w:t>
      </w:r>
    </w:p>
    <w:p>
      <w:pPr>
        <w:pStyle w:val="Heading2"/>
      </w:pPr>
      <w:r>
        <w:t>841. Developed Foresight for Borders Model Predicts the Amount of Borders Traffic in Finland</w:t>
      </w:r>
    </w:p>
    <w:p>
      <w:pPr>
        <w:pStyle w:val="SourceNote"/>
      </w:pPr>
      <w:r>
        <w:rPr>
          <w:b/>
        </w:rPr>
        <w:t>Original source (2016):</w:t>
      </w:r>
      <w:r>
        <w:t xml:space="preserve"> https://doi.org/10.30958/ajt.3-2-3</w:t>
      </w:r>
    </w:p>
    <w:p>
      <w:pPr/>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POSSIBLE 2026:</w:t>
      </w:r>
      <w:r>
        <w:t xml:space="preserve"> Modeling soil solution electrical conductivity across Europe — https://doi.org/10.1016/j.scitotenv.2026.182021</w:t>
      </w:r>
    </w:p>
    <w:p>
      <w:pPr/>
      <w:r>
        <w:rPr>
          <w:b/>
        </w:rPr>
        <w:t>Shared claim-specific concepts:</w:t>
      </w:r>
      <w:r>
        <w:t xml:space="preserve"> factors, land, union;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RESEARCH ON FACTORS INFLUENCING THE STATE BUDGET AND ECONOMIC GROWTH IN THE EUROPEAN UNION — https://doi.org/10.65631/jes.1.2026.9</w:t>
      </w:r>
    </w:p>
    <w:p>
      <w:pPr/>
      <w:r>
        <w:rPr>
          <w:b/>
        </w:rPr>
        <w:t>Shared claim-specific concepts:</w:t>
      </w:r>
      <w:r>
        <w:t xml:space="preserve"> factors, influence, union; EU scope visible. This is a provisional connection, not an outcome finding.</w:t>
      </w:r>
    </w:p>
    <w:p>
      <w:pPr>
        <w:pStyle w:val="SourceNote"/>
      </w:pPr>
      <w:r>
        <w:rPr>
          <w:b/>
        </w:rPr>
        <w:t>Available abstract (not full text):</w:t>
      </w:r>
      <w:r>
        <w:t xml:space="preserve"> Our study delves into factors that influence state budget elements (revenue, spending) and economic growth across EU‑27 during the period 2011‑2021. With the help of panel data modelling and secondary data provided by reliable regional and international bodies, we showed that government revenue, government expenditure and gross domestic product per capita were significantly impacted by macroeconomic indicators related to institutional quality, namely: government effectiveness; political stability and absence of violence/terrorism; regulatory quality, voice and accountability. The longitudinal study delves into strategies that public authorities can use to improve budgetary resources, outlays and the way in which economies function.</w:t>
      </w:r>
    </w:p>
    <w:p>
      <w:pPr/>
      <w:r>
        <w:rPr>
          <w:b/>
        </w:rPr>
        <w:t>POSSIBLE 2026:</w:t>
      </w:r>
      <w:r>
        <w:t xml:space="preserve"> RESEARCH ON FACTORS INFLUENCING THE STATE BUDGET AND ECONOMIC GROWTH IN THE EUROPEAN UNION — https://doi.org/10.65631/jes.2.2026.6</w:t>
      </w:r>
    </w:p>
    <w:p>
      <w:pPr/>
      <w:r>
        <w:rPr>
          <w:b/>
        </w:rPr>
        <w:t>Shared claim-specific concepts:</w:t>
      </w:r>
      <w:r>
        <w:t xml:space="preserve"> factors, influence, union; EU scope visible. This is a provisional connection, not an outcome finding.</w:t>
      </w:r>
    </w:p>
    <w:p>
      <w:pPr>
        <w:pStyle w:val="SourceNote"/>
      </w:pPr>
      <w:r>
        <w:rPr>
          <w:b/>
        </w:rPr>
        <w:t>Available abstract (not full text):</w:t>
      </w:r>
      <w:r>
        <w:t xml:space="preserve"> Our study delves into factors that influence state budget elements (revenue, spending) and economic growth across EU‑27 during the period 2011‑2021. With the help of panel data modelling and secondary data provided by reliable regional and international bodies, we showed that government revenue, government expenditure and gross domestic product per capita were significantly impacted by macroeconomic indicators related to institutional quality, namely: government effectiveness; political stability and absence of violence/terrorism; regulatory quality; voice and accountability. The longitudinal study delves into strategies that public authorities can use to improve budgetary resources, outlays and the way in which economies function.</w:t>
      </w:r>
    </w:p>
    <w:p>
      <w:pPr/>
      <w:r>
        <w:rPr>
          <w:b/>
        </w:rPr>
        <w:t>POSSIBLE 2025:</w:t>
      </w:r>
      <w:r>
        <w:t xml:space="preserve"> Factors Influencing the Perception of Corruption in the Countries of the European Union — https://doi.org/10.28991/esj-2025-09-03-03</w:t>
      </w:r>
    </w:p>
    <w:p>
      <w:pPr/>
      <w:r>
        <w:rPr>
          <w:b/>
        </w:rPr>
        <w:t>Shared claim-specific concepts:</w:t>
      </w:r>
      <w:r>
        <w:t xml:space="preserve"> factors, between, significant, part, citizens, union; EU scope visible. This is a provisional connection, not an outcome finding.</w:t>
      </w:r>
    </w:p>
    <w:p>
      <w:pPr>
        <w:pStyle w:val="SourceNote"/>
      </w:pPr>
      <w:r>
        <w:rPr>
          <w:b/>
        </w:rPr>
        <w:t>Available abstract (not full text):</w:t>
      </w:r>
      <w:r>
        <w:t xml:space="preserve"> Objectives: The European Union regularly publishes reports on corruption as part of its Eurobarometer surveys. These report on the opinions of European citizens regarding corruption and the presence of corruption they perceive. Based on survey data from 2008-2022, this study examines the perception of corruption in EU member states. Methods: As a method, the authors use statistical tests. They examine the differences between geographical regions and created country clusters to examine the effect of geographical location on the perception of corruption. They managed to show a difference between north and south. Findings: Based on the results, the role of the cultural and historical background is the most significant in the perception of corruption. Other influences, such as democratization, play a role in shaping opinions. However, the impact of the anti-corruption fight is evaluated independently of the region. It is also a common opinion that corruption cannot be eradicated. Novelty: This study provides a structured approach to analysing corruption perception across regions, emphasizing statistical validation. The findings contribute to understanding the persistence of corruption perception and highlight key influencing factors.</w:t>
      </w:r>
    </w:p>
    <w:p>
      <w:pPr/>
      <w:r>
        <w:rPr>
          <w:b/>
        </w:rPr>
        <w:t>POSSIBLE 2025:</w:t>
      </w:r>
      <w:r>
        <w:t xml:space="preserve"> Factors influencing internationalization of micro-enterprises and SMEs in Central Europe — https://doi.org/10.14254/2071-8330.2025/18-1/11</w:t>
      </w:r>
    </w:p>
    <w:p>
      <w:pPr/>
      <w:r>
        <w:rPr>
          <w:b/>
        </w:rPr>
        <w:t>Shared claim-specific concepts:</w:t>
      </w:r>
      <w:r>
        <w:t xml:space="preserve"> factors, influence, between, significant, due; EU scope visible. This is a provisional connection, not an outcome finding.</w:t>
      </w:r>
    </w:p>
    <w:p>
      <w:pPr>
        <w:pStyle w:val="SourceNote"/>
      </w:pPr>
      <w:r>
        <w:rPr>
          <w:b/>
        </w:rPr>
        <w:t>Available abstract (not full text):</w:t>
      </w:r>
      <w:r>
        <w:t xml:space="preserve"> Internationalizing a company is particularly challenging for micro-enterprises and SMEs due to the limited resources available for managing strategic activities. This paper aimed to create a model of the factors influencing the internationalization process of micro-enterprises and SMEs from Central Europe. The study employed principal component analysis to identify latent components of the model, namely innovation, strategic management (SM), and barriers. The factors and their relationships were analyzed using Logit regression and ANOVA. Additionally, the influence of two control variables on the selected factors and barriers to internationalization was examined. The research findings indicate that the most significant barrier to internationalization is the difference in tax policies. Furthermore, a significant correlation exists between innovation and strategic management barriers, while the strategies for innovation depend on the size and age of the company.</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factors, presents, between, significant;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r>
        <w:rPr>
          <w:b/>
        </w:rPr>
        <w:t>POSSIBLE 2025:</w:t>
      </w:r>
      <w:r>
        <w:t xml:space="preserve"> Factors influencing the morphology of moss — https://doi.org/10.1051/e3sconf/202566904001/pdf</w:t>
      </w:r>
    </w:p>
    <w:p>
      <w:pPr/>
      <w:r>
        <w:rPr>
          <w:b/>
        </w:rPr>
        <w:t>Shared claim-specific concepts:</w:t>
      </w:r>
      <w:r>
        <w:t xml:space="preserve"> factors, number, traffic, between, increased; EU scope visible. This is a provisional connection, not an outcome finding.</w:t>
      </w:r>
    </w:p>
    <w:p>
      <w:pPr>
        <w:pStyle w:val="SourceNote"/>
      </w:pPr>
      <w:r>
        <w:rPr>
          <w:b/>
        </w:rPr>
        <w:t>Available abstract (not full text):</w:t>
      </w:r>
      <w:r>
        <w:t xml:space="preserve"> Mosses are good environmental indicators, but there is little detailed information about how environmental pollution affects the physiology of mosses. The morphological traits of mosses depend on both natural environmental factors and environmental pollution. This research aims to find answers about the effect of various factors on the morphology of the species Syntrichia ruralis. Different morphological parameters of S. ruralis were measured in the Northern European city of Tallinn. Based on the stationary and street pollution source inventory and air pollution dispersion modelling, the long-term concentrations of fine particles (PM10) and nitrogen oxides (NOx) were estimated. Based on the forward selection procedure of CCA, the best features influencing the morphology of S. ruralis were NOx and position. NOx described 32% of the variation and position 9%. The mosses growing on the vertical surface had narrower shoots than those growing on the horizontal surface. There was a negative correlation (p &lt; 0.05) between all measured morphological traits and the estimated NOx and PM10. Increased traffic leads to a rise in nitrogen and fine particle levels, the latter containing heavy metals. As it is known that one of the growth periods of mosses is in spring, the longest shoots, green parts of shoots, and the largest number of adventitious branches were also recorded in spring in th</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land, between, significant, union;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2025:</w:t>
      </w:r>
      <w:r>
        <w:t xml:space="preserve"> Analysis of water scarcity manifestations in Europe and Ukraine’s place in the system of European water resource coordinates — https://doi.org/10.17721/2306-5680.2025.1.2</w:t>
      </w:r>
    </w:p>
    <w:p>
      <w:pPr/>
      <w:r>
        <w:rPr>
          <w:b/>
        </w:rPr>
        <w:t>Shared claim-specific concepts:</w:t>
      </w:r>
      <w:r>
        <w:t xml:space="preserve"> factors, presents, significant, part, due; EU scope visible. This is a provisional connection, not an outcome finding.</w:t>
      </w:r>
    </w:p>
    <w:p>
      <w:pPr>
        <w:pStyle w:val="SourceNote"/>
      </w:pPr>
      <w:r>
        <w:rPr>
          <w:b/>
        </w:rPr>
        <w:t>Available abstract (not full text):</w:t>
      </w:r>
      <w:r>
        <w:t xml:space="preserve"> The article presents an analysis of the concept of water deficit and assesses Ukraine’s position in terms of water availability. The main objective of the study is to identify long-term changes in the state of water potential across the European region and to determine possible trends influenced by climatic and anthropogenic factors. The main water-related issues in European countries are highlighted, and the key factors influencing the formation of water resources across Europe are described. A SWOT analysis of Ukraine’s water resource potential is conducted. The study examines the basic indicator of water availability and the main criteria for defining water stress. To achieve this objective, cartographic and comparative-geographical methods were applied to assess the condition of Europe’s water resources. Southern European countries are experiencing an acute water deficit due to increasing aridization and climate shifts. Central Europe is characterized by the depletion of groundwater layers and surface water pollution caused by anthropogenic pressure from industrial production. The main threat to Northern Europe is the onset of glacier and snow melting as a result of global warming. Trends indicate the potential emergence of migration waves over the next 50 years. The increase in water consumption by European countries will alter the water situation and is likely to lead to </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between;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STUDY OF ONLINE GROCERY SHOPPING IN THE EUROPEAN UNION: INFLUENCE OF SOCIO-ECONOMIC FACTORS — https://doi.org/10.37075/iscwe.2024.08</w:t>
      </w:r>
    </w:p>
    <w:p>
      <w:pPr/>
      <w:r>
        <w:rPr>
          <w:b/>
        </w:rPr>
        <w:t>Shared claim-specific concepts:</w:t>
      </w:r>
      <w:r>
        <w:t xml:space="preserve"> factors, influence, between, due, union; EU scope visible. This is a provisional connection, not an outcome finding.</w:t>
      </w:r>
    </w:p>
    <w:p>
      <w:pPr>
        <w:pStyle w:val="SourceNote"/>
      </w:pPr>
      <w:r>
        <w:rPr>
          <w:b/>
        </w:rPr>
        <w:t>Available abstract (not full text):</w:t>
      </w:r>
      <w:r>
        <w:t xml:space="preserve"> In the digital economy, online grocery shopping is growing in the countries of the European Union. The main objective of the present work is to investigate the dynamics of the relationship between the online grocery shopping by individuals and the size of the Gross Domestic Product per capita of the 27-member states of the European Union, and on this basis draw corresponding conclusions and summaries. The geographical focus of the study is on the online shopping of European consumers. The measurement of the investigated dependencies is carried out using the statistical software for computer processing – IBM SPSS Statistics and the Excel program. Analyzes were based on the method of linear regression and correlation. The time span of the study is 2013-2023. The results of the study interpret the variation of online grocery shopping due to a socio-economic factor such as Gross Domestic Product per capita. The generalizations and conclusions drawn are useful for characterizing the determinants of the changing behavior of European consumers.</w:t>
      </w:r>
    </w:p>
    <w:p>
      <w:pPr/>
      <w:r>
        <w:rPr>
          <w:b/>
        </w:rPr>
        <w:t>POSSIBLE 2024:</w:t>
      </w:r>
      <w:r>
        <w:t xml:space="preserve"> Structured factor copulas for modeling the systemic risk of European and United States banks — https://doi.org/10.1016/j.irfa.2024.103621</w:t>
      </w:r>
    </w:p>
    <w:p>
      <w:pPr/>
      <w:r>
        <w:rPr>
          <w:b/>
        </w:rPr>
        <w:t>Shared claim-specific concepts:</w:t>
      </w:r>
      <w:r>
        <w:t xml:space="preserve"> factors, between; EU scope visible. This is a provisional connection, not an outcome finding.</w:t>
      </w:r>
    </w:p>
    <w:p>
      <w:pPr>
        <w:pStyle w:val="SourceNote"/>
      </w:pPr>
      <w:r>
        <w:rPr>
          <w:b/>
        </w:rPr>
        <w:t>Available abstract (not full text):</w:t>
      </w:r>
      <w:r>
        <w:t xml:space="preserve"> In this paper, we employ Credit Default Swaps (CDS) to model the joint and conditional distress probabilities of banks in Europe and the U.S. using factor copulas. We propose multi-factor, structured factor, and factor-vine models where the banks in the sample are clustered according to their geographic location. We find that within each region, the co-dependence between banks is best described using both, systematic and idiosyncratic, financial contagion channels. However, if we consider the banking system as a whole, then the systematic contagion channel prevails, meaning that the distress probabilities are driven by a latent global factor and region-specific factors. In all cases, the co-dependence structure of bank CDS spreads is highly correlated in the tail. The out-of-sample forecasts of several measures of systemic risk allow us to identify the periods of distress in the banking sector over the recent years including the COVID-19 pandemic, the interest rate hikes in 2022, and the banking crisis in 2023. • We identify the systematic and idiosyncratic sources of financial contagion – global and local – through factor copula models. • We employ the Variational Bayes (VB) method for estimating the multi-factor, structured factor, and factor-vine copulas. • Within each region, the co-dependence between banks is best described using both, systematic and idiosyncratic, financi</w:t>
      </w:r>
    </w:p>
    <w:p>
      <w:pPr>
        <w:pStyle w:val="Heading2"/>
      </w:pPr>
      <w:r>
        <w:t>842. Dynamics of the land use, land use change, and forestry sink in the European Union: the impacts of energy and climate targets for 2030</w:t>
      </w:r>
    </w:p>
    <w:p>
      <w:pPr>
        <w:pStyle w:val="SourceNote"/>
      </w:pPr>
      <w:r>
        <w:rPr>
          <w:b/>
        </w:rPr>
        <w:t>Original source (2016):</w:t>
      </w:r>
      <w:r>
        <w:t xml:space="preserve"> https://doi.org/10.1007/s10584-016-1729-7</w:t>
      </w:r>
    </w:p>
    <w:p>
      <w:pPr/>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POSSIBLE 2026:</w:t>
      </w:r>
      <w:r>
        <w:t xml:space="preserve"> European environmental sustainability through unraveling the nexus of total energy consumption, value addition, and GHG emissions in agriculture — https://doi.org/10.1177/0958305x261438604</w:t>
      </w:r>
    </w:p>
    <w:p>
      <w:pPr/>
      <w:r>
        <w:rPr>
          <w:b/>
        </w:rPr>
        <w:t>Shared claim-specific concepts:</w:t>
      </w:r>
      <w:r>
        <w:t xml:space="preserve"> show, implementing, ghg, emission, negative, domestic; EU scope visible. This is a provisional connection, not an outcome finding.</w:t>
      </w:r>
    </w:p>
    <w:p>
      <w:pPr>
        <w:pStyle w:val="SourceNote"/>
      </w:pPr>
      <w:r>
        <w:rPr>
          <w:b/>
        </w:rPr>
        <w:t>Available abstract (not full text):</w:t>
      </w:r>
      <w:r>
        <w:t xml:space="preserve">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pPr/>
      <w:r>
        <w:rPr>
          <w:b/>
        </w:rPr>
        <w:t>POSSIBLE 2026:</w:t>
      </w:r>
      <w:r>
        <w:t xml:space="preserve"> Decarbonizing European refineries: GHG accounting framework and potential assessment for co-processed biofuels — https://doi.org/10.1016/j.enconman.2026.122090</w:t>
      </w:r>
    </w:p>
    <w:p>
      <w:pPr/>
      <w:r>
        <w:rPr>
          <w:b/>
        </w:rPr>
        <w:t>Shared claim-specific concepts:</w:t>
      </w:r>
      <w:r>
        <w:t xml:space="preserve"> ghg, reduction, energy; EU scope visible. This is a provisional connection, not an outcome finding.</w:t>
      </w:r>
    </w:p>
    <w:p>
      <w:pPr>
        <w:pStyle w:val="SourceNote"/>
      </w:pPr>
      <w:r>
        <w:rPr>
          <w:b/>
        </w:rPr>
        <w:t>Available abstract (not full text):</w:t>
      </w:r>
      <w:r>
        <w:t xml:space="preserve"> Co-processing of biogenic feedstocks in existing crude oil refineries is a promising, near-term option to decarbonize transport fuels by using existing fossil conversion infrastructure. This study quantifies the life cycle greenhouse gas (GHG) emissions of co-processed biofuels under an average European refinery configuration, using a policy-compliant approach consistent with the EU Renewable Energy Directive (RED), which has been integrated with a refinery-wide mass and energy balance model. Four case studies were selected: used cooking oil (UCO) co-processing in hydrotreating (HT) and hydrocracking (HC) conversion routes, and fast pyrolysis oil (FPO) and stabilized/hydrotreated pyrolysis oil (SPO/HDO) co-processing in fluid catalytic cracking (FCC) conversion pathways. Biogenic feed shares of 5–20 wt% at the conversion unit inlet were modelled, together with a full mass and energy balance for all pathways, derived to develop a comprehensive LCI for each pathway. Considered products comprised biogenic diesel, biogenic gasoline and biogenic kerosene. All pathways achieved substantial GHG savings relative to fossil fuels, with carbon intensities ranging from 3.9 to 25.8 g CO 2 e MJ −1 and GHG emissions savings of 73–96 %, thus remaining well above the 65 % RED minimum GHG emissions reduction threshold. UCO hydroprocessing delivered the lowest carbon intensities, while FCC pathwa</w:t>
      </w:r>
    </w:p>
    <w:p>
      <w:pPr/>
      <w:r>
        <w:rPr>
          <w:b/>
        </w:rPr>
        <w:t>POSSIBLE 2026:</w:t>
      </w:r>
      <w:r>
        <w:t xml:space="preserve"> EU ambition vs. implementation: Performance toward nutrient loss reduction under the European Green Deal — https://doi.org/10.1016/j.envadv.2026.100705</w:t>
      </w:r>
    </w:p>
    <w:p>
      <w:pPr/>
      <w:r>
        <w:rPr>
          <w:b/>
        </w:rPr>
        <w:t>Shared claim-specific concepts:</w:t>
      </w:r>
      <w:r>
        <w:t xml:space="preserve"> reduction, target, only; EU scope visible. This is a provisional connection, not an outcome finding.</w:t>
      </w:r>
    </w:p>
    <w:p>
      <w:pPr>
        <w:pStyle w:val="SourceNote"/>
      </w:pPr>
      <w:r>
        <w:rPr>
          <w:b/>
        </w:rPr>
        <w:t>Available abstract (not full text):</w:t>
      </w:r>
      <w:r>
        <w:t xml:space="preserve"> This research assessed the capacity of 27 Member States of the European Union (EU) to achieve the European Green Deal target of reducing nutrient losses by 50% by 2030 while maintaining soil fertility. In view of the persistently elevated concentrations of nitrates in groundwater and the uneven implementation of EU environmental policies at the national level, the research performed retrospective and forward-looking analyses. Two indicators have been used to assess the performance of EU Member States: (1) the proportion of groundwater monitoring stations with nitrate concentrations above 50 mg/l and (2) the result indicator R.22 (sustainable nutrient management) for the Strategic Plans (SP) under the Common Agricultural Policy (CAP). The analysis was performed over two periods: the progress period (2016-2019 vs 2012-2015), showing historical changes, and the target period (2024-2027 vs 2016-2019), identifying necessary future changes to achieve the target. Methodologically, the research employed several techniques: calculation of an aggregated indicator using the zero unitarization method, a quartile approach to interpret the intensity of required progress, grouping, and comparison. The research results revealed that despite the continued application of the Nitrates Directive and the common EU policy framework, progress in reducing periodic pollution of groundwater with nitrate</w:t>
      </w:r>
    </w:p>
    <w:p>
      <w:pPr/>
      <w:r>
        <w:rPr>
          <w:b/>
        </w:rPr>
        <w:t>POSSIBLE 2026:</w:t>
      </w:r>
      <w:r>
        <w:t xml:space="preserve"> GHG emissions of all world countries — https://doi.org/10.2760/7717504</w:t>
      </w:r>
    </w:p>
    <w:p>
      <w:pPr/>
      <w:r>
        <w:rPr>
          <w:b/>
        </w:rPr>
        <w:t>Shared claim-specific concepts:</w:t>
      </w:r>
      <w:r>
        <w:t xml:space="preserve"> ghg, lulucf, removals;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Comparative analysis of GHG calculation methodologies in aviation — https://doi.org/10.1016/j.clpl.2026.100155</w:t>
      </w:r>
    </w:p>
    <w:p>
      <w:pPr/>
      <w:r>
        <w:rPr>
          <w:b/>
        </w:rPr>
        <w:t>Shared claim-specific concepts:</w:t>
      </w:r>
      <w:r>
        <w:t xml:space="preserve"> ghg, emission, only; EU scope visible. This is a provisional connection, not an outcome finding.</w:t>
      </w:r>
    </w:p>
    <w:p>
      <w:pPr>
        <w:pStyle w:val="SourceNote"/>
      </w:pPr>
      <w:r>
        <w:rPr>
          <w:b/>
        </w:rPr>
        <w:t>Available abstract (not full text):</w:t>
      </w:r>
      <w:r>
        <w:t xml:space="preserve"> Aviation accounts for roughly two to three percent of global carbon dioxide emissions, and its full climate impact—including high-altitude effects such as contrail-induced cirrus and nitrogen oxide chemistry—may be substantially larger. As mandatory sustainability disclosure expands across major economies—through European Union reporting requirements, the International Sustainability Standards Board (ISSB) climate baseline, the GHG Protocol, and international aviation schemes such as CORSIA—organisations face a practical problem: the proliferation of calculation methodologies produces materially different emissions estimates for the same flight, undermining comparability and auditability. This study asks which aviation greenhouse gas methodologies best support transparent, assurance-oriented corporate disclosure, and what drives the divergence in reported results. We assess ten widely used or policy-relevant methodologies through a three-part design: a structured documentation review with explicit version locking; controlled computations over standardised short-, medium-, and long-haul flight profiles under each method’s native assumptions for the eight methodologies with publicly reproducible factors; and a documentation-based multi-criteria analysis scoring transparency, boundary clarity, non-carbon-dioxide treatment, data granularity, and auditability on a four-point ordinal</w:t>
      </w:r>
    </w:p>
    <w:p>
      <w:pPr/>
      <w:r>
        <w:rPr>
          <w:b/>
        </w:rPr>
        <w:t>POSSIBLE 2025:</w:t>
      </w:r>
      <w:r>
        <w:t xml:space="preserve"> Implementing the GHG Protocol - advantages of implementation — https://doi.org/10.57263/jmq.04.01.20252</w:t>
      </w:r>
    </w:p>
    <w:p>
      <w:pPr/>
      <w:r>
        <w:rPr>
          <w:b/>
        </w:rPr>
        <w:t>Shared claim-specific concepts:</w:t>
      </w:r>
      <w:r>
        <w:t xml:space="preserve"> implementing, ghg; EU scope not established. This is a provisional connection, not an outcome finding.</w:t>
      </w:r>
    </w:p>
    <w:p>
      <w:pPr>
        <w:pStyle w:val="SourceNote"/>
      </w:pPr>
      <w:r>
        <w:rPr>
          <w:b/>
        </w:rPr>
        <w:t>Available abstract (not full text):</w:t>
      </w:r>
      <w:r>
        <w:t xml:space="preserve">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pPr/>
      <w:r>
        <w:rPr>
          <w:b/>
        </w:rPr>
        <w:t>POSSIBLE 2025:</w:t>
      </w:r>
      <w:r>
        <w:t xml:space="preserve"> Evaluating the Effectiveness of the European Union’s 2040 Climate Target: Policy Ambitions versus Implementation Challenges — https://doi.org/10.71145/rjsp.v3i3.348</w:t>
      </w:r>
    </w:p>
    <w:p>
      <w:pPr/>
      <w:r>
        <w:rPr>
          <w:b/>
        </w:rPr>
        <w:t>Shared claim-specific concepts:</w:t>
      </w:r>
      <w:r>
        <w:t xml:space="preserve"> ghg, reduction, target, only, energy, however; EU scope visible. This is a provisional connection, not an outcome finding.</w:t>
      </w:r>
    </w:p>
    <w:p>
      <w:pPr>
        <w:pStyle w:val="SourceNote"/>
      </w:pPr>
      <w:r>
        <w:rPr>
          <w:b/>
        </w:rPr>
        <w:t>Available abstract (not full text):</w:t>
      </w:r>
      <w:r>
        <w:t xml:space="preserve"> As the level of ambition was increased, in July 2025, the European Commission set out a new binding greenhouse gas (GHG) reduction objective of - 90% by 2040 with respect to 1990, and it became an intermediate step on the road to climate neutrality by 2050 (European Commission, 2025). The paper is a critical evaluation of the effectiveness of this target and involves the engagement of the architecture of EU climate governance, the European Climate Law, the Fit for 55 package, the ETS, CBAM, the RE-Power-EU, and the Clean Industrial Deal and the implementation barriers: (1) economic competitiveness, (2) a political positioning difference among the member states, and (3) the pressure on simplification of regulations. The study provides qualitative research design influenced by the Comparative Public Policy Theory and Governance Theory to examine policy documents, reports of the interested stakeholders, literature reviews, and case-related information. Findings reveal the imbalance between aspiration and achievement like the poor enforcement mechanisms, lack of equality in compliance with the absence of sufficient incentives to go out of the ETS to reduce emissions. It is advisable that the enforcement be tightened, the burden sharing systems are strengthened as well as expanding the just transition plans. The paper adds new literature to the EU climate management by providing a s</w:t>
      </w:r>
    </w:p>
    <w:p>
      <w:pPr/>
      <w:r>
        <w:rPr>
          <w:b/>
        </w:rPr>
        <w:t>POSSIBLE 2025:</w:t>
      </w:r>
      <w:r>
        <w:t xml:space="preserve"> Development of green port index : a tool for assessing ports based on implementation of GHG emission reduction measures — https://openalex.org/W7133590153</w:t>
      </w:r>
    </w:p>
    <w:p>
      <w:pPr/>
      <w:r>
        <w:rPr>
          <w:b/>
        </w:rPr>
        <w:t>Shared claim-specific concepts:</w:t>
      </w:r>
      <w:r>
        <w:t xml:space="preserve"> ghg, emission, reduction, energy; EU scope not established. This is a provisional connection, not an outcome finding.</w:t>
      </w:r>
    </w:p>
    <w:p>
      <w:pPr>
        <w:pStyle w:val="SourceNote"/>
      </w:pPr>
      <w:r>
        <w:rPr>
          <w:b/>
        </w:rPr>
        <w:t>Available abstract (not full text):</w:t>
      </w:r>
      <w:r>
        <w:t xml:space="preserve"> As the global attention shift towards climate change due its devastating impact on our environment, all sectors including ports should implement mitigation and adaptation strategies to combat it. This is why green port development and operation has become increasingly important to reduce the environmental impact of port operations. Despite the growing number of research in green ports, quantitative assessment of ports based on implementation of measures to mitigate their environmental impacts is rarely addressed. Therefore, this study seeks to develop a green port index (GPI) which is a comprehensive mechanism for evaluating ports based on implementation of key measures to reduce GHG emissions. This assessment tool produces a 0 – 100% composite score taking into account 12 key performance indicators (KPIs) identified through literature review. These KPIs include energy efficiency, electrification, green fuel utilization, port greenery, renewable energy usage, smart/microgrid coverage, onshore power supply (OPS) usage, just in time arrival, alternative fuel bunkering, green hinterland transportation of cargo, employee commuting and truck congestion reduction. The KPIs are classified based on the greenhouse gas (GHG) emission scope impacted. Additionally, this research proposes a methodology to quantify each of the 12 KPIs. Fuzzy Analytical Hierarchy Process (FAHP) and Adaptive N</w:t>
      </w:r>
    </w:p>
    <w:p>
      <w:pPr/>
      <w:r>
        <w:rPr>
          <w:b/>
        </w:rPr>
        <w:t>POSSIBLE 2025:</w:t>
      </w:r>
      <w:r>
        <w:t xml:space="preserve"> A framework for 1.5°C-aligned GHG budgets in architecture — https://doi.org/10.5334/bc.664</w:t>
      </w:r>
    </w:p>
    <w:p>
      <w:pPr/>
      <w:r>
        <w:rPr>
          <w:b/>
        </w:rPr>
        <w:t>Shared claim-specific concepts:</w:t>
      </w:r>
      <w:r>
        <w:t xml:space="preserve"> ghg, target, only; EU scope visible. This is a provisional connection, not an outcome finding.</w:t>
      </w:r>
    </w:p>
    <w:p>
      <w:pPr>
        <w:pStyle w:val="SourceNote"/>
      </w:pPr>
      <w:r>
        <w:rPr>
          <w:b/>
        </w:rPr>
        <w:t>Available abstract (not full text):</w:t>
      </w:r>
      <w:r>
        <w:t xml:space="preserve"> A methodological framework is presented for integrating 1.5°C-aligned greenhouse gas (GHG) budgets into architectural practice. Responding to the urgent need to decarbonise the built environment, this practice-oriented approach is based on the Carbon Risk Real Estate Monitor (CRREM) and the Science-Based Targets initiative (SBTi). The framework enables GHG budgets to be set early, requiring only a functional brief and target completion year as inputs. It establishes absolute GHG budgets per m2 and completion year for eight core building usage categories, allowing the early integration of climate targets in design processes. Mixed-use buildings are addressed through the area-weighted allocation of usage-specific budgets. Although developed for the European context, the framework can be adapted to other countries. The proposed 1.5°C-reduction pathways are compared with national frameworks such as France’s RE 2020 and Denmark’s BR 18, as well as with 20 recent mixed-use projects from a large German architectural practice. Achieving 1.5°C alignment will require halving GHG budgets roughly every seven years, highlighting the need for transformative change in architectural design and construction. Limitations include the use of global embodied carbon benchmarks and the assumption of functional stability over a 50-year reference study period. Practice relevance The proposed framework </w:t>
      </w:r>
    </w:p>
    <w:p>
      <w:pPr/>
      <w:r>
        <w:rPr>
          <w:b/>
        </w:rPr>
        <w:t>POSSIBLE 2025:</w:t>
      </w:r>
      <w:r>
        <w:t xml:space="preserve"> BRIDGING THE GAP: HOW GHG ACCOUNTING TOOLS CAN SUPPORT BEER COMPANIES IN THE IMPLEMENTATION OF CIRCULAR ECONOMY STRATEGIES — https://doi.org/10.31025/2611-4135/2025.19539</w:t>
      </w:r>
    </w:p>
    <w:p>
      <w:pPr/>
      <w:r>
        <w:rPr>
          <w:b/>
        </w:rPr>
        <w:t>Shared claim-specific concepts:</w:t>
      </w:r>
      <w:r>
        <w:t xml:space="preserve"> ghg, emission, energy; EU scope not established. This is a provisional connection, not an outcome finding.</w:t>
      </w:r>
    </w:p>
    <w:p>
      <w:pPr>
        <w:pStyle w:val="SourceNote"/>
      </w:pPr>
      <w:r>
        <w:rPr>
          <w:b/>
        </w:rPr>
        <w:t>Available abstract (not full text):</w:t>
      </w:r>
      <w:r>
        <w:t xml:space="preserve"> This study presents a greenhouse gases (GHG) accounting tool developed for Italian breweries aimed at the quantification of the carbon footprint (CF) of the organizations, thus enabling a self-assessment of their contribution to climate change. The tool builds on a Microsoft Excel interface that allows breweries to input site-specific data related to materials, energy, emissions, and waste across their life cycle in accordance with both the GHG Protocol and the ISO 14064-1 standard. A methodological framework is developed based on 7 steps, which include : i) organizational and operative boundaries definition, iii) identification of the databases for the calculations of emission sources and emission factors iv) calculation of CF which allows v) to perform a screening study and the hotspot identification, followed by vi) a check with literature in order to vii) perform a CE strategies assessment. This procedure made possible to build a valuable and reliable tool, in line with international standard and easy to replicate in other contests. The tool indeed enables companies to identify environmental relevant processes (hotspot analysis) and to implement relevant circular ecosystem innovation. This is possible thanks to its ability to create collaboration within ecosystem actors and allowing a trial-and-error process.</w:t>
      </w:r>
    </w:p>
    <w:p>
      <w:pPr/>
      <w:r>
        <w:rPr>
          <w:b/>
        </w:rPr>
        <w:t>POSSIBLE 2024:</w:t>
      </w:r>
      <w:r>
        <w:t xml:space="preserve"> Transformation of Peatland Management Toward Climate Targets in Europe — https://doi.org/10.34133/ehs.0239</w:t>
      </w:r>
    </w:p>
    <w:p>
      <w:pPr/>
      <w:r>
        <w:rPr>
          <w:b/>
        </w:rPr>
        <w:t>Shared claim-specific concepts:</w:t>
      </w:r>
      <w:r>
        <w:t xml:space="preserve"> implementing, emission, reduction, target, however; EU scope visible. This is a provisional connection, not an outcome finding.</w:t>
      </w:r>
    </w:p>
    <w:p>
      <w:pPr>
        <w:pStyle w:val="SourceNote"/>
      </w:pPr>
      <w:r>
        <w:rPr>
          <w:b/>
        </w:rPr>
        <w:t>Available abstract (not full text):</w:t>
      </w:r>
      <w:r>
        <w:t xml:space="preserve"> Agriculture and forestry on drained peatlands contribute substantial amounts of anthropogenic greenhouse gas emissions. The transformation of peatland management toward “wet” land use takes on an increasingly critical role in achieving zero net carbon emissions by 2050. Yet, the translation of European Union climate target ambitions into peatland relevancy on emission reduction remains unclear. The study presents an analysis of the current status and future pathways of peatland transformation in European countries. Our data are collected by a survey with 60 experts in 8 countries and a workshop with 16 experts in 3 countries. The analysis shows expected trends for drained peatlands, indicating a shift from drainage-based cropland to grassland or wetland use. Although these trends support emission reduction, nations with lucrative peatland areas are likely to resist shifting to less profitable land uses. Three categories of management practices were identified based on water level. Among them, grassland paludiculture and grassland with elevated water tables are appreciated by experts. The transition pathways for Finland, Germany, and the Netherlands reflect the consensus that peatland emissions have to be reduced drastically. However, differences in soil types, geoclimatic zones, and diverse management approaches among countries pose a challenge when assessing and implementing t</w:t>
      </w:r>
    </w:p>
    <w:p>
      <w:pPr/>
      <w:r>
        <w:rPr>
          <w:b/>
        </w:rPr>
        <w:t>POSSIBLE 2024:</w:t>
      </w:r>
      <w:r>
        <w:t xml:space="preserve"> A commentary comparing the GHG Protocol and E-liability approaches to corporate GHG accounting and reporting — https://doi.org/10.1080/17583004.2024.2397498</w:t>
      </w:r>
    </w:p>
    <w:p>
      <w:pPr/>
      <w:r>
        <w:rPr>
          <w:b/>
        </w:rPr>
        <w:t>Shared claim-specific concepts:</w:t>
      </w:r>
      <w:r>
        <w:t xml:space="preserve"> implementing, ghg, emission, target, however; EU scope not established. This is a provisional connection, not an outcome finding.</w:t>
      </w:r>
    </w:p>
    <w:p>
      <w:pPr>
        <w:pStyle w:val="SourceNote"/>
      </w:pPr>
      <w:r>
        <w:rPr>
          <w:b/>
        </w:rPr>
        <w:t>Available abstract (not full text):</w:t>
      </w:r>
      <w:r>
        <w:t xml:space="preserve"> E-liability is a GHG data management approach that has been proposed as an alternative to the GHG Protocol corporate standards, already widely adopted by businesses and voluntary and regulatory programs. E-liability resembles the GHG Protocol in its methods for calculating and allocating emissions from suppliers. But while the GHG Protocol takes a cradle-to-grave approach to corporate inventories, E-liability focuses narrowly on cradle-to-gate and direct emissions. Leaving out information on downstream emissions could misinform GHG management decisions, limiting E-liability’s usefulness for comprehensive corporate GHG management, target setting, risk assessments and disclosures. The E-liability approach offloads emission liabilities to downstream customers potentially leaving them responsible for the burden of managing them. E-liability aims to deliver mutually exclusive emissions data so that organizations do not multi-count emissions across value chains. But whether multi-counting matters depends on the goal: whether it is to produce a mutually exclusive corporate GHG liabilities report, or to strategically manage and reduce emissions across value chains. E-liability’s use of primary data and mutually exclusive emissions accounting could improve data quality and support carbon pricing and tariffs. However, implementing E-liability would require broad adoption and that would l</w:t>
      </w:r>
    </w:p>
    <w:p>
      <w:pPr>
        <w:pStyle w:val="Heading2"/>
      </w:pPr>
      <w:r>
        <w:t>843. Electromobility Scenarios: Research Findings to Inform Policy</w:t>
      </w:r>
    </w:p>
    <w:p>
      <w:pPr>
        <w:pStyle w:val="SourceNote"/>
      </w:pPr>
      <w:r>
        <w:rPr>
          <w:b/>
        </w:rPr>
        <w:t>Original source (2016):</w:t>
      </w:r>
      <w:r>
        <w:t xml:space="preserve"> https://doi.org/10.1016/j.trpro.2016.05.346</w:t>
      </w:r>
    </w:p>
    <w:p>
      <w:pPr/>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POSSIBLE 2025:</w:t>
      </w:r>
      <w:r>
        <w:t xml:space="preserve"> Assessing human-caused wildfire ignition likelihood across Europe — https://doi.org/10.5194/nhess-25-4713-2025</w:t>
      </w:r>
    </w:p>
    <w:p>
      <w:pPr/>
      <w:r>
        <w:rPr>
          <w:b/>
        </w:rPr>
        <w:t>Shared claim-specific concepts:</w:t>
      </w:r>
      <w:r>
        <w:t xml:space="preserve"> modelling, regions;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Cost Benefit Analysis of Online Harms — https://openalex.org/W7124124068</w:t>
      </w:r>
    </w:p>
    <w:p>
      <w:pPr/>
      <w:r>
        <w:rPr>
          <w:b/>
        </w:rPr>
        <w:t>Shared claim-specific concepts:</w:t>
      </w:r>
      <w:r>
        <w:t xml:space="preserve"> modelling, assess, between, support, interventions, technologies; EU scope not established. This is a provisional connection, not an outcome finding.</w:t>
      </w:r>
    </w:p>
    <w:p>
      <w:pPr>
        <w:pStyle w:val="SourceNote"/>
      </w:pPr>
      <w:r>
        <w:rPr>
          <w:b/>
        </w:rPr>
        <w:t>Available abstract (not full text):</w:t>
      </w:r>
      <w:r>
        <w:t xml:space="preserve"> The rapid evolution of digital technologies and algorithmic content curation has transformed the online information ecosystem, enabling unprecedented connectivity and knowledge exchange while intensifying harms such as privacy erosion, algorithmic targeting, and the exploitation of user vulnerabilities. These developments have deepened challenges surrounding information integrity, trust, and individual agency, particularly as online platforms facilitate the circulation of both misinformation (inadvertent inaccuracies) and disinformation (proactive deception). The latter presents acute risks in politically volatile and strategically contested contexts where informational asymmetry may be deliberately weaponised. This thesis constructs a behavioural game-theoretic model to examine online information consumption under uncertainty and the cognitive burden of costly verification. Drawing on decision theory, behavioural economics, and contract theory, the model elucidates how users allocate cognitive effort to assess content in the presence of unreliable sources and malicious strategic intent designed to influence belief formation. The user decision process is formalised in a dynamic optimisation problem, where verification effort is governed by the trade-off between the perceived value of accurate information and the escalating cognitive and emotional toll of engagement. While the f</w:t>
      </w:r>
    </w:p>
    <w:p>
      <w:pPr/>
      <w:r>
        <w:rPr>
          <w:b/>
        </w:rPr>
        <w:t>POSSIBLE 2025:</w:t>
      </w:r>
      <w:r>
        <w:t xml:space="preserve"> Methods to assess on-farm biosecurity in Europe and beyond — https://doi.org/10.1016/j.prevetmed.2025.106486</w:t>
      </w:r>
    </w:p>
    <w:p>
      <w:pPr/>
      <w:r>
        <w:rPr>
          <w:b/>
        </w:rPr>
        <w:t>Shared claim-specific concepts:</w:t>
      </w:r>
      <w:r>
        <w:t xml:space="preserve"> also, assess, different, between; EU scope visible. This is a provisional connection, not an outcome finding.</w:t>
      </w:r>
    </w:p>
    <w:p>
      <w:pPr>
        <w:pStyle w:val="SourceNote"/>
      </w:pPr>
      <w:r>
        <w:rPr>
          <w:b/>
        </w:rPr>
        <w:t>Available abstract (not full text):</w:t>
      </w:r>
      <w:r>
        <w:t xml:space="preserve"> The aim of this study was to identify which biosecurity assessment methods (BAMs) are currently used in practice in animal farms. To address this, a structured questionnaire was developed to gather information such as the animal species, main objectives, type of enforcement, output generated and feedback of the result. In the context of the BETTER Cost Action project, country representatives identified in each of their countries which BAMs were used and completed an online survey. The survey was prepared and translated in 23 languages. Besides a descriptive analysis, clusters of BAMs were determined using a multiple correspondence analysis. Responses, collected between December 2022 and July 2023, included 74 BAMs used in 28 countries. Most of them were used in a single country while three were used in multiple countries. This study provides a comprehensive picture of existing BAMs and insights into their diversity, such as variations in objectives, implementation, evaluators, respondents, feedback, or assessment outputs. Moreover, we identified four BAMs clusters differentiated by their objective, evaluator and type of feedback provided. This study might also represent the basis for future research on strengths and weaknesses of different BAMs.</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present, between,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Geodiversity data for Europe — https://doi.org/10.1098/rsta.2023.0173</w:t>
      </w:r>
    </w:p>
    <w:p>
      <w:pPr/>
      <w:r>
        <w:rPr>
          <w:b/>
        </w:rPr>
        <w:t>Shared claim-specific concepts:</w:t>
      </w:r>
      <w:r>
        <w:t xml:space="preserve"> also, present, assess, different, between, regions;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Assessing nitrate groundwater hotspots in Europe reveals an inadequate designation of Nitrate Vulnerable Zones — https://doi.org/10.1016/j.chemosphere.2024.141830</w:t>
      </w:r>
    </w:p>
    <w:p>
      <w:pPr/>
      <w:r>
        <w:rPr>
          <w:b/>
        </w:rPr>
        <w:t>Shared claim-specific concepts:</w:t>
      </w:r>
      <w:r>
        <w:t xml:space="preserve"> also, show, between; EU scope visible. This is a provisional connection, not an outcome finding.</w:t>
      </w:r>
    </w:p>
    <w:p>
      <w:pPr>
        <w:pStyle w:val="SourceNote"/>
      </w:pPr>
      <w:r>
        <w:rPr>
          <w:b/>
        </w:rPr>
        <w:t>Available abstract (not full text):</w:t>
      </w:r>
      <w:r>
        <w:t xml:space="preserve">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pPr/>
      <w:r>
        <w:rPr>
          <w:b/>
        </w:rPr>
        <w:t>POSSIBLE 2024:</w:t>
      </w:r>
      <w:r>
        <w:t xml:space="preserve"> Cost–Benefit Analysis of Distributed Energy Systems Considering the Monetization of Indirect Benefits — https://doi.org/10.3390/su16020820</w:t>
      </w:r>
    </w:p>
    <w:p>
      <w:pPr/>
      <w:r>
        <w:rPr>
          <w:b/>
        </w:rPr>
        <w:t>Shared claim-specific concepts:</w:t>
      </w:r>
      <w:r>
        <w:t xml:space="preserve"> also; EU scope not established. This is a provisional connection, not an outcome finding.</w:t>
      </w:r>
    </w:p>
    <w:p>
      <w:pPr>
        <w:pStyle w:val="SourceNote"/>
      </w:pPr>
      <w:r>
        <w:rPr>
          <w:b/>
        </w:rPr>
        <w:t>Available abstract (not full text):</w:t>
      </w:r>
      <w:r>
        <w:t xml:space="preserve"> Driven by market value, a co-benefits assessment framework to encompass various benefits arising from distributed energy systems is developed. Using a monetization approach, a quantitative analysis model is established to evaluate both direct and indirect benefits. According to the simulation results of typical distributed energy systems, the distributed photovoltaic (PV) system demonstrates superior economic performance compared with the gas-fired distributed energy system, highlighting its potential for widespread commercialization. Moreover, the inclusion of indirect benefits significantly enhances the economic viability of the distributed energy system. While the PV system exhibits a more favorable promotional impact, it also renders the gas-fired distributed energy system commercially feasible.</w:t>
      </w:r>
    </w:p>
    <w:p>
      <w:pPr/>
      <w:r>
        <w:rPr>
          <w:b/>
        </w:rPr>
        <w:t>POSSIBLE 2024:</w:t>
      </w:r>
      <w:r>
        <w:t xml:space="preserve"> Monetizing Animal Welfare Impacts for Benefit–Cost Analysis — https://doi.org/10.1017/bca.2024.19</w:t>
      </w:r>
    </w:p>
    <w:p>
      <w:pPr/>
      <w:r>
        <w:rPr>
          <w:b/>
        </w:rPr>
        <w:t>Shared claim-specific concepts:</w:t>
      </w:r>
      <w:r>
        <w:t xml:space="preserve"> assess, different, between, political, allows; EU scope not established. This is a provisional connection, not an outcome finding.</w:t>
      </w:r>
    </w:p>
    <w:p>
      <w:pPr>
        <w:pStyle w:val="SourceNote"/>
      </w:pPr>
      <w:r>
        <w:rPr>
          <w:b/>
        </w:rPr>
        <w:t>Available abstract (not full text):</w:t>
      </w:r>
      <w:r>
        <w:t xml:space="preserve"> Abstract Animal welfare is often ignored in decision-making, despite widespread agreement about its importance. This is partly because of a lack of quantitative methods to assess the impacts of policies on humans and nonhumans alike on a common scale. At the same time, recent work in economics, philosophy, and animal welfare science has made progress on the fundamental theoretical challenge of estimating the well-being potential of different species on a single scale. By combining these estimates of each species’ well-being potential with assessments of how various policies impact the quality of life for these species, along with the number of animals affected, we can arrive at a framework for estimating the impact of policies on animal health and well-being. This framework allows for a quantifiable comparison between policies affecting humans and animals. For instance, it enables us to compare human QALYs to animal QALYs tailored to specific species. Hence, the intrinsic value of animal welfare impacts of policies can be monetized on the same scale as market and non-market impact for humans, facilitating benefit–cost analysis. Many challenges remain though, including issues of population ethics, political feasibility, and new complexities in addressing equity and uncertainty.</w:t>
      </w:r>
    </w:p>
    <w:p>
      <w:pPr/>
      <w:r>
        <w:rPr>
          <w:b/>
        </w:rPr>
        <w:t>POSSIBLE 2024:</w:t>
      </w:r>
      <w:r>
        <w:t xml:space="preserve"> Cochlear implant cost analysis in adults: a European narrative review — https://doi.org/10.1007/s00405-024-08591-3</w:t>
      </w:r>
    </w:p>
    <w:p>
      <w:pPr/>
      <w:r>
        <w:rPr>
          <w:b/>
        </w:rPr>
        <w:t>Shared claim-specific concepts:</w:t>
      </w:r>
      <w:r>
        <w:t xml:space="preserve"> different, between; EU scope visible. This is a provisional connection, not an outcome finding.</w:t>
      </w:r>
    </w:p>
    <w:p>
      <w:pPr>
        <w:pStyle w:val="SourceNote"/>
      </w:pPr>
      <w:r>
        <w:rPr>
          <w:b/>
        </w:rPr>
        <w:t>Available abstract (not full text):</w:t>
      </w:r>
      <w:r>
        <w:t xml:space="preserve"> PURPOSE: The aim of this study was to provide an updated European narrative review spanning the last decade, focusing on the cost-effectiveness of cochlear implants (CIs) for adults with severe to profound post-lingual hearing loss. METHODS: This review encompasses both prospective and retrospective approaches, as well as cross-sectional and longitudinal trials conducted on CIs in adults. All studies related to European countries (Austria, Germany, Switzerland, the Netherlands, Sweden, the UK and Poland) were conducted in English and were published between 2012 and June 2023. RESULTS: Nine studies were included in the analysis. The patients' ages ranged from 18 years to over 67 years, with sample sizes ranging from 20 to 100 patients; two of these studies were focused on single-sided deafness in adults. The Markov model was identified as the most commonly utilized analysis method. CONCLUSIONS: This review identified a general consensus on CI cost-effectiveness, despite substantial variability among countries in factors such as observation time horizons, cost-effectiveness thresholds, methods of cost collection, discount rates, CI eligibility criteria and country-specific health systems. Generally, CIs yield positive societal benefits for working-age individuals, potentially less for seniors. Early unilateral CI enhances cost-effectiveness, highlighting the importance of prompt </w:t>
      </w:r>
    </w:p>
    <w:p>
      <w:pPr/>
      <w:r>
        <w:rPr>
          <w:b/>
        </w:rPr>
        <w:t>POSSIBLE 2023:</w:t>
      </w:r>
      <w:r>
        <w:t xml:space="preserve"> Comparative cost-benefit analysis of upgrading existing office buildings in European climates — https://doi.org/10.26868/25222708.2023.1461</w:t>
      </w:r>
    </w:p>
    <w:p>
      <w:pPr/>
      <w:r>
        <w:rPr>
          <w:b/>
        </w:rPr>
        <w:t>Shared claim-specific concepts:</w:t>
      </w:r>
      <w:r>
        <w:t xml:space="preserve"> also, present, different, between, regarding, interventions; EU scope visible. This is a provisional connection, not an outcome finding.</w:t>
      </w:r>
    </w:p>
    <w:p>
      <w:pPr>
        <w:pStyle w:val="SourceNote"/>
      </w:pPr>
      <w:r>
        <w:rPr>
          <w:b/>
        </w:rPr>
        <w:t>Available abstract (not full text):</w:t>
      </w:r>
      <w:r>
        <w:t xml:space="preserve">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pPr/>
      <w:r>
        <w:rPr>
          <w:b/>
        </w:rPr>
        <w:t>POSSIBLE 2023:</w:t>
      </w:r>
      <w:r>
        <w:t xml:space="preserve"> Cost benefit analysis of diversified farming systems across Europe: Incorporating non-market benefits of ecosystem services — https://doi.org/10.1016/j.scitotenv.2023.169272</w:t>
      </w:r>
    </w:p>
    <w:p>
      <w:pPr/>
      <w:r>
        <w:rPr>
          <w:b/>
        </w:rPr>
        <w:t>Shared claim-specific concepts:</w:t>
      </w:r>
      <w:r>
        <w:t xml:space="preserve"> assess, different, show, regions; EU scope visible. This is a provisional connection, not an outcome finding.</w:t>
      </w:r>
    </w:p>
    <w:p>
      <w:pPr>
        <w:pStyle w:val="SourceNote"/>
      </w:pPr>
      <w:r>
        <w:rPr>
          <w:b/>
        </w:rPr>
        <w:t>Available abstract (not full text):</w:t>
      </w:r>
      <w:r>
        <w:t xml:space="preserve">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pPr/>
      <w:r>
        <w:rPr>
          <w:b/>
        </w:rPr>
        <w:t>POSSIBLE 2023:</w:t>
      </w:r>
      <w:r>
        <w:t xml:space="preserve"> Metaverse applications in education: a systematic review and a cost-benefit analysis — https://doi.org/10.1108/itse-01-2023-0017</w:t>
      </w:r>
    </w:p>
    <w:p>
      <w:pPr/>
      <w:r>
        <w:rPr>
          <w:b/>
        </w:rPr>
        <w:t>Shared claim-specific concepts:</w:t>
      </w:r>
      <w:r>
        <w:t xml:space="preserve"> also, different, technologies; EU scope not established. This is a provisional connection, not an outcome finding.</w:t>
      </w:r>
    </w:p>
    <w:p>
      <w:pPr>
        <w:pStyle w:val="SourceNote"/>
      </w:pPr>
      <w:r>
        <w:rPr>
          <w:b/>
        </w:rPr>
        <w:t>Available abstract (not full text):</w:t>
      </w:r>
      <w:r>
        <w:t xml:space="preserve">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pPr>
        <w:pStyle w:val="Heading2"/>
      </w:pPr>
      <w:r>
        <w:t>844. Environmental Implications of Dynamic Policies on Food Consumption and Waste Handling in the European Union</w:t>
      </w:r>
    </w:p>
    <w:p>
      <w:pPr>
        <w:pStyle w:val="SourceNote"/>
      </w:pPr>
      <w:r>
        <w:rPr>
          <w:b/>
        </w:rPr>
        <w:t>Original source (2016):</w:t>
      </w:r>
      <w:r>
        <w:t xml:space="preserve"> https://doi.org/10.3390/su8030282</w:t>
      </w:r>
    </w:p>
    <w:p>
      <w:pPr/>
      <w:r>
        <w:t>Original wording (abstract; indexed_source_text_not_full_document_verified): The implications are reviewed using a number of scenarios for the years 2030 and 2050 assuming policy instruments are fully effective.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instruments, effective;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2026:</w:t>
      </w:r>
      <w:r>
        <w:t xml:space="preserve"> Metropolitan housing governance in Spain: a policy review with European reflections — https://doi.org/10.1080/19491247.2026.2619163</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This Policy Review analyses the evolving institutional landscape of metropolitan housing governance in Spain, a country characterised by deep decentralisation and persistent housing affordability challenges. Metropolitan areas are where housing pressures are most acute, due to high demand, rising costs, and increasing socio-spatial inequalities, making them critical arenas for innovative and coordinated policy responses. Drawing on a systematic review of inter-municipal cooperation instruments, this paper identifies a continuum of governance mechanisms—ranging from highly institutionalised structures to more flexible arrangements—that are used to address housing policy across multiple jurisdictions. Findings reveal a fragmented yet increasingly dynamic system in which innovation and policy learning emerge through both formal and informal mechanisms. While the absence of a consolidated metropolitan tier constrains coherence and long-term strategic planning, new collaborative arrangements are helping local authorities to manage shared housing problems, particularly in metropolitan contexts affected by rising housing demand, gentrification, and spatial inequality. By situating the Spanish case within broader European debates, this review contributes to understanding how institutional capacity and professional networks are reshaping the housing governance in complex territorial sys</w:t>
      </w:r>
    </w:p>
    <w:p>
      <w:pPr/>
      <w:r>
        <w:rPr>
          <w:b/>
        </w:rPr>
        <w:t>POSSIBLE 2026:</w:t>
      </w:r>
      <w:r>
        <w:t xml:space="preserve"> Mapping policy instruments and challenges in health innovation development: implications for the role of early HTA – an umbrella review — https://doi.org/10.1017/s0266462326104243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OBJECTIVES: Health innovation encounters challenges across the innovation lifecycle. Although various policy instruments aim to support innovation, their alignment with stage-specific challenges remains unclear. This study synthesizes evidence to examine how innovation challenges and policy responses are distributed across the health innovation lifecycle, with particular attention to the role of early Health Technology Assessment (early HTA). METHODS: We conducted an umbrella review of review-level studies that examined health innovation challenges and related policy instruments. A comprehensive literature search was performed across five databases, including PubMed, Web of Science, Embase, Scopus, and CINAHL. Twenty-four eligible studies were included and synthesized using a well-established analytical framework. Innovation challenges and policy instruments were mapped across stages of the development pathway and linked to the contributions of early HTA. RESULTS: Innovation challenges were most pronounced in product design and clinical trial stages. Institutional barriers, including lengthy approval processes, became more prominent during regulatory approval and market access. Eighty policy responses were identified and clustered into economic, regulatory, and informational instruments. Economic measures were concentrated in product design and clinical trial stages, while regu</w:t>
      </w:r>
    </w:p>
    <w:p>
      <w:pPr/>
      <w:r>
        <w:rPr>
          <w:b/>
        </w:rPr>
        <w:t>POSSIBLE 2026:</w:t>
      </w:r>
      <w:r>
        <w:t xml:space="preserve"> Cultural Influences on Flood Control Policies in Central Europe: A Literature Review — https://doi.org/10.20944/preprints202601.2042.v1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Flood risk management research increasingly recognises that technical and institutional solutions alone are insufficient to reduce flood impacts under accelerating climate change. While comparative studies have examined governance structures and policy instruments, considerably less attention has been paid to how regional cultures shape citizen participation and, in turn, influence policy effectiveness. This literature review addresses this gap by examining how cultural mechanisms mediate flood governance outcomes in Central Europe and China, with particular attention to the Rhine and Yellow River Basins.Drawing on interdisciplinary literature spanning flood governance, cultural geography, disaster studies, and public participation, the review demonstrates that flood policies operate through culturally embedded interpretations of risk, responsibility, and authority. In Central Europe, traditions of local self-organisation and participatory governance support bottom-up engagement in flood preparedness and risk-sharing. In contrast, long-standing state-centred flood cultures in China have fostered strong reliance on structural protection and administrative control, while limiting autonomous civic participation.By reframing culture as an active policy mechanism rather than a passive contextual factor, this review highlights why flood management strategies with similar technical ra</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Wildlife-vehicle collision liability in Europe: A review of existing approaches and their implications — https://doi.org/10.1016/j.jenvman.2025.124986</w:t>
      </w:r>
    </w:p>
    <w:p>
      <w:pPr/>
      <w:r>
        <w:rPr>
          <w:b/>
        </w:rPr>
        <w:t>Shared claim-specific concepts:</w:t>
      </w:r>
      <w:r>
        <w:t xml:space="preserve"> implications, reviewed, number; EU scope visible. This is a provisional connection, not an outcome finding.</w:t>
      </w:r>
    </w:p>
    <w:p>
      <w:pPr>
        <w:pStyle w:val="SourceNote"/>
      </w:pPr>
      <w:r>
        <w:rPr>
          <w:b/>
        </w:rPr>
        <w:t>Available abstract (not full text):</w:t>
      </w:r>
      <w:r>
        <w:t xml:space="preserve"> We present an overview of wildlife-vehicle collision (WVC) liability covering 36 European countries. We reviewed approaches to WVC liability which are currently in effect across Europe and their potential consequences for WVC reporting. To obtain relevant information, we conducted a survey, including a web-based questionnaire. We retrieved answers to questions related to human fatalities from WVC, the existence of WVC databases, roadkill data systems and recommendation for drivers in the event of WVC. In 19 countries, no one is liable when a motorized vehicle collides with a wild animal. In the remaining countries, road managers or road owners may be liable as well as drivers or hunters, either consistently or under certain conditions. Liability can, in some countries, be changed after a legal assessment. Human fatalities due to WVCs have been reported in 27 countries, with approximately 90 deaths annually across European roads. The number of injured people and estimates of socio-economic losses were not possible to obtain at a European level as many countries lack reliable databases. We discuss how existing WVC liability across countries provoke some actors to transfer liability to another actor or avoid reporting these incidents altogether. WVC underreporting in certain national databases is one of the consequences of the existing WVC liability rules in the given countries. T</w:t>
      </w:r>
    </w:p>
    <w:p>
      <w:pPr/>
      <w:r>
        <w:rPr>
          <w:b/>
        </w:rPr>
        <w:t>POSSIBLE 2025:</w:t>
      </w:r>
      <w:r>
        <w:t xml:space="preserve"> Labels as policy instruments — https://doi.org/10.2760/5229560</w:t>
      </w:r>
    </w:p>
    <w:p>
      <w:pPr/>
      <w:r>
        <w:rPr>
          <w:b/>
        </w:rPr>
        <w:t>Shared claim-specific concepts:</w:t>
      </w:r>
      <w:r>
        <w:t xml:space="preserve"> instruments, effective; EU scope not established. This is a provisional connection, not an outcome finding.</w:t>
      </w:r>
    </w:p>
    <w:p>
      <w:pPr>
        <w:pStyle w:val="SourceNote"/>
      </w:pPr>
      <w:r>
        <w:rPr>
          <w:b/>
        </w:rPr>
        <w:t>Available abstract (not full text):</w:t>
      </w:r>
      <w:r>
        <w:t xml:space="preserve"> Labels are becoming a key policy instrument for providing information to people. However, their development and implementation are only partially based on rigorous scientific evidence. The goal of this report is to provide an overview of the literature on label design to improve evidence-based decision-making, planning, and evaluation of upcoming, ongoing and implemented labels. We analysed 39 publications on label design applying an information design framework. We also developed a digital bibliography of 218 publications to gather articles on labels and with a focus on their visual dimensions. The analysis reveals four general insights: 1) While the intention(s) of the label originator is often mentioned, the way the label enables people to relate to this intention is not sufficiently addressed. An action-driven categorisation allows to better define labels objectives; 2) Instead of exclusively studying interpretations of isolated visual label elements, focusing on people’s actions and their context allows collecting more relevant evidence to design and evaluate label performance; 3) Labels should be designed as a service, not as stand-alone products. It needs to be conceptualised into larger information campaigns, and monitored after implementation;. 4) The review also reveals gaps in the literature related to the monitoring and evaluation of labels. The study provides seven</w:t>
      </w:r>
    </w:p>
    <w:p>
      <w:pPr/>
      <w:r>
        <w:rPr>
          <w:b/>
        </w:rPr>
        <w:t>POSSIBLE 2025:</w:t>
      </w:r>
      <w:r>
        <w:t xml:space="preserve"> Policy Design, Diffusion, and Policy Instrument Attitudes — https://doi.org/10.1111/ropr.70032</w:t>
      </w:r>
    </w:p>
    <w:p>
      <w:pPr/>
      <w:r>
        <w:rPr>
          <w:b/>
        </w:rPr>
        <w:t>Shared claim-specific concepts:</w:t>
      </w:r>
      <w:r>
        <w:t xml:space="preserve"> instruments, effective; EU scope not established. This is a provisional connection, not an outcome finding.</w:t>
      </w:r>
    </w:p>
    <w:p>
      <w:pPr>
        <w:pStyle w:val="SourceNote"/>
      </w:pPr>
      <w:r>
        <w:rPr>
          <w:b/>
        </w:rPr>
        <w:t>Available abstract (not full text):</w:t>
      </w:r>
      <w:r>
        <w:t xml:space="preserve"> Policymakers are in the constant struggle to design policies that appropriately address societal, economic, and ecological needs. Literature on policy design has contributed to the field of policy studies with a systematization of possible policy instruments (Howlett 2004, 2023; Acciai and Capano 2021; Capano and Howlett 2020). But how do policymakers decide whether and which policy to implement and how does the public respond to different policy instruments? These questions will be treated in the fourth issue of this year's Review of Policy Research volume from different perspectives. The first part of this issue focuses on governments and what influences their decision to implement or not implement certain policies. In line with research on policy diffusion (Marsh and Sharman 2009; Mallinson 2021; Mistur et al. 2023), the first three papers illustrate how the decisions of neighboring regions can influence (local) governments to follow the same approach. The subsequent papers address how compatibility with already established policies through path dependence (Beyer 2010; Pierson 2014), institutional capacity (Toshkov et al. 2021; Khan and Hussain 2024), and policy learning (Dunlop et al. 2018; Crow et al. 2023; Zaki et al. 2023) shape policymakers' decisions, and what constitutes effective policymaking. The second part of this issue turns toward citizens as the recipients of p</w:t>
      </w:r>
    </w:p>
    <w:p>
      <w:pPr/>
      <w:r>
        <w:rPr>
          <w:b/>
        </w:rPr>
        <w:t>POSSIBLE 2024:</w:t>
      </w:r>
      <w:r>
        <w:t xml:space="preserve"> Positioning Germany in an international hydrogen economy: A policy review — https://doi.org/10.1016/j.esr.2024.101361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Germany, the European Union member state with the largest fiscal space and its leading manufacturer of industrial goods, is pursuing an ambitious hydrogen strategy aiming at establishing itself as a major technology provider and importer of green hydrogen. The success of its hydrogen strategy represents not only a key element in realizing the European vision of climate neutrality but also a central driver of an emerging global hydrogen economy. This article provides a detailed review of German policy, highlighting its prominent international dimension and its implications for the development of a global renewable hydrogen economy. It provides an overview of the strategy’s central goals and how these have evolved since the launch of the strategy in 2020. It then highlights the strategy’s institutional underpinning and discusses its implications for strategy implementation. Next, it moves on to provide an overview of the strategy’s main areas of intervention and highlights corresponding policy instruments. For this, we draw on a detailed assessment of 160 hydrogen policy instruments, which have been systematically analyzed and coded. This was complemented by information gathered in six interviews with government officials and staff of key implementing agencies. The article places particular emphasis on the strategy’s international dimension. While less significant in financial te</w:t>
      </w:r>
    </w:p>
    <w:p>
      <w:pPr/>
      <w:r>
        <w:rPr>
          <w:b/>
        </w:rPr>
        <w:t>POSSIBLE 2024:</w:t>
      </w:r>
      <w:r>
        <w:t xml:space="preserve"> Policy implications — https://doi.org/10.4337/9781800378650.00035</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expectations of the international community on several occasions indicate that the use of life cycle sustainability assessment (LCSA) as a policy tool to achieve United Nations Sustainable Development Goals (SDGs) is indispensable. The implications are that there is a good understanding of systematic and coherent policymaking, including the optimal use of policy instruments based on the potential use of LCSA results. Lessons can be learnt from the earlier ‘integrated policy approach’ and the future ‘sustainable product initiative’ in the European Union. An important observation is the evolution from a single focus on the environmental dimension of sustainable development towards an approach taking the three dimensions into account. There are good practices all over the world. However, in order to meet the expectations by 2030, important efforts are needed.</w:t>
      </w:r>
    </w:p>
    <w:p>
      <w:pPr/>
      <w:r>
        <w:rPr>
          <w:b/>
        </w:rPr>
        <w:t>POSSIBLE 2024:</w:t>
      </w:r>
      <w:r>
        <w:t xml:space="preserve"> The energy efficiency first principle in European energy and climate policy — https://doi.org/10.33540/2249</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‘energy efficiency first’ (EE1st) principle has become a key element of the European Union’s (EU) strategy to transition to a net-zero emissions energy system. This principle advocates prioritising energy efficiency solutions, such as building retrofits, when they cost less or provide greater societal benefits than traditional energy supply infrastructure, such as power plants. Despite its inclusion in the EU Governance Regulation and the recast Energy Efficiency Directive, the implementation of the EE1st principle across Member States faces both conceptual and practical challenges. This research makes three main contributions: First, it provides a thorough investigation of the theoretical foundations of the EE1st principle through a combination of literature review and conceptual analysis, thereby integrating the principle into the broader research literature and clarifying its implications for EU policymaking. Second, it analyses the quantitative effects of the principle using energy systems modelling and cost-benefit analyses, examining the balance between energy savings in the building sector and the associated energy supply needs for electricity, heat, and hydrogen in the EU’s netzero transition. Finally, based on a literature review of economic theory and semi-structured interviews, the research provides policy guidance by categorising potential policy instruments and</w:t>
      </w:r>
    </w:p>
    <w:p>
      <w:pPr/>
      <w:r>
        <w:rPr>
          <w:b/>
        </w:rPr>
        <w:t>POSSIBLE 2023:</w:t>
      </w:r>
      <w:r>
        <w:t xml:space="preserve"> Investigating local policy instruments for different types of urban agriculture in four European cities: A case study analysis on the use and effectiveness of the applied policy instruments — https://doi.org/10.1016/j.landusepol.2023.106695</w:t>
      </w:r>
    </w:p>
    <w:p>
      <w:pPr/>
      <w:r>
        <w:rPr>
          <w:b/>
        </w:rPr>
        <w:t>Shared claim-specific concepts:</w:t>
      </w:r>
      <w:r>
        <w:t xml:space="preserve"> reviewed, instruments; EU scope visible. This is a provisional connection, not an outcome finding.</w:t>
      </w:r>
    </w:p>
    <w:p>
      <w:pPr>
        <w:pStyle w:val="SourceNote"/>
      </w:pPr>
      <w:r>
        <w:rPr>
          <w:b/>
        </w:rPr>
        <w:t>Available abstract (not full text):</w:t>
      </w:r>
      <w:r>
        <w:t xml:space="preserve"> Over the last decades, urban agriculture (UA) and controlled environmental agriculture (CEA) have been growing in many urban areas of the world to supply fresh food locally and to provide multiple benefits for the sustainable development of urban landscapes. Municipal policies and regulatory tools are increasingly employed to support UA/CEA and minimize practical challenges. However, especially in Europe, there is a lack of systematic reviews that evaluate the impacts of city-level food policies for UA/CEA and their effectiveness as perceived by local responsible actors. To address this gap, this study presents a qualitative overview of municipal policies that affect UA/CEA. We reviewed more than 83 policy documents and manuscripts and performed an online structured survey targeting key local managers or employees of UA and innovative CEA systems in four EU cities – Barcelona (Spain), Lyon (France), Trieste and Udine (Italy). We assessed policy tools, especially for three identified types of UA (allotment gardens, community gardens and closed spaces using CEA) by mainly focusing on public and private institutions and including aspects concerning land use planning, health and environmental policies. The findings demonstrate how the four cities’ municipal governments specifically designed and combined a multiplicity of policy instruments to enable, regulate and acknowledge UA/CEA</w:t>
      </w:r>
    </w:p>
    <w:p>
      <w:pPr>
        <w:pStyle w:val="Heading2"/>
      </w:pPr>
      <w:r>
        <w:t>845. Environmental impacts of high penetration renewable energy scenarios for Europe</w:t>
      </w:r>
    </w:p>
    <w:p>
      <w:pPr>
        <w:pStyle w:val="SourceNote"/>
      </w:pPr>
      <w:r>
        <w:rPr>
          <w:b/>
        </w:rPr>
        <w:t>Original source (2016):</w:t>
      </w:r>
      <w:r>
        <w:t xml:space="preserve"> https://doi.org/10.1088/1748-9326/11/1/014012</w:t>
      </w:r>
    </w:p>
    <w:p>
      <w:pPr/>
      <w:r>
        <w:t>Original wording (abstract; indexed_source_text_not_full_document_verified): This letter implements outputs of a detailed power system optimisation model into a prospective life cycle analysis framework in order to present a life cycle analysis of 44 electricity scenarios for Europe in 2050, including analyses of systems based largely on low-carbon fossil energy options (natural gas, and coal with carbon capture and storage (CCS)) as well as systems with high shares of variable renewable energy (VRE) (wind and solar). The climate change impacts from Europe for the year 2050 in a scenario using primarily natural gas are 1400 Tg CO 2 -eq while in a scenario using mostly coal with CCS the impacts are 480 Tg CO 2 -eq.</w:t>
      </w:r>
    </w:p>
    <w:p>
      <w:pPr/>
      <w:r>
        <w:rPr>
          <w:b/>
        </w:rPr>
        <w:t>POSSIBLE 2023:</w:t>
      </w:r>
      <w:r>
        <w:t xml:space="preserve"> Challenges and Solutions for Forest Biodiversity Conservation in Sweden: Assessment of Policy, Implementation Outputs, and Consequences — https://doi.org/10.3390/land12051098</w:t>
      </w:r>
    </w:p>
    <w:p>
      <w:pPr/>
      <w:r>
        <w:rPr>
          <w:b/>
        </w:rPr>
        <w:t>Shared claim-specific concepts:</w:t>
      </w:r>
      <w:r>
        <w:t xml:space="preserve"> outputs, including, systems; EU scope visible. This is a provisional connection, not an outcome finding.</w:t>
      </w:r>
    </w:p>
    <w:p>
      <w:pPr>
        <w:pStyle w:val="SourceNote"/>
      </w:pPr>
      <w:r>
        <w:rPr>
          <w:b/>
        </w:rPr>
        <w:t>Available abstract (not full text):</w:t>
      </w:r>
      <w:r>
        <w:t xml:space="preserve"> Swedish policies aim at conserving biological production, biodiversity, cultural heritage and recreational assets. This requires compositionally and structurally functional networks of representative habitats, the processes that maintain them, and resilient ecosystems. The term green infrastructure (GI) captures this. We review (1) policy concerning forest biodiversity conservation from the 1990s; (2) the implementation outputs, including the formulation of short-term and evidence-based long-term goals for protected areas, education, and the development of hierarchical spatial planning; (3) the consequences in terms of formally protected and voluntarily set-aside forest stands, as well as conservation management and habitat restoration. We assess the successes and failures regarding policy, outputs and consequences, discuss challenges to be addressed, and suggest solutions. Policies capture evidence-based knowledge about biodiversity, and evidence-based conservation planning as an output. However, the desired consequences are not met on the ground. Thus, the amount of formally protected and voluntary set-aside forests are presently too low, and have limited quality and poor functional connectivity. GI functionality is even declining because of forestry intensification, and insufficient conservation. Challenges include limited collaborative learning among forest and conservation</w:t>
      </w:r>
    </w:p>
    <w:p>
      <w:pPr/>
      <w:r>
        <w:rPr>
          <w:b/>
        </w:rPr>
        <w:t>POSSIBLE 2023:</w:t>
      </w:r>
      <w:r>
        <w:t xml:space="preserve"> DiSSCo Prepare Project: Increasing the Implementation Readiness Levels of the European Research Infrastructure — https://doi.org/10.3897/rio.9.e113906</w:t>
      </w:r>
    </w:p>
    <w:p>
      <w:pPr/>
      <w:r>
        <w:rPr>
          <w:b/>
        </w:rPr>
        <w:t>Shared claim-specific concepts:</w:t>
      </w:r>
      <w:r>
        <w:t xml:space="preserve"> outputs, system, including, natural; EU scope visible. This is a provisional connection, not an outcome finding.</w:t>
      </w:r>
    </w:p>
    <w:p>
      <w:pPr>
        <w:pStyle w:val="SourceNote"/>
      </w:pPr>
      <w:r>
        <w:rPr>
          <w:b/>
        </w:rPr>
        <w:t>Available abstract (not full text):</w:t>
      </w:r>
      <w:r>
        <w:t xml:space="preserve"> The Distributed System of Scientific Collections (DiSSCo) is a new world-class Research Infrastructure (RI) for Natural Science Collections. The DiSSCo RI aims to create a new business model for one European collection that digitally unifies all European natural science assets under common access, curation, policies and practices that ensure that all the data is easily Findable, Accessible, Interoperable and Reusable (FAIR principles). DiSSCo represents the largest ever formal agreement between natural history museums, botanic gardens and collection-holding institutions in the world. DiSSCo entered the European Roadmap for Research Infrastructures in 2018 and launched its main preparatory phase project (DiSSCo Prepare) in 2020. DiSSCo Prepare is the primary vehicle through which DiSSCo reaches the overall maturity necessary for its construction and eventual operation. DiSSCo Prepare raises DiSSCo’s implementation readiness level (IRL) across the five dimensions: technical, scientific, data, organisational and financial. Each dimension of implementation readiness is separately addressed by specific Work Packages (WP) with distinct targets, actions and tasks that will deliver DiSSCo’s Construction Masterplan. This comprehensive and integrated Masterplan will be the product of the outputs of all of its content related tasks and will be the project’s final output. It will serve as </w:t>
      </w:r>
    </w:p>
    <w:p>
      <w:pPr/>
      <w:r>
        <w:rPr>
          <w:b/>
        </w:rPr>
        <w:t>POSSIBLE 2023:</w:t>
      </w:r>
      <w:r>
        <w:t xml:space="preserve"> Implementing NLP techniques and data for Europe financial market forecasting — https://doi.org/10.54254/2755-2721/18/20230991</w:t>
      </w:r>
    </w:p>
    <w:p>
      <w:pPr/>
      <w:r>
        <w:rPr>
          <w:b/>
        </w:rPr>
        <w:t>Shared claim-specific concepts:</w:t>
      </w:r>
      <w:r>
        <w:t xml:space="preserve"> energy, natural; EU scope visible. This is a provisional connection, not an outcome finding.</w:t>
      </w:r>
    </w:p>
    <w:p>
      <w:pPr>
        <w:pStyle w:val="SourceNote"/>
      </w:pPr>
      <w:r>
        <w:rPr>
          <w:b/>
        </w:rPr>
        <w:t>Available abstract (not full text):</w:t>
      </w:r>
      <w:r>
        <w:t xml:space="preserve"> The large military conflict between Russia and Ukraine has consequences for the global financial market. The European region is one of the hardest hits, which experienced a high energy cost and devaluation of the currency. This paper investigates the Employment Expectations Indicator (EEI) and Economic Sentiment Indicator (ESI) from the business consumer survey index to reflect the reaction of the consumers of the European market by implementing Natural Language Processing (NLP) techniques and machine learning. In the object, the monetary policy decisions from European Central Bank are considered the data set for forecasting the Index. In the result, all nine models from ‘scikit-learn’ contributed a great job in both categories of Accuracy, Precision, and F-score and Recall with a level of 90% as average. It represents that the NLP techniques effectively forecast the future value of two European business and consumer indexes. However, the limit of the dataset and model mostly related to the performance of NLP techniques is working for forecasting but less related to the expected values of the EEI and ESI indices. Future research would focus more on forecasting the expected value of the two indexes and reflect the consumers' reactions in the markets.</w:t>
      </w:r>
    </w:p>
    <w:p>
      <w:pPr/>
      <w:r>
        <w:rPr>
          <w:b/>
        </w:rPr>
        <w:t>POSSIBLE 2020:</w:t>
      </w:r>
      <w:r>
        <w:t xml:space="preserve"> Perspectives of cardiovascular research in Central and Eastern Europe (letter) — https://doi.org/10.1093/eurheartj/suaa099</w:t>
      </w:r>
    </w:p>
    <w:p>
      <w:pPr/>
      <w:r>
        <w:rPr>
          <w:b/>
        </w:rPr>
        <w:t>Shared claim-specific concepts:</w:t>
      </w:r>
      <w:r>
        <w:t xml:space="preserve"> letter, system, life, systems, largely; EU scope visible. This is a provisional connection, not an outcome finding.</w:t>
      </w:r>
    </w:p>
    <w:p>
      <w:pPr>
        <w:pStyle w:val="SourceNote"/>
      </w:pPr>
      <w:r>
        <w:rPr>
          <w:b/>
        </w:rPr>
        <w:t>Available abstract (not full text):</w:t>
      </w:r>
      <w:r>
        <w:t xml:space="preserve"> When considering the perspectives of cardiovascular research, the first question to ask is whether it is justified to focus specifically on cardiovascular research in Central and Eastern Europe, i.e. whether different socio-economic circumstances should influence the direction of cardiovascular research. Over the past four decades, age-adjusted cardiovascular disease (CVD) mortality in Europe has declined and is currently following a steady trend; nonetheless, CVDs are still a major cause of death and accounts for 46% of all deaths.1 Large inequalities exist across Europe with CVD-related mortality generally higher in Central and Eastern Europe. In Central and East European countries, coronary heart disease and stroke are responsible for 49% and 32% of all CVD deaths, respectively.2 It is noteworthy that Eastern European countries have some of the highest rates of CVD mortality in the world. Additionally, in most middle-income countries, the overall burden of CVD, which includes morbidity, is greater than in high-income countries. This growing burden of disease is one of the triggers for the growth in cardiovascular research. Cardiovascular disease research plays a key role in improving patient outcomes as well as bolstering the sustainability of healthcare systems. The epidemiology of CVD suggests that one direction for research should focus on identifying the root causes of t</w:t>
      </w:r>
    </w:p>
    <w:p>
      <w:pPr/>
      <w:r>
        <w:rPr>
          <w:b/>
        </w:rPr>
        <w:t>POSSIBLE 2018:</w:t>
      </w:r>
      <w:r>
        <w:t xml:space="preserve"> Letter to the Editor — https://doi.org/10.2478/jos-2018-0027</w:t>
      </w:r>
    </w:p>
    <w:p>
      <w:pPr/>
      <w:r>
        <w:rPr>
          <w:b/>
        </w:rPr>
        <w:t>Shared claim-specific concepts:</w:t>
      </w:r>
      <w:r>
        <w:t xml:space="preserve"> letter, system, including, based; EU scope visible. This is a provisional connection, not an outcome finding.</w:t>
      </w:r>
    </w:p>
    <w:p>
      <w:pPr>
        <w:pStyle w:val="SourceNote"/>
      </w:pPr>
      <w:r>
        <w:rPr>
          <w:b/>
        </w:rPr>
        <w:t>Available abstract (not full text):</w:t>
      </w:r>
      <w:r>
        <w:t xml:space="preserve"> On Statistical Unit Errors in Business StatisticsOfficial business statistics are crucial for decision makers, but what is actually meant by a "business" has been debated in the statistical community for decades.Economic data can be based on many different unit types, such as legal or fiscal units in administrative data, and different kinds of reporting units in the case of primary data collection.The choice of the targeted business unit type is a cornerstone decision that determines the outcome of business statistics.However, despite the fundamental importance of business units in business statistics, traditionally, there has been little statistical theory and methodological guidance available regarding the prevention and treatment of errors associated with the business units.To improve the situation, we believe methodologists need to become fully aware of the nature of unit errors and their potential consequences.The aim of this letter is three-fold: (i) to summarise the core aspects of the unit error and the associated unit problem, (ii) to stimulate the discussions to clarify and improve our understanding of the system of statistical units, which is needed for the production of National Accounts and various relevant national and international business and economic statistics, and (iii) to call for a general approach to the unit problem in business statistics, including the </w:t>
      </w:r>
    </w:p>
    <w:p>
      <w:pPr/>
      <w:r>
        <w:rPr>
          <w:b/>
        </w:rPr>
        <w:t>POSSIBLE 2017:</w:t>
      </w:r>
      <w:r>
        <w:t xml:space="preserve"> Letter-Based Speech Recognition with Gated ConvNets — https://doi.org/10.48550/arxiv.1712.09444</w:t>
      </w:r>
    </w:p>
    <w:p>
      <w:pPr/>
      <w:r>
        <w:rPr>
          <w:b/>
        </w:rPr>
        <w:t>Shared claim-specific concepts:</w:t>
      </w:r>
      <w:r>
        <w:t xml:space="preserve"> letter, system, systems, based; EU scope not established. This is a provisional connection, not an outcome finding.</w:t>
      </w:r>
    </w:p>
    <w:p>
      <w:pPr>
        <w:pStyle w:val="SourceNote"/>
      </w:pPr>
      <w:r>
        <w:rPr>
          <w:b/>
        </w:rPr>
        <w:t>Available abstract (not full text):</w:t>
      </w:r>
      <w:r>
        <w:t xml:space="preserve"> In the recent literature, "end-to-end" speech systems often refer to letter-based acoustic models trained in a sequence-to-sequence manner, either via a recurrent model or via a structured output learning approach (such as CTC). In contrast to traditional phone (or senone)-based approaches, these "end-to-end'' approaches alleviate the need of word pronunciation modeling, and do not require a "forced alignment" step at training time. Phone-based approaches remain however state of the art on classical benchmarks. In this paper, we propose a letter-based speech recognition system, leveraging a ConvNet acoustic model. Key ingredients of the ConvNet are Gated Linear Units and high dropout. The ConvNet is trained to map audio sequences to their corresponding letter transcriptions, either via a classical CTC approach, or via a recent variant called ASG. Coupled with a simple decoder at inference time, our system matches the best existing letter-based systems on WSJ (in word error rate), and shows near state of the art performance on LibriSpeech.</w:t>
      </w:r>
    </w:p>
    <w:p>
      <w:pPr>
        <w:pStyle w:val="Heading2"/>
      </w:pPr>
      <w:r>
        <w:t>846. European Water Footprint Scenarios for 2050</w:t>
      </w:r>
    </w:p>
    <w:p>
      <w:pPr>
        <w:pStyle w:val="SourceNote"/>
      </w:pPr>
      <w:r>
        <w:rPr>
          <w:b/>
        </w:rPr>
        <w:t>Original source (2016):</w:t>
      </w:r>
      <w:r>
        <w:t xml:space="preserve"> https://doi.org/10.3390/w8060226</w:t>
      </w:r>
    </w:p>
    <w:p>
      <w:pPr/>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POSSIBLE 2026:</w:t>
      </w:r>
      <w:r>
        <w:t xml:space="preserve"> The water–agriculture–food nexus in Europe: a governance perspective — https://openalex.org/W7205710043</w:t>
      </w:r>
    </w:p>
    <w:p>
      <w:pPr/>
      <w:r>
        <w:rPr>
          <w:b/>
        </w:rPr>
        <w:t>Shared claim-specific concepts:</w:t>
      </w:r>
      <w:r>
        <w:t xml:space="preserve"> water, use, four; EU scope visible. This is a provisional connection, not an outcome finding.</w:t>
      </w:r>
    </w:p>
    <w:p>
      <w:pPr>
        <w:pStyle w:val="SourceNote"/>
      </w:pPr>
      <w:r>
        <w:rPr>
          <w:b/>
        </w:rPr>
        <w:t>Available abstract (not full text):</w:t>
      </w:r>
      <w:r>
        <w:t xml:space="preserve"> Achieving water use within planetary boundaries requires greater alignment among the actors governing water use in food systems. These systems involve multiple actors with diverse and sometimes competing interests, increasing the complexity of understanding how institutional arrangements shape user decisions. This study analyses the water–agriculture–food (WAF) nexus in Europe and proposes a framework, grounded in the Institutional Analysis and Development (IAD) framework, to classify key actors and governance instruments across four institutional levels, from global agenda-setting to local implementation.The findings show that literature remains predominantly water-centered and sectorally fragmented. While water–agriculture linkages are relatively well developed, food-system dimensions and user behavior are less consistently integrated into institutional analyses. Coordination gaps across governance levels further limit the operationalization of nexus-based water conservation strategies. The study also identifies structural economic challenges -including unpriced externalities, information failures, and market power asymmetries- that constrain effective cross-sector governance, and points toward a future research agenda for integrated WAF nexus governance.</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Coastal storm-induced flooding threatens millions of people and infrastructures, highlighting the need for comprehensive flood risk assessments. A key component of these assessments is the spatial characterization of total water level (TWL), the primary driver of coastal flooding. We propose a flexible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where the TWL is most affected by the wave dataset. The storm surge-dominated Baltic region exhibits the lowest confidence in estimating TWL return levels, partially due to the data and methods used. The Mediterranean Sea, characterized as a mixed environment, is the most sensitive to t</w:t>
      </w:r>
    </w:p>
    <w:p>
      <w:pPr/>
      <w:r>
        <w:rPr>
          <w:b/>
        </w:rPr>
        <w:t>POSSIBLE 2026:</w:t>
      </w:r>
      <w:r>
        <w:t xml:space="preserve"> Food-to-footprint mapping table and analysis code for dietary carbon/water footprint estimation in Thai women with overweight/obesity — https://doi.org/10.6084/m9.figshare.33595261</w:t>
      </w:r>
    </w:p>
    <w:p>
      <w:pPr/>
      <w:r>
        <w:rPr>
          <w:b/>
        </w:rPr>
        <w:t>Shared claim-specific concepts:</w:t>
      </w:r>
      <w:r>
        <w:t xml:space="preserve"> water, footprint, level, population; EU scope visible. This is a provisional connection, not an outcome finding.</w:t>
      </w:r>
    </w:p>
    <w:p>
      <w:pPr>
        <w:pStyle w:val="SourceNote"/>
      </w:pPr>
      <w:r>
        <w:rPr>
          <w:b/>
        </w:rPr>
        <w:t>Available abstract (not full text):</w:t>
      </w:r>
      <w:r>
        <w:t xml:space="preserve"> This dataset and accompanying code support the study "Adapting a European Food-Footprint Database for Dietary Environmental Footprint Assessment in a Thai Population: A Methodological and Exploratory Study" (Sranacharoenpong K, Mayang N). Contents: 1. Food-to-footprint mapping table (1,072 items): the complete classification of all unique food items recorded in 24-hour dietary recalls from a cohort of 65 Thai women with overweight/obesity, including Thai food-composition codes and names, English and scientific names, classification source (reused from an existing street-food mapping table / newly classified / excluded), assigned SU-EATABLE LIFE carbon-footprint (CF) and water-footprint (WF) typology, CF and WF factors, match level, confidence, and classification rationale for each item. 2. Rule-based classification algorithm (Python): documented source code implementing the keyword-based classification of previously unmapped food items to SU-EATABLE LIFE typologies, including the carbon- and water-footprint typology lookup tables used. 3. Statistical analysis code (Python): documented source code reproducing the mapping-coverage statistics, 24-hour dietary footprint calculations, between-group comparisons, and correlation analyses reported in the associated manuscript. The food-to-footprint mapping table extends an existing, expert-reviewed 117-ingredient mapping table (develop</w:t>
      </w:r>
    </w:p>
    <w:p>
      <w:pPr/>
      <w:r>
        <w:rPr>
          <w:b/>
        </w:rPr>
        <w:t>POSSIBLE 2026:</w:t>
      </w:r>
      <w:r>
        <w:t xml:space="preserve"> Water Quality and Footprint in the European Union Driven by Free Movement of People and Tourism — https://doi.org/10.3390/w18091048</w:t>
      </w:r>
    </w:p>
    <w:p>
      <w:pPr/>
      <w:r>
        <w:rPr>
          <w:b/>
        </w:rPr>
        <w:t>Shared claim-specific concepts:</w:t>
      </w:r>
      <w:r>
        <w:t xml:space="preserve"> water, footprint, technological; EU scope visible. This is a provisional connection, not an outcome finding.</w:t>
      </w:r>
    </w:p>
    <w:p>
      <w:pPr>
        <w:pStyle w:val="SourceNote"/>
      </w:pPr>
      <w:r>
        <w:rPr>
          <w:b/>
        </w:rPr>
        <w:t>Available abstract (not full text):</w:t>
      </w:r>
      <w:r>
        <w:t xml:space="preserve"> This study examines the association between tourism intensity, the free movement of people, and water quality outcomes across the European Union (EU-27) over the period 2012–2024. By integrating open-access datasets from Eurostat, the European Environment Agency (EEA), and the EXIOBASE input–output framework, the analysis estimates the direct (blue), indirect, and grey components of the tourism-related water footprint and explores their relationship with bathing water quality indicators using panel econometric models. The results indicate that tourism activity increased substantially during the study period, while the share of bathing waters classified as “excellent” also improved. The findings further show that the gray water footprint is strongly associated with variations in water quality, whereas higher wastewater treatment coverage is positively associated with improved environmental outcomes. These results highlight the importance of wastewater management and governance capacity in moderating the relationship between tourism and water quality across diverse European contexts. We find that tourism activity rose by approximately 28% during the study period; yet, through improvements in wastewater treatment infrastructure and governance, the share of bathing waters rated “excellent” also increased. Notably, the grey water footprint emerged as the strongest predictor of water</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Abstract. Coastal storm-induced flooding threatens millions of people and infrastructures, highlighting the need for comprehensive flood risk assessments. A key component of these assessments is the spatial characterization of total water level (TWL), the primary driver of coastal impacts. We propose a homogeneous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most affected by the wave dataset. The storm surge-dominated Baltic region exhibits the lowest confidence in estimating TWL return levels, partially due to the data and methods used. The Mediterranean Sea, characterized by a mixed environment, is the most sensitive to the in</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production, technological;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2025:</w:t>
      </w:r>
      <w:r>
        <w:t xml:space="preserve"> Blue and Green Water Footprint disparities of European households: A spatial structural decomposition analysis approach — https://doi.org/10.5194/egusphere-egu25-18436</w:t>
      </w:r>
    </w:p>
    <w:p>
      <w:pPr/>
      <w:r>
        <w:rPr>
          <w:b/>
        </w:rPr>
        <w:t>Shared claim-specific concepts:</w:t>
      </w:r>
      <w:r>
        <w:t xml:space="preserve"> water, footprint, patterns, consumption; EU scope visible. This is a provisional connection, not an outcome finding.</w:t>
      </w:r>
    </w:p>
    <w:p>
      <w:pPr>
        <w:pStyle w:val="SourceNote"/>
      </w:pPr>
      <w:r>
        <w:rPr>
          <w:b/>
        </w:rPr>
        <w:t>Available abstract (not full text):</w:t>
      </w:r>
      <w:r>
        <w:t xml:space="preserve">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pPr/>
      <w:r>
        <w:rPr>
          <w:b/>
        </w:rPr>
        <w:t>POSSIBLE 2025:</w:t>
      </w:r>
      <w:r>
        <w:t xml:space="preserve"> Water Security in North America and Europe — https://doi.org/10.1002/9781394176748.ch6</w:t>
      </w:r>
    </w:p>
    <w:p>
      <w:pPr/>
      <w:r>
        <w:rPr>
          <w:b/>
        </w:rPr>
        <w:t>Shared claim-specific concepts:</w:t>
      </w:r>
      <w:r>
        <w:t xml:space="preserve"> water, regarding, population, technological;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De-Energizing Water in Europe and Central Asia: Managing the Energy Footprint of Water Services in the Region — https://doi.org/10.1596/44101</w:t>
      </w:r>
    </w:p>
    <w:p>
      <w:pPr/>
      <w:r>
        <w:rPr>
          <w:b/>
        </w:rPr>
        <w:t>Shared claim-specific concepts:</w:t>
      </w:r>
      <w:r>
        <w:t xml:space="preserve"> water, footprint, production, use; EU scope visible. This is a provisional connection, not an outcome finding.</w:t>
      </w:r>
    </w:p>
    <w:p>
      <w:pPr>
        <w:pStyle w:val="SourceNote"/>
      </w:pPr>
      <w:r>
        <w:rPr>
          <w:b/>
        </w:rPr>
        <w:t>Available abstract (not full text):</w:t>
      </w:r>
      <w:r>
        <w:t xml:space="preserve"> Water services provide a wide range of economic, social, and environmental benefits. Effective and reliable water services are fundamental for supporting production in agriculture, manufacturing, and services. They also help ensure that water quality remains adequate for public health and environmental needs. Investing in energy efficiency will be critical for the reliable and sustainable provision of services essential to maintaining the momentum of Europe and Central Asia (ECA’s) emerging markets and developing economies as they continue to grow. The challenges to energy-efficient service provision posed by the region’s complex institutions and large stock of aging infrastructure are compounded by volatile market conditions, geographic constraints, and historical path dependencies. Addressing challenges and taking advantage of opportunities will require the right mix of investment priorities and policy choices across different contexts. Reducing the energy used to deliver water will require strategies for improving infrastructure management, resource use efficiency, and institutional coordination. Policy recommendations will be needed to account for the large variations in contexts across different parts of the region. This report focuses on understanding and managing the energy footprint of delivering water services across ECA. It takes stock of the energy footprint of water</w:t>
      </w:r>
    </w:p>
    <w:p>
      <w:pPr/>
      <w:r>
        <w:rPr>
          <w:b/>
        </w:rPr>
        <w:t>POSSIBLE 2025:</w:t>
      </w:r>
      <w:r>
        <w:t xml:space="preserve"> Water Footprint and Water Resources Sustainability: A Review — https://doi.org/10.69709/susproc.2025.188432</w:t>
      </w:r>
    </w:p>
    <w:p>
      <w:pPr/>
      <w:r>
        <w:rPr>
          <w:b/>
        </w:rPr>
        <w:t>Shared claim-specific concepts:</w:t>
      </w:r>
      <w:r>
        <w:t xml:space="preserve"> water, footprint, use; EU scope not established. This is a provisional connection, not an outcome finding.</w:t>
      </w:r>
    </w:p>
    <w:p>
      <w:pPr>
        <w:pStyle w:val="SourceNote"/>
      </w:pPr>
      <w:r>
        <w:rPr>
          <w:b/>
        </w:rPr>
        <w:t>Available abstract (not full text):</w:t>
      </w:r>
      <w:r>
        <w:t xml:space="preserve"> This review provides an overview of recent progress in water footprint research across theoretical development, methodological improvement, and practical implementation at different levels. It analyzes the development of the water footprint concept, reviews existing calculation methods, and discusses their strengths and limitations. The review pays particular attention to interactions within the food–energy–water nexus and demonstrates how water footprint analysis can reveal resource interdependencies and trade-offs. It also highlights the significant progress made in integrating the assessment of the water footprint with other environmental indicators, particularly within the “environmental footprint family”: water, environment, energy, carbon, land, nitrogen, and phosphorus footprints. This review contributes to the growing literature in water resource management. It provides policymakers and researchers with some valuable insights into strategies for sustainable resource use.</w:t>
      </w:r>
    </w:p>
    <w:p>
      <w:pPr/>
      <w:r>
        <w:rPr>
          <w:b/>
        </w:rPr>
        <w:t>POSSIBLE 2025:</w:t>
      </w:r>
      <w:r>
        <w:t xml:space="preserve"> DASNordicSLR - Sea Level Projections for Northern Europe — https://doi.org/10.31223/x5tj24</w:t>
      </w:r>
    </w:p>
    <w:p>
      <w:pPr/>
      <w:r>
        <w:rPr>
          <w:b/>
        </w:rPr>
        <w:t>Shared claim-specific concepts:</w:t>
      </w:r>
      <w:r>
        <w:t xml:space="preserve"> water, level, based, projections, four; EU scope visible. This is a provisional connection, not an outcome finding.</w:t>
      </w:r>
    </w:p>
    <w:p>
      <w:pPr>
        <w:pStyle w:val="SourceNote"/>
      </w:pPr>
      <w:r>
        <w:rPr>
          <w:b/>
        </w:rPr>
        <w:t>Available abstract (not full text):</w:t>
      </w:r>
      <w:r>
        <w:t xml:space="preserve"> Sea level rise is an inevitable consequence and one of the most significant threats posed by climate change, increasing the risk of flooding in low-lying areas along the German coast. Based on the IPCC 6th Assessment Report (AR6) projections we aim to deliver improved projections of relative sea level change for Northern Europe’s coastal regions. These projections are available as spatial data up to 2150. While most drivers of sea level change operate on a continental or global scale, vertical land motion is a regional factor – particularly relevant in northern Europe - resulting from glacial isostatic adjustment and local processes. By combining the IPCC projections of absolute sea level change with a new, high-resolution land elevation model for Fennoscandia, an optimized set of projections for relative sea-level change for the North Sea and Baltic Sea was developed. This dataset represents a contribution to the DAS core service “climate and water”, the operational climate service operated by four federal authorities under the umbrella of the German Federal Ministry of Transport.</w:t>
      </w:r>
    </w:p>
    <w:p>
      <w:pPr/>
      <w:r>
        <w:rPr>
          <w:b/>
        </w:rPr>
        <w:t>POSSIBLE 2025:</w:t>
      </w:r>
      <w:r>
        <w:t xml:space="preserve"> An Enhanced Framework for Improving SWOT-based Surface Water Level and River Slope Estimations — https://doi.org/10.24400/527896/a03-2025.4246</w:t>
      </w:r>
    </w:p>
    <w:p>
      <w:pPr/>
      <w:r>
        <w:rPr>
          <w:b/>
        </w:rPr>
        <w:t>Shared claim-specific concepts:</w:t>
      </w:r>
      <w:r>
        <w:t xml:space="preserve"> water, level, develop; EU scope visible. This is a provisional connection, not an outcome finding.</w:t>
      </w:r>
    </w:p>
    <w:p>
      <w:pPr>
        <w:pStyle w:val="SourceNote"/>
      </w:pPr>
      <w:r>
        <w:rPr>
          <w:b/>
        </w:rPr>
        <w:t>Available abstract (not full text):</w:t>
      </w:r>
      <w:r>
        <w:t xml:space="preserve"> The Surface Water and Ocean Topography (SWOT) satellite, launched in 2022, provides unprecedented observations of water surface elevation (WSE), river width, and slope for global rivers. The project DETECT-REDS (DETECT-REfecct-Discharge-Storage) continues the REFECCT project of the SWOT Science Team 2020-2023. The central hypothesis is that SWOT and SAR altimetry outperform conventional altimetry with new products to monitor surface water and study hydrodynamic processes. The main objective is to evaluate the scientific usability of the SWOT data in inland waters, with a specific focus on applications related to river discharge and storage change. In the DFG-founded DETECT project, we evaluate the applicability of SWOT in medium and small size rivers and lakes to determine spatial and temporal detection limits of the space techniques. Standard SWOT products (RiverSP and LakeSP) exhibit constrained accuracy and spatial definitions. Building upon SWOT Pixel Cloud (PIXC) and Raster products, we develop an enhanced framework to overcome these limitations for estimating surface water level, incorporating quality flags and gaussian mixture distribution clustering. For lake and reservoir from Raster product, our approach achieves 4 cm median STDD with 1 cm bias against Swiss in situ gauges, effectively extending SWOT's observational capacity to sub-1 km² water bodies. For river applic</w:t>
      </w:r>
    </w:p>
    <w:p>
      <w:pPr>
        <w:pStyle w:val="Heading2"/>
      </w:pPr>
      <w:r>
        <w:t>847. Financing Innovations for the Renewable Energy Transition in Europe</w:t>
      </w:r>
    </w:p>
    <w:p>
      <w:pPr>
        <w:pStyle w:val="SourceNote"/>
      </w:pPr>
      <w:r>
        <w:rPr>
          <w:b/>
        </w:rPr>
        <w:t>Original source (2016):</w:t>
      </w:r>
      <w:r>
        <w:t xml:space="preserve"> https://doi.org/10.3390/en9120990</w:t>
      </w:r>
    </w:p>
    <w:p>
      <w:pPr/>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POSSIBLE 2026:</w:t>
      </w:r>
      <w:r>
        <w:t xml:space="preserve"> The Budgetary and Economic Impact of Taxation in the Member States of the European Union — https://openalex.org/W7169690466</w:t>
      </w:r>
    </w:p>
    <w:p>
      <w:pPr/>
      <w:r>
        <w:rPr>
          <w:b/>
        </w:rPr>
        <w:t>Shared claim-specific concepts:</w:t>
      </w:r>
      <w:r>
        <w:t xml:space="preserve"> member, states, framework; EU scope visible. This is a provisional connection, not an outcome finding.</w:t>
      </w:r>
    </w:p>
    <w:p>
      <w:pPr>
        <w:pStyle w:val="SourceNote"/>
      </w:pPr>
      <w:r>
        <w:rPr>
          <w:b/>
        </w:rPr>
        <w:t>Available abstract (not full text):</w:t>
      </w:r>
      <w:r>
        <w:t xml:space="preserve"> Fiscal policy is a key strategic instrument in the European macroeconomic framework, serving a dual role: as the primary source of public revenue and as a mechanism for countercyclical intervention, redistribution, and the correction of market failures. This research proposes an integrated, theoretical-empirical examination of the budgetary and macroeconomic repercussions of taxation in European Union member states, emphasizing the mechanisms through which the level and composition of tax revenues influence GDP growth, fiscal balance, employment, and living standards. Conceptually, the study is based on the classical and contemporary paradigms of public finance and on approaches regarding the nonlinear relationships between tax pressure and tax revenue. Methodologically, the study employs a comparative structural approach combined with descriptive analyses of time series and econometric inference – including higher-order polynomial regressions to test the empirical form of the Laffer Curve – based on official statistical data (EUROSTAT, AMECO). The main findings highlight persistent heterogeneity in fiscal positions across EU, a robust relationship between employment and the level of tax revenue collected, and a complex correlation between the tax burden and living standards, mediated by the tax base and productivity. The Romania case study indicates high elasticity of tax reve</w:t>
      </w:r>
    </w:p>
    <w:p>
      <w:pPr/>
      <w:r>
        <w:rPr>
          <w:b/>
        </w:rPr>
        <w:t>POSSIBLE 2026:</w:t>
      </w:r>
      <w:r>
        <w:t xml:space="preserve"> Maritime Passenger Mobility in the European Union: Trends, Recovery and a Typology of Member States — https://doi.org/10.35808/ersj/4439</w:t>
      </w:r>
    </w:p>
    <w:p>
      <w:pPr/>
      <w:r>
        <w:rPr>
          <w:b/>
        </w:rPr>
        <w:t>Shared claim-specific concepts:</w:t>
      </w:r>
      <w:r>
        <w:t xml:space="preserve"> indicate, member, states, both, increase; EU scope visible. This is a provisional connection, not an outcome finding.</w:t>
      </w:r>
    </w:p>
    <w:p>
      <w:pPr>
        <w:pStyle w:val="SourceNote"/>
      </w:pPr>
      <w:r>
        <w:rPr>
          <w:b/>
        </w:rPr>
        <w:t>Available abstract (not full text):</w:t>
      </w:r>
      <w:r>
        <w:t xml:space="preserve"> Purpose: The aim of this article is to identify and assess the differentiated recovery trajectories of maritime passenger mobility in European Union Member States following the disruption caused by the COVID-19 pandemic.The study focuses on determining the extent to which individual countries restored passenger traffic levels and whether groups of countries characterised by similar recovery patterns can be distinguished over the period 2019-2024.Design/MethodologyApproach: The study covers European Union Member States for which comparable statistical data on maritime passenger transport were available for 2019-2024.Eurostat data on the number of passengers handled in seaports were used.Changes were assessed using growth indices, the Recovery Index and the average post-pandemic recovery growth rate.To identify countries with similar trajectories, hierarchical cluster analysis using Ward's method was applied after standardisation of the variables. Findings:The results indicate that the recovery of maritime passenger mobility in the European Union was clearly heterogeneous.Despite an overall increase in passenger numbers after 2020, both the pace and scale of recovery differed substantially across Member States.Cluster analysis identified distinct recovery trajectories, ranging from countries that rapidly returned to or exceeded pre-pandemic passenger levels to cases of persistent</w:t>
      </w:r>
    </w:p>
    <w:p>
      <w:pPr/>
      <w:r>
        <w:rPr>
          <w:b/>
        </w:rPr>
        <w:t>POSSIBLE 2026:</w:t>
      </w:r>
      <w:r>
        <w:t xml:space="preserve"> Biomedical Engineering Education in Europe, the United States, and Uruguay — https://doi.org/10.1109/memea69746.2026.11537348</w:t>
      </w:r>
    </w:p>
    <w:p>
      <w:pPr/>
      <w:r>
        <w:rPr>
          <w:b/>
        </w:rPr>
        <w:t>Shared claim-specific concepts:</w:t>
      </w:r>
      <w:r>
        <w:t xml:space="preserve"> indicate, states, framework; EU scope visible. This is a provisional connection, not an outcome finding.</w:t>
      </w:r>
    </w:p>
    <w:p>
      <w:pPr>
        <w:pStyle w:val="SourceNote"/>
      </w:pPr>
      <w:r>
        <w:rPr>
          <w:b/>
        </w:rPr>
        <w:t>Available abstract (not full text):</w:t>
      </w:r>
      <w:r>
        <w:t xml:space="preserve"> Biomedical engineering (BME) education has evolved differently across regions, influenced by national education systems, healthcare infrastructures, and research ecosystems. While BME programs are well established in the United States and Europe, countries such as Uruguay continue to face structural limitations in formal training pathways. This study presents a comparative analysis of BME education models across Europe, with reference to the United States and Uruguay, with the goal of identifying shared patterns and region-specific approaches relevant to emerging BME programs. Data were collected through an eight-week academic field study supported by the Joseph P. O’Hern Scholarship, involving in-person visits to universities in Sweden, Germany, France, Italy, and Portugal and complemented by the authors’ institutional experience in the United States and Uruguay. Semi-structured interviews lasting one to two hours were conducted with faculty members and program coordinators involved in BME education, complemented by institutional observations and curriculum reviews. Analysis focused on program structure, enrollment patterns, curricular emphasis, professional training models, and integration of BME with informatics, artificial intelligence, and digital health. Results indicate strong structural consistency across European programs, characterized by engineering-dominant curricul</w:t>
      </w:r>
    </w:p>
    <w:p>
      <w:pPr/>
      <w:r>
        <w:rPr>
          <w:b/>
        </w:rPr>
        <w:t>POSSIBLE 2026:</w:t>
      </w:r>
      <w:r>
        <w:t xml:space="preserve"> Structural heterogeneity of European Union member states — https://doi.org/10.32676/n.12.1.7</w:t>
      </w:r>
    </w:p>
    <w:p>
      <w:pPr/>
      <w:r>
        <w:rPr>
          <w:b/>
        </w:rPr>
        <w:t>Shared claim-specific concepts:</w:t>
      </w:r>
      <w:r>
        <w:t xml:space="preserve"> indicate, member, states, but;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An integrated analytical framework for assessing latent sustainability dimensions across European Union Member States — https://doi.org/10.1007/s43621-026-04221-6</w:t>
      </w:r>
    </w:p>
    <w:p>
      <w:pPr/>
      <w:r>
        <w:rPr>
          <w:b/>
        </w:rPr>
        <w:t>Shared claim-specific concepts:</w:t>
      </w:r>
      <w:r>
        <w:t xml:space="preserve"> indicate, member, states, energy, framework; EU scope visible. This is a provisional connection, not an outcome finding.</w:t>
      </w:r>
    </w:p>
    <w:p>
      <w:pPr>
        <w:pStyle w:val="SourceNote"/>
      </w:pPr>
      <w:r>
        <w:rPr>
          <w:b/>
        </w:rPr>
        <w:t>Available abstract (not full text):</w:t>
      </w:r>
      <w:r>
        <w:t xml:space="preserve"> Understanding sustainability requires analytical frameworks capable of integrating environmental, innovation and fiscal dimensions rather than examining them separately. This study develops an integrated empirical framework to identify latent sustainability dimensions, classify European Union Member States according to their sustainability profiles and examine the statistical association between these dimensions and energy productivity. The analysis is based on a balanced panel of the 27 European Union Member States covering the period 2013–2023. Principal Component Analysis is used to extract latent sustainability dimensions, whose robustness is evaluated through alternative rotation methods and temporal stability analyses. The resulting factor scores are subsequently employed in K-means clustering to identify homogeneous sustainability profiles and in panel regression analysis with robust estimators to assess their statistical association with energy productivity. Three robust latent sustainability dimensions are identified, representing Environmental pressure and resource-use intensity, Innovation capacity and public fiscal effort, and Corporate tax policy. The factor structure remains stable across alternative model specifications and temporal subsamples, supporting the robustness of the proposed framework. The clustering analysis reveals three distinct sustainability profi</w:t>
      </w:r>
    </w:p>
    <w:p>
      <w:pPr/>
      <w:r>
        <w:rPr>
          <w:b/>
        </w:rPr>
        <w:t>POSSIBLE 2026:</w:t>
      </w:r>
      <w:r>
        <w:t xml:space="preserve"> European Structural and Investment Funds (ESIF) and Regional Cohesion in EU Member-states — https://doi.org/10.1007/s13132-026-03244-8</w:t>
      </w:r>
    </w:p>
    <w:p>
      <w:pPr/>
      <w:r>
        <w:rPr>
          <w:b/>
        </w:rPr>
        <w:t>Shared claim-specific concepts:</w:t>
      </w:r>
      <w:r>
        <w:t xml:space="preserve"> fund, both, framework; EU scope visible. This is a provisional connection, not an outcome finding.</w:t>
      </w:r>
    </w:p>
    <w:p>
      <w:pPr>
        <w:pStyle w:val="SourceNote"/>
      </w:pPr>
      <w:r>
        <w:rPr>
          <w:b/>
        </w:rPr>
        <w:t>Available abstract (not full text):</w:t>
      </w:r>
      <w:r>
        <w:t xml:space="preserve"> This paper presents a meticulously conducted and extensive comparative analysis of the absorption patterns of European Structural and Investment Funds (ESIF) throughout the 2014–2020 programming period across a diverse array of European countries, with a particular emphasis on the Greek context. The primary objective of this study is to offer a comprehensive understanding of both shared trends and variations in fund absorption dynamics, thereby providing valuable insights into the intricate factors that shape the utilization of ESIF. Utilizing a robust methodological framework, this research undertakes an exhaustive examination of national and regional data to unravel the multifaceted determinants influencing absorption rates. Key determinants, including macroeconomic conditions, administrative efficiency, institutional capacity, and policy frameworks, are rigorously scrutinized to elucidate their nuanced impacts on ESIF absorption dynamics. Through this methodical approach, the study endeavors to provide nuanced insights into the efficacy of fund allocation mechanisms and the pivotal role played by socio-economic factors in steering regional development trajectories.</w:t>
      </w:r>
    </w:p>
    <w:p>
      <w:pPr/>
      <w:r>
        <w:rPr>
          <w:b/>
        </w:rPr>
        <w:t>POSSIBLE 2026:</w:t>
      </w:r>
      <w:r>
        <w:t xml:space="preserve"> Managing socio-economic development in the European Union – a comparative analysis of member states (2010-2025) — https://doi.org/10.29119/1641-3466.2026.251.28</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The aim of the article is to evaluate the level of socio-economic development of European Union Member States between 2010 and 2025 and to identify key factors influencing development management.Design/methodology/approach: The study is based on secondary data analysis using Eurostat and UNDP databases, supported by comparative and descriptive analysis as well as an examination of relationships between selected socio-economic indicators. Findings:The results indicate a general improvement in socio-economic development across EU Member States, reflected in higher GDP per capita and HDI values, lower unemployment rates, and a positive relationship between economic and social development. Research limitations/implications:The study is limited by its reliance on secondary data and a selected set of macroeconomic and social indicators, which do not fully capture the complexity of socio-economic development. Practical implications:The findings may support policymakers and public institutions in designing and evaluating development strategies aimed at strengthening socio-economic cohesion and sustainable growth. Social implications:The results highlight the importance of investments in human capital, education, and social well-being as key factors contributing to improved quality of life and long-term development.Originality/value: The originality of the article lies in its comprehens</w:t>
      </w:r>
    </w:p>
    <w:p>
      <w:pPr/>
      <w:r>
        <w:rPr>
          <w:b/>
        </w:rPr>
        <w:t>POSSIBLE 2025:</w:t>
      </w:r>
      <w:r>
        <w:t xml:space="preserve"> Comparison of Excise Duties in the Member States of the European Union — https://openalex.org/W7128985412</w:t>
      </w:r>
    </w:p>
    <w:p>
      <w:pPr/>
      <w:r>
        <w:rPr>
          <w:b/>
        </w:rPr>
        <w:t>Shared claim-specific concepts:</w:t>
      </w:r>
      <w:r>
        <w:t xml:space="preserve"> indicate, member, states, both, framework; EU scope visible. This is a provisional connection, not an outcome finding.</w:t>
      </w:r>
    </w:p>
    <w:p>
      <w:pPr>
        <w:pStyle w:val="SourceNote"/>
      </w:pPr>
      <w:r>
        <w:rPr>
          <w:b/>
        </w:rPr>
        <w:t>Available abstract (not full text):</w:t>
      </w:r>
      <w:r>
        <w:t xml:space="preserve">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pPr/>
      <w:r>
        <w:rPr>
          <w:b/>
        </w:rPr>
        <w:t>POSSIBLE 2025:</w:t>
      </w:r>
      <w:r>
        <w:t xml:space="preserve"> The Governance and Funding of European Rearmament — https://doi.org/10.2478/ie-2025-0041</w:t>
      </w:r>
    </w:p>
    <w:p>
      <w:pPr/>
      <w:r>
        <w:rPr>
          <w:b/>
        </w:rPr>
        <w:t>Shared claim-specific concepts:</w:t>
      </w:r>
      <w:r>
        <w:t xml:space="preserve"> states, fund, but, funding, both, increase; EU scope visible. This is a provisional connection, not an outcome finding.</w:t>
      </w:r>
    </w:p>
    <w:p>
      <w:pPr>
        <w:pStyle w:val="SourceNote"/>
      </w:pPr>
      <w:r>
        <w:rPr>
          <w:b/>
        </w:rPr>
        <w:t>Available abstract (not full text):</w:t>
      </w:r>
      <w:r>
        <w:t xml:space="preserve"> Europe faces a grave security threat. Gaps in European military equipment are substantial compared to Russia's military build-up. The European defence market is fragmented and weakened by home bias in procurement, low order numbers and technological gaps. These problems reflect the combination of past reliance on the United States and Europe's nationally-based defence governance. With the US now retreating from its role of European guardian, greater cooperation is essential to close technological gaps and reduce rearmament costs. Unless procurement is pooled and fragmentation reduced, additional demand for defence goods will mainly drive up prices. Better-integrated defence markets would both increase competition and facilitate entry of new defence technology firms. The combination of integrated markets and scaled-up procurement could lead to a halving of unit costs. European Union measures including the European Defence Fund, the Act in Support of Ammunition Production, the European Defence Industry Reinforcement through Common Procurement Act and ReArm Europe represent progress towards strengthening the supply of military goods but the incentives offered are too small to address the home bias in procurement or to coordinate the provision of 'strategic enablers' such as military satellites. To go further, the EU and its European allies have two options. First, the role of the </w:t>
      </w:r>
    </w:p>
    <w:p>
      <w:pPr/>
      <w:r>
        <w:rPr>
          <w:b/>
        </w:rPr>
        <w:t>POSSIBLE 2025:</w:t>
      </w:r>
      <w:r>
        <w:t xml:space="preserve"> Settling the debate: does digitalisation impact the economic growth in the European Union Member States? — https://doi.org/10.3846/tede.2025.22576</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This research analyses the influence of digitalisation (Digitalisation Composite Indicator (ITC)) on economic growth (GDP per capita) by scrutinising the progression of digitalisation intensity and its impact. Digital technology has the potential to exert a substantial influence on various facets of the national economy, significantly impacting economic growth, innovation, and overall quality of life. Given the disparities among European Union Member States concerning governance quality, the imperative of digitalisation becomes evident in advancing economic prosperity, irrespective of a country’s development status. Specifically, our study aims to evaluate the effects of the implementation of digital tools on economic growth in the Member States of the European Union (EU-27) from 2017 to 2021. Two advanced methods, Principal Component Analysis (PCA) and the Ordinary Least Square model (OLS), were employed to conduct the empirical research. The findings indicate that before the pandemic, the level of digitalisation was subpar, marked by limited technological advancement. Nations exhibiting a heightened degree of digitalisation also demonstrate elevated levels of economic development. These results underscore countries’ need to realign and reconfigure their digital transformation strategies, emphasising incorporating digital technologies and cultivating ongoing innovation to bols</w:t>
      </w:r>
    </w:p>
    <w:p>
      <w:pPr/>
      <w:r>
        <w:rPr>
          <w:b/>
        </w:rPr>
        <w:t>POSSIBLE 2025:</w:t>
      </w:r>
      <w:r>
        <w:t xml:space="preserve"> Small and Medium-Sized Central European Member States vs. EU Reform — https://doi.org/10.1007/978-94-6265-718-2_16</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The process of the next constitutional reform of the European Union (EU), of which the publication of the report of the German–French working group (2023), as well as the adoption by the European Parliament of the proposal to amend the EU’s treaty basis in November 2023, was an important milestone, as announced by the old-new President of the European Commission, U. von der Leyen will be continued. The directions of this reform indicated in multiple EU documents, including also the current practice of applying EU law, call for an in-depth reflection on the present status of medium and small-sized Member States from Central Europe and the consequences of the proposed solutions for them. Having in mind the title of the volume “The European Union 2004–2024: Twenty Years of Legal Experience, Challenges and Growth after Unprecedented EU Enlargement”, the chapter will be definitely focused on experiences and challenges from the perspective of Member States which acceded to the EU respectively in 2004, 2007 and 2013, and which belong to small and medium-sized countries and are located in Central Europe. The overall assessment of 20 years of membership is positive, although the process of integration of these countries has been completed neither at the economic level, reaching 51% of the EU average real GDP, nor at the institutional level, i.e. the omission of representatives of these </w:t>
      </w:r>
    </w:p>
    <w:p>
      <w:pPr/>
      <w:r>
        <w:rPr>
          <w:b/>
        </w:rPr>
        <w:t>POSSIBLE 2025:</w:t>
      </w:r>
      <w:r>
        <w:t xml:space="preserve"> CLASSIFICATION OF EUROPEAN UNION MEMBER STATES ACCORDING TO ELECTRICITY PRODUCTION FROM BIOENERGY — https://doi.org/10.5604/01.3001.0055.4487</w:t>
      </w:r>
    </w:p>
    <w:p>
      <w:pPr/>
      <w:r>
        <w:rPr>
          <w:b/>
        </w:rPr>
        <w:t>Shared claim-specific concepts:</w:t>
      </w:r>
      <w:r>
        <w:t xml:space="preserve"> member, states, compared, energy; EU scope visible. This is a provisional connection, not an outcome finding.</w:t>
      </w:r>
    </w:p>
    <w:p>
      <w:pPr>
        <w:pStyle w:val="SourceNote"/>
      </w:pPr>
      <w:r>
        <w:rPr>
          <w:b/>
        </w:rPr>
        <w:t>Available abstract (not full text):</w:t>
      </w:r>
      <w:r>
        <w:t xml:space="preserve"> The aim of the study is to classify European Union member states according to their electricity production from bioenergy. The research question concerns the volume of electricity generated from bioenergy in EU member states in 2020 and 2024, and the identification of country groups showing similarities in 2024. The econometric toolbox includes the TOPSIS method and the k-means clustering algorithm. The classification of EU member states based on the bioenergy electricity production index for 2024 indicates the dominant position of Germany (first place) and the strong performance of Scandinavian countries – Finland, Denmark, and Sweden, which ranked second, fourth, and sixth, respectively. Notably, eight of the ten highest-ranked economies are EU-15 countries. Conversely, among the ten lowest-ranked countries, seven are EU-12 states that joined the EU in or after 2004. In 2024, the clusters correspond closely to the ranking structure. Countries such as Finland and Sweden (cluster 2), Germany (cluster 3), and Denmark, Estonia, and Luxembourg (cluster 4) all appear within the top six positions. These countries possess substantial forest or arable areas, a factor that clearly supports biomass production. The EU-15 group dominates the upper half of the classification, reflecting their earlier and more intensive engagement in bioenergy and renewable energy development compared to EU</w:t>
      </w:r>
    </w:p>
    <w:p>
      <w:pPr>
        <w:pStyle w:val="Heading2"/>
      </w:pPr>
      <w:r>
        <w:t>848. First-mover advantages of the European Union's climate change mitigation strategy</w:t>
      </w:r>
    </w:p>
    <w:p>
      <w:pPr>
        <w:pStyle w:val="SourceNote"/>
      </w:pPr>
      <w:r>
        <w:rPr>
          <w:b/>
        </w:rPr>
        <w:t>Original source (2016):</w:t>
      </w:r>
      <w:r>
        <w:t xml:space="preserve"> https://doi.org/10.1002/er.3487</w:t>
      </w:r>
    </w:p>
    <w:p>
      <w:pPr/>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climate, main, show;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climate, action, only, strategies;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Outpacing climate change: adaptation to heatwaves in Europe — https://doi.org/10.1007/s00484-025-02872-0</w:t>
      </w:r>
    </w:p>
    <w:p>
      <w:pPr/>
      <w:r>
        <w:rPr>
          <w:b/>
        </w:rPr>
        <w:t>Shared claim-specific concepts:</w:t>
      </w:r>
      <w:r>
        <w:t xml:space="preserve"> assuming, climate, reduction,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Metropolisation Through Institutional Action: An Analysis of Seven Metropolitan Areas in Central Europe — https://doi.org/10.24425/sts.2025.154900</w:t>
      </w:r>
    </w:p>
    <w:p>
      <w:pPr/>
      <w:r>
        <w:rPr>
          <w:b/>
        </w:rPr>
        <w:t>Shared claim-specific concepts:</w:t>
      </w:r>
      <w:r>
        <w:t xml:space="preserve"> action, undertaken, main; EU scope visible. This is a provisional connection, not an outcome finding.</w:t>
      </w:r>
    </w:p>
    <w:p>
      <w:pPr>
        <w:pStyle w:val="SourceNote"/>
      </w:pPr>
      <w:r>
        <w:rPr>
          <w:b/>
        </w:rPr>
        <w:t>Available abstract (not full text):</w:t>
      </w:r>
      <w:r>
        <w:t xml:space="preserve"> This article addresses the institutional dimension of metropolisation processes in Central Europe. It draws on qualitative research conducted as a part of the Strengthening Metropolitan Cooperation and Governance in Central Europe (MECOG-CE) project. Initiated in 2023 and running to 2026, the MECOG-CE project covers seven metropolitan areas. Based on the concept of hard and soft dialogue spaces, the article seeks to identify the main domains of activity undertaken by institutions in metropolitan areas and elucidate the similarities and differences in their approaches to these activities. Empirical data underline the primacy of three spheres of activity undertaken by metropolitan institutions: regional development, spatial planning, and transport. The study also discusses the prevailing model of urbanisation and metropolitan development, which assumes a triad based on forces of globalisation-innovation-competition, concluding instead that metropolisation in contemporary Central Europe is driven more by metropolitan institutions, collaboration, and principles of inclusive participation and sustainable development.</w:t>
      </w:r>
    </w:p>
    <w:p>
      <w:pPr/>
      <w:r>
        <w:rPr>
          <w:b/>
        </w:rPr>
        <w:t>POSSIBLE 2025:</w:t>
      </w:r>
      <w:r>
        <w:t xml:space="preserve"> Rising cost of disturbances for forestry in Europe under climate change — https://doi.org/10.1038/s41558-025-02408-9</w:t>
      </w:r>
    </w:p>
    <w:p>
      <w:pPr/>
      <w:r>
        <w:rPr>
          <w:b/>
        </w:rPr>
        <w:t>Shared claim-specific concepts:</w:t>
      </w:r>
      <w:r>
        <w:t xml:space="preserve"> climate, only, show; EU scope visible. This is a provisional connection, not an outcome finding.</w:t>
      </w:r>
    </w:p>
    <w:p>
      <w:pPr>
        <w:pStyle w:val="SourceNote"/>
      </w:pPr>
      <w:r>
        <w:rPr>
          <w:b/>
        </w:rPr>
        <w:t>Available abstract (not full text):</w:t>
      </w:r>
      <w:r>
        <w:t xml:space="preserve"> Abstract Climate change has large economic costs for society. An important effect is the disruption of natural resource supply by climate-mediated disturbances such as wildfires, pest outbreaks and storms. Here we show that disturbance-induced losses for Europe’s timber-based forestry could increase from the current €115 billion to €247 billion under severe climate change. This would diminish the timber value of Europe’s forests by up to 42% and reduce the current gross value added of the forestry sector by up to 15%. Central Europe emerges as a continental hotspot of disturbance costs, with projected future costs of up to €19,885 per hectare. Simultaneous climate-related increases in forest productivity could offset future economic losses from disturbances in Northern and Central Europe but not in Southern Europe. We find high disturbance-related cost of unmitigated warming, highlighting that climate change adaptation in forestry is not only an ecological but also an economic imperative.</w:t>
      </w:r>
    </w:p>
    <w:p>
      <w:pPr/>
      <w:r>
        <w:rPr>
          <w:b/>
        </w:rPr>
        <w:t>POSSIBLE 2025:</w:t>
      </w:r>
      <w:r>
        <w:t xml:space="preserve"> Decoupling Economy Growth and Emissions: Energy Transition Pathways Under the European Agenda for Climate Action — https://doi.org/10.3390/en18195096</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As the European Union’s energy systems are transforming towards achieving climate goals, this article examines the energy balances of EU member states. This analysis covers, among other things, the dynamics of energy dependence and strategies for decoupling economic growth from the level of emissions in the European Union (EU), with particular emphasis on Poland, which is strongly influenced by its historical reliance on coal in the energy balance. Using panel data from 1990 to 2022, the article investigates differences in energy dependence between individual countries, shaped by economic structures and national energy policies. The study results confirm significant heterogeneity between member states and emphasize that the stability and direction of decoupling economic growth from greenhouse gas (GHG) emissions are strongly dependent on the composition of the energy mix and vulnerability to external conditions. Based on scenario analysis, potential paths for Poland’s energy transition are assessed. We demonstrate that a high share of renewable energy sources (RES) significantly reduces CO2 emissions, provided it is accompanied by infrastructure modernization and the development of energy storage. Furthermore, integrating nuclear energy as a stabilizing element of the energy mix offers an additional path to deep decarbonization while ensuring supply reliability. Finally, we dem</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climate, after, main, period, projections;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Wheat breeding trials will lose climate relevance in Europe — https://doi.org/10.1088/1748-9326/ae0e38</w:t>
      </w:r>
    </w:p>
    <w:p>
      <w:pPr/>
      <w:r>
        <w:rPr>
          <w:b/>
        </w:rPr>
        <w:t>Shared claim-specific concepts:</w:t>
      </w:r>
      <w:r>
        <w:t xml:space="preserve"> climate, strategies, show; EU scope visible. This is a provisional connection, not an outcome finding.</w:t>
      </w:r>
    </w:p>
    <w:p>
      <w:pPr>
        <w:pStyle w:val="SourceNote"/>
      </w:pPr>
      <w:r>
        <w:rPr>
          <w:b/>
        </w:rPr>
        <w:t>Available abstract (not full text):</w:t>
      </w:r>
      <w:r>
        <w:t xml:space="preserve"> Abstract Europe is a major wheat producer, but rising frequencies of drought and heatwaves increasingly threaten yields. To support breeding strategies aligned with future climatic challenges, we identified current European environments that are analogous to projected future drought and heat stress conditions in major wheat-growing regions. Using gridded crop model simulations with historical and future climate data from an ensemble of five global circulation models (RCP4.5 and RCP8.5 scenarios), we characterized stress patterns during key wheat developmental phases. We clustered environments into stress classes and computed a continuous similarity index to map analogue regions. Our results show that by the end of the century, most official value for cultivation and use (VCU) trial sites will face intensified drought and heat stresses, with stress combinations exceeding historical ranges. Current climate analogues for most VCU wheat trial sites in Central Europe are predominantly located in southern Spain, southern Italy, and parts of Greece, yet these analogue environments are projected to decrease substantially under high-emission scenarios. The disappearance of climate analogues threatens breeding based on past conditions. Our results highlight the need to rapidly adapt wheat breeding strategies in Europe to future climate conditions.</w:t>
      </w:r>
    </w:p>
    <w:p>
      <w:pPr/>
      <w:r>
        <w:rPr>
          <w:b/>
        </w:rPr>
        <w:t>POSSIBLE 2024:</w:t>
      </w:r>
      <w:r>
        <w:t xml:space="preserve"> Climate Obstruction across Europe — https://doi.org/10.1093/oso/9780197762042.001.0001</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mitigation, projections;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The European Climate Law: Strengthening EU Procedural Climate Governance? — https://doi.org/10.1093/jel/eqad034</w:t>
      </w:r>
    </w:p>
    <w:p>
      <w:pPr/>
      <w:r>
        <w:rPr>
          <w:b/>
        </w:rPr>
        <w:t>Shared claim-specific concepts:</w:t>
      </w:r>
      <w:r>
        <w:t xml:space="preserve"> climate, emission, reduction; EU scope visible. This is a provisional connection, not an outcome finding.</w:t>
      </w:r>
    </w:p>
    <w:p>
      <w:pPr>
        <w:pStyle w:val="SourceNote"/>
      </w:pPr>
      <w:r>
        <w:rPr>
          <w:b/>
        </w:rPr>
        <w:t>Available abstract (not full text):</w:t>
      </w:r>
      <w:r>
        <w:t xml:space="preserve"> Abstract In 2021, the European Union (EU) adopted the so-called European Climate Law (ECL), enshrining in law the 2050 climate-neutrality objective and upgraded 2030 emission reduction target. The ECL bears the hallmarks of what we term ‘procedural climate governance’, which comprises the regulatory frameworks, instruments, institutions and processes that shape substantive climate policies and their implementation. This article identifies seven key functions of procedural climate governance—target-setting; planning; monitoring and evaluation; climate policy integration; scientific expert advice; access to justice; and public participation—and uses these for critically assessing the ECL. We argue that while the ECL has significantly strengthened important aspects of EU procedural climate governance, further reforms are needed for the EU to develop and implement the substantive policies towards a climate-neutral and climate-resilient economy and society and to bolster public support and ownership of the transition. The upcoming reviews of the ECL and the Governance Regulation provide a critical opportunity for strengthening procedural climate governance in the EU.</w:t>
      </w:r>
    </w:p>
    <w:p>
      <w:pPr/>
      <w:r>
        <w:rPr>
          <w:b/>
        </w:rPr>
        <w:t>POSSIBLE 2024:</w:t>
      </w:r>
      <w:r>
        <w:t xml:space="preserve"> The relationship between climate classes and particulate matters over Europe — https://doi.org/10.1038/s41598-024-80365-7</w:t>
      </w:r>
    </w:p>
    <w:p>
      <w:pPr/>
      <w:r>
        <w:rPr>
          <w:b/>
        </w:rPr>
        <w:t>Shared claim-specific concepts:</w:t>
      </w:r>
      <w:r>
        <w:t xml:space="preserve"> climate, main, period, show; EU scope visible. This is a provisional connection, not an outcome finding.</w:t>
      </w:r>
    </w:p>
    <w:p>
      <w:pPr>
        <w:pStyle w:val="SourceNote"/>
      </w:pPr>
      <w:r>
        <w:rPr>
          <w:b/>
        </w:rPr>
        <w:t>Available abstract (not full text):</w:t>
      </w:r>
      <w:r>
        <w:t xml:space="preserve"> Present and future Köppen-Geiger climate maps and time series of particulate matter (PM10) at continental scale were used to investigate the relationship between spatial patterns of PM10 and climate zones. Five main patterns (spatial clusters) of PM10 were found over the European continent, which show a good spatial overlap with the main Köppen-Geiger climate zones. The map of future climate, which shows a poleward movement of the warmer climate zones, an expansion of the (semi-)arid zones and a shrinking of the polar and tundra zones, indicates a higher PM10 concentration, especially in the northern part of Europe. The results also show that there is a temporal shift (later/earlier) of PM10 extremes in the period 2013-2022. This insight into the relationship between climate zones and clustered PM10 time series and the use of high-quality future climate maps based on different scenarios can be used to estimate possible changes, such as annual averages or seasonal cycles, in PM10 concentrations.</w:t>
      </w:r>
    </w:p>
    <w:p>
      <w:pPr>
        <w:pStyle w:val="Heading2"/>
      </w:pPr>
      <w:r>
        <w:t>849. Foresighting organizational learning equilibrium in European universities</w:t>
      </w:r>
    </w:p>
    <w:p>
      <w:pPr>
        <w:pStyle w:val="SourceNote"/>
      </w:pPr>
      <w:r>
        <w:rPr>
          <w:b/>
        </w:rPr>
        <w:t>Original source (2016):</w:t>
      </w:r>
      <w:r>
        <w:t xml:space="preserve"> https://doi.org/10.1007/s40309-016-0108-y</w:t>
      </w:r>
    </w:p>
    <w:p>
      <w:pPr/>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POSSIBLE 2024:</w:t>
      </w:r>
      <w:r>
        <w:t xml:space="preserve"> Tools for pathogen genetic surveillance: Lessons from the ash dieback invasion of Europe — https://doi.org/10.1371/journal.ppat.1012182</w:t>
      </w:r>
    </w:p>
    <w:p>
      <w:pPr/>
      <w:r>
        <w:rPr>
          <w:b/>
        </w:rPr>
        <w:t>Shared claim-specific concepts:</w:t>
      </w:r>
      <w:r>
        <w:t xml:space="preserve"> presently, rate, upon, use; EU scope visible. This is a provisional connection, not an outcome finding.</w:t>
      </w:r>
    </w:p>
    <w:p>
      <w:pPr>
        <w:pStyle w:val="SourceNote"/>
      </w:pPr>
      <w:r>
        <w:rPr>
          <w:b/>
        </w:rPr>
        <w:t>Available abstract (not full text):</w:t>
      </w:r>
      <w:r>
        <w:t xml:space="preserve"> Human movement and climate change are exposing new environments to pathogens and increasing the rate of invasions [1].Presently, most pathogens are studied independently, requiring species-specific expertise, particularly at the sampling stage.Genomic surveillance strategies can be applied to identify species presence/absence but also within-species diversity, which may not currently be capitalised upon.Here, we use the ash dieback invasion of Europe [2] to frame a discussion on the significance of different types of genomic variation to invasion biology and review the application of developing microbiome sequencing technologies to pathogen surveillance.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presently, especially, about, use;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The Impact of Interest Rate and Inflation Rate Towards Exchange Rate: A Case of Sri Lanka — https://doi.org/10.11648/j.ijebo.20231103.11</w:t>
      </w:r>
    </w:p>
    <w:p>
      <w:pPr/>
      <w:r>
        <w:rPr>
          <w:b/>
        </w:rPr>
        <w:t>Shared claim-specific concepts:</w:t>
      </w:r>
      <w:r>
        <w:t xml:space="preserve"> rate, level, given; EU scope not established. This is a provisional connection, not an outcome finding.</w:t>
      </w:r>
    </w:p>
    <w:p>
      <w:pPr>
        <w:pStyle w:val="SourceNote"/>
      </w:pPr>
      <w:r>
        <w:rPr>
          <w:b/>
        </w:rPr>
        <w:t>Available abstract (not full text):</w:t>
      </w:r>
      <w:r>
        <w:t xml:space="preserve"> Exchange rate can be explained as one of the key factor, which emphasis countries macro-economic stability. As an emerging market Sri Lanka is mainly focused on international markets and highly depend on international trade. This study is on the influence of interest rate (Weighted Average Call Market Rate - CR) and inflation (Colombo Consumers' Price Index (CCPI) - INF), to the exchange rate (USD/LKR - NEXR). The research analysis monthly data of CR, NEXR and CF for the period of October 2000 to March 2013 based on Vector Error Correction Model. This research uses stationary test, cointegration test, stability test, impulse response function, residual test has generated to compile and analysis data. Results of the study proves that the exchange rate has negative relationship with interest rate for the given period. However, the exchange rate shows positive relationship with inflation. Those relationships are significant in long run causality, where it takes much more time to become equilibrium position. Further, there is no short run causality as well. The negative relationship between exchange and interest rates creates a favorable environment to capital inflows to the country. However, manipulation of exchange rate volatility by the relevant market players will lead to a change in the expected relationship of the variables. According to the results, policy makers should esti</w:t>
      </w:r>
    </w:p>
    <w:p>
      <w:pPr/>
      <w:r>
        <w:rPr>
          <w:b/>
        </w:rPr>
        <w:t>POSSIBLE 2023:</w:t>
      </w:r>
      <w:r>
        <w:t xml:space="preserve"> Assessment of Arctic seasonal snow cover rates of change — https://doi.org/10.5194/tc-17-1431-2023</w:t>
      </w:r>
    </w:p>
    <w:p>
      <w:pPr/>
      <w:r>
        <w:rPr>
          <w:b/>
        </w:rPr>
        <w:t>Shared claim-specific concepts:</w:t>
      </w:r>
      <w:r>
        <w:t xml:space="preserve"> rate, use; EU scope not established. This is a provisional connection, not an outcome finding.</w:t>
      </w:r>
    </w:p>
    <w:p>
      <w:pPr>
        <w:pStyle w:val="SourceNote"/>
      </w:pPr>
      <w:r>
        <w:rPr>
          <w:b/>
        </w:rPr>
        <w:t>Available abstract (not full text):</w:t>
      </w:r>
      <w:r>
        <w:t xml:space="preserve"> Abstract. Arctic snow cover extent (SCE) trends and rates of change reported across recent climate assessments vary due to the time period of available data, the selection of snow products, and methodological considerations. While all reported trends are strongly negative during spring, more uncertainty exists in autumn. Motivated to increase the confidence in SCE trend reported in climate assessments, we quantify the impact of (1) year-over-year increases in time series length over the past two decades, (2) choice of reference period, (3) the application of a statistical methodology to improve inter-dataset agreement, (4) the impact of dataset ensemble size, and (5) product version changes. Results show that the rate of change during May and June has remained consistent over the past decade as time series length has increased, and is largely insensitive to the choice of reference period. Although new product versions have increased spatial resolution, use more advanced reanalysis meteorology to force snow models, and include improved remote sensing retrieval algorithms, these enhancements do not result in any notable changes in the observed rate of Arctic SCE change in any month compared to a baseline set of older products. The most impactful analysis decision involves the scaling of dataset climatologies using the NOAA snow chart climate data record as the baseline. While min</w:t>
      </w:r>
    </w:p>
    <w:p>
      <w:pPr/>
      <w:r>
        <w:rPr>
          <w:b/>
        </w:rPr>
        <w:t>POSSIBLE 2022:</w:t>
      </w:r>
      <w:r>
        <w:t xml:space="preserve"> What should European nephrology do with the new CKD-EPI equation? — https://doi.org/10.1093/ndt/gfac254</w:t>
      </w:r>
    </w:p>
    <w:p>
      <w:pPr/>
      <w:r>
        <w:rPr>
          <w:b/>
        </w:rPr>
        <w:t>Shared claim-specific concepts:</w:t>
      </w:r>
      <w:r>
        <w:t xml:space="preserve"> rate, especially, exogenous, level, about, use; EU scope visible. This is a provisional connection, not an outcome finding.</w:t>
      </w:r>
    </w:p>
    <w:p>
      <w:pPr>
        <w:pStyle w:val="SourceNote"/>
      </w:pPr>
      <w:r>
        <w:rPr>
          <w:b/>
        </w:rPr>
        <w:t>Available abstract (not full text):</w:t>
      </w:r>
      <w:r>
        <w:t xml:space="preserve"> Knowledge about a patient’s glomerular filtration rate (GFR) is central to the practice of medicine. It is needed to diagnose and classify chronic kidney disease (CKD), and helpful to establish prognosis [1]. In addition, it is used to decide when to start specific medication, how to dose medication and when to refer patients for specialist nephrology care or when to start kidney function replacement treatment. GFR can best be measured (mGFR) by injection of exogenous tracers, such as iothalamate and iohexol, and serial blood sampling. This is a relatively cumbersome and expensive technique, and is therefore only used in specific cases. In clinical practice, equations are used to estimate GFR (Fig. 1 and Table 1). These equations use readily available information about patient characteristics, such as age and sex, and about creatinine as an endogenous filtration marker. The oldest equation is the one developed by Cockcroft and Gault in 1976 [2]. It should be noted that their equation does not estimate GFR, but creatinine clearance. Creatinine clearance is determined not only by glomerular filtration of creatinine, but also by tubular secretion of creatinine. Tubular creatinine clearance can amount to up to 50% of total creatinine clearance, especially in subjects with impaired kidney function and obesity [3]. Consequently, the Cockcroft–Gault equation should not be used to esti</w:t>
      </w:r>
    </w:p>
    <w:p>
      <w:pPr/>
      <w:r>
        <w:rPr>
          <w:b/>
        </w:rPr>
        <w:t>POSSIBLE 2022:</w:t>
      </w:r>
      <w:r>
        <w:t xml:space="preserve"> On the Shift of Glacier Equilibrium Line Altitude (ELA) under the Changing Climate — https://doi.org/10.3390/w14182821</w:t>
      </w:r>
    </w:p>
    <w:p>
      <w:pPr/>
      <w:r>
        <w:rPr>
          <w:b/>
        </w:rPr>
        <w:t>Shared claim-specific concepts:</w:t>
      </w:r>
      <w:r>
        <w:t xml:space="preserve"> presently, balance; EU scope visible. This is a provisional connection, not an outcome finding.</w:t>
      </w:r>
    </w:p>
    <w:p>
      <w:pPr>
        <w:pStyle w:val="SourceNote"/>
      </w:pPr>
      <w:r>
        <w:rPr>
          <w:b/>
        </w:rPr>
        <w:t>Available abstract (not full text):</w:t>
      </w:r>
      <w:r>
        <w:t xml:space="preserve"> Presently available information on the glacier equilibrium line altitude (ELA) is being collected and examined. The historical course of the world’s longest ELA series of 107 years at the Claridenfirn is reviewed together with climatic elements. Further, the changes in ELAs of 70 glaciers the world over are investigated, and a linear plane model for the speed of the ELA shift is proposed as a function of the changing rates of summer temperature and winter mass balance. The four glaciers in Europe, which diverge most from the plane, are investigated in detail. The cause of the divergence is likely due to be the change in solar global radiation. Although a precise quantification of the role of radiation is not possible at this stage for the entire world, the role of solar radiation is investigated for these glaciers. Globally viewed, ten, or 15% of the 70 investigated glaciers, are expected to lose their accumulation areas within the next ten years. Half of all studied glaciers will follow the same fate by the end of this century under the present climatic conditions. If climate change is accelerated, the disappearance of glaciers will occur sooner than presented in this study.</w:t>
      </w:r>
    </w:p>
    <w:p>
      <w:pPr/>
      <w:r>
        <w:rPr>
          <w:b/>
        </w:rPr>
        <w:t>POSSIBLE 2022:</w:t>
      </w:r>
      <w:r>
        <w:t xml:space="preserve"> Public debt and money for a political ecology in the European Union — https://doi.org/10.3917/reof.173.0079</w:t>
      </w:r>
    </w:p>
    <w:p>
      <w:pPr/>
      <w:r>
        <w:rPr>
          <w:b/>
        </w:rPr>
        <w:t>Shared claim-specific concepts:</w:t>
      </w:r>
      <w:r>
        <w:t xml:space="preserve"> level, upon; EU scope visible. This is a provisional connection, not an outcome finding.</w:t>
      </w:r>
    </w:p>
    <w:p>
      <w:pPr>
        <w:pStyle w:val="SourceNote"/>
      </w:pPr>
      <w:r>
        <w:rPr>
          <w:b/>
        </w:rPr>
        <w:t>Available abstract (not full text):</w:t>
      </w:r>
      <w:r>
        <w:t xml:space="preserve"> The pandemic crisis has displayed the lack of precautionary measures and health infrastructure in most advanced countries, not forgetting how little help has been granted to poor countries. In the face of a worldwide ecological crisis, there has been no global cooperation. In addition, in 2020, catastrophic events due to climate change have accelerated. Public finances have been called upon to support the economy and to engineer a much hoped-for short-term recovery on the one hand, and to put financial systems in order to deal with climate change in the coming crucial decade on the other.Our work tries to address this dual challenge. First, it handles the crucial problem of debt sustainability in a theoretical framework that emphasizes the discounted ratio of future primary balances rather than the level of debt. Simulations of the theoretical model used are provided for the four largest countries of the euro zone to show the conditions in which public debt could be sustainable during the crisis and the subsequent recovery.Moving to the longer-term challenge of handling climate change, societies must confront the irruption of climate-related risks that are plagued with radical uncertainty. To deal with this new financial landscape, the institutional structure of finance must be reformed. Furthermore, macroeconomic disequilibria are no longer symmetrical. The threat of a deflati</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especially, article;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Are lower interest rates really associated with higher growth? New empirical evidence on the interest rate thesis from 19 countries — https://doi.org/10.1002/ijfe.2630</w:t>
      </w:r>
    </w:p>
    <w:p>
      <w:pPr/>
      <w:r>
        <w:rPr>
          <w:b/>
        </w:rPr>
        <w:t>Shared claim-specific concepts:</w:t>
      </w:r>
      <w:r>
        <w:t xml:space="preserve"> rate, about; EU scope not established. This is a provisional connection, not an outcome finding.</w:t>
      </w:r>
    </w:p>
    <w:p>
      <w:pPr>
        <w:pStyle w:val="SourceNote"/>
      </w:pPr>
      <w:r>
        <w:rPr>
          <w:b/>
        </w:rPr>
        <w:t>Available abstract (not full text):</w:t>
      </w:r>
      <w:r>
        <w:t xml:space="preserve"> Abstract There is a substantial literature on the link between finance and growth. Empirical evidence remains inconclusive and the debate continues. In this paper, we adopt the research strategy of focusing on a narrower underlying issue that remains at the core of most macroeconomic theories, namely the interest rate thesis (that lower rates result in higher growth and vice versa). If there are problems with this relationship, this could explain the lack of consensus on the finance‐growth nexus. The question is also of practical relevance: Central banks have been focusing on interest rate policy on the assumption that the interest rate thesis holds. There are theoretical reasons why this may not be the case. We conduct an analysis of time‐varying dynamic conditional correlation in a GARCH model and of the direction of statistical causation between nominal interest rates and real economic activity in 19 industrialized and emerging economies. We find evidence that interest rates are not negatively correlated with economic growth and do not cause growth. Instead, we find evidence that the relationship may be the opposite in both dimensions. This adds to recent doubts about the prevailing conduct of monetary policy and common theoretical models. Specifically, lowering interest rates may be counter‐productive when trying to stimulate the economy.</w:t>
      </w:r>
    </w:p>
    <w:p>
      <w:pPr/>
      <w:r>
        <w:rPr>
          <w:b/>
        </w:rPr>
        <w:t>POSSIBLE 2022:</w:t>
      </w:r>
      <w:r>
        <w:t xml:space="preserve"> What Firm-Specific and Macroeconomic Determinants of Financial Structure Affect Transport and Storage Companies from Selected European Countries? — https://doi.org/10.18267/j.efaj.269</w:t>
      </w:r>
    </w:p>
    <w:p>
      <w:pPr/>
      <w:r>
        <w:rPr>
          <w:b/>
        </w:rPr>
        <w:t>Shared claim-specific concepts:</w:t>
      </w:r>
      <w:r>
        <w:t xml:space="preserve"> rate, level, whether; EU scope visible. This is a provisional connection, not an outcome finding.</w:t>
      </w:r>
    </w:p>
    <w:p>
      <w:pPr>
        <w:pStyle w:val="SourceNote"/>
      </w:pPr>
      <w:r>
        <w:rPr>
          <w:b/>
        </w:rPr>
        <w:t>Available abstract (not full text):</w:t>
      </w:r>
      <w:r>
        <w:t xml:space="preserve"> A number of indicators can be assessed for a company’s financial health, with indebtedness indicators being one of the important ones. The formation of the financial structure is influenced by a huge number of factors. The subject of this research is the indebtedness of companies in the Transportation and storage industry. The companies come from the V4 countries, Austria, Bulgaria, Slovenia, and Romania, between 2010 and 2018. In total 25,246 companies are analysed according to their size for medium and large companies. The aim of the research is to find out whether profitability, liquidity, asset structure, non-debt tax shield, GDP growth rate, reference interest rate, and inflation rate affect the level of total, long-term and short-term debt. The main finding is that corporate debt is significantly affected (measured by the value of coefficients) by non-corporate determinants and specifically the development of the reference interest rate. However, if we look at the most numerous determinants, it is profitability. Companies in the selected industry should focus primarily on the various forecasts within the external environment of the company and include them in their analyses when financing their activities.</w:t>
      </w:r>
    </w:p>
    <w:p>
      <w:pPr/>
      <w:r>
        <w:rPr>
          <w:b/>
        </w:rPr>
        <w:t>POSSIBLE 2021:</w:t>
      </w:r>
      <w:r>
        <w:t xml:space="preserve"> Regional growth and disparities in a post‐COVID Europe: A new normality scenario — https://doi.org/10.1111/jors.12542</w:t>
      </w:r>
    </w:p>
    <w:p>
      <w:pPr/>
      <w:r>
        <w:rPr>
          <w:b/>
        </w:rPr>
        <w:t>Shared claim-specific concepts:</w:t>
      </w:r>
      <w:r>
        <w:t xml:space="preserve"> about, use; EU scope visible. This is a provisional connection, not an outcome finding.</w:t>
      </w:r>
    </w:p>
    <w:p>
      <w:pPr>
        <w:pStyle w:val="SourceNote"/>
      </w:pPr>
      <w:r>
        <w:rPr>
          <w:b/>
        </w:rPr>
        <w:t>Available abstract (not full text):</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To develop such scenario, two intermediate steps are necessary, in both cases relying on the use of the latest generation of the MAcroeconomic, Sectoral, Social, Territorial (MASST4) model. First, short-run costs of the COVID-induced lockdowns, in terms of missed GDP, are calculated for all European NUTS2 regions, needed because of the lack of short-run statistics about the extent of the regional costs caused by the lockdowns that will only appear in 2 years. Second, a long-run simulation of the economic rebound expected to take place from 2021 through 2030 is presented, assuming, among other trends, that no further national lockdowns will be undertaken in European countries. In the "new normality" scenario, regional disparity trends will decrease as a result of a decisive rebound of those countries mostly hit by the pandemic.</w:t>
      </w:r>
    </w:p>
    <w:p>
      <w:pPr/>
      <w:r>
        <w:rPr>
          <w:b/>
        </w:rPr>
        <w:t>POSSIBLE 2021:</w:t>
      </w:r>
      <w:r>
        <w:t xml:space="preserve"> IF1 Protein Controls Aging Rate — https://doi.org/10.1101/2021.10.28.466310</w:t>
      </w:r>
    </w:p>
    <w:p>
      <w:pPr/>
      <w:r>
        <w:rPr>
          <w:b/>
        </w:rPr>
        <w:t>Shared claim-specific concepts:</w:t>
      </w:r>
      <w:r>
        <w:t xml:space="preserve"> rate, especially, upon, use; EU scope not established. This is a provisional connection, not an outcome finding.</w:t>
      </w:r>
    </w:p>
    <w:p>
      <w:pPr>
        <w:pStyle w:val="SourceNote"/>
      </w:pPr>
      <w:r>
        <w:rPr>
          <w:b/>
        </w:rPr>
        <w:t>Available abstract (not full text):</w:t>
      </w:r>
      <w:r>
        <w:t xml:space="preserve"> ABSTRACT IF1 protein inhibits F 1 F 0 ATP hydrolysis (and not F 1 F 0 ATP synthesis). Across investigated species more IF1 protein, and less F 1 F 0 ATP hydrolysis, correlates with greater maximal lifespan. Increased IF1 protein, and decreased F 1 F 0 ATP hydrolysis, safely reduces a biomarker of aging in mice. Body temperature decrease, in mice administered with a small molecule drug that selectively inhibits F 1 F 0 ATP hydrolysis (which doesn’t inhibit F 1 F 0 ATP synthesis), is evidence that F 1 F 0 ATP hydrolysis is used for metabolic heat generation in vivo . Instrumental to homeothermy, which is a new fundamental discovery. A further discovery is that cancer cells subvert F 1 F 0 ATP hydrolysis to drive their distinctive Warburg metabolism and so selective drug inhibition of F 1 F 0 ATP hydrolysis exerts potent anticancer activity. When the body is in an ambient temperature of 37°C (or more), no metabolic heat generation is needed for the body to be at 37°C, and so a large dose of a F 1 F 0 ATP hydrolysis inhibiting anticancer drug may be administered, which may slow aging. So, here might be an entirely new class of anticancer drugs that may (when appropriately used) help, instead of harm, normal cells. Distinct from present anticancer drugs, which greatly harm normal cells, causing horrific side-effects, which kill many and cause many others to abandon cancer treatment.</w:t>
      </w:r>
    </w:p>
    <w:p>
      <w:pPr>
        <w:pStyle w:val="Heading2"/>
      </w:pPr>
      <w:r>
        <w:t>850. Futures of science with and for society: towards transformative policy orientations</w:t>
      </w:r>
    </w:p>
    <w:p>
      <w:pPr>
        <w:pStyle w:val="SourceNote"/>
      </w:pPr>
      <w:r>
        <w:rPr>
          <w:b/>
        </w:rPr>
        <w:t>Original source (2016):</w:t>
      </w:r>
      <w:r>
        <w:t xml:space="preserve"> https://doi.org/10.1108/fs-10-2014-0063</w:t>
      </w:r>
    </w:p>
    <w:p>
      <w:pPr/>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POSSIBLE 2026:</w:t>
      </w:r>
      <w:r>
        <w:t xml:space="preserve"> The Methodological Essence and Content of the Concept of Cultural Development — https://openalex.org/W7219340893</w:t>
      </w:r>
    </w:p>
    <w:p>
      <w:pPr/>
      <w:r>
        <w:rPr>
          <w:b/>
        </w:rPr>
        <w:t>Shared claim-specific concepts:</w:t>
      </w:r>
      <w:r>
        <w:t xml:space="preserve"> methodological, content, dimensions; EU scope not established. This is a provisional connection, not an outcome finding.</w:t>
      </w:r>
    </w:p>
    <w:p>
      <w:pPr>
        <w:pStyle w:val="SourceNote"/>
      </w:pPr>
      <w:r>
        <w:rPr>
          <w:b/>
        </w:rPr>
        <w:t>Available abstract (not full text):</w:t>
      </w:r>
      <w:r>
        <w:t xml:space="preserve">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pPr/>
      <w:r>
        <w:rPr>
          <w:b/>
        </w:rPr>
        <w:t>POSSIBLE 2026:</w:t>
      </w:r>
      <w:r>
        <w:t xml:space="preserve"> AI in research methodology — https://openalex.org/W7160366582</w:t>
      </w:r>
    </w:p>
    <w:p>
      <w:pPr/>
      <w:r>
        <w:rPr>
          <w:b/>
        </w:rPr>
        <w:t>Shared claim-specific concepts:</w:t>
      </w:r>
      <w:r>
        <w:t xml:space="preserve"> methodological, five, methodology, approach; EU scope visible. This is a provisional connection, not an outcome finding.</w:t>
      </w:r>
    </w:p>
    <w:p>
      <w:pPr>
        <w:pStyle w:val="SourceNote"/>
      </w:pPr>
      <w:r>
        <w:rPr>
          <w:b/>
        </w:rPr>
        <w:t>Available abstract (not full text):</w:t>
      </w:r>
      <w:r>
        <w:t xml:space="preserve"> This paper explores the transformative impact of Generative Artificial Intelligence (GenAI) on scientific research methodology. It contrasts the traditional linear research approach with emerging AI-driven paradigms, highlighting the closed-loop automation demonstrated by frameworks like DOLPHIN. We identify five primary use cases for GenAI in science—Literature Review, Gap Finding, Hypothesis Generation, Research Question Refinement, and the Socratic Opponent—and analyze four key tools (Elicit, ResearchRabbit, Scite, Consensus) facilitating these tasks. Finally, we address critical risks such as hallucinations and methodological monoculture, alongside the strategic perspective of the European Commission regarding AI in science.</w:t>
      </w:r>
    </w:p>
    <w:p>
      <w:pPr/>
      <w:r>
        <w:rPr>
          <w:b/>
        </w:rPr>
        <w:t>POSSIBLE 2026:</w:t>
      </w:r>
      <w:r>
        <w:t xml:space="preserve"> Innovations in Methodology for Analyzing Automotive Engine Vibration Signals Based on Wavelet Transform Techniques to Determine Maintenance Needs — https://doi.org/10.70917/ijcisim-2026-0063</w:t>
      </w:r>
    </w:p>
    <w:p>
      <w:pPr/>
      <w:r>
        <w:rPr>
          <w:b/>
        </w:rPr>
        <w:t>Shared claim-specific concepts:</w:t>
      </w:r>
      <w:r>
        <w:t xml:space="preserve"> analyzes, methodological, methodology; EU scope not established. This is a provisional connection, not an outcome finding.</w:t>
      </w:r>
    </w:p>
    <w:p>
      <w:pPr>
        <w:pStyle w:val="SourceNote"/>
      </w:pPr>
      <w:r>
        <w:rPr>
          <w:b/>
        </w:rPr>
        <w:t>Available abstract (not full text):</w:t>
      </w:r>
      <w:r>
        <w:t xml:space="preserve"> This paper takes automotive engine vibration signals as its research object, proposes a wavelet transform analysis of automotive engine vibration signals, and further calculates the maintenance requirements of automotive engine vibration signals. It also analyzes the various operational status information contained in complex vibration signals. For engine vibration signals, traditional signal analysis techniques such as the Fourier transform have limitations in their analysis capabilities, particularly when dealing with non-stationary and nonlinear vibration signals. However, the wavelet analysis method, with its time-frequency locality characteristics, can completely avoid such contradictions. Under such circumstances, the analysis of engine vibration signals has a solid foundation and possesses fundamental functional significance. Based on this understanding, this paper conducts a specific and scientific study, establishing a scientifically reasonable signal analysis model. Using specific techniques such as wavelet packet decomposition and reconstruction, the paper performs a more in-depth and detailed analysis of the vibration signals of the Cummins KTA50 engine. Finally, the signal analysis process is validated through practical examples. The results demonstrate that wavelet transform technology can be used for the detection and analysis of engine fault information. Under c</w:t>
      </w:r>
    </w:p>
    <w:p>
      <w:pPr/>
      <w:r>
        <w:rPr>
          <w:b/>
        </w:rPr>
        <w:t>POSSIBLE 2026:</w:t>
      </w:r>
      <w:r>
        <w:t xml:space="preserve"> Beyond the "black box": Neil Postman's concept as a methodological basis for analyzing the ethical issues of artificial intelligence — https://doi.org/10.18287/2782-2966-2026-6-1-8-15</w:t>
      </w:r>
    </w:p>
    <w:p>
      <w:pPr/>
      <w:r>
        <w:rPr>
          <w:b/>
        </w:rPr>
        <w:t>Shared claim-specific concepts:</w:t>
      </w:r>
      <w:r>
        <w:t xml:space="preserve"> analyzes, methodological, content, issues, five, approach; EU scope not established. This is a provisional connection, not an outcome finding.</w:t>
      </w:r>
    </w:p>
    <w:p>
      <w:pPr>
        <w:pStyle w:val="SourceNote"/>
      </w:pPr>
      <w:r>
        <w:rPr>
          <w:b/>
        </w:rPr>
        <w:t>Available abstract (not full text):</w:t>
      </w:r>
      <w:r>
        <w:t xml:space="preserve"> The article analyzes the problem of finding adequate methodological and conceptual foundations for the ethics of artificial intelligence (AI), considering the gap between theoretical propositions and their practical implementation, as well as the predominance of the instrumental approach over humanitarian analysis. The author substantiates the possibility of applying Neil Postman’s media ecology to construct a critical approach to AI ethics. The study analyzes existing approaches: the principle-based approach (flexible but susceptible to manipulation) and the person-oriented approach (facing the problem of the "responsibility gap" due to the "opacity" of algorithms). It is noted that these approaches treat AI as a neutral tool and do not question the profound transformations caused by the technology. Through Postman’s five theses, the key risks of AI implementation are identified: the loss of human agency and the degradation of cognitive skills in exchange for convenience; increasing inequality between tech giants and disadvantaged parties; the risk of the disappearance of wisdom and truth, replaced by content generation; the "ecological" nature of technological changes transforming social institutions; and the mythologization of technologies leading to "algorithmic idolatry" and loss of control. It is argued that the goal of a critical approach should be the identification and</w:t>
      </w:r>
    </w:p>
    <w:p>
      <w:pPr/>
      <w:r>
        <w:rPr>
          <w:b/>
        </w:rPr>
        <w:t>POSSIBLE 2026:</w:t>
      </w:r>
      <w:r>
        <w:t xml:space="preserve"> INCREASING THE EFFECTIVENESS OF METHODOLOGICAL EDUCATION IN THE CONTEXT OF UPDATING THE CONTENT OF PRIMARY EDUCATION — https://openalex.org/W7220097868</w:t>
      </w:r>
    </w:p>
    <w:p>
      <w:pPr/>
      <w:r>
        <w:rPr>
          <w:b/>
        </w:rPr>
        <w:t>Shared claim-specific concepts:</w:t>
      </w:r>
      <w:r>
        <w:t xml:space="preserve"> analyzes, methodological, content, issues; EU scope not established. This is a provisional connection, not an outcome finding.</w:t>
      </w:r>
    </w:p>
    <w:p>
      <w:pPr>
        <w:pStyle w:val="SourceNote"/>
      </w:pPr>
      <w:r>
        <w:rPr>
          <w:b/>
        </w:rPr>
        <w:t>Available abstract (not full text):</w:t>
      </w:r>
      <w:r>
        <w:t xml:space="preserve"> This article discusses the issues of increasing the effectiveness of methodological education in the context of updating the content of primary education. It analyzes the methodological training of primary school teachers based on modern educational requirements, the role of new generation textbooks and innovative pedagogical technologies. It also considers the use of interactive methods in organizing the educational process, methodological approaches aimed at developing independent and creative thinking of students. The results of the article will serve to improve the quality of primary education and develop the professional competencies of teachers.</w:t>
      </w:r>
    </w:p>
    <w:p>
      <w:pPr/>
      <w:r>
        <w:rPr>
          <w:b/>
        </w:rPr>
        <w:t>POSSIBLE 2026:</w:t>
      </w:r>
      <w:r>
        <w:t xml:space="preserve"> Methodological Approach to CLIL: Content and Language Integrated Teaching and Learning — https://doi.org/10.6084/m9.figshare.33111953</w:t>
      </w:r>
    </w:p>
    <w:p>
      <w:pPr/>
      <w:r>
        <w:rPr>
          <w:b/>
        </w:rPr>
        <w:t>Shared claim-specific concepts:</w:t>
      </w:r>
      <w:r>
        <w:t xml:space="preserve"> analyzes, methodological, content, approach, core, framework; EU scope visible. This is a provisional connection, not an outcome finding.</w:t>
      </w:r>
    </w:p>
    <w:p>
      <w:pPr>
        <w:pStyle w:val="SourceNote"/>
      </w:pPr>
      <w:r>
        <w:rPr>
          <w:b/>
        </w:rPr>
        <w:t>Available abstract (not full text):</w:t>
      </w:r>
      <w:r>
        <w:t xml:space="preserve"> This methodological study examines Content and Language Integrated Learning (CLIL) as a dual-focused approach combining subject content and foreign-language instruction. It analyzes core CLIL features, including multiple focus, scaffolding, and cultural awareness, drawing on Mehisto and Marsh, together with Coyle's 4Cs framework. It contrasts CLIL with immersion and bilingual teaching, showing how it fosters cognitive engagement and motivation while respecting diverse learning styles. It evaluates CLIL's adoption as a European Union policy tool balancing linguistic diversity with communicative integration, noting its relevance to legal-language training. The discussion situates CLIL within broader legal pedagogy, considering its use in preparing students for comparative and multilingual legal study across European educational traditions. The analysis concludes that CLIL delivers measurable educational value by combining language, content, and cognition within one coherent teaching method, offering a pedagogical foundation transferable to legal-English and legal-language instruction in higher education.Record details: Original language: English. Length: 21 pages. Historical manuscript date: 2011-10-31 20:15. Metadata-only record; no associated files are included.</w:t>
      </w:r>
    </w:p>
    <w:p>
      <w:pPr/>
      <w:r>
        <w:rPr>
          <w:b/>
        </w:rPr>
        <w:t>POSSIBLE 2026:</w:t>
      </w:r>
      <w:r>
        <w:t xml:space="preserve"> STEAM methodology for teaching content and functions — https://doi.org/10.62486/978-9915-704-15-9.ch13</w:t>
      </w:r>
    </w:p>
    <w:p>
      <w:pPr/>
      <w:r>
        <w:rPr>
          <w:b/>
        </w:rPr>
        <w:t>Shared claim-specific concepts:</w:t>
      </w:r>
      <w:r>
        <w:t xml:space="preserve"> analyzes, content, methodology, approach, first, second; EU scope not established. This is a provisional connection, not an outcome finding.</w:t>
      </w:r>
    </w:p>
    <w:p>
      <w:pPr>
        <w:pStyle w:val="SourceNote"/>
      </w:pPr>
      <w:r>
        <w:rPr>
          <w:b/>
        </w:rPr>
        <w:t>Available abstract (not full text):</w:t>
      </w:r>
      <w:r>
        <w:t xml:space="preserve"> The following research presents a report on professional practices focused on an educational intervention proposal for teaching the concept of functions to second-year secondary school students.It highlights the relevance of functions, both in learning and in everyday life, and is structured in four units to facilitate understanding.The first unit describes the school context, including a diagnosis that analyzes students' learning styles and prior knowledge of functions.The second unit establishes the objectives of the work and supports the research with legal and pedagogical foundations that guarantee the validity of the report.The third unit focuses on the teaching sequence, breaking down each session and qualitatively analyzing the results, complemented by a quantitative analysis using assessment instruments.Finally, the fourth unit presents an analysis of the results obtained through a mixed evaluation, using a field diary for qualitative evaluation and a standardized test for quantitative evaluation.This comprehensive approach allows for a deeper understanding of the impact of the proposal on student learning, highlighting the importance of functions in their academic and everyday development.</w:t>
      </w:r>
    </w:p>
    <w:p>
      <w:pPr/>
      <w:r>
        <w:rPr>
          <w:b/>
        </w:rPr>
        <w:t>POSSIBLE 2026:</w:t>
      </w:r>
      <w:r>
        <w:t xml:space="preserve"> Content and language integrated learning (CLIL) methodology in preschool education — https://doi.org/10.33272/2522-9729-2026-3(228)-124-129</w:t>
      </w:r>
    </w:p>
    <w:p>
      <w:pPr/>
      <w:r>
        <w:rPr>
          <w:b/>
        </w:rPr>
        <w:t>Shared claim-specific concepts:</w:t>
      </w:r>
      <w:r>
        <w:t xml:space="preserve"> methodological, content, methodology, approach; EU scope not established. This is a provisional connection, not an outcome finding.</w:t>
      </w:r>
    </w:p>
    <w:p>
      <w:pPr>
        <w:pStyle w:val="SourceNote"/>
      </w:pPr>
      <w:r>
        <w:rPr>
          <w:b/>
        </w:rPr>
        <w:t>Available abstract (not full text):</w:t>
      </w:r>
      <w:r>
        <w:t xml:space="preserve"> The article examines the theoretical foundations and practical aspects of applying Content and Language Integrated Learning (CLIL) methodology in the educational process of preschool institutions in Ukraine. The relevance of the study is determined by the Law of Ukraine “On Ensuring the Functioning of the English Language as the Language of International Communication in Ukraine” (2024) and the forthcoming requirement for mandatory English language learning in senior preschool groups from September 2026. The key principles of the CLIL approach are analyzed through the lens of D. Coyle’s “4C” model (content, communication, cognition, culture) and its adaptation to the developmental characteristics of children aged 5–6. The “soft CLIL” model is identified as the most appropriate format for preschool settings, in which English is integrated situationally into various types of activities rather than taught as a separate subject. The article presents a detailed description of a pedagogical experiment conducted at preschool institutions in Poltava. The ascertaining stage revealed that the majority of children demonstrated a low level of foreign language lexical competence. During the formative stage, a range of methodological tools were systematically applied. They are the following: didactic games (“Magic Bag”, “Color Hunt”, “Simon Says”, ‘What’s Missing?”), role-play activities (“S</w:t>
      </w:r>
    </w:p>
    <w:p>
      <w:pPr/>
      <w:r>
        <w:rPr>
          <w:b/>
        </w:rPr>
        <w:t>POSSIBLE 2026:</w:t>
      </w:r>
      <w:r>
        <w:t xml:space="preserve"> THE CONCEPTUALIZATION OF TRANSFORMATIVE STATES OF CONSCIOUSNESS ACROSS CULTURES: A COGNITIVE-LINGUISTIC PERSPECTIVE — https://doi.org/10.32782/2409-1154.2026.79.10</w:t>
      </w:r>
    </w:p>
    <w:p>
      <w:pPr/>
      <w:r>
        <w:rPr>
          <w:b/>
        </w:rPr>
        <w:t>Shared claim-specific concepts:</w:t>
      </w:r>
      <w:r>
        <w:t xml:space="preserve"> five, methodology, dimensions, framework; EU scope not established. This is a provisional connection, not an outcome finding.</w:t>
      </w:r>
    </w:p>
    <w:p>
      <w:pPr>
        <w:pStyle w:val="SourceNote"/>
      </w:pPr>
      <w:r>
        <w:rPr>
          <w:b/>
        </w:rPr>
        <w:t>Available abstract (not full text):</w:t>
      </w:r>
      <w:r>
        <w:t xml:space="preserve"> he article examines the cross-cultural conceptualization of transformative states of consciousness from a cognitive-linguistic perspective. The study focuses on five concepts ENLIGHTENMENT, AWAKENING, BODHI, NIRVANA, and MOKSHA selected for their relevance to philosophical and religious discourse. The research material comprises lexicographic sources, philosophical and religious texts, and academic literature. The methodology combines conceptual analysis, comparative linguistic analysis, etymological investigation, and cognitive-linguistic modeling. The study reconstructs the notional structures and conceptual domains of the five concepts. The findings show that the analyzed concepts are not totally synonymous lexical units but partially overlapping conceptual models of transformative experience. Their semantic structures converge around liberation, awakening, wisdom, transformation, and ultimate realization, while culture-specific components reflect different doctrinal traditions. ENLIGHTENMENT integrates cognitive, spiritual, and historical-philosophical dimensions, whereas AWAKENING combines physiological, cognitive, psychological, and spiritual domains. By contrast, BODHI, NIRVANA, and MOKSHA are organized within the SPIRITUAL DOMAIN and retain semantic stability as specialized doctrinal concepts. The comparative analysis reveals two patterns of conceptual development: sema</w:t>
      </w:r>
    </w:p>
    <w:p>
      <w:pPr/>
      <w:r>
        <w:rPr>
          <w:b/>
        </w:rPr>
        <w:t>POSSIBLE 2026:</w:t>
      </w:r>
      <w:r>
        <w:t xml:space="preserve"> Methodological framework for transforming mountain rural settlements into international tourism villages — https://doi.org/10.47743/pesd2026201013</w:t>
      </w:r>
    </w:p>
    <w:p>
      <w:pPr/>
      <w:r>
        <w:rPr>
          <w:b/>
        </w:rPr>
        <w:t>Shared claim-specific concepts:</w:t>
      </w:r>
      <w:r>
        <w:t xml:space="preserve"> methodological, approach, assessment, framework; EU scope not established. This is a provisional connection, not an outcome finding.</w:t>
      </w:r>
    </w:p>
    <w:p>
      <w:pPr>
        <w:pStyle w:val="SourceNote"/>
      </w:pPr>
      <w:r>
        <w:rPr>
          <w:b/>
        </w:rPr>
        <w:t>Available abstract (not full text):</w:t>
      </w:r>
      <w:r>
        <w:t xml:space="preserve"> This study proposes a methodological framework for transforming rural settlements in mountainous regions into internationally recognized tourism villages in line with the UN Tourism “Best Tourism Villages” initiative (2021). The growing emphasis on sustainable rural tourism requires standardized approaches for evaluating and developing mountain villages with tourism potential. The proposed framework integrates resource inventory, tourism potential assessment, infrastructure and service evaluation, governance analysis, and gap identification against international sustainability and tourism standards. The applicability of the model is demonstrated through the case of Byurakan village, located in the Aragatsotn region of the Republic of Armenia, which possesses significant natural, cultural, and scientific tourism resources. The research employs a structured analytical approach combining qualitative assessment of tourism assets with comparative benchmarking against international criteria. The main contribution of the study is the development of a transferable methodological model that can be applied to mountain rural settlements seeking international tourism village designation. The findings indicate that successful transformation requires not only the presence of tourism resources but also effective governance, strategic planning, community participation, and infrastructure devel</w:t>
      </w:r>
    </w:p>
    <w:p>
      <w:pPr/>
      <w:r>
        <w:rPr>
          <w:b/>
        </w:rPr>
        <w:t>POSSIBLE 2026:</w:t>
      </w:r>
      <w:r>
        <w:t xml:space="preserve"> Transformative service research: knowledge structure of the field and directions for future research — https://doi.org/10.5585/2026.28474</w:t>
      </w:r>
    </w:p>
    <w:p>
      <w:pPr/>
      <w:r>
        <w:rPr>
          <w:b/>
        </w:rPr>
        <w:t>Shared claim-specific concepts:</w:t>
      </w:r>
      <w:r>
        <w:t xml:space="preserve"> analyzes, methodological, content, five, design, methodology; EU scope not established. This is a provisional connection, not an outcome finding.</w:t>
      </w:r>
    </w:p>
    <w:p>
      <w:pPr>
        <w:pStyle w:val="SourceNote"/>
      </w:pPr>
      <w:r>
        <w:rPr>
          <w:b/>
        </w:rPr>
        <w:t>Available abstract (not full text):</w:t>
      </w:r>
      <w:r>
        <w:t xml:space="preserve"> Purpose: This study analyzes the scientific production of the Transformative Service Research (TSR) topic to understand the research field, identifying the principal authors, journals, emerging themes, methods, and service context. Design/methodology/approach: We performed a bibliometric analysis using the bibliometrix package in the R language. From a search and filtering of the Web of Science and Scopus database, we analyzed 284 articles published between 2010 and 2023 in the field of TSR. We used citation analysis to identify influential authors. We also examined the area’s intellectual, conceptual, and social structures based on co-citation, conceptual map analysis, and collaborative networks between authors. In the second stage, we performed content analysis to identify the main methods and service contexts researched in the TSR field. Findings: The results indicate that the number of articles using TSR has grown in the last five years. Research on health and financial services has been focused. We identified emerging themes such as hospitality, sustainability, and discrimination. Most studies used a qualitative approach. Theoretical/methodological contributions: The findings identified the primary services investigated in the research, thus demonstrating the services that researchers need to explore to improve the practice of transforming services. TSR is still a developi</w:t>
      </w:r>
    </w:p>
    <w:p>
      <w:pPr/>
      <w:r>
        <w:rPr>
          <w:b/>
        </w:rPr>
        <w:t>POSSIBLE 2026:</w:t>
      </w:r>
      <w:r>
        <w:t xml:space="preserve"> Revolutionizing Education: Analyzing the Transformative Potential of Generative AI in Learning Environment — https://doi.org/10.70917/ijcisim-2026-4758</w:t>
      </w:r>
    </w:p>
    <w:p>
      <w:pPr/>
      <w:r>
        <w:rPr>
          <w:b/>
        </w:rPr>
        <w:t>Shared claim-specific concepts:</w:t>
      </w:r>
      <w:r>
        <w:t xml:space="preserve"> design, methodology, approach, implications, framework, developed; EU scope not established. This is a provisional connection, not an outcome finding.</w:t>
      </w:r>
    </w:p>
    <w:p>
      <w:pPr>
        <w:pStyle w:val="SourceNote"/>
      </w:pPr>
      <w:r>
        <w:rPr>
          <w:b/>
        </w:rPr>
        <w:t>Available abstract (not full text):</w:t>
      </w:r>
      <w:r>
        <w:t xml:space="preserve"> Purpose:This paper aims to examine the impact of generative Artificial Intelligence (AI), specifically ChatGPT, on the education sector. The study focuses on understanding how academicians and students at Banasthali Vidyapith, Rajasthan, perceive and utilize AI tools in teaching and learning processes. It also explores the opportunities and challenges associated with the integration of ChatGPT in education.Theoretical Framework:Grounded in the transformative potential of AI and Natural Language Processing (NLP), this study explores how ChatGPT—a large language model (LLM) developed by OpenAI—reshapes traditional educational practices. The framework emphasizes AI’s role as an interactive virtual tutor and individualized learning assistant that can enhance pedagogical efficiency, engagement, and accessibility in higher education.Design/Methodology/Approach:The research employs a qualitative approach to analyze the educational implications of ChatGPT. Primary data were collected from academicians and students of Banasthali Vidyapith through observations and discussions, supplemented by secondary data from academic and industry sources. The study evaluates user experiences, perceptions, and the extent of AI tool adoption in academic settings.Findings:The findings indicate that ChatGPT has rapidly gained popularity among educators and learners, demonstrating its potential to facilit</w:t>
      </w:r>
    </w:p>
    <w:p>
      <w:pPr>
        <w:pStyle w:val="Heading2"/>
      </w:pPr>
      <w:r>
        <w:t>851. Futuribles of learning 2030 - Delphi supports the reform of the core curricula in Finland</w:t>
      </w:r>
    </w:p>
    <w:p>
      <w:pPr>
        <w:pStyle w:val="SourceNote"/>
      </w:pPr>
      <w:r>
        <w:rPr>
          <w:b/>
        </w:rPr>
        <w:t>Original source (2016):</w:t>
      </w:r>
      <w:r>
        <w:t xml:space="preserve"> https://doi.org/10.1007/s40309-016-0096-y</w:t>
      </w:r>
    </w:p>
    <w:p>
      <w:pPr/>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pPr/>
      <w:r>
        <w:rPr>
          <w:b/>
        </w:rPr>
        <w:t>POSSIBLE 2025:</w:t>
      </w:r>
      <w:r>
        <w:t xml:space="preserve"> My inner barometer: an explorative co-research study on the development of the embodied cognition in dementia assessment scales (EmDAS) — https://doi.org/10.1080/13548506.2025.2565513</w:t>
      </w:r>
    </w:p>
    <w:p>
      <w:pPr/>
      <w:r>
        <w:rPr>
          <w:b/>
        </w:rPr>
        <w:t>Shared claim-specific concepts:</w:t>
      </w:r>
      <w:r>
        <w:t xml:space="preserve"> aim, barometer; EU scope not established. This is a provisional connection, not an outcome finding.</w:t>
      </w:r>
    </w:p>
    <w:p>
      <w:pPr>
        <w:pStyle w:val="SourceNote"/>
      </w:pPr>
      <w:r>
        <w:rPr>
          <w:b/>
        </w:rPr>
        <w:t>Available abstract (not full text):</w:t>
      </w:r>
      <w:r>
        <w:t xml:space="preserve"> When psychosocial interventions for persons with dementia are examined, standardized screening tools are often used. These tools are designed to quantify symptom reduction and may therefore overlook the changes and benefits that persons with dementia themselves find important. This addresses the need for tools that are developed from the perspective of persons with dementia themselves in order to integrate the nuanced benefits of psychosocial interventions that they value. There are conflicting results about whether persons with dementia can complete self-report scales, still, the aim of this study was to outline the detailed process of the development of a dementia-specific self-reported outcome measure. The research was motivated by a person with dementia and unfolded in an inductive, iterative and explorative co-research design in seven phases. Each phase covered different research methods and in total included 36 participants and stakeholders. The participants' perspectives and ideas were prioritized with the overall goal to enhance and improve outcomes for psychosocial interventions that are co-created and balanced between deficits and strengths and based on what persons with dementia considered the most meaningful outcomes. The result was a co-constructed self-report outcome measure covering eight items of embodied cognition (Body, Emotions, Language, Overview, Empathy, M</w:t>
      </w:r>
    </w:p>
    <w:p>
      <w:pPr/>
      <w:r>
        <w:rPr>
          <w:b/>
        </w:rPr>
        <w:t>POSSIBLE 2025:</w:t>
      </w:r>
      <w:r>
        <w:t xml:space="preserve"> How to Design a Surveillance Barometer : Model for the Regular Monitoring and Assessment of Statutory Powers and Practices in State Surveillance — https://doi.org/10.30709/eucrim-2025-023</w:t>
      </w:r>
    </w:p>
    <w:p>
      <w:pPr/>
      <w:r>
        <w:rPr>
          <w:b/>
        </w:rPr>
        <w:t>Shared claim-specific concepts:</w:t>
      </w:r>
      <w:r>
        <w:t xml:space="preserve"> barometer, affect; EU scope visible. This is a provisional connection, not an outcome finding.</w:t>
      </w:r>
    </w:p>
    <w:p>
      <w:pPr>
        <w:pStyle w:val="SourceNote"/>
      </w:pPr>
      <w:r>
        <w:rPr>
          <w:b/>
        </w:rPr>
        <w:t>Available abstract (not full text):</w:t>
      </w:r>
      <w:r>
        <w:t xml:space="preserve"> The surveillance of citizens by government agencies is an issue that can affect many areas of everyday life. It regularly provokes controversy, particularly in public discourse. Strikingly, in discussions about the existing powers of security authorities, their possible extension, or even the introduction of entirely new and additional surveillance powers, little or nothing is usually known about which surveillance measures are actually used in daily practice, how often they are used, and under what circumstances. Surveillance of any kind always has a high degree of social relevance and touches the very core of the liberal constitution. The execution of such measures is therefore relevant not only to those directly affected, but – due to their potential intrusiveness – can affect a large number of persons. As the frequency of these (often covert) measures increases, so does the actual and perceived risk of becoming a target of police, prosecutorial, or other security authorities. The Max Planck Institute for the Study of Crime, Security and Law (MPI-CSL) in Freiburg has developed an innovative concept for a surveillance barometer that facilitates the mapping and systematic assessment of the level of surveillance in Germany. For the first time, this tool provides a scientifically sound basis for an overall account and assessment of surveillance practices. It is to be continued a</w:t>
      </w:r>
    </w:p>
    <w:p>
      <w:pPr/>
      <w:r>
        <w:rPr>
          <w:b/>
        </w:rPr>
        <w:t>POSSIBLE 2024:</w:t>
      </w:r>
      <w:r>
        <w:t xml:space="preserve"> Prevalence and epidemiological characteristics of chronic pain in the Spanish population. Results from the pain barometer — https://doi.org/10.1002/ejp.4705</w:t>
      </w:r>
    </w:p>
    <w:p>
      <w:pPr/>
      <w:r>
        <w:rPr>
          <w:b/>
        </w:rPr>
        <w:t>Shared claim-specific concepts:</w:t>
      </w:r>
      <w:r>
        <w:t xml:space="preserve"> aim, barometer, consideration; EU scope not established. This is a provisional connection, not an outcome finding.</w:t>
      </w:r>
    </w:p>
    <w:p>
      <w:pPr>
        <w:pStyle w:val="SourceNote"/>
      </w:pPr>
      <w:r>
        <w:rPr>
          <w:b/>
        </w:rPr>
        <w:t>Available abstract (not full text):</w:t>
      </w:r>
      <w:r>
        <w:t xml:space="preserve"> BACKGROUND: Chronic pain (CP) is a public health problem worldwide. AIM: To update the prevalence of CP and compare the clinical and social characteristics of people with CP with those with non-chronic continuous pain and a group without pain. METHODS: An observational cross-sectional study was carried out in a representative sample of 7058 adults from the Spanish population. Sociodemographic data, the presence of CP and non-chronic continuous pain, characteristics of pain, limitations on activities of daily living (ADL), the presence and level of anxiety and depression (HADS), quality of life (SF-12v2) and social support (DUKE) were collected. Descriptive and bivariate analyses were performed. RESULTS: The prevalence of CP was 25.9% (95% CI;24.8-26.9) and that of non-chronic continuous pain was 7.7% (95% CI;7.1-8.3). Women presented a higher prevalence of both CP (30.5% vs. 21.3%) and non-chronic continuous pain (8.8% vs. 6.6%). CP was more common in the group between 55 and 75 years old (30.6%, 95% CI = 28.6-32.6%), non-chronic continuous pain affected most the population between 18 and 34 years old (11.2%, 95% CI = 9.6-12.7%). The median duration of CP was 4 years. The lumbar was the most frequent pain site (58.1%), and 27.1% did not know the cause. A greater frequency of limitations on ADL, more anxiety and depression, and worse quality of life were shown among the subjects</w:t>
      </w:r>
    </w:p>
    <w:p>
      <w:pPr/>
      <w:r>
        <w:rPr>
          <w:b/>
        </w:rPr>
        <w:t>POSSIBLE 2023:</w:t>
      </w:r>
      <w:r>
        <w:t xml:space="preserve"> A Review of the AGE Barometer 2023: EU Good Practices and Barriers in the Empowerment of Elderly in the Labour Market - The Case of Hungary — https://doi.org/10.47225/mg/15/42/14315</w:t>
      </w:r>
    </w:p>
    <w:p>
      <w:pPr/>
      <w:r>
        <w:rPr>
          <w:b/>
        </w:rPr>
        <w:t>Shared claim-specific concepts:</w:t>
      </w:r>
      <w:r>
        <w:t xml:space="preserve"> barometer, consideration, challenges; EU scope visible. This is a provisional connection, not an outcome finding.</w:t>
      </w:r>
    </w:p>
    <w:p>
      <w:pPr>
        <w:pStyle w:val="SourceNote"/>
      </w:pPr>
      <w:r>
        <w:rPr>
          <w:b/>
        </w:rPr>
        <w:t>Available abstract (not full text):</w:t>
      </w:r>
      <w:r>
        <w:t xml:space="preserve">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pPr/>
      <w:r>
        <w:rPr>
          <w:b/>
        </w:rPr>
        <w:t>POSSIBLE 2023:</w:t>
      </w:r>
      <w:r>
        <w:t xml:space="preserve"> Psychological science and its societal mission during the SARS‐CoV‐2 pandemic: The Motivation Barometer as an evidence‐informed policy instrument in Belgium — https://doi.org/10.1111/sipr.12101</w:t>
      </w:r>
    </w:p>
    <w:p>
      <w:pPr/>
      <w:r>
        <w:rPr>
          <w:b/>
        </w:rPr>
        <w:t>Shared claim-specific concepts:</w:t>
      </w:r>
      <w:r>
        <w:t xml:space="preserve"> barometer, take, challenges; EU scope visible. This is a provisional connection, not an outcome finding.</w:t>
      </w:r>
    </w:p>
    <w:p>
      <w:pPr>
        <w:pStyle w:val="SourceNote"/>
      </w:pPr>
      <w:r>
        <w:rPr>
          <w:b/>
        </w:rPr>
        <w:t>Available abstract (not full text):</w:t>
      </w:r>
      <w:r>
        <w:t xml:space="preserve"> Abstract Upon the outbreak of the SARS‐CoV‐2 virus, it was clear that the pandemic would not only entail physical but also psychological challenges and threats to individuals’ sustained motivation, behavioral adherence, and mental health. To encourage the Belgian authorities to take these psychological aspects into account, the Motivation Barometer, a large‐scale and dynamic survey, was launched in March 2020. Its purpose was to monitor cognitive, affective, and behavioral aspects of citizens’ functioning across the pandemic, with special attention given to motivational and social factors. In the present review, we provide a description of the methodology of the Motivation Barometer, we synthesize the key findings emerging from the Motivation Barometer, we clarify how these findings were used in practice to the benefit of different societal stakeholders (i.e., the broader public, policymakers, intermediate‐level organizations, and media), and we highlight its potential contribution for the management of other societal challenges (e.g., climate change, well‐being). We conclude that the Motivation Barometer was a critical policy instrument during the SARS‐CoV‐2 pandemic in Belgium. It helped to bridge the gap between social scientists, policymakers, the media, and the general public, and, as such, allowed to demonstrate the incremental value of psychological sciences for society.</w:t>
      </w:r>
    </w:p>
    <w:p>
      <w:pPr/>
      <w:r>
        <w:rPr>
          <w:b/>
        </w:rPr>
        <w:t>POSSIBLE 2022:</w:t>
      </w:r>
      <w:r>
        <w:t xml:space="preserve"> Machine learning application in soccer: a systematic review — https://doi.org/10.5114/biolsport.2023.112970</w:t>
      </w:r>
    </w:p>
    <w:p>
      <w:pPr/>
      <w:r>
        <w:rPr>
          <w:b/>
        </w:rPr>
        <w:t>Shared claim-specific concepts:</w:t>
      </w:r>
      <w:r>
        <w:t xml:space="preserve"> aim, learning, possibilities; EU scope not established. This is a provisional connection, not an outcome finding.</w:t>
      </w:r>
    </w:p>
    <w:p>
      <w:pPr>
        <w:pStyle w:val="SourceNote"/>
      </w:pPr>
      <w:r>
        <w:rPr>
          <w:b/>
        </w:rPr>
        <w:t>Available abstract (not full text):</w:t>
      </w:r>
      <w:r>
        <w:t xml:space="preserve"> Due to the chaotic nature of soccer, the predictive statistical models have become in a current challenge to decision-making based on scientific evidence. The aim of the present study was to systematically identify original studies that applied machine learning (ML) to soccer data, highlighting current possibilities in ML and future applications. A systematic review of PubMed, SPORTDiscus, and FECYT (Web of Sciences, CCC, DIIDW, KJD, MEDLINE, RSCI, and SCIELO) was performed according to the Preferred Reporting Items for Systematic Reviews and Meta-Analyses (PRISMA) guidelines. From the 145 studies initially identified, 32 were fully reviewed, and their outcome measures were extracted and analyzed. In summary, all articles were clustered into three groups: injury (n = 7); performance (n = 21), which was classified in match/league outcomes forecasting, physical/physiological forecasting, and technical/tactical forecasting; and the last group was about talent forecasting (n = 5). The development of technology, and subsequently the large amount of data available, has become ML in an important strategy to help team staff members in decision-making predicting dose-response relationship reducing the chaotic nature of this team sport. However, since ML models depend upon the amount of dataset, further studies should analyze the amount of data input needed make to a relevant predictive </w:t>
      </w:r>
    </w:p>
    <w:p>
      <w:pPr/>
      <w:r>
        <w:rPr>
          <w:b/>
        </w:rPr>
        <w:t>POSSIBLE 2022:</w:t>
      </w:r>
      <w:r>
        <w:t xml:space="preserve"> An Investigation and Analysis of College English Majors’ Autonomous Learning Ability in Ubiquitous Learning Environment — https://doi.org/10.1155/2022/9103148</w:t>
      </w:r>
    </w:p>
    <w:p>
      <w:pPr/>
      <w:r>
        <w:rPr>
          <w:b/>
        </w:rPr>
        <w:t>Shared claim-specific concepts:</w:t>
      </w:r>
      <w:r>
        <w:t xml:space="preserve"> learning, affect, school, teaching; EU scope not established. This is a provisional connection, not an outcome finding.</w:t>
      </w:r>
    </w:p>
    <w:p>
      <w:pPr>
        <w:pStyle w:val="SourceNote"/>
      </w:pPr>
      <w:r>
        <w:rPr>
          <w:b/>
        </w:rPr>
        <w:t>Available abstract (not full text):</w:t>
      </w:r>
      <w:r>
        <w:t xml:space="preserve"> In order to solve the problem that there are many places with poor learning ability of college English majors, this study conducts research, evaluation, and research on many places with poor learning ability. The independent learning ability of college students in different majors is obviously different, and majors affect the independent learning ability by 24.2%. Developing students' ability to succeed is a hot topic in teaching and learning. This study examines the self-learning ability of English majors in multiple subject areas by means of questionnaires and interviews. The study found that most UK adults had good self-control, but they showed improvements in self-planning, literacy and communication skills, and collaboration skills. The overall self-control ability is at a medium level and needs to be improved. At the same time, it discusses the necessity of improving learning ability and self-discipline in different learning environments, as well as strategies for improving academic ability, providing important guidance for supporting the academic development of the college new student. Compared with elementary and high school, the breadth and depth of knowledge acquired in school have expanded beyond textbooks. Classroom sound is fast and informative, requiring students to spend a lot of time after class to digest and understand. If students do not perform well in colleg</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aim, barometer, take;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r>
        <w:rPr>
          <w:b/>
        </w:rPr>
        <w:t>POSSIBLE 2021:</w:t>
      </w:r>
      <w:r>
        <w:t xml:space="preserve"> Business transfer promotion in European countries — https://openalex.org/W3180120901</w:t>
      </w:r>
    </w:p>
    <w:p>
      <w:pPr/>
      <w:r>
        <w:rPr>
          <w:b/>
        </w:rPr>
        <w:t>Shared claim-specific concepts:</w:t>
      </w:r>
      <w:r>
        <w:t xml:space="preserve"> aim, barometer, challenges; EU scope visible. This is a provisional connection, not an outcome finding.</w:t>
      </w:r>
    </w:p>
    <w:p>
      <w:pPr>
        <w:pStyle w:val="SourceNote"/>
      </w:pPr>
      <w:r>
        <w:rPr>
          <w:b/>
        </w:rPr>
        <w:t>Available abstract (not full text):</w:t>
      </w:r>
      <w:r>
        <w:t xml:space="preserve"> Business transfers are becoming an increasingly important and natural part of SMEs’ strategic development, renewal and growth. A business transfer can be a complex and demanding process due to financial, managerial, regulatory and administrative challenges. A well-developed business transfer ecosystem will help to develop dynamic business transfer markets and hence support the growth of SMEs. Promoting business transfers is the best possible promotion of growth entrepreneurship. At the European level, business transfers have been an issue in entrepreneurship policy since the early 1990s. Currently, the aim is to improve the evidence base on business transfers in the EU Member States. In the line with earlier development measures, Seinäjoki University of Applied Sciences implemented a case study collection on best practices of SME Business Transfer Promotion in the EU Member States. The main objectives are to 1) collect data on best practices in business transfer promotion, 2) collect preliminary data on business transfer ecosystems and 3) create and publish case stories of the best practices in business transfer promotion. An online survey was sent to 65 experts in 27 EU countries. The questionnaire resulted in responses representing 17 countries with 29 proposals for good practices. Based on these proposals, the research team chose 15 cases to represent best practices in promo</w:t>
      </w:r>
    </w:p>
    <w:p>
      <w:pPr/>
      <w:r>
        <w:rPr>
          <w:b/>
        </w:rPr>
        <w:t>POSSIBLE 2020:</w:t>
      </w:r>
      <w:r>
        <w:t xml:space="preserve"> COVID-19 and schooling: evaluation, assessment and accountability in times of crises—reacting quickly to explore key issues for policy, practice and research with the school barometer — https://doi.org/10.1007/s11092-020-09322-y</w:t>
      </w:r>
    </w:p>
    <w:p>
      <w:pPr/>
      <w:r>
        <w:rPr>
          <w:b/>
        </w:rPr>
        <w:t>Shared claim-specific concepts:</w:t>
      </w:r>
      <w:r>
        <w:t xml:space="preserve"> aim, barometer, challenges, school; EU scope visible. This is a provisional connection, not an outcome finding.</w:t>
      </w:r>
    </w:p>
    <w:p>
      <w:pPr>
        <w:pStyle w:val="SourceNote"/>
      </w:pPr>
      <w:r>
        <w:rPr>
          <w:b/>
        </w:rPr>
        <w:t>Available abstract (not full text):</w:t>
      </w:r>
      <w:r>
        <w:t xml:space="preserve"> The crisis caused by the COVID-19 virus has far-reaching effects in the field of education, as schools were closed in March 2020 in many countries around the world. In this article, we present and discuss the School Barometer, a fast survey (in terms of reaction time, time to answer and dissemination time) that was conducted in Germany, Austria and Switzerland during the early weeks of the school lockdown to assess and evaluate the current school situation caused by COVID-19. Later, the School Barometer was extended to an international survey, and some countries conducted the survey in their own languages. In Germany, Austria and Switzerland, 7116 persons participated in the German language version: 2222 parents, 2152 students, 1949 school staff, 655 school leaders, 58 school authority and 80 members of the school support system. The aim was to gather, analyse and present data in an exploratory way to inform policy, practice and further research. In this article, we present some exemplary first results and possible implications for policy, practice and research. Furthermore, we reflect on the strengths and limitations of the School Barometer and fast surveys as well as the methodological options for data collection and analysis when using a short monitoring survey approach. Specifically, we discuss the methodological challenges associated with survey data of this kind, includin</w:t>
      </w:r>
    </w:p>
    <w:p>
      <w:pPr/>
      <w:r>
        <w:rPr>
          <w:b/>
        </w:rPr>
        <w:t>POSSIBLE 2020:</w:t>
      </w:r>
      <w:r>
        <w:t xml:space="preserve"> COVID-19 and teacher education: a literature review of online teaching and learning practices — https://doi.org/10.1080/02619768.2020.1821184</w:t>
      </w:r>
    </w:p>
    <w:p>
      <w:pPr/>
      <w:r>
        <w:rPr>
          <w:b/>
        </w:rPr>
        <w:t>Shared claim-specific concepts:</w:t>
      </w:r>
      <w:r>
        <w:t xml:space="preserve"> learning, teaching; EU scope not established. This is a provisional connection, not an outcome finding.</w:t>
      </w:r>
    </w:p>
    <w:p>
      <w:pPr>
        <w:pStyle w:val="SourceNote"/>
      </w:pPr>
      <w:r>
        <w:rPr>
          <w:b/>
        </w:rPr>
        <w:t>Available abstract (not full text):</w:t>
      </w:r>
      <w:r>
        <w:t xml:space="preserve"> The COVID-19 pandemic has impacted education at all levels in various ways. Institutions and teacher educators had to quickly respond to an unexpected and ‘forced’ transition from face-to-face to remote teaching. They also had to create learning environments for student teachers doing their preparation in the light of the requirements of teacher education programmes and the conditions in which both universities and schools had to operate. This paper provides a review of the literature on online teaching and learning practices in teacher education. In total, 134 empirical studies were analysed. Online teaching and learning practices related to social, cognitive and teaching presence were identified. The findings highlighted the need for a comprehensive view of the pedagogy of online education that integrates technology to support teaching and learning. The implications of this study for the development of online teaching and learning practices are discussed. Suggestions for further research are also examined.</w:t>
      </w:r>
    </w:p>
    <w:p>
      <w:pPr/>
      <w:r>
        <w:rPr>
          <w:b/>
        </w:rPr>
        <w:t>POSSIBLE 2019:</w:t>
      </w:r>
      <w:r>
        <w:t xml:space="preserve"> IFAD RESEARCH SERIES 60 Investing in rural youth in the Near East, North Africa, Europe and Central Asia — https://doi.org/10.22004/ag.econ.302655</w:t>
      </w:r>
    </w:p>
    <w:p>
      <w:pPr/>
      <w:r>
        <w:rPr>
          <w:b/>
        </w:rPr>
        <w:t>Shared claim-specific concepts:</w:t>
      </w:r>
      <w:r>
        <w:t xml:space="preserve"> take, consideration, challenges; EU scope visible. This is a provisional connection, not an outcome finding.</w:t>
      </w:r>
    </w:p>
    <w:p>
      <w:pPr>
        <w:pStyle w:val="SourceNote"/>
      </w:pPr>
      <w:r>
        <w:rPr>
          <w:b/>
        </w:rPr>
        <w:t>Available abstract (not full text):</w:t>
      </w:r>
      <w:r>
        <w:t xml:space="preserve"> Countries of the Near East, North Africa, Europe and Central Asia region face a myriad of social, economic and political challenges that have stalled their structural and rural transformation processes. The region has the highest youth unemployment rates in the world. Weak education systems are failing to provide youth, especially in rural areas, with the skills they need to compete in a global economy. The resulting high rates of joblessness, unemployment and informal work have encouraged rural youth to migrate to urban areas and abroad in search of better opportunities. This study reviews the opportunities and challenges facing rural youth in the region and suggests a number of programmes and policy priorities that governments can take into consideration.</w:t>
      </w:r>
    </w:p>
    <w:p>
      <w:pPr>
        <w:pStyle w:val="Heading2"/>
      </w:pPr>
      <w:r>
        <w:t>852. Futuring European industry: assessing the ManuFuture road towards EU re-industrialization</w:t>
      </w:r>
    </w:p>
    <w:p>
      <w:pPr>
        <w:pStyle w:val="SourceNote"/>
      </w:pPr>
      <w:r>
        <w:rPr>
          <w:b/>
        </w:rPr>
        <w:t>Original source (2016):</w:t>
      </w:r>
      <w:r>
        <w:t xml:space="preserve"> https://doi.org/10.1007/s40309-016-0100-6</w:t>
      </w:r>
    </w:p>
    <w:p>
      <w:pPr/>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pPr/>
      <w:r>
        <w:rPr>
          <w:b/>
        </w:rPr>
        <w:t>POSSIBLE 2026:</w:t>
      </w:r>
      <w:r>
        <w:t xml:space="preserve"> A network analysis of systemic risk in the European banking sector — https://doi.org/10.1007/s10203-026-00600-w</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pPr/>
      <w:r>
        <w:rPr>
          <w:b/>
        </w:rPr>
        <w:t>POSSIBLE 2026:</w:t>
      </w:r>
      <w:r>
        <w:t xml:space="preserve"> Institutional Transformations of Multi-Level Governance in Ukraine under the Conditions of European Integration and Wartime Challenges — https://openalex.org/W7213573513</w:t>
      </w:r>
    </w:p>
    <w:p>
      <w:pPr/>
      <w:r>
        <w:rPr>
          <w:b/>
        </w:rPr>
        <w:t>Shared claim-specific concepts:</w:t>
      </w:r>
      <w:r>
        <w:t xml:space="preserve"> based, systemic, principles, framework; EU scope visible. This is a provisional connection, not an outcome finding.</w:t>
      </w:r>
    </w:p>
    <w:p>
      <w:pPr>
        <w:pStyle w:val="SourceNote"/>
      </w:pPr>
      <w:r>
        <w:rPr>
          <w:b/>
        </w:rPr>
        <w:t>Available abstract (not full text):</w:t>
      </w:r>
      <w:r>
        <w:t xml:space="preserve"> Abstract. The article examines the institutional transformations of multi-level governance in Ukraine in the context of European integration and wartime challenges. The study focuses on the structural changes in the territorial organization of public authority resulting from decentralization reform and assesses their compliance with the principles of the European multi-level governance (MLG) model. It is argued that decentralization has created institutional prerequisites for a polycentric system of public authority, particularly at the local level, by expanding the powers, resources, and decision-making autonomy of territorial communities. At the same time, the absence of synchronized institutional transformations at the subregional and regional levels has resulted in structural asymmetry and institutional inconsistency within the territorial organization of public authority. Particular attention is paid to the incomplete institutional transformation of regional governance, the limited role of oblast councils, the preservation of centralized administrative practices, and the uncertain institutional status of the subregional level. The article also examines how wartime conditions have intensified the tension between the need for centralized decision-making in the security sphere and the principles of decentralization and local autonomy. The analysis demonstrates that Ukraine ha</w:t>
      </w:r>
    </w:p>
    <w:p>
      <w:pPr/>
      <w:r>
        <w:rPr>
          <w:b/>
        </w:rPr>
        <w:t>POSSIBLE 2026:</w:t>
      </w:r>
      <w:r>
        <w:t xml:space="preserve"> Industrial energy transformation and multi-level governance: evidence from Germany — https://doi.org/10.32846/2306-9716/2026.eco.3-66.30</w:t>
      </w:r>
    </w:p>
    <w:p>
      <w:pPr/>
      <w:r>
        <w:rPr>
          <w:b/>
        </w:rPr>
        <w:t>Shared claim-specific concepts:</w:t>
      </w:r>
      <w:r>
        <w:t xml:space="preserve"> based, systemic, success, framework, process; EU scope visible. This is a provisional connection, not an outcome finding.</w:t>
      </w:r>
    </w:p>
    <w:p>
      <w:pPr>
        <w:pStyle w:val="SourceNote"/>
      </w:pPr>
      <w:r>
        <w:rPr>
          <w:b/>
        </w:rPr>
        <w:t>Available abstract (not full text):</w:t>
      </w:r>
      <w:r>
        <w:t xml:space="preserve"> This paper investigates the energy sector transformation in the German federal state of North Rhine-Westphalia as a process of systemic industrial restructuring within one of Europe's historically most carbon-intensive production regions.Drawing on an integrated analytical framework that combines legislative analysis with comparative empirical case studies, the study examines how climate-neutral transformation ambitions are operationalised in practice at the regional level.The analysis situates contemporary decarbonisation strategies within the long-term economic-historical pathway of the Ruhr industrial complex, characterised by strong path dependencies in fossil-fuel-based infrastructures, spatial industrial clustering, and high energy intensity.The findings demonstrate that energy transition in advanced manufacturing regions unfolds as a multidimensional reconfiguration of technological systems, infrastructure networks and governance arrangements, rather than as a linear substitution of energy carriers.The empirical analysis is based on six industrial transition case studies -Thyssenkrupp Steel tkH₂Steel, Carbon2Chem, STEAG / Iqony HydrOxy Hub Walsum, HyCologne regional hydrogen initiative, LyondellBasell MoReTec, and the Dortmund district heating modernisation -complemented by one municipal modernisation example, namely the renewable electricity procurement and public build</w:t>
      </w:r>
    </w:p>
    <w:p>
      <w:pPr/>
      <w:r>
        <w:rPr>
          <w:b/>
        </w:rPr>
        <w:t>POSSIBLE 2026:</w:t>
      </w:r>
      <w:r>
        <w:t xml:space="preserve"> Multi-Level Governance Through Public-Sector Intermediaries: Integration Versus Disintegration — https://doi.org/10.31083/mrev58329</w:t>
      </w:r>
    </w:p>
    <w:p>
      <w:pPr/>
      <w:r>
        <w:rPr>
          <w:b/>
        </w:rPr>
        <w:t>Shared claim-specific concepts:</w:t>
      </w:r>
      <w:r>
        <w:t xml:space="preserve"> based, process; EU scope not established. This is a provisional connection, not an outcome finding.</w:t>
      </w:r>
    </w:p>
    <w:p>
      <w:pPr>
        <w:pStyle w:val="SourceNote"/>
      </w:pPr>
      <w:r>
        <w:rPr>
          <w:b/>
        </w:rPr>
        <w:t>Available abstract (not full text):</w:t>
      </w:r>
      <w:r>
        <w:t xml:space="preserve"> This study investigates how public-sector intermediaries integrate their goals and functions across macro, meso, and micro system levels to support industry development, using the Swedish tourism sector as an empirical context. Drawing on the Three-Cycle Model of Innovation Efforts and a stakeholder–goal–function–outcome lens, the research conceptualizes public-sector intermediation as a dynamic, multi-scalar process shaped by institutional mandates, stakeholder expectations, and contextual constraints. Based on 15 semi-structured interviews, agenda-setting meetings, and document analysis across seven Swedish regions, the findings show that while intermediary goals often center on resource mobilization, networking, and development, their enacted functions are fluid and highly context-dependent. Integration across levels is frequently challenged by misaligned information structures, regulatory rigidity, fragmented digital infrastructures, and competing institutional logics, yet is enabled by adaptive mechanisms such as cross-sectoral networking, bidirectional translation work, and reflexive governance practices. The study contributes to theory by offering an extended conceptual model of goal–function integration, positioning public-sector intermediaries as boundary-spanning actors engaged in both downward policy translation and the upward articulation of situated knowledge. This</w:t>
      </w:r>
    </w:p>
    <w:p>
      <w:pPr/>
      <w:r>
        <w:rPr>
          <w:b/>
        </w:rPr>
        <w:t>POSSIBLE 2026:</w:t>
      </w:r>
      <w:r>
        <w:t xml:space="preserve"> Systemic Failure of Judicial Protection in Latvian Enforcement Proceedings: A Legal Assessment — https://doi.org/10.5281/zenodo.21709610</w:t>
      </w:r>
    </w:p>
    <w:p>
      <w:pPr/>
      <w:r>
        <w:rPr>
          <w:b/>
        </w:rPr>
        <w:t>Shared claim-specific concepts:</w:t>
      </w:r>
      <w:r>
        <w:t xml:space="preserve"> based, systemic, assessment, principles, process; EU scope visible. This is a provisional connection, not an outcome finding.</w:t>
      </w:r>
    </w:p>
    <w:p>
      <w:pPr>
        <w:pStyle w:val="SourceNote"/>
      </w:pPr>
      <w:r>
        <w:rPr>
          <w:b/>
        </w:rPr>
        <w:t>Available abstract (not full text):</w:t>
      </w:r>
      <w:r>
        <w:t xml:space="preserve"> Description This report presents an independent legal assessment of enforcement proceedings conducted in Latvia, examining whether the procedural actions and decisions taken during the enforcement process comply with Latvian law, the Charter of Fundamental Rights of the European Union, the European Convention on Human Rights, and internationally recognised principles of the rule of law. The analysis is based exclusively on official procedural documents, court decisions, enforcement records and other documentary evidence. Each procedural step is examined chronologically to evaluate its legality, procedural fairness, proportionality, reasoning, consistency and compliance with the principle of effective judicial protection. Particular attention is given to: procedural legality of enforcement measures; protection of property rights; access to justice and effective judicial protection; proportionality of enforcement actions; procedural fairness and equality of arms; assessment of evidence submitted by the debtor; duty to provide reasoned decisions; compliance with Articles 17, 41 and 47 of the Charter of Fundamental Rights of the European Union; compliance with Articles 6 and 13 of the European Convention on Human Rights. The report also examines whether the enforcement proceedings reveal systemic deficiencies affecting effective judicial protection, including situations in which pr</w:t>
      </w:r>
    </w:p>
    <w:p>
      <w:pPr/>
      <w:r>
        <w:rPr>
          <w:b/>
        </w:rPr>
        <w:t>POSSIBLE 2026:</w:t>
      </w:r>
      <w:r>
        <w:t xml:space="preserve"> A Scoping Review of Systemic Assessment for Clients Presenting in Adults with Traumatic Brain Injuries: Integrating Biopsychosocial and Family Systems Perspectives — https://doi.org/10.47772/ijriss.2026.100900136</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The complexity of traumatic brain injury (TBI) requires coordination across professional disciplines and across stages of recovery. Further, the multidimensional consequences of TBI demand an appraisal method that extends beyond neurological and physical impairment. In spite of the recognition that TBI affects interconnected biological, psychological, social, functional and family domains, it remains unclear how these domains are brought together during assessment. This scoping review maps and synthesises the existing evidence on assessment across biological, cognitive, psychological, social, functional, family, caregiver and relational domains; establishes the extent of family and inter-disciplinary involvement; and determines integration gaps. The review was conducted within the context of adult TBI care and rehabilitation. A total of 26 publications were included in the study. The inclusion criteria was articles based on primary research and published between January 2000 to September 2026 involving adults with TBI, The studies selected were published in English language. The search strategy involved a systematic, comprehensive search of PubMed/MEDLINE, Europe PubMed Central, and Director of Open Access Journals (DOAJ). Thematic analysis was then utilized to identify common categories and patterns across the extracted information, undertaking narrative content analysis to ca</w:t>
      </w:r>
    </w:p>
    <w:p>
      <w:pPr/>
      <w:r>
        <w:rPr>
          <w:b/>
        </w:rPr>
        <w:t>POSSIBLE 2026:</w:t>
      </w:r>
      <w:r>
        <w:t xml:space="preserve"> Advances in automated governance: Mitigating operational and systemic risks in multi-country delivery networks — https://doi.org/10.51594/gjabr.v4i4.218</w:t>
      </w:r>
    </w:p>
    <w:p>
      <w:pPr/>
      <w:r>
        <w:rPr>
          <w:b/>
        </w:rPr>
        <w:t>Shared claim-specific concepts:</w:t>
      </w:r>
      <w:r>
        <w:t xml:space="preserve"> systemic, principles; EU scope visible. This is a provisional connection, not an outcome finding.</w:t>
      </w:r>
    </w:p>
    <w:p>
      <w:pPr>
        <w:pStyle w:val="SourceNote"/>
      </w:pPr>
      <w:r>
        <w:rPr>
          <w:b/>
        </w:rPr>
        <w:t>Available abstract (not full text):</w:t>
      </w:r>
      <w:r>
        <w:t xml:space="preserve"> Multi-country delivery networks, the cross-border logistics and last-mile systems operated by parcel carriers, e-commerce marketplaces, quick-commerce platforms and freight forwarders, have become dense couplings of physical assets, contingent labour, algorithmic allocation systems and jurisdiction-specific legal obligations. Between 2023 and 2025 the governance burden on these networks changed in kind, not merely in degree: obligations moved from periodic, document-based reporting toward continuous, machine-readable and transaction-level proof. Regulation (EU) 2024/1689 (the AI Act), Directive (EU) 2024/2831 (the Platform Work Directive), the Carbon Border Adjustment Mechanism in its definitive phase, the Deforestation Regulation, Import Control System 2 and NIS2 each impose duties that cannot realistically be discharged by manual quarterly processes at the scale and tempo of modern delivery operations. This paper reviews the emergence of automated governance, defined here as the machine-executable specification, enforcement, evidencing and oversight of organisational obligations across a distributed operating network. We make four contributions. First, we distinguish operational risk from systemic risk in delivery networks and show that automation redistributes rather than eliminates risk, converting many small independent failures into fewer, larger and more correlated ones.</w:t>
      </w:r>
    </w:p>
    <w:p>
      <w:pPr/>
      <w:r>
        <w:rPr>
          <w:b/>
        </w:rPr>
        <w:t>POSSIBLE 2026:</w:t>
      </w:r>
      <w:r>
        <w:t xml:space="preserve"> Mapping Social Innovation in Systemic Approaches to Climate Neutrality: An Indicator-Based Analysis of 53 European Cities’ Actions — https://doi.org/10.3390/su18031496</w:t>
      </w:r>
    </w:p>
    <w:p>
      <w:pPr/>
      <w:r>
        <w:rPr>
          <w:b/>
        </w:rPr>
        <w:t>Shared claim-specific concepts:</w:t>
      </w:r>
      <w:r>
        <w:t xml:space="preserve"> based, systemic, assessment, approach; EU scope visible. This is a provisional connection, not an outcome finding.</w:t>
      </w:r>
    </w:p>
    <w:p>
      <w:pPr>
        <w:pStyle w:val="SourceNote"/>
      </w:pPr>
      <w:r>
        <w:rPr>
          <w:b/>
        </w:rPr>
        <w:t>Available abstract (not full text):</w:t>
      </w:r>
      <w:r>
        <w:t xml:space="preserve"> Municipalities aiming for climate neutrality and resilience must take a systemic approach to planning, implementing, and monitoring climate actions, to be able to mobilise the resources needed to achieve this ambitious goal. This involves complementing conventional top-down and technological measures with bottom-up and inclusive strategies that include not only citizen engagement but also the innovation of social practices. This study presents a comparative analysis of social innovation actions for climate neutrality planned by 53 cities from 21 countries participating in the Pilot Programme of the EU-funded project NetZeroCities. By identifying 445 actions across all cities’ pilot programmes and classifying them into 10 categories and 38 sub-categories, it is found that 53.71% of actions are linked with social innovation, offering timely insights into how social innovations are being designed in cities’ urban plans. The results reveal emerging patterns and geographical variations across Europe. With more than half of all social innovation interventions focused on stationary-energy and Scope-3-related emissions reduction, the analysis reveals that cities are increasingly relying on social innovation to foster the behavioural and socio-technical changes needed to shape sustainable energy use, consumption, and mobility patterns. These actions are based on co-creation, co-design, </w:t>
      </w:r>
    </w:p>
    <w:p>
      <w:pPr/>
      <w:r>
        <w:rPr>
          <w:b/>
        </w:rPr>
        <w:t>POSSIBLE 2026:</w:t>
      </w:r>
      <w:r>
        <w:t xml:space="preserve"> UNRAVELLING SYSTEMIC RISK DETERMINANTS IN THE EUROPEAN BANKING SECTOR: IS IT JUST A MATTER OF SIZE? — https://doi.org/10.1142/s2282717x26400013</w:t>
      </w:r>
    </w:p>
    <w:p>
      <w:pPr/>
      <w:r>
        <w:rPr>
          <w:b/>
        </w:rPr>
        <w:t>Shared claim-specific concepts:</w:t>
      </w:r>
      <w:r>
        <w:t xml:space="preserve"> systemic, factors, framework; EU scope visible. This is a provisional connection, not an outcome finding.</w:t>
      </w:r>
    </w:p>
    <w:p>
      <w:pPr>
        <w:pStyle w:val="SourceNote"/>
      </w:pPr>
      <w:r>
        <w:rPr>
          <w:b/>
        </w:rPr>
        <w:t>Available abstract (not full text):</w:t>
      </w:r>
      <w:r>
        <w:t xml:space="preserve"> Given the well-established role of banking sector instability in driving financial and economic crises, this paper investigates the potential determinants of systemic risk on a selected sample of European listed banks. Drawing from a comprehensive review of literature, we employ a novel Least Absolute Shrinkage and Selection Operator (LASSO) enhancement of a panel data regression model to pinpoint the balance-sheet factors that significantly explain the systemic risk levels of the banking institutions. The analysis highlights that the interbank exposures among banks — measured through metrics like the interbank ratio — greatly amplify systemic risk, particularly during crises. Distinctively from past literature, this finding underscores the importance of “interconnectedness” over bank size, with the latter exhibiting a nonlinear impact on systemic risk level. Furthermore, our findings suggest that excessive bank capital can amplify the systemic importance of institutions by fostering risk-taking behavior among highly capitalized banks. Methodologically, our LASSO-based framework enhances variable selection by filtering out statistical noise and mitigating multicollinearity issues, thereby isolating the most relevant drivers of systemic risk. From a regulatory standpoint, our findings advocate for supervisory frameworks that explicitly integrate interbank exposure metrics into c</w:t>
      </w:r>
    </w:p>
    <w:p>
      <w:pPr/>
      <w:r>
        <w:rPr>
          <w:b/>
        </w:rPr>
        <w:t>POSSIBLE 2026:</w:t>
      </w:r>
      <w:r>
        <w:t xml:space="preserve"> ESG and systemic risk in financial networks: High- vs. low-rated portfolios in Europe — https://doi.org/10.1016/j.iref.2026.105363</w:t>
      </w:r>
    </w:p>
    <w:p>
      <w:pPr/>
      <w:r>
        <w:rPr>
          <w:b/>
        </w:rPr>
        <w:t>Shared claim-specific concepts:</w:t>
      </w:r>
      <w:r>
        <w:t xml:space="preserve"> systemic, assessment, framework; EU scope visible. This is a provisional connection, not an outcome finding.</w:t>
      </w:r>
    </w:p>
    <w:p>
      <w:pPr>
        <w:pStyle w:val="SourceNote"/>
      </w:pPr>
      <w:r>
        <w:rPr>
          <w:b/>
        </w:rPr>
        <w:t>Available abstract (not full text):</w:t>
      </w:r>
      <w:r>
        <w:t xml:space="preserve"> This study examines ESG-integrated portfolio strategies within a dynamic, network-based framework applied to the European financial sector. While existing research has extensively analyzed the relationship between ESG performance and financial outcomes, most studies rely on static portfolio approaches or assess ESG characteristics independently of the systemic, directional, and time-varying interdependencies among financial institutions. To address this gap, we focus on the systemically connected core of the STOXX Europe 600 Financials index and propose a hybrid methodology that jointly incorporates dynamic conditional correlations (DCC-GARCH), Granger causality, and network filtering techniques. Using this framework, we construct minimum-variance portfolios composed of assets with high and low ESG scores and compare their performance over the period 2012–2023. Over the full sample, portfolios tilted toward lower ESG scores exhibit slightly higher total return, lower volatility and risk-adjusted performance. However, during 2023, portfolios composed of Maximum ESG institutions outperform the compared portfolios their Minimum ESG counterparts, delivering higher total return, lower volatility, and improved risk-adjusted metrics. This shift coincides with a period of intensified ESG regulation in Europe, including the implementation phase of the Corporate Sustainability Reporting </w:t>
      </w:r>
    </w:p>
    <w:p>
      <w:pPr/>
      <w:r>
        <w:rPr>
          <w:b/>
        </w:rPr>
        <w:t>POSSIBLE 2026:</w:t>
      </w:r>
      <w:r>
        <w:t xml:space="preserve"> Scenario-based sociotechnical envisioning (SSE): an approach to enhance systemic risk assessments — https://doi.org/10.1007/s43681-026-01084-5</w:t>
      </w:r>
    </w:p>
    <w:p>
      <w:pPr/>
      <w:r>
        <w:rPr>
          <w:b/>
        </w:rPr>
        <w:t>Shared claim-specific concepts:</w:t>
      </w:r>
      <w:r>
        <w:t xml:space="preserve"> systemic, assessment, approach, success, factors; EU scope not established. This is a provisional connection, not an outcome finding.</w:t>
      </w:r>
    </w:p>
    <w:p>
      <w:pPr>
        <w:pStyle w:val="SourceNote"/>
      </w:pPr>
      <w:r>
        <w:rPr>
          <w:b/>
        </w:rPr>
        <w:t>Available abstract (not full text):</w:t>
      </w:r>
      <w:r>
        <w:t xml:space="preserve"> Regulators and policy makers around the world have endorsed risk-based approaches for governing the challenges and opportunities from Artificial Intelligence (AI). In theory, these assessments should protect the public from the harmful impacts of AI, thus safeguarding important societal values such as the realization of fundamental rights. However, as an anticipatory decision-making tool, the success and legitimacy of risk-based regulatory approaches depend critically on methods that help policymakers and societal stakeholders anticipate how AI may impact a diverse citizenry, the many different ways in which technological change may unfold, and the factors that lead to desirable and less desirable visions of the future. In this paper, we first point out critical flaws in existing assessment methods and regulatory approaches and consequently identify the need to complement current approaches to risk assessment. We call on scholars, policy makers, and the technology industry to engage in anticipatory approaches that go beyond compliance and checklist exercises and acknowledge the responsibility they have for impacts that go beyond what is known. Second, we propose a concrete empirical approach to address our concerns: Scenario-Based Sociotechnical Envisioning (SSE). By using SSE, practitioners can make assessments more inclusive, more aware of the socio-technical context in which</w:t>
      </w:r>
    </w:p>
    <w:p>
      <w:pPr/>
      <w:r>
        <w:rPr>
          <w:b/>
        </w:rPr>
        <w:t>POSSIBLE 2026:</w:t>
      </w:r>
      <w:r>
        <w:t xml:space="preserve"> Weaponised interdependence and European energy security: Infrastructure, systemic vulnerability, and the post-2022 transformation — https://doi.org/10.35467/sdq/226337</w:t>
      </w:r>
    </w:p>
    <w:p>
      <w:pPr/>
      <w:r>
        <w:rPr>
          <w:b/>
        </w:rPr>
        <w:t>Shared claim-specific concepts:</w:t>
      </w:r>
      <w:r>
        <w:t xml:space="preserve"> systemic, framework; EU scope visible. This is a provisional connection, not an outcome finding.</w:t>
      </w:r>
    </w:p>
    <w:p>
      <w:pPr>
        <w:pStyle w:val="SourceNote"/>
      </w:pPr>
      <w:r>
        <w:rPr>
          <w:b/>
        </w:rPr>
        <w:t>Available abstract (not full text):</w:t>
      </w:r>
      <w:r>
        <w:t xml:space="preserve"> This article extends a concept developed by Farrell and Newman (2019) beyond its original financial and digital domains to physical energy infrastructure, examining how the Russia–Ukraine war has transformed European energy security from a market-based relationship into a condition of systemic vulnerability. The analysis employs qualitative document analysis of publicly available European Union’s policy instruments, International Energy Agency’s market reports, and European Union Agency for Cybersecurity’s threat assessments, structured around a three-domain framework encompassing physical infrastructure, digital systems, and governance arrangements. Diversification strategies implemented after 2022 reduced dependence on Russian energy but simultaneously reconfigured systemic vulnerability across all three domains: liquified natural gas (LNG) import concentration and deployment of floating storage and regasification units created new physical chokepoints; supervisory control and data acquisition and digital vendor dependencies introduced persistent digital interdependencies; and governance fragmentation among member states amplified vulnerability by producing uneven resilience across interconnected systems. European energy security must be reconceptualised as the management of systemic interdependence across interconnected physical, digital, and institutional domains. The artic</w:t>
      </w:r>
    </w:p>
    <w:p>
      <w:pPr>
        <w:pStyle w:val="Heading2"/>
      </w:pPr>
      <w:r>
        <w:t>853. GLOBAL FORECAST OF US NATIONAL INTELLIGENCE COUNCIL</w:t>
      </w:r>
    </w:p>
    <w:p>
      <w:pPr>
        <w:pStyle w:val="SourceNote"/>
      </w:pPr>
      <w:r>
        <w:rPr>
          <w:b/>
        </w:rPr>
        <w:t>Original source (2016):</w:t>
      </w:r>
      <w:r>
        <w:t xml:space="preserve"> https://doi.org/10.20542/0131-2227-2016-60-11-5-13</w:t>
      </w:r>
    </w:p>
    <w:p>
      <w:pPr/>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pPr/>
      <w:r>
        <w:rPr>
          <w:b/>
        </w:rPr>
        <w:t>POSSIBLE 2026:</w:t>
      </w:r>
      <w:r>
        <w:t xml:space="preserve"> Factors Influencing Long-term Home Care for Patients with Tracheostomy from the Perspectives of their Family Members — https://doi.org/10.4103/ijnmr.ijnmr_379_24</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Family caregivers are the principal caregivers of patients with tracheostomy and can reduce the risk of re-hospitalization through giving quality care to their patients. Caregiving to patients with tracheostomy is a complex process influenced by many different factors. However, there are inadequate data about these factors, and hence, this study aimed at exploring the factors influencing long-term home care for patients with tracheostomy from the perspectives of their family caregivers. Materials and Methods: We conducted this descriptive qualitative study in 2023-2024. Participants were nine family caregivers, one patient with a tracheostomy history of three years, a home care nurse, and an anesthesiologist purposefully selected from Mazandaran, Iran. Data were collected through 12 in-depth semi-structured interviews and were analyzed through conventional content analysis. The criteria proposed by Lincoln and Guba were used to ensure trustworthiness. Results: The three main categories of the factors influencing long-term home care for patients with tracheostomy were healthcare system dysfunction, challenges of tracheostomy care, and effective management of tracheostomy care. These three categories had 13 subcategories. Conclusions: Careful attention to the special needs of patients with tracheostomy, close collaboration among healthcare professionals and family car</w:t>
      </w:r>
    </w:p>
    <w:p>
      <w:pPr/>
      <w:r>
        <w:rPr>
          <w:b/>
        </w:rPr>
        <w:t>POSSIBLE 2026:</w:t>
      </w:r>
      <w:r>
        <w:t xml:space="preserve"> I-P10Sky Projection of the Free-State Background — https://doi.org/10.5281/zenodo.21548281</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Current cosmology usually interprets the cosmic microwave background (CMB) as the remnant radiation from the last scattering surface of the early hot plasma, and within this framework characterises its statistical structure by parameters such as the scalar spectral index n_s, the tensor‑to‑scalar ratio r, and low‑multipole anomalies. This framework is extremely successful in data processing, but at a deeper ontological level the CMB is still primarily understood as “a relic image of some early fireball stage.” This paper, building on the background‑skeleton object syntax, cosmological bridging, dark‑component division of labour, large‑scale structure, and background‑projection main line already accomplished in the three‑pillar system of Non‑manifest Selection of Being, invokes only the minimal public interfaces directly relevant to the CMB. It addresses three questions: what is the object‑position of the CMB in the new paradigm; why a slightly red‑tilted scalar spectrum should appear; and why the primordial B-mode window is naturally extremely weak, accompanied by low‑l suppression. Our core conclusions are threefold. First, the CMB should not be primarily regarded as the “afterglow of the last scattering surface,” but should be rewritten as: the all‑sky low‑energy projection of the free‑state‑dominated background at observational scales. Define the sky anisotropy field as $$\v</w:t>
      </w:r>
    </w:p>
    <w:p>
      <w:pPr/>
      <w:r>
        <w:rPr>
          <w:b/>
        </w:rPr>
        <w:t>POSSIBLE 2025:</w:t>
      </w:r>
      <w:r>
        <w:t xml:space="preserve"> Factors Affecting Long-Term Outcomes for Patients with Inflammatory Bowel Disease—A Cross-Sectional Design — https://doi.org/10.3390/nursrep15070231</w:t>
      </w:r>
    </w:p>
    <w:p>
      <w:pPr/>
      <w:r>
        <w:rPr>
          <w:b/>
        </w:rPr>
        <w:t>Shared claim-specific concepts:</w:t>
      </w:r>
      <w:r>
        <w:t xml:space="preserve"> background, factors, long-term; EU scope visible. This is a provisional connection, not an outcome finding.</w:t>
      </w:r>
    </w:p>
    <w:p>
      <w:pPr>
        <w:pStyle w:val="SourceNote"/>
      </w:pPr>
      <w:r>
        <w:rPr>
          <w:b/>
        </w:rPr>
        <w:t>Available abstract (not full text):</w:t>
      </w:r>
      <w:r>
        <w:t xml:space="preserve"> Background: Symptoms of and treatments for inflammatory bowel disease have an impact on patients’ health-related quality of life and result in a need for self-care strategies. Little is known about factors affecting long-term outcomes and the types of coping strategies used by adult patients with inflammatory bowel disease to better cope with their chronic illness. Objective: This study aims to explore coping strategies, social support, and health-related quality of life and describe factors affecting long-term outcomes for patients with inflammatory bowel disease. Methods: A cross-sectional design was used, with a consecutive sample of 206 patients with inflammatory bowel disease who were recruited at three gastroenterology clinics in Sweden and given surveys consisting of patient characteristics, the Brief COPE, and a social support questionnaire. Descriptive statistics were used to analyze the data. This study was guided by Strengthening the Reporting of Observational Studies in Epidemiology (STROBE) guidelines. Results: The sample was 53% women and included 206 patients with a median age of 48 years. The coping mechanisms often used were active coping methods (problem-focused). Most of the patients had someone special by whom they felt supported (89%). Gender differences were shown for emotional support and whether the patients had someone they felt close to. According to t</w:t>
      </w:r>
    </w:p>
    <w:p>
      <w:pPr/>
      <w:r>
        <w:rPr>
          <w:b/>
        </w:rPr>
        <w:t>POSSIBLE 2025:</w:t>
      </w:r>
      <w:r>
        <w:t xml:space="preserve"> Trend of Temperature Change in Shanghai: Long-Term Observations and Driving Factors — https://doi.org/10.61173/nb2p0h11</w:t>
      </w:r>
    </w:p>
    <w:p>
      <w:pPr/>
      <w:r>
        <w:rPr>
          <w:b/>
        </w:rPr>
        <w:t>Shared claim-specific concepts:</w:t>
      </w:r>
      <w:r>
        <w:t xml:space="preserve"> factors, long-term; EU scope not established. This is a provisional connection, not an outcome finding.</w:t>
      </w:r>
    </w:p>
    <w:p>
      <w:pPr>
        <w:pStyle w:val="SourceNote"/>
      </w:pPr>
      <w:r>
        <w:rPr>
          <w:b/>
        </w:rPr>
        <w:t>Available abstract (not full text):</w:t>
      </w:r>
      <w:r>
        <w:t xml:space="preserve"> The purpose is to provide suggestions to urban planning activities based on previous data. The topic of this paper is extreme temperature and the temperature changing trend. In the previous research, there is a gap, the gap is that the previous researches only focus on the study of urban areas but ignores the suburban areas around, so it is not very helpful for future urban planning. This research is a literature review, where the research reports made by scientists based on previous studies are examined. Then all the data will be analyzed and presented in tables, using figures to illustrate the findings. The gaps in the research have also been found, so this research then determines what can be improved in order to make it more reliable and more helpful for future development and urban planning. What the research found is that urbanization is very closely related to the rising temperature trend because of the urban heat island effect. The conclusion is that the research should be further strengthened so that the results will be more useful for urban planning in the future.</w:t>
      </w:r>
    </w:p>
    <w:p>
      <w:pPr/>
      <w:r>
        <w:rPr>
          <w:b/>
        </w:rPr>
        <w:t>POSSIBLE 2025:</w:t>
      </w:r>
      <w:r>
        <w:t xml:space="preserve"> Analysis of Beam Background for Time Projection Chamber at the High Luminosity Z-Pole Mode — https://doi.org/10.22323/1.476.1119</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As a superior performance gas particle track detector with a low mass, simple geometric structure and simple process of physics, time projection chamber (TPC) is chosen as the main tracker detector of the Circular Electron-Positron Collider (CEPC). Being a potential constraint for the capability of TPC, the beam background in interaction region of CEPC is discussed in the newest CEPC detector technical design report (TDR). This article shows the simulation results of the beam background of CEPC Z-pole mode, and gives an optimistic estimate.</w:t>
      </w:r>
    </w:p>
    <w:p>
      <w:pPr/>
      <w:r>
        <w:rPr>
          <w:b/>
        </w:rPr>
        <w:t>POSSIBLE 2025:</w:t>
      </w:r>
      <w:r>
        <w:t xml:space="preserve"> Long-Term 30-Year Variation (1990s-2020) of Background Tropospheric Ozone Concentration at Japanese Remote Stations — https://doi.org/10.2151/sola.2025-012</w:t>
      </w:r>
    </w:p>
    <w:p>
      <w:pPr/>
      <w:r>
        <w:rPr>
          <w:b/>
        </w:rPr>
        <w:t>Shared claim-specific concepts:</w:t>
      </w:r>
      <w:r>
        <w:t xml:space="preserve"> background, trends, long-term; EU scope not established. This is a provisional connection, not an outcome finding.</w:t>
      </w:r>
    </w:p>
    <w:p>
      <w:pPr>
        <w:pStyle w:val="SourceNote"/>
      </w:pPr>
      <w:r>
        <w:rPr>
          <w:b/>
        </w:rPr>
        <w:t>Available abstract (not full text):</w:t>
      </w:r>
      <w:r>
        <w:t xml:space="preserve"> Tropospheric ozone (O3) is an air pollutant and greenhouse gas and is still a problem in East Asia. O3 is formed via secondary photochemistry from nitrogen oxide (NOx) and volatile organic compound (VOC) precursors. Because of the increase in anthropogenic emissions globally, changes in O3 concentration over the Northern Hemisphere have been a concern. In this study, using measurements at three remote sites conducted by the Japan Meteorological Agency (JMA), the 30-year (1990s to 2020) long-term trend of background O3 concentration was analyzed. The results of the fitted curve revealed that background O3 concentration has changed by within ±0.3 ppbv/year over 30 years. The increasing trend at Ryori (39.03°N, 141.82°E) peaked in 2009 and then decreased, agreeing well with other reports in the mid-latitude zone (40°N-55°N). In contrast, the present study revealed continuous decreasing trends at Minamitorishima (24.28°N, 153.98°E) and Yonagunijima (24.47°N, 123.02°E) at lower latitudes. In addition, the analysis for 2020 clarified that the frequency density shifted to a lower O3 concentration compared with the dataset for the 1990s to 2019 at all three remote sites in Japan. This suggested that the emission reduction resulting from the COVID-19 pandemic could be a factor causing the decreasing background O3 concentration.</w:t>
      </w:r>
    </w:p>
    <w:p>
      <w:pPr/>
      <w:r>
        <w:rPr>
          <w:b/>
        </w:rPr>
        <w:t>POSSIBLE 2024:</w:t>
      </w:r>
      <w:r>
        <w:t xml:space="preserve"> INDUSTRIAL TOURISM OF ORENBURG REGION: BACKGROUND OF DEVELOPMENT AND MAIN CENTERS — https://doi.org/10.34660/inf.2019.18.38833</w:t>
      </w:r>
    </w:p>
    <w:p>
      <w:pPr/>
      <w:r>
        <w:rPr>
          <w:b/>
        </w:rPr>
        <w:t>Shared claim-specific concepts:</w:t>
      </w:r>
      <w:r>
        <w:t xml:space="preserve"> background, main; EU scope not established. This is a provisional connection, not an outcome finding.</w:t>
      </w:r>
    </w:p>
    <w:p>
      <w:pPr>
        <w:pStyle w:val="SourceNote"/>
      </w:pPr>
      <w:r>
        <w:rPr>
          <w:b/>
        </w:rPr>
        <w:t>Available abstract (not full text):</w:t>
      </w:r>
      <w:r>
        <w:t xml:space="preserve"> 这些会议文集结合了会议的材料 -研究论文和科学工作 者的论文报告。 它考察了职业化人格的技术和社会学问题。 一些文章涉及人格职业化研究问题的理论和方法论方法和原 则。 作者对所引用的出版物，事实，数字，引用，统计数据，专 有名称和其他信息的准确性负责 These Conference Proceedings combine materials of the conference -research papers and thesis reports of scientific workers.They examines tecnical and sociological issues of research issues.Some articles deal with theoretical and methodological approaches and principles of research questions of personality professionalization.Authors are responsible for the accuracy of cited publications, facts, figures, quotations, statistics, proper names and other information.</w:t>
      </w:r>
    </w:p>
    <w:p>
      <w:pPr/>
      <w:r>
        <w:rPr>
          <w:b/>
        </w:rPr>
        <w:t>POSSIBLE 2024:</w:t>
      </w:r>
      <w:r>
        <w:t xml:space="preserve"> Long-term effects of climate factors on dengue fever over a 40-year period — https://doi.org/10.1186/s12889-024-18869-0</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Dengue fever stands as one of the most extensively disseminated mosquito-borne infectious diseases worldwide. While numerous studies have investigated its influencing factors, a gap remains in long-term analysis, impeding the identification of temporal patterns, periodicity in transmission, and the development of effective prevention and control strategies. Thus, we aim to analyze the periodicity of dengue fever incidence and explore the association between various climate factors and the disease over an extended time series. METHODS: By utilizing monthly dengue fever cases and climate data spanning four decades (1978-2018) in Guangdong province, China, we employed wavelet analysis to detect dengue fever periodicity and analyze the time-lag relationship with climate factors. Additionally, Geodetector q statistic was employed to quantify the explanatory power of each climate factor and assess interaction effects. RESULTS: Our findings revealed a prolonged transmission period of dengue fever over the 40-year period, transitioning from August to November in the 1970s to nearly year-round in the 2010s. Moreover, we observed lags of 1.5, 3.5, and 3 months between dengue fever and temperature, relative humidity, and precipitation, respectively. The explanatory power of precipitation, temperature, relative humidity, and the Oceanic Niño Index (ONI) on dengue fever was dete</w:t>
      </w:r>
    </w:p>
    <w:p>
      <w:pPr/>
      <w:r>
        <w:rPr>
          <w:b/>
        </w:rPr>
        <w:t>POSSIBLE 2024:</w:t>
      </w:r>
      <w:r>
        <w:t xml:space="preserve"> A Background in Computing — https://doi.org/10.4324/9781003493563-2</w:t>
      </w:r>
    </w:p>
    <w:p>
      <w:pPr/>
      <w:r>
        <w:rPr>
          <w:b/>
        </w:rPr>
        <w:t>Shared claim-specific concepts:</w:t>
      </w:r>
      <w:r>
        <w:t xml:space="preserve"> background, main, intelligence; EU scope not established. This is a provisional connection, not an outcome finding.</w:t>
      </w:r>
    </w:p>
    <w:p>
      <w:pPr>
        <w:pStyle w:val="SourceNote"/>
      </w:pPr>
      <w:r>
        <w:rPr>
          <w:b/>
        </w:rPr>
        <w:t>Available abstract (not full text):</w:t>
      </w:r>
      <w:r>
        <w:t xml:space="preserve"> One of the main challenges that scholars face in engaging with GenAI in Writing and Education is in our understanding of the discourse and dispositions of the fields of Computer Science, Data Science, and Computational Linguistics that brought GenAI into being. This chapter introduces the underlying dispositions and heuristics that are involved in how computational systems are developed to solve human problems. These concepts in computing—most notably computational thinking—give us a much better understanding of why each approach to building computer systems that interact with natural language are the way they are. The chapter moves to a discussion of what artificial intelligence is—or at least how we might think of it in a way that is more useful than that offered by science fiction.</w:t>
      </w:r>
    </w:p>
    <w:p>
      <w:pPr/>
      <w:r>
        <w:rPr>
          <w:b/>
        </w:rPr>
        <w:t>POSSIBLE 2024:</w:t>
      </w:r>
      <w:r>
        <w:t xml:space="preserve"> Effectiveness of ultra-long-term lithium treatment: relevant factors and case series — https://doi.org/10.1186/s40345-024-00328-9</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The phenomenon of preventing the recurrences of mood disorders by the long-term lithium administration was discovered sixty years ago. Such a property of lithium has been unequivocally confirmed in subsequent years, and the procedure makes nowadays the gold standard for the pharmacological prophylaxis of bipolar disorder (BD). The efficacy of lithium prophylaxis surpasses other mood stabilizers, and the drug has the longest record as far as the duration of its administration is concerned. The continuation of lithium administration in case of good response could be a lifetime and last for several decades. The stability of lithium prophylactic efficacy in most patients is pretty steady. However, resuming lithium after its discontinuation may, in some patients, be less efficient. MAIN BODY: In the article, the clinical and biological factors connected with the prophylactic efficacy of long-term lithium administration are listed. Next, the adverse and beneficial side effects of such longitudinal treatment are presented. The main problems of long-term lithium therapy, which could make an obstacle to lithium continuation, are connected with lithium's adverse effects on the kidney and, to lesser extent, on thyroid and parathyroid functions. In the paper, the management of these adversities is proposed. Finally, the case reports of three patients who have completed 50 years</w:t>
      </w:r>
    </w:p>
    <w:p>
      <w:pPr/>
      <w:r>
        <w:rPr>
          <w:b/>
        </w:rPr>
        <w:t>POSSIBLE 2024:</w:t>
      </w:r>
      <w:r>
        <w:t xml:space="preserve"> Research on Long-term Development Path of Rural Cultural Tourism under the Background of Rural Revitalization — https://doi.org/10.62381/e244510</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With the proposal of rural revitalization strategy, more and more towns pay attention to the development of local cultural industry and tourism. Through the development of cultural tourism industry to stimulate regional economic development, and then promote the overall development of rural areas. Aiming at the current status quo of the development of rural cultural tourism, such as scattered brands and insufficient overall influence, this paper first investigats the current research status of domestic scholars on rural cultural tourism and relevant roads issued by the country, and then analyzes the main problems existing in the current development process of rural cultural tourism. Finally, it puts forward the development path of integration and reconstruction of six measures: country support, digital empowerment, brand creation, regional culture deepening, cultural and creative talents training and industrial integration. Through the promotion of the integrated development of culture and tourism, rural revitalization will be promoted to promote the faster and better development of regional rural economy.</w:t>
      </w:r>
    </w:p>
    <w:p>
      <w:pPr/>
      <w:r>
        <w:rPr>
          <w:b/>
        </w:rPr>
        <w:t>POSSIBLE 2024:</w:t>
      </w:r>
      <w:r>
        <w:t xml:space="preserve"> Objectives and background — https://doi.org/10.1201/9781003580324-2</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The main objectives of this book are: to describe the work performed to develop a new test methodology to characterise the susceptibility of stainless steels to crevice corrosion in natural and treated seawaters; to describe the experimental procedures to perform crevice corrosion testing according to the proposed new test specifications. For years, many methods have been developed to characterise the crevice corrosion behaviour of stainless steels, but the majority of these are of a comparative nature, aimed only at ranking alloys [2] . Until now, no test methods have been recognised for testing passive materials such as stainless steels in marine environments. Many different forms of test set-up have been used, often giving different and varying results. Furthermore, the test procedures may vary somewhat between laboratories, as in-house modifications are applied instead of descriptions given in the test specification. This also contributes to the difficulties in comparing tests between test laboratories. Therefore, there is a need to develop a test method for passive metals to reflect reliably and reproducibly the long-term corrosion behaviour of these materials. There is a general agreement that the main corrosion risk in practical applications is crevice corrosion and that any qualification test should be a crevice corrosion test. The development of a reliable and reproduc</w:t>
      </w:r>
    </w:p>
    <w:p>
      <w:pPr>
        <w:pStyle w:val="Heading2"/>
      </w:pPr>
      <w:r>
        <w:t>854. Global food security: assessing trends in view of guiding future EU policies</w:t>
      </w:r>
    </w:p>
    <w:p>
      <w:pPr>
        <w:pStyle w:val="SourceNote"/>
      </w:pPr>
      <w:r>
        <w:rPr>
          <w:b/>
        </w:rPr>
        <w:t>Original source (2016):</w:t>
      </w:r>
      <w:r>
        <w:t xml:space="preserve"> https://doi.org/10.1108/fs-07-2015-0040</w:t>
      </w:r>
    </w:p>
    <w:p>
      <w:pPr/>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five;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2026:</w:t>
      </w:r>
      <w:r>
        <w:t xml:space="preserve"> Comparing Intelligence and Foresight: Fraternal Twins? — https://doi.org/10.1007/978-3-032-11892-9_4</w:t>
      </w:r>
    </w:p>
    <w:p>
      <w:pPr/>
      <w:r>
        <w:rPr>
          <w:b/>
        </w:rPr>
        <w:t>Shared claim-specific concepts:</w:t>
      </w:r>
      <w:r>
        <w:t xml:space="preserve"> foresight, security;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following, five, current;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based, systems;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What explains the implementation gap in foresight-designed policies? Evidence from a regional development strategy in Chile — https://doi.org/10.1186/s40309-026-00297-5</w:t>
      </w:r>
    </w:p>
    <w:p>
      <w:pPr/>
      <w:r>
        <w:rPr>
          <w:b/>
        </w:rPr>
        <w:t>Shared claim-specific concepts:</w:t>
      </w:r>
      <w:r>
        <w:t xml:space="preserve"> foresight, based, challenge, policies; EU scope not established. This is a provisional connection, not an outcome finding.</w:t>
      </w:r>
    </w:p>
    <w:p>
      <w:pPr>
        <w:pStyle w:val="SourceNote"/>
      </w:pPr>
      <w:r>
        <w:rPr>
          <w:b/>
        </w:rPr>
        <w:t>Available abstract (not full text):</w:t>
      </w:r>
      <w:r>
        <w:t xml:space="preserve"> Abstract Foresight and strategic planning have been widely recommended in public policy design to reduce uncertainty and improve governance. However, the gap between a foresight-designed public policy and its effective implementation remains a critical challenge for long-term governance, especially given the limited empirical evidence on how these designs perform during the implementation phase. In Chile, Regional Development Strategies (RDS) articulate visions of the future to guide territorial action, but their implementation has been little examined from the perspective of implementation theory and future studies. This article analyzes the implementation process of the RDS of the Los Ríos Region in Chile (2009–2019) using Matland''s Ambiguity-Conflict model and its subsequent analytical operationalization by Van Gossum et al. Using a qualitative case study approach based on documentary analysis and structured interviews, the results of the implementation are analyzed in three categories: resources, networks, and rules. The results reveal that, although foresight initially managed to generate conditions conducive to an administrative implementation , in the process, the Los Ríos RDS evolved towards a political implementation . The findings show that the absence of financial resources, the rotation of authorities, high discretionary power, and the lack of monitoring and evalua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designed, based, systems, security, reach;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foresight, drivers, current;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systems, drivers, security, consensus, policies;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Foresight za načrtovanje konkurenčnosti Podonavske regije — https://openalex.org/W7219165149</w:t>
      </w:r>
    </w:p>
    <w:p>
      <w:pPr/>
      <w:r>
        <w:rPr>
          <w:b/>
        </w:rPr>
        <w:t>Shared claim-specific concepts:</w:t>
      </w:r>
      <w:r>
        <w:t xml:space="preserve"> foresight, crucial, vision;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2025:</w:t>
      </w:r>
      <w:r>
        <w:t xml:space="preserve"> Strategic Foresight for Sustainable Development in the European Union: The Role of Entrepreneurship — https://doi.org/10.34021/ve.2025.08.03(2)</w:t>
      </w:r>
    </w:p>
    <w:p>
      <w:pPr/>
      <w:r>
        <w:rPr>
          <w:b/>
        </w:rPr>
        <w:t>Shared claim-specific concepts:</w:t>
      </w:r>
      <w:r>
        <w:t xml:space="preserve"> foresight, objectives, analyse; EU scope visible. This is a provisional connection, not an outcome finding.</w:t>
      </w:r>
    </w:p>
    <w:p>
      <w:pPr>
        <w:pStyle w:val="SourceNote"/>
      </w:pPr>
      <w:r>
        <w:rPr>
          <w:b/>
        </w:rPr>
        <w:t>Available abstract (not full text):</w:t>
      </w:r>
      <w:r>
        <w:t xml:space="preserve"> Sustainable development has become a strategic priority for the European Union (EU), requiring coordinated institutional, economic and entrepreneurial transformations. While a growing body of literature recognises entrepreneurship as an important mechanism for advancing sustainability objectives, empirical evidence on how structural features of the business environment influence sustainability trajectories at the macroeconomic level remains fragmented. In particular, the dynamic relationships among sustainable development, business regulation and market openness across EU countries remain insufficiently understood. The objective of this study is to analyse how business regulation and market openness influence entrepreneurship-driven progress towards sustainable development in the European Union and to examine the dynamic interactions among these institutional and economic dimensions. The empirical analysis employs an annual panel dataset covering 27 EU member states for the period 2010–2024. The study applies a panel vector autoregression (PVAR) framework combined with Granger causality testing and impulse response analysis to capture short-run and long-run relationships among sustainable development, regulatory quality and market openness. The results reveal strong persistence and path dependence in sustainable development trajectories. Business regulation does not exert stati</w:t>
      </w:r>
    </w:p>
    <w:p>
      <w:pPr/>
      <w:r>
        <w:rPr>
          <w:b/>
        </w:rPr>
        <w:t>POSSIBLE 2025:</w:t>
      </w:r>
      <w:r>
        <w:t xml:space="preserve"> A Reflection on Foresight in Human Resource Provision in the Judiciary — https://doi.org/10.61838/kman.jpdot.183</w:t>
      </w:r>
    </w:p>
    <w:p>
      <w:pPr/>
      <w:r>
        <w:rPr>
          <w:b/>
        </w:rPr>
        <w:t>Shared claim-specific concepts:</w:t>
      </w:r>
      <w:r>
        <w:t xml:space="preserve"> foresight, based, systems; EU scope not established. This is a provisional connection, not an outcome finding.</w:t>
      </w:r>
    </w:p>
    <w:p>
      <w:pPr>
        <w:pStyle w:val="SourceNote"/>
      </w:pPr>
      <w:r>
        <w:rPr>
          <w:b/>
        </w:rPr>
        <w:t>Available abstract (not full text):</w:t>
      </w:r>
      <w:r>
        <w:t xml:space="preserve"> In today’s rapidly evolving era, futures studies offer a structured opportunity for examining transformations and envisioning a desirable outlook for policymakers, particularly in labor-intensive organizations. Accordingly, this article aims to present a reasoned discussion on rethinking a foresight model in the domain of human resource provision and its requirements within the Judiciary. To this end, the research method was qualitative, employing the Delphi method based on the STEEP model. Data were collected through fieldwork using in-depth semi-structured interviews and a researcher-made questionnaire. A purposive sampling approach was used, and data saturation was achieved after 25 interviews. Based on the research findings—utilizing the fuzzy Delphi technique—the dimensions, components, and indicators of the proposed foresight model for the human resources and capital chain in the Judiciary reflect key parameters (actions and interactions) in political, social, cultural, economic, and technological domains. However, each of these factors, throughout its evolutionary path, will be influenced by information technology innovations, including the expansion of electronic environments and systems thinking approaches, in response to the time- and location-specific conditions of society (constant changes). The results indicate that the final model enjoys acceptable validity and, i</w:t>
      </w:r>
    </w:p>
    <w:p>
      <w:pPr/>
      <w:r>
        <w:rPr>
          <w:b/>
        </w:rPr>
        <w:t>POSSIBLE 2024:</w:t>
      </w:r>
      <w:r>
        <w:t xml:space="preserve"> Emerging Biotechnologies in Europe: Foresight for Policy — https://doi.org/10.2760/4814109</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pStyle w:val="Heading2"/>
      </w:pPr>
      <w:r>
        <w:t>855. Imaginary scenarios: Literature and Democracy in Europe</w:t>
      </w:r>
    </w:p>
    <w:p>
      <w:pPr>
        <w:pStyle w:val="SourceNote"/>
      </w:pPr>
      <w:r>
        <w:rPr>
          <w:b/>
        </w:rPr>
        <w:t>Original source (2016):</w:t>
      </w:r>
      <w:r>
        <w:t xml:space="preserve"> https://doi.org/10.25071/2369-7326.40256</w:t>
      </w:r>
    </w:p>
    <w:p>
      <w:pPr/>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POSSIBLE 2026:</w:t>
      </w:r>
      <w:r>
        <w:t xml:space="preserve"> ‘Tractatus de imagine mundi’, (a view of an imaginary world) — https://doi.org/10.83056/mmu.32478837</w:t>
      </w:r>
    </w:p>
    <w:p>
      <w:pPr/>
      <w:r>
        <w:rPr>
          <w:b/>
        </w:rPr>
        <w:t>Shared claim-specific concepts:</w:t>
      </w:r>
      <w:r>
        <w:t xml:space="preserve"> concept, imaginary, events, learning; EU scope not established. This is a provisional connection, not an outcome finding.</w:t>
      </w:r>
    </w:p>
    <w:p>
      <w:pPr>
        <w:pStyle w:val="SourceNote"/>
      </w:pPr>
      <w:r>
        <w:rPr>
          <w:b/>
        </w:rPr>
        <w:t>Available abstract (not full text):</w:t>
      </w:r>
      <w:r>
        <w:t xml:space="preserve"> This thesis takes the form of an arts-based inquiry. It asks questions about pedagogical constraints in the context of teaching and learning in Higher Education Initial Teacher Training under the auspices of the neoliberal practices, which dominate the present educational landscape. The inquiry uses emergent methodologies relating arts-based practice as research and follows diverging routes, which intertwine between performance and exegesis. The exegesis, in conjunction with performance, present a reflexive narrative that meanders throughout the inquiry offering a critical exploration to the reader. The project involved a group of fourteen Post Graduate Certificate of Education, Drama Trainees working in collaboration with the researcher, to devise an original piece of theatre entitled, ‘Tractatus de Imagine Mundi’ (A View of an Imaginary World). The project took place over a three-week period (approximately eight rehearsals), which culminated in two public performances – one matinee and one evening. The ensemble worked together during the ‘Enrichment Phase of the PGCE course, as a voluntary activity. The intention of the inquiry is to examine the processes involved in creating and performing a piece of live theatre using dramatic inquiry and devising and to examine pedagogical experiences and interactions that materialise therein. It also takes in to account the audience/obser</w:t>
      </w:r>
    </w:p>
    <w:p>
      <w:pPr/>
      <w:r>
        <w:rPr>
          <w:b/>
        </w:rPr>
        <w:t>POSSIBLE 2026:</w:t>
      </w:r>
      <w:r>
        <w:t xml:space="preserve"> From Imaginative Geographies to Everyday Negotiations: K-Culture and African Students’ Adaptation in Korea — https://doi.org/10.64446/omnes.2026.01.16.1.34</w:t>
      </w:r>
    </w:p>
    <w:p>
      <w:pPr/>
      <w:r>
        <w:rPr>
          <w:b/>
        </w:rPr>
        <w:t>Shared claim-specific concepts:</w:t>
      </w:r>
      <w:r>
        <w:t xml:space="preserve"> imaginative, structures, learning; EU scope not established. This is a provisional connection, not an outcome finding.</w:t>
      </w:r>
    </w:p>
    <w:p>
      <w:pPr>
        <w:pStyle w:val="SourceNote"/>
      </w:pPr>
      <w:r>
        <w:rPr>
          <w:b/>
        </w:rPr>
        <w:t>Available abstract (not full text):</w:t>
      </w:r>
      <w:r>
        <w:t xml:space="preserve"> This research examines how Korean popular culture (K-culture) shapes African international students' adaptation in South Korea.Based on thematic analysis of semi-structured interviews with 12 African students at Jeonbuk National University, it traces the pathway from pre-arrival "imaginative geographies" formed through K-dramas, K-pop, and social media to post-arrival negotiations of language, study, and social belonging.Findings show that K-culture operates as a dual-use resource: it motivates education migration and supports early interaction and informal Korean learning through shared media references and pragmatics, yet it can also generate unrealistic expectations and function as a coping retreat that delays engagement when students experience stress or exclusion.Adaptation was further constrained by a persistent double-minority position, mutual language anxiety in cross-cultural encounters, and institutional separations that limit sustained contact (e.g., dormitory and lab divides).By specifying the mechanisms through which mediated cultural affinity intersects with local social structures, the study advances acculturation research and qualifies soft-power accounts by showing where cultural attraction meets the practical boundaries of inclusion.</w:t>
      </w:r>
    </w:p>
    <w:p>
      <w:pPr/>
      <w:r>
        <w:rPr>
          <w:b/>
        </w:rPr>
        <w:t>POSSIBLE 2026:</w:t>
      </w:r>
      <w:r>
        <w:t xml:space="preserve"> Practices, Power, and Performativity: A Feminist Technoscience Exploration of AI Imaginaries of Work — https://doi.org/10.5281/zenodo.23669022</w:t>
      </w:r>
    </w:p>
    <w:p>
      <w:pPr/>
      <w:r>
        <w:rPr>
          <w:b/>
        </w:rPr>
        <w:t>Shared claim-specific concepts:</w:t>
      </w:r>
      <w:r>
        <w:t xml:space="preserve"> concept, imaginary, investigate, structures, build; EU scope visible. This is a provisional connection, not an outcome finding.</w:t>
      </w:r>
    </w:p>
    <w:p>
      <w:pPr>
        <w:pStyle w:val="SourceNote"/>
      </w:pPr>
      <w:r>
        <w:rPr>
          <w:b/>
        </w:rPr>
        <w:t>Available abstract (not full text):</w:t>
      </w:r>
      <w:r>
        <w:t xml:space="preserve"> Please cite the version of record: Silvia Ecclesia (2026). Practices, power, and performativity: A feminist technoscience exploration of AI imaginaries of work. https://hdl.handle.net/11250/5587420 In this thesis, I explore artificial intelligence (AI) imaginaries of work and how they shape processes of sociotechnical change, through the example of AI for human resources (HR). Sociotechnical change refers to the changes that AI, like other technologies, brings through its development, adoption, acceptance, or resistance, involving both social and technical dimensions (Sovacool &amp; Hess, 2017). AI imaginaries – collective, performative visions of the future (Jasanoff, 2015) – are highly influential in shaping said processes by informing decisions about development, regulation, and use. The idea of creating artificial life has been present in stories, myths, and fictions for centuries, creating highly polarised narratives about the potential future of AI. However, more research is needed to go beyond the sensationalistic visions that characterise AI imaginaries and better understand their effects on society and work. I thus investigate AI imaginaries through a feminist technoscience approach, focusing on their performativity, the embodied experiences of HR practitioners in enacting AI imaginaries through their practices, and how AI imaginaries interact with power structures. To do </w:t>
      </w:r>
    </w:p>
    <w:p>
      <w:pPr/>
      <w:r>
        <w:rPr>
          <w:b/>
        </w:rPr>
        <w:t>POSSIBLE 2026:</w:t>
      </w:r>
      <w:r>
        <w:t xml:space="preserve"> Navigating the national imaginary: internalized racism within integration narratives — https://doi.org/10.1080/01419870.2026.2693652</w:t>
      </w:r>
    </w:p>
    <w:p>
      <w:pPr/>
      <w:r>
        <w:rPr>
          <w:b/>
        </w:rPr>
        <w:t>Shared claim-specific concepts:</w:t>
      </w:r>
      <w:r>
        <w:t xml:space="preserve"> imaginary, political; EU scope visible. This is a provisional connection, not an outcome finding.</w:t>
      </w:r>
    </w:p>
    <w:p>
      <w:pPr>
        <w:pStyle w:val="SourceNote"/>
      </w:pPr>
      <w:r>
        <w:rPr>
          <w:b/>
        </w:rPr>
        <w:t>Available abstract (not full text):</w:t>
      </w:r>
      <w:r>
        <w:t xml:space="preserve"> This paper explores internalized racism by examining how Syrian refugees narrate their social positioning within German society. It conceptualizes integration as part of a hegemonic social imaginary – collectively shared and affectively charged frameworks of meaning that shape understandings of belonging. The findings show how participants adopt the guest–host metaphor, positioning themselves as recipients of German benevolence. Moreover, they often relativize experiences of racism, shifting critique away from structural inequalities toward inter-migrant dynamics. Boundary-making practices emerge as strategies for inclusion that simultaneously reinforce forms of differential inclusion. The analysis further highlights the role of affects as both shaping and being shaped by imaginaries. Ultimately, the study demonstrates that internalized racism is not only shaped by dominant integration discourses and coercive policies but also by pre-existing imaginaries rooted in the Syrian context. In this sense, participants’ navigation of Germany’s national imaginary is a negotiation of various political frameworks and affective registers.</w:t>
      </w:r>
    </w:p>
    <w:p>
      <w:pPr/>
      <w:r>
        <w:rPr>
          <w:b/>
        </w:rPr>
        <w:t>POSSIBLE 2026:</w:t>
      </w:r>
      <w:r>
        <w:t xml:space="preserve"> “Turn the faucet”: right-wing hydrosocial imaginaries of irrigation water in the Western United States — https://doi.org/10.3389/fsufs.2026.1869993</w:t>
      </w:r>
    </w:p>
    <w:p>
      <w:pPr/>
      <w:r>
        <w:rPr>
          <w:b/>
        </w:rPr>
        <w:t>Shared claim-specific concepts:</w:t>
      </w:r>
      <w:r>
        <w:t xml:space="preserve"> concept, imaginary, structures; EU scope not established. This is a provisional connection, not an outcome finding.</w:t>
      </w:r>
    </w:p>
    <w:p>
      <w:pPr>
        <w:pStyle w:val="SourceNote"/>
      </w:pPr>
      <w:r>
        <w:rPr>
          <w:b/>
        </w:rPr>
        <w:t>Available abstract (not full text):</w:t>
      </w:r>
      <w:r>
        <w:t xml:space="preserve"> The second administration of United States President Donald Trump has taken an authoritarian, centralized approach to governance in the United States. Water management is one area in which the president has attempted to show dominance. This research theorizes President Trump’s concept of water in the United States West as a “hydrosocial imaginary” in which the release of water from rivers and reservoirs indicates virility, action, and power, instead of liberal cautiousness and prudence. By ordering the release of two billion gallons of water from California’s Central Valley into the dry Tulare Basin one hundred miles north of Los Angeles for the purpose of battling the 2025 Los Angeles wildfires, Trump’s claim to have redirected water “down from the Pacific Northwest” into California to alleviate drought evokes an imaginary Western landscape of underexploited resources, instead of over-allocated river systems in water-stressed areas. Using content analysis of historical and contemporary newspaper articles and other relevant materials, this article first examines both parallel and contradictory rhetorical structures between Trump’s idea of water transfers and those of the past one hundred years. The article further refines this examination through semi-structured interviews of irrigators and water managers in the Pacific Northwest, demonstrating the differences between hydrosoci</w:t>
      </w:r>
    </w:p>
    <w:p>
      <w:pPr/>
      <w:r>
        <w:rPr>
          <w:b/>
        </w:rPr>
        <w:t>POSSIBLE 2026:</w:t>
      </w:r>
      <w:r>
        <w:t xml:space="preserve"> Cultural Events as Symbolic Infrastructure: Repositioning African Destinations in the Global Tourism Imaginary — https://openalex.org/W7217820939</w:t>
      </w:r>
    </w:p>
    <w:p>
      <w:pPr/>
      <w:r>
        <w:rPr>
          <w:b/>
        </w:rPr>
        <w:t>Shared claim-specific concepts:</w:t>
      </w:r>
      <w:r>
        <w:t xml:space="preserve"> concept, imaginary, political, events, around; EU scope not established. This is a provisional connection, not an outcome finding.</w:t>
      </w:r>
    </w:p>
    <w:p>
      <w:pPr>
        <w:pStyle w:val="SourceNote"/>
      </w:pPr>
      <w:r>
        <w:rPr>
          <w:b/>
        </w:rPr>
        <w:t>Available abstract (not full text):</w:t>
      </w:r>
      <w:r>
        <w:t xml:space="preserve"> The paper reconceptualises episodic African tourism events such as carnivals and festivals through the lens of symbolic infrastructure. This has the capability of repositioning the destinations in the global tourism imaginary. Although much research on African festivals has received little attention, especially the available research has been more on African festivals, and their effect on the economy, visitor satisfaction, and community deliverables, yet little attention has been directed towards their effectiveness in forging the African representational position in the global tourism hierarchy. The concept of symbolic infrastructure is formulated by this review through the andragogy of the cultural political economy, post-colonial theory, symbolic capital, and soft power literature in elucidating the process through which carnivals operate as narrators working towards the production of symbolic capital, the spread of alternative imaginaries, and destination legitimacy. The paper proposes that African carnivals disrupt deep-rooted discourses of deficit that plague the continent with the vectors of poverty, crisis, and wildlife essentialism. These events develop cosmopolitan, creative, and modern identities, which mediate around epistemic marginalisation in tourism systems of knowledge through performative spectacle, mediated circulation, and aesthetic production. By changing t</w:t>
      </w:r>
    </w:p>
    <w:p>
      <w:pPr/>
      <w:r>
        <w:rPr>
          <w:b/>
        </w:rPr>
        <w:t>POSSIBLE 2026:</w:t>
      </w:r>
      <w:r>
        <w:t xml:space="preserve"> Sociotechnical Imaginaries in Health and Biomedicine — https://doi.org/10.3390/encyclopedia6040090</w:t>
      </w:r>
    </w:p>
    <w:p>
      <w:pPr/>
      <w:r>
        <w:rPr>
          <w:b/>
        </w:rPr>
        <w:t>Shared claim-specific concepts:</w:t>
      </w:r>
      <w:r>
        <w:t xml:space="preserve"> concept, political, ideas; EU scope visible. This is a provisional connection, not an outcome finding.</w:t>
      </w:r>
    </w:p>
    <w:p>
      <w:pPr>
        <w:pStyle w:val="SourceNote"/>
      </w:pPr>
      <w:r>
        <w:rPr>
          <w:b/>
        </w:rPr>
        <w:t>Available abstract (not full text):</w:t>
      </w:r>
      <w:r>
        <w:t xml:space="preserve"> Sociotechnical imaginaries are collectively held and institutionally stabilised visions of desirable futures that link scientific and technological development with social and political order. Developed within Science and Technology Studies, the concept highlights the co-production of knowledge, technology, and governance, showing how ideas of progress are embedded in cultural values, moral assumptions, and political priorities. These imaginaries function as normative horizons that orient innovation, legitimise policy, shape regulation, and guide clinical practice. In health and biomedicine, sociotechnical imaginaries are particularly salient, as medical innovations directly affect life, death, and embodiment. Within medical sociology, the concept has been used to analyse how technologies such as assisted reproductive technologies (ARTs), genomics, regenerative medicine, and digital health are framed through narratives of hope, responsibility, risk, and transformation. These imaginaries shape what counts as legitimate knowledge, who accesses treatment, and how ethical debates are structured, from autonomy in ARTs to individualised care in precision medicine. Imaginaries are also shaped by national and institutional contexts. Comparative research shows that the United States, Europe, and East Asia produce distinct biomedical futures, reflecting different political traditions and</w:t>
      </w:r>
    </w:p>
    <w:p>
      <w:pPr/>
      <w:r>
        <w:rPr>
          <w:b/>
        </w:rPr>
        <w:t>POSSIBLE 2026:</w:t>
      </w:r>
      <w:r>
        <w:t xml:space="preserve"> Seeding Legitimacy, Framing the Future: Sociotechnical Imaginaries and European Governance of Agricultural Biotechnology (1990-2023) — https://openalex.org/W7165243110</w:t>
      </w:r>
    </w:p>
    <w:p>
      <w:pPr/>
      <w:r>
        <w:rPr>
          <w:b/>
        </w:rPr>
        <w:t>Shared claim-specific concepts:</w:t>
      </w:r>
      <w:r>
        <w:t xml:space="preserve"> imaginary, political, technique, around; EU scope visible. This is a provisional connection, not an outcome finding.</w:t>
      </w:r>
    </w:p>
    <w:p>
      <w:pPr>
        <w:pStyle w:val="SourceNote"/>
      </w:pPr>
      <w:r>
        <w:rPr>
          <w:b/>
        </w:rPr>
        <w:t>Available abstract (not full text):</w:t>
      </w:r>
      <w:r>
        <w:t xml:space="preserve"> European agriculture is shaped by technical debates whose implications are deeply political. When the European Commission decides on the safety of an agricultural technique, it is settling a scientific question whilst also making a political choice: which knowledge matters, which risks deserve attention, and which futures are worth investing in. This thesis analyses the evolution of the European Commission’s socio-technical imaginary in the field of agricultural biotechnology, from Directive 90/220/EEC (1990)—the first European regulation on GMOs—to proposal COM(2023)411 on New Genomic Techniques (NGTs). Drawing on Science and Technology Studies by mobilising the concepts of socio-technical imaginaries, co-production and boundary work, the study examines how the Commission constructs, stabilises and reconfigures the regulatory legitimacy of agricultural biotechnology through its official documents. The analysis is structured around two periods: 1990–2004 and 2018–2023. It argues that scientific reasoning is selectively used to silence political dissent, thereby imposing a particular definition of legitimate expertise. The trajectory analysed is not one of a break or linear continuity, but rather a logic of overlapping where the Commission reconstructs the conditions of legitimacy for its regulatory authority.</w:t>
      </w:r>
    </w:p>
    <w:p>
      <w:pPr/>
      <w:r>
        <w:rPr>
          <w:b/>
        </w:rPr>
        <w:t>POSSIBLE 2026:</w:t>
      </w:r>
      <w:r>
        <w:t xml:space="preserve"> Chapter Political Imaginary of Multilateralism — https://openalex.org/W7162903274</w:t>
      </w:r>
    </w:p>
    <w:p>
      <w:pPr/>
      <w:r>
        <w:rPr>
          <w:b/>
        </w:rPr>
        <w:t>Shared claim-specific concepts:</w:t>
      </w:r>
      <w:r>
        <w:t xml:space="preserve"> concept, imaginary, authors, political, ideas; EU scope not established. This is a provisional connection, not an outcome finding.</w:t>
      </w:r>
    </w:p>
    <w:p>
      <w:pPr>
        <w:pStyle w:val="SourceNote"/>
      </w:pPr>
      <w:r>
        <w:rPr>
          <w:b/>
        </w:rPr>
        <w:t>Available abstract (not full text):</w:t>
      </w:r>
      <w:r>
        <w:t xml:space="preserve"> This book explores the politics of multilateralism in the context of three United Nations (UN) pillars: human rights, peace and security, and development. Focussing on the debates, ideas, and practices of international cooperation that have dominated the UN agenda since the early 1990s, it shows how a conceptual understanding of multilateralism could help strengthen the international community to face uncertainty and crises. The authors analyze the language of multilateralism as employed when the UN handles cases of transnational challenges and seeks to establish an international response and argue that conceptual politics of multilateralism taking place in the UN concerning key contemporary challenges illustrate a lack of shared understanding of multilateralism, but also broad interest to promote alternatives for multilateral cooperation as an activity. Case studies illustrate the politics of multilateralism as an analytical concept and trace the practices, debates, and related concepts such as sovereignty, legitimacy, and authority. This volume will appeal to scholars of political theory, international organizations, global governance, and international relations as well as practitioners at think tanks and international organizations</w:t>
      </w:r>
    </w:p>
    <w:p>
      <w:pPr/>
      <w:r>
        <w:rPr>
          <w:b/>
        </w:rPr>
        <w:t>POSSIBLE 2025:</w:t>
      </w:r>
      <w:r>
        <w:t xml:space="preserve"> Co-creating Gen-AI imaginaries — https://doi.org/10.34190/ecel.24.1.3950</w:t>
      </w:r>
    </w:p>
    <w:p>
      <w:pPr/>
      <w:r>
        <w:rPr>
          <w:b/>
        </w:rPr>
        <w:t>Shared claim-specific concepts:</w:t>
      </w:r>
      <w:r>
        <w:t xml:space="preserve"> concept, imaginative, learning; EU scope not established. This is a provisional connection, not an outcome finding.</w:t>
      </w:r>
    </w:p>
    <w:p>
      <w:pPr>
        <w:pStyle w:val="SourceNote"/>
      </w:pPr>
      <w:r>
        <w:rPr>
          <w:b/>
        </w:rPr>
        <w:t>Available abstract (not full text):</w:t>
      </w:r>
      <w:r>
        <w:t xml:space="preserve"> Educational futures are often shaped by techno-utopian narratives. Moving beyond technology-pedagogy dichotomies, this paper adopts the concept of entangled pedagogy to explore how GenAI and large language models (LLMs) can reshape inclusive language education. Using a speculative and scenario-based participatory design approach, we engaged pre-service and in-service teachers in envisioning future classrooms. Through imaginative case studies and recursive scenario development, we examine how imaginaries inform practical design for postdigital learning environments. The study focuses on teachers meaning making when given concrete and pedagogical scenarios of GenAI use cases co-created by human-AI interaction. The results reveal tensions between imagination and the imaginable, hope and caution, underscoring the crucial role of the sociocultural context, as well as the importance of human mediation in GenAI-driven futures.</w:t>
      </w:r>
    </w:p>
    <w:p>
      <w:pPr/>
      <w:r>
        <w:rPr>
          <w:b/>
        </w:rPr>
        <w:t>POSSIBLE 2025:</w:t>
      </w:r>
      <w:r>
        <w:t xml:space="preserve"> Shaping the future: A conceptual review of sociotechnical imaginaries — https://doi.org/10.1016/j.futures.2025.103607</w:t>
      </w:r>
    </w:p>
    <w:p>
      <w:pPr/>
      <w:r>
        <w:rPr>
          <w:b/>
        </w:rPr>
        <w:t>Shared claim-specific concepts:</w:t>
      </w:r>
      <w:r>
        <w:t xml:space="preserve"> concept, investigate, political, build, around; EU scope not established. This is a provisional connection, not an outcome finding.</w:t>
      </w:r>
    </w:p>
    <w:p>
      <w:pPr>
        <w:pStyle w:val="SourceNote"/>
      </w:pPr>
      <w:r>
        <w:rPr>
          <w:b/>
        </w:rPr>
        <w:t>Available abstract (not full text):</w:t>
      </w:r>
      <w:r>
        <w:t xml:space="preserve"> The literature around sociotechnical imaginaries has proliferated since the seminal publications of Jasanoff and Kim (2009, 2015). In this conceptual review, we examine the evolution of the concept and engagement with it across disciplines. To investigate this, we develop and analyse a corpus of 306 papers that deal with, build on or develop the concept. We provide a description of the citation trends, the journals in which papers are published, and the empirical topics that are covered in the literature. Building on Jasanoff’s foundational insights about political differences, time, space, and collective identity, our evaluation examines how scholars have both elaborated and extended these dimensions. Our analysis focuses on four key areas of conceptual development: (1) how the future has been engaged with, (2) how the concept is used to trace changes over time, (3) the forms of comparison employed in research, and (4) the ways in which the spatio-material emphasis is manifested. Our analysis highlights how the concept has evolved through diverse encounters with other fields, and underscores how the concept can be useful for further research. We suggest focusing on the relations between imaginaries and adjacent concepts, the endurance of imaginaries, and the mediums through which imaginaries are channelled for further conceptual development with and through the concept. • Soci</w:t>
      </w:r>
    </w:p>
    <w:p>
      <w:pPr/>
      <w:r>
        <w:rPr>
          <w:b/>
        </w:rPr>
        <w:t>POSSIBLE 2025:</w:t>
      </w:r>
      <w:r>
        <w:t xml:space="preserve"> From Network-Centric Warfare to Autonomous Warfighting Networks: Recontextualizing Autonomous Weapon Systems Imaginaries — https://doi.org/10.51952/9781529237191.ch009</w:t>
      </w:r>
    </w:p>
    <w:p>
      <w:pPr/>
      <w:r>
        <w:rPr>
          <w:b/>
        </w:rPr>
        <w:t>Shared claim-specific concepts:</w:t>
      </w:r>
      <w:r>
        <w:t xml:space="preserve"> concept, scripts, ideas; EU scope not established. This is a provisional connection, not an outcome finding.</w:t>
      </w:r>
    </w:p>
    <w:p>
      <w:pPr>
        <w:pStyle w:val="SourceNote"/>
      </w:pPr>
      <w:r>
        <w:rPr>
          <w:b/>
        </w:rPr>
        <w:t>Available abstract (not full text):</w:t>
      </w:r>
      <w:r>
        <w:t xml:space="preserve"> The text recontextualizes current autonomous weapon systems (AWS) imaginaries by highlighting the importance of a new form of network-centricity for those imaginaries. Older ideas on network-centric warfare developed during the 1990s and early 2000s are historical sources which provide important scripts and metaphors for contemporary AWS imaginaries. Analysing the significance of the transformation of those imaginaries towards a new concept of future warfare, it becomes apparent that while there is currently much discussion about the importance of artificial intelligence (AI) for warfare, the relevance of network-based warfighting for AWS imaginaries and the associated visions of future warfare is often overlooked. Current AWS imaginaries contain the infrastructural vision of what can be called autonomous warfighting networks. It will be argued that the imaginaries of AI, and by implication AWS, cannot be understood without highlighting these ideas and visions surrounding this latest incarnation of network-centricity in warfare.</w:t>
      </w:r>
    </w:p>
    <w:p>
      <w:pPr>
        <w:pStyle w:val="Heading2"/>
      </w:pPr>
      <w:r>
        <w:t>856. Interpreting long-term energy scenarios and the role of bioenergy in Germany</w:t>
      </w:r>
    </w:p>
    <w:p>
      <w:pPr>
        <w:pStyle w:val="SourceNote"/>
      </w:pPr>
      <w:r>
        <w:rPr>
          <w:b/>
        </w:rPr>
        <w:t>Original source (2016):</w:t>
      </w:r>
      <w:r>
        <w:t xml:space="preserve"> https://doi.org/10.1016/j.rser.2016.02.016</w:t>
      </w:r>
    </w:p>
    <w:p>
      <w:pPr/>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POSSIBLE 2026:</w:t>
      </w:r>
      <w:r>
        <w:t xml:space="preserve"> Conceptual-theoretical approaches to the process of europeanization — https://doi.org/10.59295/ierm2025.01</w:t>
      </w:r>
    </w:p>
    <w:p>
      <w:pPr/>
      <w:r>
        <w:rPr>
          <w:b/>
        </w:rPr>
        <w:t>Shared claim-specific concepts:</w:t>
      </w:r>
      <w:r>
        <w:t xml:space="preserve"> article, aims, better, understanding; EU scope visible. This is a provisional connection, not an outcome finding.</w:t>
      </w:r>
    </w:p>
    <w:p>
      <w:pPr>
        <w:pStyle w:val="SourceNote"/>
      </w:pPr>
      <w:r>
        <w:rPr>
          <w:b/>
        </w:rPr>
        <w:t>Available abstract (not full text):</w:t>
      </w:r>
      <w:r>
        <w:t xml:space="preserve"> This article aims to demonstrate that Europeanization is an ipso facto condition of the European integration process for the society of the Republic of Moldova. Particular attention is given to identifying the conceptual-theoretical approaches to the Europeanization process and the models of Europeanization, which are necessary explanations for a better understanding of the European integration process. It is concluded that European integration, as a national program for bringing the Republic of Moldova closer to the European community, requires consolidated actions for development, democratization, and modernization of society. These goals can only be achieved by a new type of elite – a reformed political elite – in which citizens trust and which could restore hope for a more decent future.</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European Integration — https://doi.org/10.1017/9781009604093.008</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This chapter aims to analyse the Polish ‘integration clause’: Article 90 of the Constitution as an element of the Polish constitutional imaginary. The notion of constitutional imaginary as formulated by Martin Loughlin will provide the theoretical framework for these considerations. Perceived through the lens of Louglin’s constitutional imaginary concept, Article 90 turns out to be the provision that shapes intricate relations of two big ineffable ideas: sovereignty and European integration. The latter has been perceived in the constitutional practice as both the ineffable aspiration and the object of serious concerns. Since Poland’s accession to the EU, for a long time, constitutional practice with regard to the EU was a syncretic collection of cautious friendliness towards EU law, emphasis on (formal) constitutional supremacy and narrowing down the interpretation of ‘the conferral of competences’. Nevertheless, until recently, the constitutional text had tended to be interpreted as facilitating rather than limiting Poland’s participation in European integration. Therefore, the recent Eurosceptic turn after 2015 was not justified either in the sphere of thought or in the constitutional text. It disturbed the existing balance between ideology and utopia.</w:t>
      </w:r>
    </w:p>
    <w:p>
      <w:pPr/>
      <w:r>
        <w:rPr>
          <w:b/>
        </w:rPr>
        <w:t>POSSIBLE 2026:</w:t>
      </w:r>
      <w:r>
        <w:t xml:space="preserve"> Building a European Understanding of Police-Academic Relations — https://doi.org/10.5553/ejps.2026.31</w:t>
      </w:r>
    </w:p>
    <w:p>
      <w:pPr/>
      <w:r>
        <w:rPr>
          <w:b/>
        </w:rPr>
        <w:t>Shared claim-specific concepts:</w:t>
      </w:r>
      <w:r>
        <w:t xml:space="preserve"> article, understanding, germany; EU scope visible. This is a provisional connection, not an outcome finding.</w:t>
      </w:r>
    </w:p>
    <w:p>
      <w:pPr>
        <w:pStyle w:val="SourceNote"/>
      </w:pPr>
      <w:r>
        <w:rPr>
          <w:b/>
        </w:rPr>
        <w:t>Available abstract (not full text):</w:t>
      </w:r>
      <w:r>
        <w:t xml:space="preserve"> This double special issue builds on a 2018 EJPS special issue titled “Police-academic partnerships: Working with the police in policing,” edited by Matthew Bacon, Joanna Shapland and Layla Skinns, and a subsequent article in Evidence &amp; Policy by Bacon, Shapland, Skinns, and White (2021) on the fragility and sustainability of police-academic partnerships. As such, the present issue advances global discussions of how police-academic relations develop and function across different contexts, highlighting the challenges and opportunities they create and exploring how they are shaped by power, trust, funding and local political dynamics. While Bacon and colleagues’ (2018) special issue featured contributions from England, Scotland, Belgium, Australia and Canada, the present issue builds on the English, Scottish and Belgian experiences and extends the discussion through new reflections from Iceland, Germany, Poland and Norway. As part of a broader project by the European Society of Criminology Working Group on Policing (ESC WGP), this issue provides an important reflective space for scholars to examine the status of police-academic relations in their respective countries and consider how these could develop in the future. This introduction contextualizes this special issue’s unique contribution. It begins by highlighting what sets it apart from previous work on police-academic relatio</w:t>
      </w:r>
    </w:p>
    <w:p>
      <w:pPr/>
      <w:r>
        <w:rPr>
          <w:b/>
        </w:rPr>
        <w:t>POSSIBLE 2026:</w:t>
      </w:r>
      <w:r>
        <w:t xml:space="preserve"> The European audiovisual sector at the intersection of the Council of Europe and the European Union: regional cooperation for a normative framework — https://doi.org/10.1080/10286632.2026.2661630</w:t>
      </w:r>
    </w:p>
    <w:p>
      <w:pPr/>
      <w:r>
        <w:rPr>
          <w:b/>
        </w:rPr>
        <w:t>Shared claim-specific concepts:</w:t>
      </w:r>
      <w:r>
        <w:t xml:space="preserve"> article, aims, understanding; EU scope visible. This is a provisional connection, not an outcome finding.</w:t>
      </w:r>
    </w:p>
    <w:p>
      <w:pPr>
        <w:pStyle w:val="SourceNote"/>
      </w:pPr>
      <w:r>
        <w:rPr>
          <w:b/>
        </w:rPr>
        <w:t>Available abstract (not full text):</w:t>
      </w:r>
      <w:r>
        <w:t xml:space="preserve"> The Council of Europe (CoE) and the European Union (EU) have a long-standing tradition of political dialogue and cooperation, which was consolidated with the ‘Memorandum of Understanding between the Council of Europe and the European Union’ (MoU) in (2007). The MoU sets out fundamental principles and provides the foundation for the CoE-EU cooperation framework, while also identifying areas of mutual interest. ‘Intercultural dialogue and cultural diversity’ are among the areas the CoE-EU cooperation framework encompasses. Despite the plethora of policy and legal instruments developed throughout the CoE-EU partnership, the copyright-related aspects of CoE instruments and their interaction with the EU copyright acquis remain an under-researched area within the literature. Therefore, this article aims to fill this gap by analysing the interplay of key CoE instruments and the EU copyright directives by focusing on a matter highly valued by both institutions: the protection and preservation of European audiovisual works and heritage.</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aims, better, understanding, show;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role, play;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ABS1238-PARE CROSS-EUROPEAN INSIGHTS INTO PATIENT UNDERSTANDING OF OSTEOARTHRITIS: A MULTI-NATIONAL SURVEY — https://doi.org/10.1016/j.ard.2025.06.1333</w:t>
      </w:r>
    </w:p>
    <w:p>
      <w:pPr/>
      <w:r>
        <w:rPr>
          <w:b/>
        </w:rPr>
        <w:t>Shared claim-specific concepts:</w:t>
      </w:r>
      <w:r>
        <w:t xml:space="preserve"> better, understanding, four, indicators, range; EU scope visible. This is a provisional connection, not an outcome finding.</w:t>
      </w:r>
    </w:p>
    <w:p>
      <w:pPr>
        <w:pStyle w:val="SourceNote"/>
      </w:pPr>
      <w:r>
        <w:rPr>
          <w:b/>
        </w:rPr>
        <w:t>Available abstract (not full text):</w:t>
      </w:r>
      <w:r>
        <w:t xml:space="preserve"> Background: An estimated 15% of adults over the age of 60 years have osteoarthritis (OA), with a higher prevalence among women. OA affects over 240 million people worldwide, posing significant socio-economic challenges. However, OA management remains inconsistent, especially across Europe where a range of health services, cultures, patient education levels and economic statuses exist. The extent of these differences is unknown, particularly with regard to current practices and patient perceptions in each country. It is hypothesized that significant disparities in patient knowledge about OA are likely influenced by regional differences in education and socio-economic factors. Previous studies, such as the Global Osteoarthritis Patient Perception Survey (GOAPPS) [1] and research by Kingsbury et al. [2], have explored patient perspectives on OA and its impact, focusing on a limited number of countries (5 countries and 6 countries, respectively). While these studies have provided valuable insights into patient experiences and the burden of OA, there remains a need for broader geographic coverage, particularly in relation to education and socio-economic differences. This necessitates a strategic approach to address this gap and the growing OA burden. In response, NetwOArk (European Network for OA) was established in 2021 to develop a European Society for OA, funded by COST European </w:t>
      </w:r>
    </w:p>
    <w:p>
      <w:pPr/>
      <w:r>
        <w:rPr>
          <w:b/>
        </w:rPr>
        <w:t>POSSIBLE 2025:</w:t>
      </w:r>
      <w:r>
        <w:t xml:space="preserve"> Phraseological Europeanisms — https://doi.org/10.4324/9781032647715-15</w:t>
      </w:r>
    </w:p>
    <w:p>
      <w:pPr/>
      <w:r>
        <w:rPr>
          <w:b/>
        </w:rPr>
        <w:t>Shared claim-specific concepts:</w:t>
      </w:r>
      <w:r>
        <w:t xml:space="preserve"> article, aims, provide; EU scope not established. This is a provisional connection, not an outcome finding.</w:t>
      </w:r>
    </w:p>
    <w:p>
      <w:pPr>
        <w:pStyle w:val="SourceNote"/>
      </w:pPr>
      <w:r>
        <w:rPr>
          <w:b/>
        </w:rPr>
        <w:t>Available abstract (not full text):</w:t>
      </w:r>
      <w:r>
        <w:t xml:space="preserve"> This chapter aims to provide an overview of the types of phraseological Europeanisms as well as the projects that are currently being carried out in this field. For this purpose, two parameters of different nature have been considered: on the one hand, the image (source domain) and structure common to Europeanisms and, on the other hand, the intertextual sources of transmission, from the Bible and the works of classical antiquity to the mass media of today. In the case of Europeanisms conditioned by their common image, they are in most cases “natural” Europeanisms, i.e. phraseologisms based on metaphors or cognitive metonyms that can be considered universal. The article shows that many of the intertextually based Europeanisms are also “naturally” motivated.</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understanding, show, high;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Understanding Volunteering in Europe: Mapping Approaches to Research, Policy and Practice across Nations — https://doi.org/10.5771/9783748948988-6</w:t>
      </w:r>
    </w:p>
    <w:p>
      <w:pPr/>
      <w:r>
        <w:rPr>
          <w:b/>
        </w:rPr>
        <w:t>Shared claim-specific concepts:</w:t>
      </w:r>
      <w:r>
        <w:t xml:space="preserve"> article, understanding, four, wide; EU scope visible. This is a provisional connection, not an outcome finding.</w:t>
      </w:r>
    </w:p>
    <w:p>
      <w:pPr>
        <w:pStyle w:val="SourceNote"/>
      </w:pPr>
      <w:r>
        <w:rPr>
          <w:b/>
        </w:rPr>
        <w:t>Available abstract (not full text):</w:t>
      </w:r>
      <w:r>
        <w:t xml:space="preserve"> This Special Issue of Voluntaris is the result of the collaborative efforts of both researchers and practitioners convened by the Centre for European Volunteering (CEV), co-financed by the EU Citizens, Equality, Rights and Values fund.It attempts to plot a comprehensive and inclusive map of volunteering studies and research in Europe.The selected topics: motivation, infrastructure, law, impact measurement, and politics, cover both traditional and new aspects of volunteer involvement.Each thematic article includes a discussion of theories, three to four country-specific perspectives, an analysis of European trends, and a final synthesis.This comparative lens highlights both national specificities and transnational convergences, inspiring a wide platform for future practice exchange, research and policy development.We strive to ensure that the theoretical and empirical discussions are grounded in practical realities, and that insights from volunteer management, policy development, and civil society action are integrated with academic analysis.</w:t>
      </w:r>
    </w:p>
    <w:p>
      <w:pPr/>
      <w:r>
        <w:rPr>
          <w:b/>
        </w:rPr>
        <w:t>POSSIBLE 2025:</w:t>
      </w:r>
      <w:r>
        <w:t xml:space="preserve"> Navigating ideals and interests: an analysis of European Union–Turkey ties and the role of European values — https://doi.org/10.1332/20437897y2025d000000073</w:t>
      </w:r>
    </w:p>
    <w:p>
      <w:pPr/>
      <w:r>
        <w:rPr>
          <w:b/>
        </w:rPr>
        <w:t>Shared claim-specific concepts:</w:t>
      </w:r>
      <w:r>
        <w:t xml:space="preserve"> article, aims, provide, understanding, role; EU scope visible. This is a provisional connection, not an outcome finding.</w:t>
      </w:r>
    </w:p>
    <w:p>
      <w:pPr>
        <w:pStyle w:val="SourceNote"/>
      </w:pPr>
      <w:r>
        <w:rPr>
          <w:b/>
        </w:rPr>
        <w:t>Available abstract (not full text):</w:t>
      </w:r>
      <w:r>
        <w:t xml:space="preserve"> This article examines the relations between the European Union (EU) and Türkiye between 2016 and 2024. It argues that while the EU positions itself as a normative power, advocating for democracy, human rights, and the rule of law, its engagement with Türkiye reflects a dual approach, balancing geopolitical necessities with normative concerns. This study aims to answer the following question: to what extent does the EU’s communication with Türkiye since 2016 reflect a normative commitment to democracy and human rights, and to what extent is it shaped by strategic priorities, such as security, migration, and economic cooperation? This article systematically analyzes whether the EU’s engagement with Türkiye aligns with the normative power Europe framework or shows a more realist, interest-driven approach by conducting a qualitative content analysis of European Commission statements and speeches. By analyzing the EU’s official discourse, this article aims to contribute to the broader literature on the normative–strategic divide in EU foreign policy. Understanding the balance between norms and interests is important not only for EU–Türkiye relations but also for broader discussion on the EU’s global role as a normative actor and its commitments. This article aims to provide empirical evidence on how the EU navigates the tension between its values and ideals and its strategic concern</w:t>
      </w:r>
    </w:p>
    <w:p>
      <w:pPr>
        <w:pStyle w:val="Heading2"/>
      </w:pPr>
      <w:r>
        <w:t>857. Long-term outlook for wood construction in Europe</w:t>
      </w:r>
    </w:p>
    <w:p>
      <w:pPr>
        <w:pStyle w:val="SourceNote"/>
      </w:pPr>
      <w:r>
        <w:rPr>
          <w:b/>
        </w:rPr>
        <w:t>Original source (2016):</w:t>
      </w:r>
      <w:r>
        <w:t xml:space="preserve"> https://doi.org/10.14214/df.211</w:t>
      </w:r>
    </w:p>
    <w:p>
      <w:pPr/>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POSSIBLE 2026:</w:t>
      </w:r>
      <w:r>
        <w:t xml:space="preserve"> Value creation and competitiveness in small European markets — https://doi.org/10.5281/zenodo.19133639</w:t>
      </w:r>
    </w:p>
    <w:p>
      <w:pPr/>
      <w:r>
        <w:rPr>
          <w:b/>
        </w:rPr>
        <w:t>Shared claim-specific concepts:</w:t>
      </w:r>
      <w:r>
        <w:t xml:space="preserve"> examine, factors, potential, industries, framework; EU scope visible. This is a provisional connection, not an outcome finding.</w:t>
      </w:r>
    </w:p>
    <w:p>
      <w:pPr>
        <w:pStyle w:val="SourceNote"/>
      </w:pPr>
      <w:r>
        <w:rPr>
          <w:b/>
        </w:rPr>
        <w:t>Available abstract (not full text):</w:t>
      </w:r>
      <w:r>
        <w:t xml:space="preserve"> This report examines the competitive dynamics of small European film ecosystems through the lens of the Small European Film Ecosystem Model (SEFEM). SEFEM identifies four key avenues—production services, cultural resonance, exports, and cinematic arts—pursued by these ecosystems in varying ways, with different levels of intensity and in different constellations. The model differentiates these avenues based on factors such as legitimacy, success criteria, policy frameworks, financing logic, primary challenges, exposure to external competition, and key competitive factors. While SEFEM is rooted in the context of small European film ecosystems, its framework holds broader potential applicability. The report builds on data from Small European Film Markets: Portraits and Comparisons, enriched with updated data from for instance the European Audiovisual Observatory and Eurostat. New case-specific data from CresCine markets provide deeper insights into the challenges and dynamics of small film ecosystems. Empirical findings are drawn from diverse case studies that examine different avenues and markets. These chapters investigate topics such as production incentives, cultural resonance, film distribution, Video-on-Demand (VoD), and the concept of “collective agility” as a competitive advantage for small markets. Key insights: The report highlights that small film industries are highly </w:t>
      </w:r>
    </w:p>
    <w:p>
      <w:pPr/>
      <w:r>
        <w:rPr>
          <w:b/>
        </w:rPr>
        <w:t>POSSIBLE 2026:</w:t>
      </w:r>
      <w:r>
        <w:t xml:space="preserve"> Market analysis for Superhood Oy's European expansion — https://openalex.org/W7162354352</w:t>
      </w:r>
    </w:p>
    <w:p>
      <w:pPr/>
      <w:r>
        <w:rPr>
          <w:b/>
        </w:rPr>
        <w:t>Shared claim-specific concepts:</w:t>
      </w:r>
      <w:r>
        <w:t xml:space="preserve"> aim, potential, framework;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Public acceptance of geothermal energy in Europe: Factors and strategies — https://doi.org/10.1016/j.nxener.2026.100711</w:t>
      </w:r>
    </w:p>
    <w:p>
      <w:pPr/>
      <w:r>
        <w:rPr>
          <w:b/>
        </w:rPr>
        <w:t>Shared claim-specific concepts:</w:t>
      </w:r>
      <w:r>
        <w:t xml:space="preserve"> examine, factors, potential, three, framework; EU scope visible. This is a provisional connection, not an outcome finding.</w:t>
      </w:r>
    </w:p>
    <w:p>
      <w:pPr>
        <w:pStyle w:val="SourceNote"/>
      </w:pPr>
      <w:r>
        <w:rPr>
          <w:b/>
        </w:rPr>
        <w:t>Available abstract (not full text):</w:t>
      </w:r>
      <w:r>
        <w:t xml:space="preserve"> The transition to a climate-neutral economy in Europe, as mandated by the EU Green Deal and the Fit for 55 package, necessitates a rapid and diversified deployment of renewable energy sources. Geothermal energy, with its potential for baseload power and heating, is a critical component of this strategy. However, its deployment is often hindered by challenges related to social acceptance, which are distinct from those faced by other renewables. This systematic literature review (SLR) aims to examine the determinants of social acceptance of geothermal energy across the European context. Employing the PRISMA protocol, a comprehensive search was conducted across major databases (Scopus and Web of Science) for peer-reviewed literature published between 2015 and 2025. The review identified 40 highly relevant studies for in-depth synthesis. Key findings reveal that acceptance is primarily driven by three interlinked factors : trust in institutions , the perception of procedural and distributional justice , and the management of perceived risks, particularly induced seismicity. The paper critically examines the interplay of these sociopolitical, economic, and psychological factors. The primary contribution is a synthesized framework of effective mitigation strategies, including participatory decision-making, transparent risk communication, and local benefit-sharing mechanisms. This fra</w:t>
      </w:r>
    </w:p>
    <w:p>
      <w:pPr/>
      <w:r>
        <w:rPr>
          <w:b/>
        </w:rPr>
        <w:t>POSSIBLE 2026:</w:t>
      </w:r>
      <w:r>
        <w:t xml:space="preserve"> Sharia compliance and investment efficiency in European secular markets — https://doi.org/10.1108/jiabr-07-2025-0396</w:t>
      </w:r>
    </w:p>
    <w:p>
      <w:pPr/>
      <w:r>
        <w:rPr>
          <w:b/>
        </w:rPr>
        <w:t>Shared claim-specific concepts:</w:t>
      </w:r>
      <w:r>
        <w:t xml:space="preserve"> examine, factors, potential; EU scope visible. This is a provisional connection, not an outcome finding.</w:t>
      </w:r>
    </w:p>
    <w:p>
      <w:pPr>
        <w:pStyle w:val="SourceNote"/>
      </w:pPr>
      <w:r>
        <w:rPr>
          <w:b/>
        </w:rPr>
        <w:t>Available abstract (not full text):</w:t>
      </w:r>
      <w:r>
        <w:t xml:space="preserve"> Purpose While previous studies have linked Islamic finance to investment efficiency in Muslim-majority countries, existing work has not clearly isolated governance effects from broader cultural influences. This study aims to examine whether Islamic governance is statistically associated with investment efficiency in secular European markets, where overt religious or cultural explanations are less salient. Design/methodology/approach This study tested four hypotheses investigating main effects, crisis moderation, investment types and asymmetric effects by analyzing 16,750 firm-year observations in 20 EU countries (2000–2019) using the FTSE Shariah Global Index classification and propensity score matching. Findings Sharia-compliant firms show investment efficiency 8%–9% higher than comparable firms, by one standard deviation. Efficiency gains peaked during 2007–2013, when crisis conditions stemmed from excessive leverage and speculation, and align with Sharia constraints, specifically, Sharia supervisory board oversight, gharar (uncertainty) prohibition and asset-backing requirements, providing discipline where conventional governance weakened. These effects are asymmetric, mainly reducing overinvestment rather than underinvestment. Practical implications The results provide investors with governance signals beyond traditional ESG metrics. Crucially, this study demonstrates how S</w:t>
      </w:r>
    </w:p>
    <w:p>
      <w:pPr/>
      <w:r>
        <w:rPr>
          <w:b/>
        </w:rPr>
        <w:t>POSSIBLE 2026:</w:t>
      </w:r>
      <w:r>
        <w:t xml:space="preserve"> Legal framework for the virtual assets market in Ukraine: European integration as a megatrend — https://doi.org/10.24144/2307-3322.2026.95.17</w:t>
      </w:r>
    </w:p>
    <w:p>
      <w:pPr/>
      <w:r>
        <w:rPr>
          <w:b/>
        </w:rPr>
        <w:t>Shared claim-specific concepts:</w:t>
      </w:r>
      <w:r>
        <w:t xml:space="preserve"> examine, potential, trends, current, meet, long-term; EU scope visible. This is a provisional connection, not an outcome finding.</w:t>
      </w:r>
    </w:p>
    <w:p>
      <w:pPr>
        <w:pStyle w:val="SourceNote"/>
      </w:pPr>
      <w:r>
        <w:rPr>
          <w:b/>
        </w:rPr>
        <w:t>Available abstract (not full text):</w:t>
      </w:r>
      <w:r>
        <w:t xml:space="preserve"> This article analyzes European integration as a megatrend in the legislative framework governing the virtual asset market in Ukraine. The relevance of this study stems from the fact that, in the context of European integration processes, questions arise regarding the extent to which the specific regulations governing the virtual asset market comply with the provisions of the acquis EU. The purpose of this study is to assess the current state of legislation governing the virtual asset market in the context of European integration processes, to determine the extent to which it complies with EU law, and to identify potential obstacles to the implementation of EU legal standards. To achieve this objective, the following research methods were applied: the formal-logical method was used to examine key concepts and analyze draft legislation regarding the regulation of virtual asset transactions. The systemic-structural method was applied to analyze trends in the regulation of the virtual asset market and identify the corresponding megatrend. In addition, the horizon scanning method was used to identify new changes, analyze the megatrend, and develop several future scenarios. It is concluded that the current regulation of the virtual asset market remains fragmented, which does not meet the needs of the current stage of the digital economy’s development. However, legislative work aimed </w:t>
      </w:r>
    </w:p>
    <w:p>
      <w:pPr/>
      <w:r>
        <w:rPr>
          <w:b/>
        </w:rPr>
        <w:t>POSSIBLE 2026:</w:t>
      </w:r>
      <w:r>
        <w:t xml:space="preserve"> Mobile Internet as a potential for further growth of the online tourism market — https://openalex.org/W7135652390</w:t>
      </w:r>
    </w:p>
    <w:p>
      <w:pPr/>
      <w:r>
        <w:rPr>
          <w:b/>
        </w:rPr>
        <w:t>Shared claim-specific concepts:</w:t>
      </w:r>
      <w:r>
        <w:t xml:space="preserve"> aim, factors, potential, trends, current; EU scope visible. This is a provisional connection, not an outcome finding.</w:t>
      </w:r>
    </w:p>
    <w:p>
      <w:pPr>
        <w:pStyle w:val="SourceNote"/>
      </w:pPr>
      <w:r>
        <w:rPr>
          <w:b/>
        </w:rPr>
        <w:t>Available abstract (not full text):</w:t>
      </w:r>
      <w:r>
        <w:t xml:space="preserve"> This bachelor’s thesis examines mobile internet as a key factor in the development of the online travel market. The aim of the thesis is to analyse the current state and trends in mobile internet, identify the most important factors influencing the growth of mobile tourism, and evaluate its potential for further expansion. The theoretical part defines the historical and technological context of mobile technologies and online services in tourism. The practical part is based on the analysis of statistical data from international databases, a review of academic literature, and a comparison of global and regional trends. The analysis shows that mobile internet and smart mobile devices form the synergistic core of mobile tourism. The quality of networks (especially 4G and 5G), the affordability of data services, and the development of mobile travel applications also play a significant role in its growth. The conclusions of the thesis confirm that mobile internet is a fundamental driver of digital tourism both globally and within the European Union.</w:t>
      </w:r>
    </w:p>
    <w:p>
      <w:pPr/>
      <w:r>
        <w:rPr>
          <w:b/>
        </w:rPr>
        <w:t>POSSIBLE 2026:</w:t>
      </w:r>
      <w:r>
        <w:t xml:space="preserve"> Factor Investing Through Smart Beta ETFs in Europe : Risk-adjusted performance and factor exposure 2017–2025 — https://openalex.org/W7220771228</w:t>
      </w:r>
    </w:p>
    <w:p>
      <w:pPr/>
      <w:r>
        <w:rPr>
          <w:b/>
        </w:rPr>
        <w:t>Shared claim-specific concepts:</w:t>
      </w:r>
      <w:r>
        <w:t xml:space="preserve"> aim, examine, factors, three, measures; EU scope visible. This is a provisional connection, not an outcome finding.</w:t>
      </w:r>
    </w:p>
    <w:p>
      <w:pPr>
        <w:pStyle w:val="SourceNote"/>
      </w:pPr>
      <w:r>
        <w:rPr>
          <w:b/>
        </w:rPr>
        <w:t>Available abstract (not full text):</w:t>
      </w:r>
      <w:r>
        <w:t xml:space="preserve"> Smart beta is often described as an investment methodology that combines attributes of both passive and active investing. Similar to active investment funds, smart beta strategies seek to achieve higher returns relative to broad capital weighted indices. Unlike active funds, they aim to accomplish this at substantially lower management costs through a rules based methodology, typically tracking non capital weighted indices, which are deliberately structured around well known fundamental factors such as value, size, volatility, or momentum. This bachelor’s thesis aims to examine the risk adjusted performance and factor exposure of equity-based smart beta exchange traded funds (smart beta ETFs) with a targeted allocation to Europe during 2017–2025. The thesis focuses specifically on smart beta ETFs with low volatility, value, and size factor attributes, forming equal weighted portfolios for each strategic smart beta group. To assess relative performance, iShares STOXX Europe 600 ETF is used as a practical benchmark representing a broad, capital weighted ETF in the European stock market. The full sample period is further divided into three distinct sub periods: 2017–2019, 2020–2022, and 2023–2025. The Smart beta ETF portfolios are evaluated using conventional risk adjusted performance measures, including the Sharpe ratio, Jensen’s alpha, and maximum drawdown as a simple measure of</w:t>
      </w:r>
    </w:p>
    <w:p>
      <w:pPr/>
      <w:r>
        <w:rPr>
          <w:b/>
        </w:rPr>
        <w:t>POSSIBLE 2025:</w:t>
      </w:r>
      <w:r>
        <w:t xml:space="preserve"> European initiatives to support labor mobility and Ukraine’s integration into the European labor market — https://doi.org/10.24144/2788-6018.2025.03.1.84</w:t>
      </w:r>
    </w:p>
    <w:p>
      <w:pPr/>
      <w:r>
        <w:rPr>
          <w:b/>
        </w:rPr>
        <w:t>Shared claim-specific concepts:</w:t>
      </w:r>
      <w:r>
        <w:t xml:space="preserve"> potential, current; EU scope visible. This is a provisional connection, not an outcome finding.</w:t>
      </w:r>
    </w:p>
    <w:p>
      <w:pPr>
        <w:pStyle w:val="SourceNote"/>
      </w:pPr>
      <w:r>
        <w:rPr>
          <w:b/>
        </w:rPr>
        <w:t>Available abstract (not full text):</w:t>
      </w:r>
      <w:r>
        <w:t xml:space="preserve"> As a result of the full-scale criminal invasion of the Russian Federation into Ukraine, a large number of Ukrainians were forced to leave their homes and seek refuge in EU countries. On the one hand, the war creates additional challenges, such as mass migration, economic destruction and instability, on the other hand, it emphasizes the need to integrate the Ukrainian labor market into the European one to support the economy and provide opportunities for Ukrainians. The article examines key current European initiatives aimed at integrating Ukraine into the European labor market, especially in the context of unprecedented migration of Ukrainians caused by the war. Support programs and projects, such as temporary protection, initiatives for the recognition of qualifications, retraining programs and employment opportunities, are analyzed. Special attention is paid to the review of regional initiatives to support labor mobility on the example of individual EU countries, as an important tool for Ukraine’s integration into the European labor market. Examples of successful initiatives and projects (including information support, vocational training, assistance in legalizing employment and adaptation to a new workplace) are given, aimed at facilitating Ukrainian citizens’ access to employment in other countries of the European Union. Special attention is paid to the study of the effecti</w:t>
      </w:r>
    </w:p>
    <w:p>
      <w:pPr/>
      <w:r>
        <w:rPr>
          <w:b/>
        </w:rPr>
        <w:t>POSSIBLE 2025:</w:t>
      </w:r>
      <w:r>
        <w:t xml:space="preserve"> Aging workforce and labour market trends in the European Union — https://doi.org/10.18045/zbefri.2025.1.7</w:t>
      </w:r>
    </w:p>
    <w:p>
      <w:pPr/>
      <w:r>
        <w:rPr>
          <w:b/>
        </w:rPr>
        <w:t>Shared claim-specific concepts:</w:t>
      </w:r>
      <w:r>
        <w:t xml:space="preserve"> potential, takes, trends; EU scope visible. This is a provisional connection, not an outcome finding.</w:t>
      </w:r>
    </w:p>
    <w:p>
      <w:pPr>
        <w:pStyle w:val="SourceNote"/>
      </w:pPr>
      <w:r>
        <w:rPr>
          <w:b/>
        </w:rPr>
        <w:t>Available abstract (not full text):</w:t>
      </w:r>
      <w:r>
        <w:t xml:space="preserve"> This study examines the main consequences of Europe’s ageing population, including its effects on the labour market, employment dynamics, education, and socio-economic inequalities. It aims to identify and analyse trends and thematic priorities of these challenges, as well as regional differences within the EU (European Union). We used VOSviewer to perform a bibliometric analysis to analyse the publications indexed in the Web of Science Core Collection. The general overview of this area was based on the scientific fields of economics, business and demography. The results show a clear difference in thematic focus between Central and Eastern European (CEE) countries and Western European (WE) countries. The main emphasis in research in CEE countries concerning the challenges of an ageing workforce is on (un)employment. This research takes an optimistic view of the potential benefits of migration. In contrast, research in WE countries focuses primarily on the social impacts of migration, socio-economic inequalities and policy interventions. Moreover, WE studies are cited more frequently and have more influence, indicating their central role in shaping EUwide discussions and policies. This research led to the conclusion that while ageing remains a challenge for Europe as a whole, regional priorities and the heterogeneity of scientific results reflect different socio-economic context</w:t>
      </w:r>
    </w:p>
    <w:p>
      <w:pPr/>
      <w:r>
        <w:rPr>
          <w:b/>
        </w:rPr>
        <w:t>POSSIBLE 2025:</w:t>
      </w:r>
      <w:r>
        <w:t xml:space="preserve"> Determinants of induced abortion rates in Europe — https://doi.org/10.1108/ijhg-11-2024-0146</w:t>
      </w:r>
    </w:p>
    <w:p>
      <w:pPr/>
      <w:r>
        <w:rPr>
          <w:b/>
        </w:rPr>
        <w:t>Shared claim-specific concepts:</w:t>
      </w:r>
      <w:r>
        <w:t xml:space="preserve"> factors, trends, long-term; EU scope visible. This is a provisional connection, not an outcome finding.</w:t>
      </w:r>
    </w:p>
    <w:p>
      <w:pPr>
        <w:pStyle w:val="SourceNote"/>
      </w:pPr>
      <w:r>
        <w:rPr>
          <w:b/>
        </w:rPr>
        <w:t>Available abstract (not full text):</w:t>
      </w:r>
      <w:r>
        <w:t xml:space="preserve"> Purpose This study aims to address the gap in understanding the determinants of induced abortion rates across Europe by examining the most comprehensive dataset available. It explores economic, sociological, demographic, health, and legislative factors influencing abortion rates over a long period and across a diverse range of European countries. Design/methodology/approach The research uses empirical analysis of data from developing and developed European countries between 1990 and 2021. The methodology includes empirical analysis of regional and temporal data to identify key trends and influences. Findings The results show significant correlations between abortion rates and socioeconomic factors. Economic growth and fertility have a negative effect on abortion rates in developed countries, while women’s education and contraceptive use lower abortion rates in developing countries. Divorce rates positively affect abortion rates, while abortion regulatory policies show no effect in either group. Originality/value This research is the first to analyze the determinants of abortion rates in Europe using such an extensive, long-term dataset spanning over 3 decades and including both developing and developed countries. By incorporating a wide range of factors—economic, sociological, demographic, health, and legislative—it provides a holistic understanding of the influences on abortio</w:t>
      </w:r>
    </w:p>
    <w:p>
      <w:pPr/>
      <w:r>
        <w:rPr>
          <w:b/>
        </w:rPr>
        <w:t>POSSIBLE 2025:</w:t>
      </w:r>
      <w:r>
        <w:t xml:space="preserve"> V2G Participation in European Union: Legal and Regulatory Barriers in Spanish Electricity Markets — https://doi.org/10.31235/osf.io/vjnpy_v2</w:t>
      </w:r>
    </w:p>
    <w:p>
      <w:pPr/>
      <w:r>
        <w:rPr>
          <w:b/>
        </w:rPr>
        <w:t>Shared claim-specific concepts:</w:t>
      </w:r>
      <w:r>
        <w:t xml:space="preserve"> factors, potential, current, framework;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General Trends in the Tobacco Market Development in Europe — https://doi.org/10.30525/978-9934-26-597-6-43</w:t>
      </w:r>
    </w:p>
    <w:p>
      <w:pPr/>
      <w:r>
        <w:rPr>
          <w:b/>
        </w:rPr>
        <w:t>Shared claim-specific concepts:</w:t>
      </w:r>
      <w:r>
        <w:t xml:space="preserve"> trends, current; EU scope visible. This is a provisional connection, not an outcome finding.</w:t>
      </w:r>
    </w:p>
    <w:p>
      <w:pPr>
        <w:pStyle w:val="SourceNote"/>
      </w:pPr>
      <w:r>
        <w:rPr>
          <w:b/>
        </w:rPr>
        <w:t>Available abstract (not full text):</w:t>
      </w:r>
      <w:r>
        <w:t xml:space="preserve"> The global tobacco market significantly influences the global economy by generating employment and revenue, especially in developing countries.Despite its economic contributions, the industry faces challenges such as declining cultivation in Europe, societal and governmental anti-tobacco pressures, and illegal trade.This article delves into the historical evolution of tobacco production, current consumption trends, and the impact of regulatory frameworks in the European Union.It also examines the Ukrainian tobacco market's development, driven by foreign investment, and the obstacles posed by illicit trade and regulatory issues.</w:t>
      </w:r>
    </w:p>
    <w:p>
      <w:pPr>
        <w:pStyle w:val="Heading2"/>
      </w:pPr>
      <w:r>
        <w:t>858. New opportunities for future tourism after 25 years of political and socioeconomic transformation – foresight in Poland’s tourism planning</w:t>
      </w:r>
    </w:p>
    <w:p>
      <w:pPr>
        <w:pStyle w:val="SourceNote"/>
      </w:pPr>
      <w:r>
        <w:rPr>
          <w:b/>
        </w:rPr>
        <w:t>Original source (2016):</w:t>
      </w:r>
      <w:r>
        <w:t xml:space="preserve"> https://doi.org/10.1108/jtf-05-2015-0031</w:t>
      </w:r>
    </w:p>
    <w:p>
      <w:pPr/>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POSSIBLE 2026:</w:t>
      </w:r>
      <w:r>
        <w:t xml:space="preserve"> From the Single European Act to the One Europe, One Market Agenda. — https://doi.org/10.22370/pe.2026.20.5851</w:t>
      </w:r>
    </w:p>
    <w:p>
      <w:pPr/>
      <w:r>
        <w:rPr>
          <w:b/>
        </w:rPr>
        <w:t>Shared claim-specific concepts:</w:t>
      </w:r>
      <w:r>
        <w:t xml:space="preserve"> since, one, main, political;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goals, they, findings;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2025:</w:t>
      </w:r>
      <w:r>
        <w:t xml:space="preserve"> Modern evolutionary changes in field goal shooting patterns within prominent European basketball leagues — https://doi.org/10.26582/k.57.1.13</w:t>
      </w:r>
    </w:p>
    <w:p>
      <w:pPr/>
      <w:r>
        <w:rPr>
          <w:b/>
        </w:rPr>
        <w:t>Shared claim-specific concepts:</w:t>
      </w:r>
      <w:r>
        <w:t xml:space="preserve"> since, goals, identify, trends, after; EU scope visible. This is a provisional connection, not an outcome finding.</w:t>
      </w:r>
    </w:p>
    <w:p>
      <w:pPr>
        <w:pStyle w:val="SourceNote"/>
      </w:pPr>
      <w:r>
        <w:rPr>
          <w:b/>
        </w:rPr>
        <w:t>Available abstract (not full text):</w:t>
      </w:r>
      <w:r>
        <w:t xml:space="preserve"> The aims of this study were to identify the evolution of field goal shooting trends within leading European basketball leagues, and the subsequent impact of a change in 3-point line distance on these trends, providing valuable information for coaches and strategists. Data were collected from the 2002-2003 to the 2022-2023 season (21 seasons) from the prominent basketball leagues of Spain, Italy, France, and Greece. The analyzed variables were: 2-point field goals made (2PM), 2-point field goal attempts (2PA), 2-point field goal percentage (2P%), 3-point field goals made (3PM), 3-point field goal attempts (3PA), and 3-point field goal percentage (3P%). One-way repeated-measures ANOVA or Friedman’s test were used to determine evolutionary changes in variables over time. Additionally, comparisons between variables before and after the change in 3-point line distance were also conducted via independent t-tests. Over the past 21 seasons, 3PA and 3PM significantly increased from an average of 20.80 to 25.17 per match. In contrast, 2PA, 2PM, 2P% and 3P% remained unchanged during the same period. Following the change in distance of the 3-point line, 3PA and 3PM increased over 5%, while no change in 3P%, 2PA, 2PM and 2P%. Over the past 21 seasons, there were substantial increases in 3PA and 3PM, especially since the change in 3-point line distance in 2010-2011, without changes in 2-poin</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since, one, trends;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One-Health surveillance of ticks and tick-borne diseases in Europe: Tick-borne Encephalitis (TBE) as a case study — https://doi.org/10.1016/j.ijid.2024.107376</w:t>
      </w:r>
    </w:p>
    <w:p>
      <w:pPr/>
      <w:r>
        <w:rPr>
          <w:b/>
        </w:rPr>
        <w:t>Shared claim-specific concepts:</w:t>
      </w:r>
      <w:r>
        <w:t xml:space="preserve"> since, one, main, after; EU scope visible. This is a provisional connection, not an outcome finding.</w:t>
      </w:r>
    </w:p>
    <w:p>
      <w:pPr>
        <w:pStyle w:val="SourceNote"/>
      </w:pPr>
      <w:r>
        <w:rPr>
          <w:b/>
        </w:rPr>
        <w:t>Available abstract (not full text):</w:t>
      </w:r>
      <w:r>
        <w:t xml:space="preserve"> Background/introduction Tick-borne encephalitis (TBE) is a severe zoonotic neurological infection caused by the TBE virus (member of the Flaviriridae family), and it is considered to be one of the most important tick-borne viral diseases in Europe and Asia. In mainland Europe the main tick species transmitting the TBE virus is Ixodes ricinus. The infection is mostly acquired after a tick bite, but food-borne infection is also possible. TBE is a notifiable disease in EU/EEA since 2012. Despite the availability of a vaccine, its incidence is increasing with the appearance of new foci of virus circulation in areas previously unaffected. TBE prevention and mitigation of spill-over events could be obtained with One Health surveillance, which integrates traditional disease-based surveillance with the monitoring of drivers of disease emergence and early warning signals. This presentation focuses on the principal ecological and climatic drivers shaping TBE emergence in Europe and the use of environmental indexes as proxies for TBE infection risk. Methods We searched available literature on covariates linked with the circulation of TBEV in Europe and assessed the best predictors for TBE incidence by means of statistical regression, using data on human TBE infections collected by the European Surveillance System (TESSy) and made available by The European Centre for Disease Prevention and</w:t>
      </w:r>
    </w:p>
    <w:p>
      <w:pPr/>
      <w:r>
        <w:rPr>
          <w:b/>
        </w:rPr>
        <w:t>POSSIBLE 2025:</w:t>
      </w:r>
      <w:r>
        <w:t xml:space="preserve"> ENVIRONMENTAL PROTECTION GOALS AND SCOPE OF POLICIES IN THE EUROPEAN UNION BY 2030 — https://doi.org/10.46793/semsie25.159pr</w:t>
      </w:r>
    </w:p>
    <w:p>
      <w:pPr/>
      <w:r>
        <w:rPr>
          <w:b/>
        </w:rPr>
        <w:t>Shared claim-specific concepts:</w:t>
      </w:r>
      <w:r>
        <w:t xml:space="preserve"> one, main, goals; EU scope visible. This is a provisional connection, not an outcome finding.</w:t>
      </w:r>
    </w:p>
    <w:p>
      <w:pPr>
        <w:pStyle w:val="SourceNote"/>
      </w:pPr>
      <w:r>
        <w:rPr>
          <w:b/>
        </w:rPr>
        <w:t>Available abstract (not full text):</w:t>
      </w:r>
      <w:r>
        <w:t xml:space="preserve"> Environmental protection is one of the key focuses of the European Union’s activities, operating at various levels – from policy and legislation to financial investments. The European Green Deal, the EU’s main environmental policy plan, aims for Europe to become the first climate-neutral continent by 2050. This involves reducing carbon dioxide emissions, transitioning to renewable energy sources, investing in green technology, strengthening environmental legislation, and more. The Eighth Environmental Action Program, adopted in alignment with the European Green Deal, provides the framework for EU environmental policy until 2030. It sets the priority goals for environmental protection until 2030 and the conditions necessary for their achievement. At the same time, it forms the basis for the European Union’s contribution to achieving the United Nations Agenda for 2030 and its sustainable development goals. This paper analyzes six priority goals of the Eighth Environmental Action Program and the progress made toward achieving them, monitored through 26 indicators. The research results indicate that the European Union has successfully achieved some goals, but there are goals that require significantly greater efforts and resources to be fully realized.</w:t>
      </w:r>
    </w:p>
    <w:p>
      <w:pPr/>
      <w:r>
        <w:rPr>
          <w:b/>
        </w:rPr>
        <w:t>POSSIBLE 2025:</w:t>
      </w:r>
      <w:r>
        <w:t xml:space="preserve"> The evaluation of football players: an in-depth look at the Expected Goal metric — https://doi.org/10.1007/s10479-025-06606-8</w:t>
      </w:r>
    </w:p>
    <w:p>
      <w:pPr/>
      <w:r>
        <w:rPr>
          <w:b/>
        </w:rPr>
        <w:t>Shared claim-specific concepts:</w:t>
      </w:r>
      <w:r>
        <w:t xml:space="preserve"> since, one, main, goals, identify, influence; EU scope visible. This is a provisional connection, not an outcome finding.</w:t>
      </w:r>
    </w:p>
    <w:p>
      <w:pPr>
        <w:pStyle w:val="SourceNote"/>
      </w:pPr>
      <w:r>
        <w:rPr>
          <w:b/>
        </w:rPr>
        <w:t>Available abstract (not full text):</w:t>
      </w:r>
      <w:r>
        <w:t xml:space="preserve"> Abstract The global sports industry is valued at $480 billion in 2023, projected to rise to $629.81 billion by 2028, with the betting sector alone generating €1.41 trillion in turnover in 2022, €730 billion of which was from football. Football attracts millions of fans worldwide, creating lucrative opportunities for advertising and marketing. In Europe, the Big Five leagues represent most of the European professional sports market. In this context, it is important to be able to evaluate football clubs and players. The value of a football player depends mainly on his performance, which depends on different factors, such as personal characteristics, attacking and defending ability on the pitch, mentality, and much more. This study focuses on attacking performance, specifically Expected Goals (xG), a critical metric for financial and strategic decisions in football, since it helps clubs, investors, and bookmakers to evaluate more accurately team performance and identify value bets. In addition, the xG metric can also significantly influence a player’s market value and transfer decisions. This study has two main objectives: first, we want to identify the current xG model through data from Understat, one of the primary data providers for shot characteristics; then, we want to propose an improved approach for more accurate xG predictions.</w:t>
      </w:r>
    </w:p>
    <w:p>
      <w:pPr/>
      <w:r>
        <w:rPr>
          <w:b/>
        </w:rPr>
        <w:t>POSSIBLE 2025:</w:t>
      </w:r>
      <w:r>
        <w:t xml:space="preserve"> Implementation of Ecological Sustainability Goals in Public Industrial Heritage Facilities in Europe — https://doi.org/10.3390/heritage8020053</w:t>
      </w:r>
    </w:p>
    <w:p>
      <w:pPr/>
      <w:r>
        <w:rPr>
          <w:b/>
        </w:rPr>
        <w:t>Shared claim-specific concepts:</w:t>
      </w:r>
      <w:r>
        <w:t xml:space="preserve"> one, goals, identify, tourism, taken; EU scope visible. This is a provisional connection, not an outcome finding.</w:t>
      </w:r>
    </w:p>
    <w:p>
      <w:pPr>
        <w:pStyle w:val="SourceNote"/>
      </w:pPr>
      <w:r>
        <w:rPr>
          <w:b/>
        </w:rPr>
        <w:t>Available abstract (not full text):</w:t>
      </w:r>
      <w:r>
        <w:t xml:space="preserve"> Industrial heritage tourism has been subject to increasing visitor interest, making Europe’s old factories, mines, and steelworks into attractive tourist installations. However, these facilities, like all other market players, impact the environment, and, therefore, their management should take into account achieving sustainable development goals. The purpose of this article is to identify key sustainability measures taken by public industrial heritage tourism facilities in Europe to protect the environment. This article discusses the results of a survey of administrators of public industrial heritage facilities in Europe. This research was carried out using the Computer Assisted Web Interview technique, sending a research questionnaire to facilities associated with the European Route of Industrial Heritage. The results indicate that these entities are taking numerous measures to implement environmental sustainability patterns, particularly in the areas of waste segregation, pollution and waste generation reduction, and low energy consumption in equipment purchases. Unfortunately, the survey shows that many of the stated actions are not being implemented, as only one in four managers has implemented a formal program related to the implementation of at least some sustainability principles or training conducted in this regard. Managers of industrial heritage sites also advocate f</w:t>
      </w:r>
    </w:p>
    <w:p>
      <w:pPr/>
      <w:r>
        <w:rPr>
          <w:b/>
        </w:rPr>
        <w:t>POSSIBLE 2025:</w:t>
      </w:r>
      <w:r>
        <w:t xml:space="preserve"> Identifying and Quantifying the Impact of Climatic and Non‐Climatic Drivers on River Discharge in Europe — https://doi.org/10.1029/2024wr038220</w:t>
      </w:r>
    </w:p>
    <w:p>
      <w:pPr/>
      <w:r>
        <w:rPr>
          <w:b/>
        </w:rPr>
        <w:t>Shared claim-specific concepts:</w:t>
      </w:r>
      <w:r>
        <w:t xml:space="preserve"> main, trends; EU scope visible. This is a provisional connection, not an outcome finding.</w:t>
      </w:r>
    </w:p>
    <w:p>
      <w:pPr>
        <w:pStyle w:val="SourceNote"/>
      </w:pPr>
      <w:r>
        <w:rPr>
          <w:b/>
        </w:rPr>
        <w:t>Available abstract (not full text):</w:t>
      </w:r>
      <w:r>
        <w:t xml:space="preserve"> Abstract Our water resources have changed over the last century through a combination of water management evolution and climate change. Understanding and decomposing the drivers of discharge changes is essential to preparing and planning adaptive strategies. To separate the response of catchment dynamics between climate change‐related and other factors in discharge observations, we propose a methodology to compare discharge observations to discharge from a physically based model. The novelty lies in the fact that, to keep the comparison pertinent despite systematic biases in physically based model outputs, we compare both systems using a common framework of interpretation, a parsimonious model, which allows us to isolate trends in catchment dynamics from trends due to average changes in annual climate variables. The modeled system stands as the reference to reproduce changes only due to evolving climate dynamics. Comparing it to the interpretation framework applied to the observation system highlights the effect of the non‐modeled factors on catchment dynamics and discharge, such as human intervention in rivers and water uptakes. We show that over Europe, especially in the South, the dominant explanations for discharge trends are non‐climatic factors. Still, in some catchments of Northern Europe, climate change seems to be the dominating driver of change. We hypothesize that th</w:t>
      </w:r>
    </w:p>
    <w:p>
      <w:pPr/>
      <w:r>
        <w:rPr>
          <w:b/>
        </w:rPr>
        <w:t>POSSIBLE 2024:</w:t>
      </w:r>
      <w:r>
        <w:t xml:space="preserve"> The Main Concerns towards the European Union that Led the British to Vote for Brexit — https://doi.org/10.2478/eustu-2024-0008</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pPr/>
      <w:r>
        <w:rPr>
          <w:b/>
        </w:rPr>
        <w:t>POSSIBLE 2024:</w:t>
      </w:r>
      <w:r>
        <w:t xml:space="preserve"> The role of universities in accelerating the sustainable development goals in Europe — https://doi.org/10.1038/s41598-024-65820-9</w:t>
      </w:r>
    </w:p>
    <w:p>
      <w:pPr/>
      <w:r>
        <w:rPr>
          <w:b/>
        </w:rPr>
        <w:t>Shared claim-specific concepts:</w:t>
      </w:r>
      <w:r>
        <w:t xml:space="preserve"> goals, they; EU scope visible. This is a provisional connection, not an outcome finding.</w:t>
      </w:r>
    </w:p>
    <w:p>
      <w:pPr>
        <w:pStyle w:val="SourceNote"/>
      </w:pPr>
      <w:r>
        <w:rPr>
          <w:b/>
        </w:rPr>
        <w:t>Available abstract (not full text):</w:t>
      </w:r>
      <w:r>
        <w:t xml:space="preserve"> The process of implementation of the UN Sustainable Development Goals (SDGs) which were approved by the UN General Assembly in 2015 has not been simple, being influenced by variety of social, economic, and logistical problems. It has also been negatively affected by the COVID-19 pandemic. There are to date no specific studies aimed at assessing the extent to which higher universities institutions in Europe are active in the SDGs implementation process. Departing from this research need, this paper reports on a study aimed at examining the current degree of engagement of European universities in the implementing the SDGs. By using a multi-methods approach, which entails a review of existing documents, a survey involving participants from 22 countries and case studies, the paper maps, documents and disseminates examples of what European universities are doing to implement the SDGs, the challenges they face, and the solutions being deployed to overcome them.</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goals, trends;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pStyle w:val="Heading2"/>
      </w:pPr>
      <w:r>
        <w:t>859. Pathways to Deep Decarbonization in Italy</w:t>
      </w:r>
    </w:p>
    <w:p>
      <w:pPr>
        <w:pStyle w:val="SourceNote"/>
      </w:pPr>
      <w:r>
        <w:rPr>
          <w:b/>
        </w:rPr>
        <w:t>Original source (2016):</w:t>
      </w:r>
      <w:r>
        <w:t xml:space="preserve"> https://doi.org/10.22004/ag.econ.230582</w:t>
      </w:r>
    </w:p>
    <w:p>
      <w:pPr/>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POSSIBLE 2026:</w:t>
      </w:r>
      <w:r>
        <w:t xml:space="preserve"> BOOK REVIEW: OPEN AND DISTANCE EDUCATION IN AUSTRALIA, EUROPE AND THE AMERICAS: NATIONAL PERSPECTIVES IN A DIGITAL AGE — https://openalex.org/W7167292450</w:t>
      </w:r>
    </w:p>
    <w:p>
      <w:pPr/>
      <w:r>
        <w:rPr>
          <w:b/>
        </w:rPr>
        <w:t>Shared claim-specific concepts:</w:t>
      </w:r>
      <w:r>
        <w:t xml:space="preserve"> australia, brazil, canada, germany, united, kingdom; EU scope visible. This is a provisional connection, not an outcome finding.</w:t>
      </w:r>
    </w:p>
    <w:p>
      <w:pPr>
        <w:pStyle w:val="SourceNote"/>
      </w:pPr>
      <w:r>
        <w:rPr>
          <w:b/>
        </w:rPr>
        <w:t>Available abstract (not full text):</w:t>
      </w:r>
      <w:r>
        <w:t xml:space="preserve">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pPr/>
      <w:r>
        <w:rPr>
          <w:b/>
        </w:rPr>
        <w:t>POSSIBLE 2026:</w:t>
      </w:r>
      <w:r>
        <w:t xml:space="preserve"> Cellular agriculture in the media: newspaper coverage in Australia, Brazil, Germany, and India — https://doi.org/10.5194/gh-81-255-2026</w:t>
      </w:r>
    </w:p>
    <w:p>
      <w:pPr/>
      <w:r>
        <w:rPr>
          <w:b/>
        </w:rPr>
        <w:t>Shared claim-specific concepts:</w:t>
      </w:r>
      <w:r>
        <w:t xml:space="preserve"> countries, australia, brazil, germany, india; EU scope visible. This is a provisional connection, not an outcome finding.</w:t>
      </w:r>
    </w:p>
    <w:p>
      <w:pPr>
        <w:pStyle w:val="SourceNote"/>
      </w:pPr>
      <w:r>
        <w:rPr>
          <w:b/>
        </w:rPr>
        <w:t>Available abstract (not full text):</w:t>
      </w:r>
      <w:r>
        <w:t xml:space="preserve"> Cellular agriculture (CellAg) emerges as a technology aiming to address critical issues within the food system by offering an alternative to conventional meat. The dissemination of information about it to non-scientific communities faces challenges regarding the translation of complex technical developments, with the public reliant on the coverage from media outlets. We developed a collaborative approach to contribute to this discussion, focusing on four cases: Brazil, India, Australia, and Germany. Newspapers from these countries were analyzed using a qualitative content analysis and a subsequent joint interpretation. A major finding was the striking similarity in the main topics covered by the media in the studied countries. In addition, a large proportion of newspaper articles adopted a positive and market-oriented perspective. Germany stands out for its emphasis on research and development news. Australia is characterized by its focus on market and consumption elements. India is notable for its prioritization of food security. Brazil highlights market factors and brings to light concerns about market barriers. The results deserve further studies as they reveal that societies across geographical areas are receiving mostly superficial positive news instead of perspectives with higher-quality analyses of all impacts that may occur.</w:t>
      </w:r>
    </w:p>
    <w:p>
      <w:pPr/>
      <w:r>
        <w:rPr>
          <w:b/>
        </w:rPr>
        <w:t>POSSIBLE 2026:</w:t>
      </w:r>
      <w:r>
        <w:t xml:space="preserve"> Reconnect China Policy Brief 31: China's strategy toward Pacific Island countries: Countering Taiwan and Western Influence — https://doi.org/10.5281/zenodo.22660256</w:t>
      </w:r>
    </w:p>
    <w:p>
      <w:pPr/>
      <w:r>
        <w:rPr>
          <w:b/>
        </w:rPr>
        <w:t>Shared claim-specific concepts:</w:t>
      </w:r>
      <w:r>
        <w:t xml:space="preserve"> countries, australia, china, france, south; EU scope visible. This is a provisional connection, not an outcome finding.</w:t>
      </w:r>
    </w:p>
    <w:p>
      <w:pPr>
        <w:pStyle w:val="SourceNote"/>
      </w:pPr>
      <w:r>
        <w:rPr>
          <w:b/>
        </w:rPr>
        <w:t>Available abstract (not full text):</w:t>
      </w:r>
      <w:r>
        <w:t xml:space="preserve"> Policy brief no.31 written within the Reconnect China Horizon Europe project analyses the diplomatic strategy China has deployed toward the Pacific Island Countries (PICs) over the past decade. This strategy pursues two main objectives: countering Taiwan’s diplomatic influence in the region and countering the influence of liberal democracies in what Beijing refers to as the “Global South.” Initially, Beijing adopted a cautious and discreet approach, but it shifted to a more assertive stance from 2021 onward, with varying degrees of success. A central driver of China’s strategy is reducing Taiwan’s diplomatic presence. Beijing has successfully persuaded countries such as the Solomon Islands, Kiribati, and Nauru to switch recognition from Taipei, while pressuring PICs to limit Taiwan’s participation in regional fora. Nonetheless, resistance persists, and upcoming Pacific Islands Forum (PIF) leadership may reopen space for Taiwan. China has also increased its military footprint through naval deployments, port calls, and security cooperation. However, the region’s logistical constraints and strong ties with Australia limit Beijing’s defense influence. Public security agreements—especially with the Solomon Islands and Vanuatu—raise concerns about political interference. Despite China’s growing aid and presence, Australia remains the dominant development and security partner. Policy </w:t>
      </w:r>
    </w:p>
    <w:p>
      <w:pPr/>
      <w:r>
        <w:rPr>
          <w:b/>
        </w:rPr>
        <w:t>POSSIBLE 2026:</w:t>
      </w:r>
      <w:r>
        <w:t xml:space="preserve"> RUPTURES IN CLIMATE DISCOURSE: DIGITAL PUBLICS, POLARISATION, AND ENVIRONMENTAL CONFLICT IN AUSTRALIA AND BRAZIL — https://doi.org/10.5210/spir.v2024i0.15392</w:t>
      </w:r>
    </w:p>
    <w:p>
      <w:pPr/>
      <w:r>
        <w:rPr>
          <w:b/>
        </w:rPr>
        <w:t>Shared claim-specific concepts:</w:t>
      </w:r>
      <w:r>
        <w:t xml:space="preserve"> countries, australia, brazil; EU scope not established. This is a provisional connection, not an outcome finding.</w:t>
      </w:r>
    </w:p>
    <w:p>
      <w:pPr>
        <w:pStyle w:val="SourceNote"/>
      </w:pPr>
      <w:r>
        <w:rPr>
          <w:b/>
        </w:rPr>
        <w:t>Available abstract (not full text):</w:t>
      </w:r>
      <w:r>
        <w:t xml:space="preserve"> Australia and Brazil are on the frontlines of climate crises. Both have experienced significant warming, including intense heatwaves. Both have experienced changes in rainfall patterns, with increases in some regions and decreases in others, affecting biodiversity, agriculture, and infrastructure. Floods and largely destructive bushfires have been major events both countries dealt with in the last decade. The frequency and intensity of such extreme events like bushfires and floods are expected to increase, further increasing the impact to ecosystems and cities. Beyond suffering similar consequences of climate change, both economies rely on extractive industries (mining, agribusiness, and fossil fuels). Brazil is the sixth largest global greenhouse gas emitter, while Australia is one of the largest per capita emitters of greenhouse gases, largely due to its reliance on coal for energy and as an export commodity. In addition to the consequences and causes of climate change, climate activism and advocacy in both countries are highly driven by indigenous and other vulnerable communities, who are also the ones suffering the most severe consequences of ecological destruction. This panel brings together papers that investigate how climate debates unfold in these two nations, focusing on digital public spheres, political polarisation, and discursive struggles over climate action. By ex</w:t>
      </w:r>
    </w:p>
    <w:p>
      <w:pPr/>
      <w:r>
        <w:rPr>
          <w:b/>
        </w:rPr>
        <w:t>POSSIBLE 2025:</w:t>
      </w:r>
      <w:r>
        <w:t xml:space="preserve"> The Brazilian and Australian political-institutional scenario concerning water resources management — https://doi.org/10.5585/2025.25216</w:t>
      </w:r>
    </w:p>
    <w:p>
      <w:pPr/>
      <w:r>
        <w:rPr>
          <w:b/>
        </w:rPr>
        <w:t>Shared claim-specific concepts:</w:t>
      </w:r>
      <w:r>
        <w:t xml:space="preserve"> countries, australia, brazil, states; EU scope not established. This is a provisional connection, not an outcome finding.</w:t>
      </w:r>
    </w:p>
    <w:p>
      <w:pPr>
        <w:pStyle w:val="SourceNote"/>
      </w:pPr>
      <w:r>
        <w:rPr>
          <w:b/>
        </w:rPr>
        <w:t>Available abstract (not full text):</w:t>
      </w:r>
      <w:r>
        <w:t xml:space="preserve"> Aim: This research aims to analytically compare the functioning of the institutional procedures concerning water resources management in Brazil and Australia. Method: Through a literature review and document analysis, this paper presents a characterization of the Brazilian and Australian political-institutional water management scenarios based on both direct and indirect information sources. It then compares the institutional processes of these two countries using a SWOT matrix analysis, highlighting their strengths, weaknesses, opportunities, and threats. Novelty/Relevance: This research seeks to fill a scientific information gap by examining how actors in both developing and developed countries' influence decision-making toward more sustainable environmental management, using water management as a case study. Results: The results show that both countries have legislation prescribing decentralized and participatory decision-making processes. However, the implementation of this legislation does not guarantee democratic management of hydric resources. Moreover, the stages and scopes of legislative implementation and execution differ between Brazil and Australia. The Brazilian institutional scenario demonstrates a weaker capacity for implementing and enforcing water legislation compared to Australia, where a more developed water management system exists, and society shows greater</w:t>
      </w:r>
    </w:p>
    <w:p>
      <w:pPr/>
      <w:r>
        <w:rPr>
          <w:b/>
        </w:rPr>
        <w:t>POSSIBLE 2025:</w:t>
      </w:r>
      <w:r>
        <w:t xml:space="preserve"> Amazon projects pose risks to Brazil and the World — https://doi.org/10.1093/biosci/biaf002</w:t>
      </w:r>
    </w:p>
    <w:p>
      <w:pPr/>
      <w:r>
        <w:rPr>
          <w:b/>
        </w:rPr>
        <w:t>Shared claim-specific concepts:</w:t>
      </w:r>
      <w:r>
        <w:t xml:space="preserve"> countries, brazil, china, indonesia, mexico, united; EU scope visible. This is a provisional connection, not an outcome finding.</w:t>
      </w:r>
    </w:p>
    <w:p>
      <w:pPr>
        <w:pStyle w:val="SourceNote"/>
      </w:pPr>
      <w:r>
        <w:rPr>
          <w:b/>
        </w:rPr>
        <w:t>Available abstract (not full text):</w:t>
      </w:r>
      <w:r>
        <w:t xml:space="preserve"> The 29th Conference of the Parties of the United Nations climate convention (COP 29) was marked by many promises in Baku, Azerbaijan. These annual meetings attempt to address the unfolding climate crisis, and the talks this year left many crucial issues unresolved. In recent years, a series of climate-fueled disasters and extreme events such as Australian bushfires, drought and fires in the Amazon, floods in southern Brazil, Hurricane Milton in the Gulf of Mexico, and North American and Spanish floods have wreaked havoc across the world. The continued upward trajectory of greenhouse gas emissions suggests that the window for limiting warming to 1.5 degrees Celsius (°C) above the preindustrial average may already have closed, given that we have already reached that record temperature in 2024 (Ripple et al. 2024). Unlike major global powers (such as the United States, China, and European Union countries), whose main contributors to greenhouse gas emissions are the burning of fossil fuels, deforestation is the main source of emissions in developing countries that still have large amounts of tropical forest cover, such as Brazil, Bolivia, Peru, Indonesia, and the Democratic Republic of Congo. Tropical forests store about 229 billion tons of carbon in their aboveground live woody vegetation (Baccini et al. 2012), and the conservation of these areas is vital for the mitigation of cli</w:t>
      </w:r>
    </w:p>
    <w:p>
      <w:pPr/>
      <w:r>
        <w:rPr>
          <w:b/>
        </w:rPr>
        <w:t>POSSIBLE 2024:</w:t>
      </w:r>
      <w:r>
        <w:t xml:space="preserve"> THE RELEVANCE OF THE BRAZILIAN AMAZON FOR THE RELATIONSHIP BETWEEN BRAZIL AND THE EUROPEAN UNION — https://openalex.org/W7119374139</w:t>
      </w:r>
    </w:p>
    <w:p>
      <w:pPr/>
      <w:r>
        <w:rPr>
          <w:b/>
        </w:rPr>
        <w:t>Shared claim-specific concepts:</w:t>
      </w:r>
      <w:r>
        <w:t xml:space="preserve"> countries, brazil, national; EU scope visible. This is a provisional connection, not an outcome finding.</w:t>
      </w:r>
    </w:p>
    <w:p>
      <w:pPr>
        <w:pStyle w:val="SourceNote"/>
      </w:pPr>
      <w:r>
        <w:rPr>
          <w:b/>
        </w:rPr>
        <w:t>Available abstract (not full text):</w:t>
      </w:r>
      <w:r>
        <w:t xml:space="preserve">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pPr/>
      <w:r>
        <w:rPr>
          <w:b/>
        </w:rPr>
        <w:t>POSSIBLE 2024:</w:t>
      </w:r>
      <w:r>
        <w:t xml:space="preserve"> Engagement of European Countries in the Implementation of the US Indo-Pacific Strategy (Part 2) — https://doi.org/10.22394/1726-1139-2023-12-9-33</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2024:</w:t>
      </w:r>
      <w:r>
        <w:t xml:space="preserve"> THE EMERGING THREAT OF CHINESE ORGANIZED CRIME IN ITALY AND EUROPE — https://doi.org/10.15837/aijjs.v18i1.6745</w:t>
      </w:r>
    </w:p>
    <w:p>
      <w:pPr/>
      <w:r>
        <w:rPr>
          <w:b/>
        </w:rPr>
        <w:t>Shared claim-specific concepts:</w:t>
      </w:r>
      <w:r>
        <w:t xml:space="preserve"> china, italy, united, states; EU scope visible. This is a provisional connection, not an outcome finding.</w:t>
      </w:r>
    </w:p>
    <w:p>
      <w:pPr>
        <w:pStyle w:val="SourceNote"/>
      </w:pPr>
      <w:r>
        <w:rPr>
          <w:b/>
        </w:rPr>
        <w:t>Available abstract (not full text):</w:t>
      </w:r>
      <w:r>
        <w:t xml:space="preserve"> The mafias, opening up from their territories of origin, have opened up to profound global transformations, also rethinking their own hierarchies of values, their own purposes and their own rules. In particular, in this paper the author deals with the Chinese mafia and its presence on Italian and European territory. In a transnational dimension, the Chinese underworld operates, with the native and foreign criminal cliques present in the territories, in carrying out illicit business and does this with a "mafia-style" methodology.Triad is the name given in the West to a secret society, founded in China in the 17th century and which has today become a dangerous mafia criminal organisation. It has its bases in Hong Kong and the island of Taiwan, but today it is increasingly widespread not only in the United States of America, but also in Italy and Europe.</w:t>
      </w:r>
    </w:p>
    <w:p>
      <w:pPr/>
      <w:r>
        <w:rPr>
          <w:b/>
        </w:rPr>
        <w:t>POSSIBLE 2024:</w:t>
      </w:r>
      <w:r>
        <w:t xml:space="preserve"> Voluntary Social Disclosure in an Emerging Country: The Case of Brazil — https://doi.org/10.3390/admsci14120339</w:t>
      </w:r>
    </w:p>
    <w:p>
      <w:pPr/>
      <w:r>
        <w:rPr>
          <w:b/>
        </w:rPr>
        <w:t>Shared claim-specific concepts:</w:t>
      </w:r>
      <w:r>
        <w:t xml:space="preserve"> countries, brazil, contributes; EU scope not established. This is a provisional connection, not an outcome finding.</w:t>
      </w:r>
    </w:p>
    <w:p>
      <w:pPr>
        <w:pStyle w:val="SourceNote"/>
      </w:pPr>
      <w:r>
        <w:rPr>
          <w:b/>
        </w:rPr>
        <w:t>Available abstract (not full text):</w:t>
      </w:r>
      <w:r>
        <w:t xml:space="preserve"> This study aims to assess the disclosure extent and quality, as well as the percentage of audited reports, of the Brazilian companies listed on the IBOVESPA stock exchange index and explore some factors that influence disclosure quality. A content analysis of 71 annual sustainability (or similar) and integrated reports was conducted, focused on the social dimension. Multiple linear regression was used to assess the relationship between the disclosure quality index and being audited by a Big Four company, the number of members on the board of directors, the use of the Global Reporting Initiative (GRI) standards in the preparation of the reports, and the type of industry. The results suggest that although the disclosure extent is reasonable, its quality is poor. In addition, considering its voluntary nature, the disclosure-auditing index is deemed satisfactory. The results also suggest that the disclosure quality of Brazilian companies is positively and significantly influenced by being audited by a Big Four company, by adopting the GRI standards, by the number of members composing the board of directors, and by belonging to the “Energy and utility” industry. This study contributes to the extant literature by assessing the disclosure extent and quality and the percentage of audited reports of companies in an emerging economy setting—Brazil—and exploring some factors which influen</w:t>
      </w:r>
    </w:p>
    <w:p>
      <w:pPr/>
      <w:r>
        <w:rPr>
          <w:b/>
        </w:rPr>
        <w:t>POSSIBLE 2024:</w:t>
      </w:r>
      <w:r>
        <w:t xml:space="preserve"> New Oncologic Drugs from 2008 to 2023—Differences in Approval and Access between the United States, Europe and Brazil — https://doi.org/10.3390/curroncol31080332</w:t>
      </w:r>
    </w:p>
    <w:p>
      <w:pPr/>
      <w:r>
        <w:rPr>
          <w:b/>
        </w:rPr>
        <w:t>Shared claim-specific concepts:</w:t>
      </w:r>
      <w:r>
        <w:t xml:space="preserve"> brazil, united, states; EU scope visible. This is a provisional connection, not an outcome finding.</w:t>
      </w:r>
    </w:p>
    <w:p>
      <w:pPr>
        <w:pStyle w:val="SourceNote"/>
      </w:pPr>
      <w:r>
        <w:rPr>
          <w:b/>
        </w:rPr>
        <w:t>Available abstract (not full text):</w:t>
      </w:r>
      <w:r>
        <w:t xml:space="preserve"> Introduction: Advancements in oncology have revolutionized cancer treatment, with new drugs being approved at different rates worldwide. Our objective was to evaluate the approval of new oncological drugs for solid tumors by the Food and Drug Administration (FDA), the European Medicines Agency (EMA), and the Brazilian Health Regulatory Agency (ANVISA) since 2008. Methods: Data were collected from public and online databases by searching for the date of submission, the date of the procedure, the date of approval, clinical indication, and drug characteristics. The distribution was tested using the Shapiro–Wilk, test and comparisons were made using the Mann–Whitney U test; the data are reported using median days and interquartile range (IQR1–IQR3). Results: In total, 104 new oncologic drugs for the treatment of solid tumors were approved by the three agencies: 98 by the FDA, 90 by the EMA, and 68 by ANVISA. The cancer types with the highest number of first indications were lung cancer (n = 24), breast cancer (n = 15), and melanoma (n = 15). Most approvals were for oral medications (n = 63) and tyrosine–kinase inhibitors or other small-molecule inhibitors (n = 54). Time to approval after submission was as follows: the FDA—224 days (167–285); the EMA—364 days (330–418); and ANVISA—403 days (276–636) (p &lt; 0.00001 for the FDA to the EMA and the FDA to ANVISA). The difference between s</w:t>
      </w:r>
    </w:p>
    <w:p>
      <w:pPr/>
      <w:r>
        <w:rPr>
          <w:b/>
        </w:rPr>
        <w:t>POSSIBLE 2024:</w:t>
      </w:r>
      <w:r>
        <w:t xml:space="preserve"> Strategies of Japan and Australia toward China — https://doi.org/10.22259/2394-6296.1101001</w:t>
      </w:r>
    </w:p>
    <w:p>
      <w:pPr/>
      <w:r>
        <w:rPr>
          <w:b/>
        </w:rPr>
        <w:t>Shared claim-specific concepts:</w:t>
      </w:r>
      <w:r>
        <w:t xml:space="preserve"> countries, australia, china, japan, united, states; EU scope not established. This is a provisional connection, not an outcome finding.</w:t>
      </w:r>
    </w:p>
    <w:p>
      <w:pPr>
        <w:pStyle w:val="SourceNote"/>
      </w:pPr>
      <w:r>
        <w:rPr>
          <w:b/>
        </w:rPr>
        <w:t>Available abstract (not full text):</w:t>
      </w:r>
      <w:r>
        <w:t xml:space="preserve"> The post-Cold War era, marked by US dominance and famously dubbed the "unipolar moment," has given way to a new age of global power competition, driven largely by the rise of China, whose rapid ascendance to superpower status is shaking up the established international order.According to the realist logic of balance of power theory, if China continues its rise as a superpower and builds a formidable military using its economic power, neighboring countries will ultimately seek to counter China by bolstering their own defense capabilities and forming alliances.The latest developments in the Asia-Pacific region reveal that Japan and Australia-two pivotal players in the region-have been proactively pursuing a strategy of balancing against China's ascent, acknowledging the imperative to reinforce their own military capabilities and bolster security alliances led by the United States to counter China's growing dominance in the Indo-Pacific region.These developments highlight the enduring relevance of the realist balance of power theory, offering valuable perspectives into the dynamics of contemporary international relations.</w:t>
      </w:r>
    </w:p>
    <w:p>
      <w:pPr>
        <w:pStyle w:val="Heading2"/>
      </w:pPr>
      <w:r>
        <w:t>860. Possible Futures towards a Wood-Based Bioeconomy: A Scenario Analysis for Germany</w:t>
      </w:r>
    </w:p>
    <w:p>
      <w:pPr>
        <w:pStyle w:val="SourceNote"/>
      </w:pPr>
      <w:r>
        <w:rPr>
          <w:b/>
        </w:rPr>
        <w:t>Original source (2016):</w:t>
      </w:r>
      <w:r>
        <w:t xml:space="preserve"> https://doi.org/10.3390/su8010098</w:t>
      </w:r>
    </w:p>
    <w:p>
      <w:pPr/>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POSSIBLE 2026:</w:t>
      </w:r>
      <w:r>
        <w:t xml:space="preserve"> Carbon-Aware and Reliability-Driven Optimization of Multiproduct Pipeline Scheduling: Integrating Data-Driven, Stochastic, and Cloud-Native Approaches — https://openalex.org/W7219998484</w:t>
      </w:r>
    </w:p>
    <w:p>
      <w:pPr/>
      <w:r>
        <w:rPr>
          <w:b/>
        </w:rPr>
        <w:t>Shared claim-specific concepts:</w:t>
      </w:r>
      <w:r>
        <w:t xml:space="preserve"> nature, need, sustainable, industrial, potential; EU scope not established. This is a provisional connection, not an outcome finding.</w:t>
      </w:r>
    </w:p>
    <w:p>
      <w:pPr>
        <w:pStyle w:val="SourceNote"/>
      </w:pPr>
      <w:r>
        <w:rPr>
          <w:b/>
        </w:rPr>
        <w:t>Available abstract (not full text):</w:t>
      </w:r>
      <w:r>
        <w:t xml:space="preserve"> The increasing complexity of multiproduct pipeline systems, coupled with the global imperative for sustainability and reliability, has necessitated a paradigm shift in pipeline scheduling methodologies. Traditional deterministic optimization approaches, while effective in controlled environments, often fail to address the dynamic, uncertain, and multi-objective nature of modern pipeline networks. This study presents a comprehensive, integrative research framework that synthesizes advancements in pipeline scheduling, carbon-aware optimization, stochastic modeling, and cloud-native system reliability. Drawing on recent literature spanning pipeline engineering, operations research, and cloud computing, the research develops a conceptual architecture that bridges physical infrastructure optimization with digital system resilience. The methodology adopts a hybrid analytical approach combining bibliometric synthesis, theoretical modeling, and cross-domain integration. Results highlight the limitations of conventional batch scheduling models and demonstrate the potential of data-driven and matheuristic techniques in improving operational efficiency and environmental performance. Furthermore, the incorporation of cloud reliability principles and site reliability engineering (SRE) introduces a novel dimension of system robustness in pipeline operations. The discussion elaborates on trad</w:t>
      </w:r>
    </w:p>
    <w:p>
      <w:pPr/>
      <w:r>
        <w:rPr>
          <w:b/>
        </w:rPr>
        <w:t>POSSIBLE 2026:</w:t>
      </w:r>
      <w:r>
        <w:t xml:space="preserve"> SentinelSphere: AI-Driven Cybersecurity Platform Combining Threat Detection with Security Awareness — https://doi.org/10.34190/iccws.21.1.4465</w:t>
      </w:r>
    </w:p>
    <w:p>
      <w:pPr/>
      <w:r>
        <w:rPr>
          <w:b/>
        </w:rPr>
        <w:t>Shared claim-specific concepts:</w:t>
      </w:r>
      <w:r>
        <w:t xml:space="preserve"> growing, awareness, further; EU scope not established. This is a provisional connection, not an outcome finding.</w:t>
      </w:r>
    </w:p>
    <w:p>
      <w:pPr>
        <w:pStyle w:val="SourceNote"/>
      </w:pPr>
      <w:r>
        <w:rPr>
          <w:b/>
        </w:rPr>
        <w:t>Available abstract (not full text):</w:t>
      </w:r>
      <w:r>
        <w:t xml:space="preserve"> The growing complexity of cyber threats coupled with the widening cybersecurity knowledge gap presents new challenges in the organisational security domain of the business sector. This paper introduces SentinelSphere, an innovative platform that redesigns cybersecurity defense by integrating advanced threat detection with interactive cybersecurity awareness education, creating a unified approach to building organisational cyber resilience. SentinelSphere employs an Enhanced Deep Neural Network model with specialised feature engineering to significantly reduce false positives while maintaining high detection accuracy across diverse attack vectors. The system includes a Traffic Light System (TLS) to transform complex threat intelligence into intuitive visual indicators, serving simultaneously as an operational tool for security professionals and an educational interface for non-technical users. This paper further presents a Large Language Model that delivers real-time, context-aware cybersecurity guidance and training. This conversational AI agent operates efficiently on standard enterprise hardware, making advanced security education accessible without requiring specialised infrastructure. SentinelSphere is validated using industry-standard datasets, achieving enterprise-grade performance in threat detection with a 94% F1 score and 69.5% reduction in false positives compared to </w:t>
      </w:r>
    </w:p>
    <w:p>
      <w:pPr/>
      <w:r>
        <w:rPr>
          <w:b/>
        </w:rPr>
        <w:t>POSSIBLE 2025:</w:t>
      </w:r>
      <w:r>
        <w:t xml:space="preserve"> Europe Lawn Care Products Market Overview — https://doi.org/10.5281/zenodo.17897377</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pPr/>
      <w:r>
        <w:rPr>
          <w:b/>
        </w:rPr>
        <w:t>POSSIBLE 2025:</w:t>
      </w:r>
      <w:r>
        <w:t xml:space="preserve"> Europe Electric Vehicle Charging Market: Accelerating Infrastructure for a Sustainable Mobility Future — https://doi.org/10.5281/zenodo.18081601</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pPr/>
      <w:r>
        <w:rPr>
          <w:b/>
        </w:rPr>
        <w:t>POSSIBLE 2025:</w:t>
      </w:r>
      <w:r>
        <w:t xml:space="preserve"> Europe Pet Food Ingredients Market: Growth Dynamics, Trends, and Regional Insights — https://doi.org/10.5281/zenodo.17731410</w:t>
      </w:r>
    </w:p>
    <w:p>
      <w:pPr/>
      <w:r>
        <w:rPr>
          <w:b/>
        </w:rPr>
        <w:t>Shared claim-specific concepts:</w:t>
      </w:r>
      <w:r>
        <w:t xml:space="preserve"> driven, growing, awareness, sustainable, expected; EU scope visible. This is a provisional connection, not an outcome finding.</w:t>
      </w:r>
    </w:p>
    <w:p>
      <w:pPr>
        <w:pStyle w:val="SourceNote"/>
      </w:pPr>
      <w:r>
        <w:rPr>
          <w:b/>
        </w:rPr>
        <w:t>Available abstract (not full text):</w:t>
      </w:r>
      <w:r>
        <w:t xml:space="preserve">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pPr/>
      <w:r>
        <w:rPr>
          <w:b/>
        </w:rPr>
        <w:t>POSSIBLE 2025:</w:t>
      </w:r>
      <w:r>
        <w:t xml:space="preserve"> What Factors Drive a Sustainable Energy Transition in Europe? A Data-Driven Exploration of Economic and Policy Influences — https://doi.org/10.22541/au.175883292.27456920/v1</w:t>
      </w:r>
    </w:p>
    <w:p>
      <w:pPr/>
      <w:r>
        <w:rPr>
          <w:b/>
        </w:rPr>
        <w:t>Shared claim-specific concepts:</w:t>
      </w:r>
      <w:r>
        <w:t xml:space="preserve"> driven, growing, awareness, fossil, sustainable, further; EU scope visible. This is a provisional connection, not an outcome finding.</w:t>
      </w:r>
    </w:p>
    <w:p>
      <w:pPr>
        <w:pStyle w:val="SourceNote"/>
      </w:pPr>
      <w:r>
        <w:rPr>
          <w:b/>
        </w:rPr>
        <w:t>Available abstract (not full text):</w:t>
      </w:r>
      <w:r>
        <w:t xml:space="preserve">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driven, fossil, need, sustainable, economy;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r>
        <w:rPr>
          <w:b/>
        </w:rPr>
        <w:t>POSSIBLE 2025:</w:t>
      </w:r>
      <w:r>
        <w:t xml:space="preserve"> AI Driven Defense in Europe: Shaping the Future of Military — https://doi.org/10.47205/jdss.2025(6-iii)17</w:t>
      </w:r>
    </w:p>
    <w:p>
      <w:pPr/>
      <w:r>
        <w:rPr>
          <w:b/>
        </w:rPr>
        <w:t>Shared claim-specific concepts:</w:t>
      </w:r>
      <w:r>
        <w:t xml:space="preserve"> driven, growing, need, worldwide; EU scope visible. This is a provisional connection, not an outcome finding.</w:t>
      </w:r>
    </w:p>
    <w:p>
      <w:pPr>
        <w:pStyle w:val="SourceNote"/>
      </w:pPr>
      <w:r>
        <w:rPr>
          <w:b/>
        </w:rPr>
        <w:t>Available abstract (not full text):</w:t>
      </w:r>
      <w:r>
        <w:t xml:space="preserve"> This research examines the way Artificial Intelligence (AI) is revolutionizing defense strategies among prominent European players France, Germany, the UK, Italy, Spain, and the EU, with a focus on its military uses. The research confines its examination to state-level and EU-level. AI integration within European defense reflects evolving geopolitical priorities, ethical challenges, and new regulatory demands. Employing qualitative case study approach grounded in Regional Security Complex Theory (RSCT), the research draws on official policy briefs and reports. Results show Germany and France dominating AI defense innovation, while the UK emphasizes ethical AI and NATO interoperability. Italy and Spain are emerging powers with growing public-private partnerships. The EU, lacking military capability, exerts normative influence through regulatory tools like the AI Act. These dynamics reshape regional defense cohesion and power relations. Future efforts will have to be focused on cooperative regulatory strategies, ethically sound innovation, and collective defense policies to optimize ethical AI militarization and strategic autonomy in Europe. Cooperative European defense initiatives and testing regulation frameworks need to be investigated in future research. Comparative analysis with Asia or North America like regional complexes would better convey how regional systems determine </w:t>
      </w:r>
    </w:p>
    <w:p>
      <w:pPr/>
      <w:r>
        <w:rPr>
          <w:b/>
        </w:rPr>
        <w:t>POSSIBLE 2025:</w:t>
      </w:r>
      <w:r>
        <w:t xml:space="preserve"> Research into Robust Federated Learning Methods Driven by Heterogeneity Awareness — https://doi.org/10.3390/app15147843</w:t>
      </w:r>
    </w:p>
    <w:p>
      <w:pPr/>
      <w:r>
        <w:rPr>
          <w:b/>
        </w:rPr>
        <w:t>Shared claim-specific concepts:</w:t>
      </w:r>
      <w:r>
        <w:t xml:space="preserve"> driven, growing, awareness, nature, further; EU scope not established. This is a provisional connection, not an outcome finding.</w:t>
      </w:r>
    </w:p>
    <w:p>
      <w:pPr>
        <w:pStyle w:val="SourceNote"/>
      </w:pPr>
      <w:r>
        <w:rPr>
          <w:b/>
        </w:rPr>
        <w:t>Available abstract (not full text):</w:t>
      </w:r>
      <w:r>
        <w:t xml:space="preserve"> Federated learning (FL) has emerged as a prominent distributed machine learning paradigm that facilitates collaborative model training across multiple clients while ensuring data privacy. Despite its growing adoption in practical applications, performance degradation caused by data heterogeneity—commonly referred to as the non-independent and identically distributed (non-IID) nature of client data—remains a fundamental challenge. To mitigate this issue, a heterogeneity-aware and robust FL framework is proposed to enhance model generalization and stability under non-IID conditions. The proposed approach introduces two key innovations. First, a heterogeneity quantification mechanism is designed based on statistical feature distributions, enabling the effective measurement of inter-client data discrepancies. This metric is further employed to guide the model aggregation process through a heterogeneity-aware weighted strategy. Second, a multi-loss optimization scheme is formulated, integrating classification loss, heterogeneity loss, feature center alignment, and L2 regularization for improved robustness against distributional shifts during local training. Comprehensive experiments are conducted on four benchmark datasets, including CIFAR-10, SVHN, MNIST, and NotMNIST under Dirichlet-based heterogeneity settings (alpha = 0.1 and alpha = 0.5). The results demonstrate that the propos</w:t>
      </w:r>
    </w:p>
    <w:p>
      <w:pPr/>
      <w:r>
        <w:rPr>
          <w:b/>
        </w:rPr>
        <w:t>POSSIBLE 2025:</w:t>
      </w:r>
      <w:r>
        <w:t xml:space="preserve"> Synthetic transitions: the political economy of fossil fuel as feedstock — https://doi.org/10.1080/09692290.2025.2467394</w:t>
      </w:r>
    </w:p>
    <w:p>
      <w:pPr/>
      <w:r>
        <w:rPr>
          <w:b/>
        </w:rPr>
        <w:t>Shared claim-specific concepts:</w:t>
      </w:r>
      <w:r>
        <w:t xml:space="preserve"> growing, fossil, raw, materials, sustainable, industrial; EU scope not established. This is a provisional connection, not an outcome finding.</w:t>
      </w:r>
    </w:p>
    <w:p>
      <w:pPr>
        <w:pStyle w:val="SourceNote"/>
      </w:pPr>
      <w:r>
        <w:rPr>
          <w:b/>
        </w:rPr>
        <w:t>Available abstract (not full text):</w:t>
      </w:r>
      <w:r>
        <w:t xml:space="preserve"> With simultaneous policy and scholarly attention to the pollution crisis and the climate crisis, there is growing recognition that the two are intimately interconnected through the demand for oil, gas, and coal generated by synthetic materials. Drawing on theoretical resources from international political economy and beyond, we show how petrochemicals sit at the intersection of a number of the primary drivers of the climate crisis, including fossil fuel production and industrial agriculture. The role of petrochemicals and their place in the global political economy of transitions, therefore, warrant greater empirical and critical conceptual scrutiny. Towards this end, we suggest conceptualizing and acting upon the recognition that oil, gas and coal function as feedstock for industries central to the reproduction of modern capitalism, centering the challenge of ‘de-fossilization’. Defossilization goes beyond decarbonization as emphasized in mainstream debates on energy transitions by introducing alternatives to the use of oil, gas and coal as raw materials for synthetics. This reorientation has important conceptual and strategic implications, revealing key tensions, contradictions and challenges for furthering just and sustainable transitions.</w:t>
      </w:r>
    </w:p>
    <w:p>
      <w:pPr/>
      <w:r>
        <w:rPr>
          <w:b/>
        </w:rPr>
        <w:t>POSSIBLE 2025:</w:t>
      </w:r>
      <w:r>
        <w:t xml:space="preserve"> Leveraging Artificial Intelligence for ESG Reporting: A Case Study in the European Fashion Industry — https://doi.org/10.1002/bse.70405</w:t>
      </w:r>
    </w:p>
    <w:p>
      <w:pPr/>
      <w:r>
        <w:rPr>
          <w:b/>
        </w:rPr>
        <w:t>Shared claim-specific concepts:</w:t>
      </w:r>
      <w:r>
        <w:t xml:space="preserve"> driven, growing, awareness, need, sustainable; EU scope visible. This is a provisional connection, not an outcome finding.</w:t>
      </w:r>
    </w:p>
    <w:p>
      <w:pPr>
        <w:pStyle w:val="SourceNote"/>
      </w:pPr>
      <w:r>
        <w:rPr>
          <w:b/>
        </w:rPr>
        <w:t>Available abstract (not full text):</w:t>
      </w:r>
      <w:r>
        <w:t xml:space="preserve"> ABSTRACT The fashion industry in Europe has increasingly recognized the importance of Environmental, Social, and Governance (ESG) reporting as a key driver for sustainable development and transparency. As consumer awareness grows and regulatory frameworks evolve, companies are pressured to disclose their sustainability practices, ethical labor standards, and governance policies. Artificial intelligence (AI) is emerging as a powerful tool in this transformation, providing innovative solutions for data collection, analysis, and reporting. AI‐driven systems support fashion companies in monitoring environmental impacts, optimizing supply chains, and improving labor conditions while ensuring ESG compliance. Their predictive capabilities also enable early detection of ESG risks, supporting proactive sustainability strategies. However, the adoption of AI into ESG monitoring and reporting is still underdeveloped, particularly in sector‐specific contexts. This paper examines the intersection of ESG reporting and the role of AI in enhancing transparency and accountability, in the European fashion industry. Drawing on seven in‐depth interviews with sustainability managers from Italian companies, the study employs thematic analysis to identify key patterns in ESG reporting and AI adoption. The findings reveal heterogeneous ESG maturity levels, limited but growing AI integration, and strong</w:t>
      </w:r>
    </w:p>
    <w:p>
      <w:pPr/>
      <w:r>
        <w:rPr>
          <w:b/>
        </w:rPr>
        <w:t>POSSIBLE 2025:</w:t>
      </w:r>
      <w:r>
        <w:t xml:space="preserve"> Europe’s Energy Shift: From Fossil Fuels to Renewable Energy — https://doi.org/10.28991/esj-2025-09-05-06</w:t>
      </w:r>
    </w:p>
    <w:p>
      <w:pPr/>
      <w:r>
        <w:rPr>
          <w:b/>
        </w:rPr>
        <w:t>Shared claim-specific concepts:</w:t>
      </w:r>
      <w:r>
        <w:t xml:space="preserve"> fossil, sustainable, pathways, economy; EU scope visible. This is a provisional connection, not an outcome finding.</w:t>
      </w:r>
    </w:p>
    <w:p>
      <w:pPr>
        <w:pStyle w:val="SourceNote"/>
      </w:pPr>
      <w:r>
        <w:rPr>
          <w:b/>
        </w:rPr>
        <w:t>Available abstract (not full text):</w:t>
      </w:r>
      <w:r>
        <w:t xml:space="preserve"> Objectives: This study explores the transformation of energy consumption in Europe between 2002 and 2022, focusing on the declining role of fossil fuels and the increasing significance of renewable and nuclear energy sources. The study also considers how countries with varying levels of economic development adopt different energy strategies and how these strategies correlate with shifts in energy usage. A circular economy approach that includes energy recovery from waste and resource reuse is a complementary aspect of sustainable energy transitions. Methods/Analysis: The per capita energy consumption data were analyzed through decile classification and cluster analysis to group countries with similar energy profiles. To explore the relationship between GDP and energy use—both total and renewable—linear and exponential regression models were applied. Outlier countries with atypical consumption trends were excluded to improve model reliability. Statistical analyses were conducted using SPSS, and Excel was used to support the visualization process. Findings: Six distinct clusters of energy consumption patterns emerged. In lower- and middle-GDP countries, renewable energy use showed a stronger exponential correlation with GDP growth than total energy use. While fossil fuel dependence has declined across most countries, the pathways taken have been diverse. High-GDP nations such as </w:t>
      </w:r>
    </w:p>
    <w:p>
      <w:pPr>
        <w:pStyle w:val="Heading2"/>
      </w:pPr>
      <w:r>
        <w:t>861. Prediction of population with Alzheimer's disease in the European Union using a system dynamics model</w:t>
      </w:r>
    </w:p>
    <w:p>
      <w:pPr>
        <w:pStyle w:val="SourceNote"/>
      </w:pPr>
      <w:r>
        <w:rPr>
          <w:b/>
        </w:rPr>
        <w:t>Original source (2016):</w:t>
      </w:r>
      <w:r>
        <w:t xml:space="preserve"> https://doi.org/10.2147/ndt.s107969</w:t>
      </w:r>
    </w:p>
    <w:p>
      <w:pPr/>
      <w:r>
        <w:t>Original wording (abstract; indexed_source_text_not_full_document_verified): In this research, population growth of the European Union (EU) until the year 2080 and the number of patients with AD are modeled.</w:t>
      </w:r>
    </w:p>
    <w:p>
      <w:pPr/>
      <w:r>
        <w:rPr>
          <w:b/>
        </w:rPr>
        <w:t>POSSIBLE 2026:</w:t>
      </w:r>
      <w:r>
        <w:t xml:space="preserve"> Assessment of the impact of population ageing on economic growth in European Union countries — https://openalex.org/W7161216025</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Growth patterns in patients with congenital adrenal hyperplasia analyzed by the QEPS growth model — https://doi.org/10.3389/fendo.2026.1736405</w:t>
      </w:r>
    </w:p>
    <w:p>
      <w:pPr/>
      <w:r>
        <w:rPr>
          <w:b/>
        </w:rPr>
        <w:t>Shared claim-specific concepts:</w:t>
      </w:r>
      <w:r>
        <w:t xml:space="preserve"> population, patients; EU scope not established. This is a provisional connection, not an outcome finding.</w:t>
      </w:r>
    </w:p>
    <w:p>
      <w:pPr>
        <w:pStyle w:val="SourceNote"/>
      </w:pPr>
      <w:r>
        <w:rPr>
          <w:b/>
        </w:rPr>
        <w:t>Available abstract (not full text):</w:t>
      </w:r>
      <w:r>
        <w:t xml:space="preserve"> Context: Patients with congenital adrenal hyperplasia (CAH) often face challenges in achieving their target adult height. The QEPS growth model, previously used for assessing healthy and pathological growth patterns, has not been applied to individuals with CAH. Objective: To evaluate growth patterns in patients with CAH using the QEPS growth model and to compare their growth characteristics with a healthy reference population. Design: A retrospective longitudinal study analyzing growth data collected from 1986 to 2008. Setting: The study was conducted in a single tertiary care center. Patients: The study included 25 patients (13 girls) with CAH, subtyped into salt wasting (SW; 12 boys, 8 girls) and simple virilizing (SV; 5 girls). Growth data were compared with a healthy reference cohort. Interventions: All patients were treated with hydrocortisone, and patients with CAH-SW received mineralocorticoids. Main outcome measures: Growth patterns were analyzed using the QEPS model, which includes specific early life growth (E-function), basic childhood growth (Q-function), and specific pubertal growth (P-function). Final adult height was compared with the reference population and parental heights. Results: CAH-SW boys and girls were longer at birth, exhibited reduced early-life growth, and had reduced puberty-specific growth (lower Pmax), resulting in shorter adult height (1.7 SDS).</w:t>
      </w:r>
    </w:p>
    <w:p>
      <w:pPr/>
      <w:r>
        <w:rPr>
          <w:b/>
        </w:rPr>
        <w:t>POSSIBLE 2025:</w:t>
      </w:r>
      <w:r>
        <w:t xml:space="preserve"> Effect of Population Aging on Economic Growth in countries of the European Union — https://openalex.org/W7135768500</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pPr/>
      <w:r>
        <w:rPr>
          <w:b/>
        </w:rPr>
        <w:t>POSSIBLE 2025:</w:t>
      </w:r>
      <w:r>
        <w:t xml:space="preserve"> Europeans support large carnivore recovery while opposing both further population growth and hunting — https://doi.org/10.1038/s41559-025-02914-1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pPr/>
      <w:r>
        <w:rPr>
          <w:b/>
        </w:rPr>
        <w:t>POSSIBLE 2025:</w:t>
      </w:r>
      <w:r>
        <w:t xml:space="preserve"> Economic recovery and resilience in post-pandemic Europe: evidence from eleven European Union economies — https://doi.org/10.1007/s11135-025-02194-8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This study examines the economic recovery and resilience of eleven European Union member states after the COVID-19 pandemic, using annual data from 1990 to 2022. It applies a multi-method approach, combining the Pooled Mean Group (PMG) estimator, Nonlinear Autoregressive Distributed Lag (NARDL) model, and Common Correlated Effects Estimator to analyze long- and short-run relationships. The findings show that, in the long run, inflation and mobile cellular subscriptions slow growth, while greenhouse gas emissions have a positive effect. Youth unemployment, labor force participation, trade openness, population growth, and foreign direct investment (FDI) do not show significant effects. In the short run, inflation and mobile subscriptions remain negative, while emissions continue to support growth. PMG results confirm that labor force participation, inflation, and mobile subscriptions reduce long-term growth, whereas population growth, trade openness, and emissions contribute positively. The NARDL model finds uneven effects of FDI, inflation, population growth, and trade openness, with short-run imbalances in inflation and trade openness. Causality analysis shows two-way links between inflation, trade openness, youth unemployment, and GDP growth, while one-way effects are observed for greenhouse gas emissions, population growth, and mobile subscriptions. These results hel</w:t>
      </w:r>
    </w:p>
    <w:p>
      <w:pPr/>
      <w:r>
        <w:rPr>
          <w:b/>
        </w:rPr>
        <w:t>POSSIBLE 2025:</w:t>
      </w:r>
      <w:r>
        <w:t xml:space="preserve"> The Economic Burden of Anti-Vascular Endothelial Growth Factor on Patients and Caregivers in the UK, Europe, and North America — https://doi.org/10.1007/s40123-025-01180-5</w:t>
      </w:r>
    </w:p>
    <w:p>
      <w:pPr/>
      <w:r>
        <w:rPr>
          <w:b/>
        </w:rPr>
        <w:t>Shared claim-specific concepts:</w:t>
      </w:r>
      <w:r>
        <w:t xml:space="preserve"> population, patients; EU scope visible. This is a provisional connection, not an outcome finding.</w:t>
      </w:r>
    </w:p>
    <w:p>
      <w:pPr>
        <w:pStyle w:val="SourceNote"/>
      </w:pPr>
      <w:r>
        <w:rPr>
          <w:b/>
        </w:rPr>
        <w:t>Available abstract (not full text):</w:t>
      </w:r>
      <w:r>
        <w:t xml:space="preserve"> INTRODUCTION: Intravitreal (IVT) injections of anti-vascular endothelial growth factor (VEGF) agents are the standard of care for neovascular age-related macular degeneration (nAMD) and diabetic macular edema (DME). While demonstrated to be effective, these treatments potentially place a significant burden on patients owing to their cost and frequency of treatment visits required for administration. The objective of this study was to investigate the economic burden of treatment on patients with nAMD/DME and their informal caregivers in seven countries. METHODS: Data were collected from patients and caregivers in the USA, UK, Canada, Italy, Spain, Germany, and France using a survey between September and December 2022. Each survey collected data to facilitate calculating economic burden, combining the total financial costs (i.e., direct costs to receive treatment) and productivity losses associated with attending treatment appointments over a 6-month period. Quality of life data were collected using validated instruments. RESULTS: In total, 194 patients and 194 caregivers reported currently receiving (or caring for someone who receives) anti-VEGF treatment. Across all countries, the modal frequency of anti-VEGF treatment was every 4 weeks, except for patients with DME (every 8 weeks). The largest, mean 6-month economic burden on the pooled population of patients with nAMD/DME was</w:t>
      </w:r>
    </w:p>
    <w:p>
      <w:pPr/>
      <w:r>
        <w:rPr>
          <w:b/>
        </w:rPr>
        <w:t>POSSIBLE 2025:</w:t>
      </w:r>
      <w:r>
        <w:t xml:space="preserve"> Europeans support large carnivore recovery while opposing both further population growth and hunting — https://doi.org/10.5061/dryad.w6m905r2k</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likely depends on public support. Here, we show using a survey of ten thousand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science-based and democratic.</w:t>
      </w:r>
    </w:p>
    <w:p>
      <w:pPr/>
      <w:r>
        <w:rPr>
          <w:b/>
        </w:rPr>
        <w:t>POSSIBLE 2025:</w:t>
      </w:r>
      <w:r>
        <w:t xml:space="preserve"> Forecasting the impact of Kazakhstan population growth on healthcare doctors demand — https://doi.org/10.1186/s12913-025-13638-0</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BACKGROUND: A well-forecast healthcare workforce ensures that there are enough professionals to meet the growing and changing health needs of the population. The number of doctors in a country or region is influenced by various factors, including demographic and economic conditions, policies, and educational capacity. However, the most important factor is the change in population size. Aim of study is to forecast the need for doctors (physicians) in Kazakhstan over the next decade in the context of a growing population. METHODS: A quantitative research design focused on time series analysis and forecasting was employed. This approach combines elements of descriptive and predictive designs, with the main goal of assessing future demand for medical personnel (doctors) while taking population dynamics as a key exogenous factor into account. The multi-stage approach consisted of several steps. First, key demographic indicators, such as fertility and mortality, were forecasted. These formed the basis for the population estimate, which was used as an external regressor in the ARIMAX model. RESULTS: Over the next ten years, Kazakhstan is expected to experience an increase in the fertility rate of 1.5% per year on average, as well as a decrease in mortality rates for both males and females. Consequently, the population is expected to reach 23,681,890 by 2033, with 12,176,279 women and </w:t>
      </w:r>
    </w:p>
    <w:p>
      <w:pPr/>
      <w:r>
        <w:rPr>
          <w:b/>
        </w:rPr>
        <w:t>POSSIBLE 2025:</w:t>
      </w:r>
      <w:r>
        <w:t xml:space="preserve"> Bridging Europe’s Innovation Divide: How European Union Research Policy Drives Growth in Less Developed Regions — https://doi.org/10.12688/stomiedintrelat.17930.1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Background This research examines the impact of competitive European research and development funding—specifically from the European Union’s Seventh Framework Programme and Horizon 2020—on regional economic growth, research capacities, and innovation performance across NUTS2 regions, representing mid-level administrative divisions within European Union Member States. Given the persistent disparities in research and innovation output between more and less developed regions, we focus on how these funding mechanisms influence economic and scientific development, particularly in less developed and peripheral regions. While European Union research programs aim to foster knowledge production and technological advancement, their role in mitigating regional inequalities and supporting economic convergence remains an open question . Methods To assess the effects of European Union Research and Development (EU R&amp;D) funding, we conduct a quantitative analysis using data from Eurostat, PATSTAT, Web of Science, and the European Commission’s CORDIS database. We measure changes in three key indicators —publication output, patent applications, and GDP per capita— between 2011 and 2022. GDP per capita , representing a region’s total economic output divided by its population, is a key indicator of regional economic performance. Ordinary least squares regression models are employed to evaluate the</w:t>
      </w:r>
    </w:p>
    <w:p>
      <w:pPr/>
      <w:r>
        <w:rPr>
          <w:b/>
        </w:rPr>
        <w:t>POSSIBLE 2024:</w:t>
      </w:r>
      <w:r>
        <w:t xml:space="preserve"> TRANSPORT INFRASTRUCTURE DEVELOPMENT AND ECONOMIC GROWTH IN THE EUROPEAN UNION — https://doi.org/10.47535/1991auoes33(1)007</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pPr/>
      <w:r>
        <w:rPr>
          <w:b/>
        </w:rPr>
        <w:t>POSSIBLE 2024:</w:t>
      </w:r>
      <w:r>
        <w:t xml:space="preserve"> Government Expenditure, Education, and Productivity in the European Union: Effects on Economic Growth — https://doi.org/10.1515/econ-2022-0081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pPr>
        <w:pStyle w:val="Heading2"/>
      </w:pPr>
      <w:r>
        <w:t>862. Problem of “Dinosauring” of European Union and Mapping of Its Future</w:t>
      </w:r>
    </w:p>
    <w:p>
      <w:pPr>
        <w:pStyle w:val="SourceNote"/>
      </w:pPr>
      <w:r>
        <w:rPr>
          <w:b/>
        </w:rPr>
        <w:t>Original source (2016):</w:t>
      </w:r>
      <w:r>
        <w:t xml:space="preserve"> https://doi.org/10.11114/smc.v4i1.1617</w:t>
      </w:r>
    </w:p>
    <w:p>
      <w:pPr/>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pPr/>
      <w:r>
        <w:rPr>
          <w:b/>
        </w:rPr>
        <w:t>POSSIBLE 2026:</w:t>
      </w:r>
      <w:r>
        <w:t xml:space="preserve"> Filbert’s Vision | La visión de Filiberto — https://doi.org/10.25740/rn519df7423</w:t>
      </w:r>
    </w:p>
    <w:p>
      <w:pPr/>
      <w:r>
        <w:rPr>
          <w:b/>
        </w:rPr>
        <w:t>Shared claim-specific concepts:</w:t>
      </w:r>
      <w:r>
        <w:t xml:space="preserve"> popular, vision, called; EU scope visible. This is a provisional connection, not an outcome finding.</w:t>
      </w:r>
    </w:p>
    <w:p>
      <w:pPr>
        <w:pStyle w:val="SourceNote"/>
      </w:pPr>
      <w:r>
        <w:rPr>
          <w:b/>
        </w:rPr>
        <w:t>Available abstract (not full text):</w:t>
      </w:r>
      <w:r>
        <w:t xml:space="preserve"> The Visión de Filiberto, “Filbert’s Vision,” is a fictional debate witnessed by a holy man called Filbert between the body and the soul of a recently deceased person. The body-soul debate was an extremely popular genre across Europe from the twelth to the fifteenth century CE, and reflects medieval Christian concerns with the different parts of human nature, and with the impact that actions committed during life might have after death. In this text, the body and the soul discuss their own natures and debate the blame that each of them should receive for the sins that the person they belonged to committed during his lifetime. Shocked by the debate that he has witnessed, Filbert devotes himself to religion with renewed zeal. This text is a reworking in Old Castilian (an earlier form of Spanish) of a thirteenth-century Latin text, the Visio Philiberti, of which more than 130 copies survive – an extremely high number by medieval standards. The popularity of this text was such that almost every major European language has at least one surviving manuscript version. The Middle English reworking, entitled “þe Desputisioun bitween þe Bodi and þe Soule,” has seven!</w:t>
      </w:r>
    </w:p>
    <w:p>
      <w:pPr/>
      <w:r>
        <w:rPr>
          <w:b/>
        </w:rPr>
        <w:t>POSSIBLE 2026:</w:t>
      </w:r>
      <w:r>
        <w:t xml:space="preserve"> A Short Review on Computer Vision: Visualizing the World Through Machine — https://doi.org/10.47852/bonviewaia62027265</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Computer vision is an important part of artificial intelligence. It helps machines interpret and make decisions based on visual data. As machines take on more responsibility in decision-making, vision is a key way for them to understand their surroundings. The ability for machines to see and understand the world through visual input raises the question of whether they can truly understand complex situations based on the objects and interactions around them. This paper explores the main concepts and algorithms behind computer vision, beginning with its early development. It discusses foundational techniques and how they have changed over time, including innovations that are shaping the field. The paper also looks at the limitations of these foundational concepts and how they have impacted the growth of current technologies. It includes a critical examination of present-day technologies, pointing out their challenges and shortcomings despite many improvements. Finally, the paper covers the various applications of machine vision in different fields and the promising future for further advancements in computer vision technologies. Received: 19 August 2025 | Revised: 7 January 2026 | Accepted: 28 January 2026 Conflicts of Interest The authors declare that they have no conflicts of interest to this work. Data Availability Statement Data sharing is not applicable to this article as no</w:t>
      </w:r>
    </w:p>
    <w:p>
      <w:pPr/>
      <w:r>
        <w:rPr>
          <w:b/>
        </w:rPr>
        <w:t>POSSIBLE 2025:</w:t>
      </w:r>
      <w:r>
        <w:t xml:space="preserve"> Chapter South Africa's Vision of “A Better Africa and World” — https://openalex.org/W7162907882</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This book explores the international ordering visions of key global and regional powers in the international system from 2014 onwards. Using a fourfold analytical framework based on the distributional, normative, institutional, and temporal dimensions of the visions propagated by the relevant political elites in the states/actors in question, the book addresses the ultimate question in international relations for the coming decades: To what extent can the visions pushed forward by the leading powers of the world be reconciled to arrive at a shared direction for international order writ large? The book’s analysis also offers normative prescriptions on how to avoid a tragic race to the bottom – a fragmented world of competing orders where states are unable to address shared global crises and challenges such as pandemics, cross-border crime, climate tragedies, and armed conflict. With this, it concludes by recognising the importance of agency as well as political imagination in navigating the crisis-ridden ordering moment of the international system. This book will be of key interest to scholars and students in global order studies and governance, geopolitics, regional studies, foreign policy analysis as well as more broadly to international relations and security, political history, human geography, and policymakers. Chapter 3 and Chapter 9 of this book is freely available as a d</w:t>
      </w:r>
    </w:p>
    <w:p>
      <w:pPr/>
      <w:r>
        <w:rPr>
          <w:b/>
        </w:rPr>
        <w:t>POSSIBLE 2025:</w:t>
      </w:r>
      <w:r>
        <w:t xml:space="preserve"> VisionZip: Longer is Better but Not Necessary in Vision Language Models — https://doi.org/10.1109/cvpr52734.2025.01843</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Recent advancements in vision-language models have enhanced performance by increasing the length of visual tokens, making them much longer than text tokens and significantly raising computational costs. However, we observe that the visual tokens generated by popular vision encoders, such as CLIP and SigLIP, contain significant redundancy. To address this, we introduce VisionZip, a simple yet effective method that selects a set of informative tokens for input to the language model, reducing visual token redundancy and improving efficiency while maintaining model performance. The proposed VisionZip can be widely applied to image and video understanding tasks and is well-suited for multi-turn dialogues in real-world scenarios, where previous methods tend to underperform. Experimental results show that VisionZip outperforms the previous state-of-the-art method by at least 5% performance gains across nearly all settings. Moreover, our method significantly enhances model inference speed, improving the prefilling time by 8× and enabling the LLaVA-Next 13B model to infer faster than the LLaVA-Next 7B model while achieving better results. Furthermore, we analyze the causes of this redundancy and encourage the community to focus on extracting better visual features rather than merely increasing token length. Our code is available at https://github.com/dvlab-research/VisionZip.</w:t>
      </w:r>
    </w:p>
    <w:p>
      <w:pPr/>
      <w:r>
        <w:rPr>
          <w:b/>
        </w:rPr>
        <w:t>POSSIBLE 2025:</w:t>
      </w:r>
      <w:r>
        <w:t xml:space="preserve"> Revitalizing the National-Popular — https://doi.org/10.1215/00295132-12157398</w:t>
      </w:r>
    </w:p>
    <w:p>
      <w:pPr/>
      <w:r>
        <w:rPr>
          <w:b/>
        </w:rPr>
        <w:t>Shared claim-specific concepts:</w:t>
      </w:r>
      <w:r>
        <w:t xml:space="preserve"> vision, world; EU scope visible. This is a provisional connection, not an outcome finding.</w:t>
      </w:r>
    </w:p>
    <w:p>
      <w:pPr>
        <w:pStyle w:val="SourceNote"/>
      </w:pPr>
      <w:r>
        <w:rPr>
          <w:b/>
        </w:rPr>
        <w:t>Available abstract (not full text):</w:t>
      </w:r>
      <w:r>
        <w:t xml:space="preserve"> John T. Connor's Mid-Century Romance: Modernism, Socialist Culture, and the Historical Novel is a fascinating study of British late modernism and mid-century communist culture that breathes new life into a genre that has had its share of hard times—namely, the historical novel. Georg Lukács famously dated the historical novel's decline to the 1848 defeats of revolutionary movements across the European continent; subsequently, critics from across the political spectrum have deemed it moribund, tied as it was to the fate of the nation-state and a past long past, and hence out of sync with a newly global capitalist world. But Connor suggests otherwise, tying the fortunes of the historical novel to the culture of British and international communism and the “reparative” possibilities that it envisioned “of the nation transformed” (6). The genre of romance and its connection, in particular, to Walter Scott's historical novels and their legacy is key to this reparative work, which at once looks backward to antiquarian traditions and a common culture of the people that emerges from within the space of the nation, and looks forward, with its distance from realism and the realities of everyday life and its capacity for dreaming and envisioning new futures.To make his case, Connor marshals an illuminating range of concepts and frameworks to contextualize the novels he discusses and establ</w:t>
      </w:r>
    </w:p>
    <w:p>
      <w:pPr/>
      <w:r>
        <w:rPr>
          <w:b/>
        </w:rPr>
        <w:t>POSSIBLE 2024:</w:t>
      </w:r>
      <w:r>
        <w:t xml:space="preserve"> Twenty years in the European Union : Membership experiences and visions for enlargement — https://openalex.org/W7112109446</w:t>
      </w:r>
    </w:p>
    <w:p>
      <w:pPr/>
      <w:r>
        <w:rPr>
          <w:b/>
        </w:rPr>
        <w:t>Shared claim-specific concepts:</w:t>
      </w:r>
      <w:r>
        <w:t xml:space="preserve"> simple, based; EU scope visible. This is a provisional connection, not an outcome finding.</w:t>
      </w:r>
    </w:p>
    <w:p>
      <w:pPr>
        <w:pStyle w:val="SourceNote"/>
      </w:pPr>
      <w:r>
        <w:rPr>
          <w:b/>
        </w:rPr>
        <w:t>Available abstract (not full text):</w:t>
      </w:r>
      <w:r>
        <w:t xml:space="preserve"> Walking through the EU institutions in Brussels, an iconic mural has been an eye-catching spectacle for many years.At the heart of the artwork created by Julien Crevaels NovaDead was a simple but powerful message: "The future is Europe".The ten countries that joined the European Union 20 years ago have chosen definitely the path that this message implies.The new Member States from the former 'Eastern Bloc' have managed a slight political transition since the late 1980s and the autocratic political systems as well as the state controlled, centrally planned economic structures were replaced by new regimes based on democracy, rule of law and market economy principles.Parallel to this, they defined the accession to the European integration as one the main goals in their external relations.The accession criteria were defined by the Copenhagen European Council in 1993, which did not merely set economic requirements for the states wishing to join, but also meant political conditions.After the conclusion of the accession negotiations, the 2003 meeting of the European Council, also held in Copenhagen, approved the accession of the Baltic States, the Central and Eastern European countries with Cyprus and Malta.2004 was only the first step in the enlargement process.In 2007 and 2013 new countries joined and today nine countries are recognized as candidates for membership of the European U</w:t>
      </w:r>
    </w:p>
    <w:p>
      <w:pPr/>
      <w:r>
        <w:rPr>
          <w:b/>
        </w:rPr>
        <w:t>POSSIBLE 2024:</w:t>
      </w:r>
      <w:r>
        <w:t xml:space="preserve"> A Survey on Efficient Vision Transformers: Algorithms, Techniques, and Performance Benchmarking — https://doi.org/10.1109/tpami.2024.3392941</w:t>
      </w:r>
    </w:p>
    <w:p>
      <w:pPr/>
      <w:r>
        <w:rPr>
          <w:b/>
        </w:rPr>
        <w:t>Shared claim-specific concepts:</w:t>
      </w:r>
      <w:r>
        <w:t xml:space="preserve"> popular, vision, called; EU scope not established. This is a provisional connection, not an outcome finding.</w:t>
      </w:r>
    </w:p>
    <w:p>
      <w:pPr>
        <w:pStyle w:val="SourceNote"/>
      </w:pPr>
      <w:r>
        <w:rPr>
          <w:b/>
        </w:rPr>
        <w:t>Available abstract (not full text):</w:t>
      </w:r>
      <w:r>
        <w:t xml:space="preserve"> Vision Transformer (ViT) architectures are becoming increasingly popular and widely employed to tackle computer vision applications. Their main feature is the capacity to extract global information through the self-attention mechanism, outperforming earlier convolutional neural networks. However, ViT deployment and performance have grown steadily with their size, number of trainable parameters, and operations. Furthermore, self-attention's computational and memory cost quadratically increases with the image resolution. Generally speaking, it is challenging to employ these architectures in real-world applications due to many hardware and environmental restrictions, such as processing and computational capabilities. Therefore, this survey investigates the most efficient methodologies to ensure sub-optimal estimation performances. More in detail, four efficient categories will be analyzed: compact architecture, pruning, knowledge distillation, and quantization strategies. Moreover, a new metric called Efficient Error Rate has been introduced in order to normalize and compare models' features that affect hardware devices at inference time, such as the number of parameters, bits, FLOPs, and model size. Summarizing, this paper first mathematically defines the strategies used to make Vision Transformer efficient, describes and discusses state-of-the-art methodologies, and analyzes the</w:t>
      </w:r>
    </w:p>
    <w:p>
      <w:pPr/>
      <w:r>
        <w:rPr>
          <w:b/>
        </w:rPr>
        <w:t>POSSIBLE 2023:</w:t>
      </w:r>
      <w:r>
        <w:t xml:space="preserve"> The European Rural Development Vision in Romanian Context — https://doi.org/10.15835/buasvmcn-hort:2022.0034</w:t>
      </w:r>
    </w:p>
    <w:p>
      <w:pPr/>
      <w:r>
        <w:rPr>
          <w:b/>
        </w:rPr>
        <w:t>Shared claim-specific concepts:</w:t>
      </w:r>
      <w:r>
        <w:t xml:space="preserve"> vision, based; EU scope visible. This is a provisional connection, not an outcome finding.</w:t>
      </w:r>
    </w:p>
    <w:p>
      <w:pPr>
        <w:pStyle w:val="SourceNote"/>
      </w:pPr>
      <w:r>
        <w:rPr>
          <w:b/>
        </w:rPr>
        <w:t>Available abstract (not full text):</w:t>
      </w:r>
      <w:r>
        <w:t xml:space="preserve">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pPr/>
      <w:r>
        <w:rPr>
          <w:b/>
        </w:rPr>
        <w:t>POSSIBLE 2023:</w:t>
      </w:r>
      <w:r>
        <w:t xml:space="preserve"> Fool Your (Vision and) Language Model With Embarrassingly Simple Permutations — https://doi.org/10.48550/arxiv.2310.01651</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Large language and vision-language models are rapidly being deployed in practice thanks to their impressive capabilities in instruction following, in-context learning, and so on. This raises an urgent need to carefully analyse their robustness so that stakeholders can understand if and when such models are trustworthy enough to be relied upon in any given application. In this paper, we highlight a specific vulnerability in popular models, namely permutation sensitivity in multiple-choice question answering (MCQA). Specifically, we show empirically that popular models are vulnerable to adversarial permutation in answer sets for multiple-choice prompting, which is surprising as models should ideally be as invariant to prompt permutation as humans are. These vulnerabilities persist across various model sizes, and exist in very recent language and vision-language models. Code is available at https://github.com/ys-zong/FoolyourVLLMs.</w:t>
      </w:r>
    </w:p>
    <w:p>
      <w:pPr/>
      <w:r>
        <w:rPr>
          <w:b/>
        </w:rPr>
        <w:t>POSSIBLE 2023:</w:t>
      </w:r>
      <w:r>
        <w:t xml:space="preserve"> A review on the application of computer vision and machine learning in the tea industry — https://doi.org/10.3389/fsufs.2023.1172543</w:t>
      </w:r>
    </w:p>
    <w:p>
      <w:pPr/>
      <w:r>
        <w:rPr>
          <w:b/>
        </w:rPr>
        <w:t>Shared claim-specific concepts:</w:t>
      </w:r>
      <w:r>
        <w:t xml:space="preserve"> popular, vision, world; EU scope not established. This is a provisional connection, not an outcome finding.</w:t>
      </w:r>
    </w:p>
    <w:p>
      <w:pPr>
        <w:pStyle w:val="SourceNote"/>
      </w:pPr>
      <w:r>
        <w:rPr>
          <w:b/>
        </w:rPr>
        <w:t>Available abstract (not full text):</w:t>
      </w:r>
      <w:r>
        <w:t xml:space="preserve"> Tea is rich in polyphenols, vitamins, and protein, which is good for health and tastes great. As a result, tea is very popular and has become the second most popular beverage in the world after water. For this reason, it is essential to improve the yield and quality of tea. In this paper, we review the application of computer vision and machine learning in the tea industry in the last decade, covering three crucial stages: cultivation, harvesting, and processing of tea. We found that many advanced artificial intelligence algorithms and sensor technologies have been used in tea, resulting in some vision-based tea harvesting equipment and disease detection methods. However, these applications focus on the identification of tea buds, the detection of several common diseases, and the classification of tea products. Clearly, the current applications have limitations and are insufficient for the intelligent and sustainable development of the tea field. The current fruitful developments in technologies related to UAVs, vision navigation, soft robotics, and sensors have the potential to provide new opportunities for vision-based tea harvesting machines, intelligent tea garden management, and multimodal-based tea processing monitoring. Therefore, research and development combining computer vision and machine learning is undoubtedly a future trend in the tea industry.</w:t>
      </w:r>
    </w:p>
    <w:p>
      <w:pPr/>
      <w:r>
        <w:rPr>
          <w:b/>
        </w:rPr>
        <w:t>POSSIBLE 2022:</w:t>
      </w:r>
      <w:r>
        <w:t xml:space="preserve"> Transnational Solidarities and Competing Visions of Europe: Vienna's Vote on the Russo‐Japanese War — https://doi.org/10.1111/1468-229x.13327</w:t>
      </w:r>
    </w:p>
    <w:p>
      <w:pPr/>
      <w:r>
        <w:rPr>
          <w:b/>
        </w:rPr>
        <w:t>Shared claim-specific concepts:</w:t>
      </w:r>
      <w:r>
        <w:t xml:space="preserve"> popular, vision, based; EU scope visible. This is a provisional connection, not an outcome finding.</w:t>
      </w:r>
    </w:p>
    <w:p>
      <w:pPr>
        <w:pStyle w:val="SourceNote"/>
      </w:pPr>
      <w:r>
        <w:rPr>
          <w:b/>
        </w:rPr>
        <w:t>Available abstract (not full text):</w:t>
      </w:r>
      <w:r>
        <w:t xml:space="preserve"> Abstract The 1904–05 Russo‐Japanese War is commonly described as a clash between a European power (Russia) and an Asian one (Japan). This binary framing is problematic, however, as ideas of Europeanness and Asianness were hotly contested during the war. Both Russia and Japan laid claim to being more European than the other, based on competing notions of racial and ideological kinship. The Russo‐Japanese War instantaneously became a first‐rate media event that galvanised audiences worldwide, prompting them to take sides with one or the other of the belligerents. This article examines reactions to the war in the public sphere of Vienna in neutral Austria‐Hungary. It focusses especially on an opinion survey launched by the popular newspaper Illustrirtes Wiener Extrablatt in late February 1904, which attracted more than 12,000 responses and resulted in a narrow victory for Japan. The survey provides us with a valuable sample of ordinary people's voices on the war and reveals that Viennese society was deeply split between solidarity with Russia and with Japan, reflecting the contested socio‐political situation in the city and in the Austro‐Hungarian Empire as a whole. While supporters of Russia excluded Japan from a racially, religiously and geographically defined vision of Europe, supporters of Japan often envisioned a community of civilisation, freedom and justice, which excluded </w:t>
      </w:r>
    </w:p>
    <w:p>
      <w:pPr/>
      <w:r>
        <w:rPr>
          <w:b/>
        </w:rPr>
        <w:t>POSSIBLE 2022:</w:t>
      </w:r>
      <w:r>
        <w:t xml:space="preserve"> Vision-Based Anti-UAV Detection and Tracking — https://doi.org/10.1109/tits.2022.3177627</w:t>
      </w:r>
    </w:p>
    <w:p>
      <w:pPr/>
      <w:r>
        <w:rPr>
          <w:b/>
        </w:rPr>
        <w:t>Shared claim-specific concepts:</w:t>
      </w:r>
      <w:r>
        <w:t xml:space="preserve"> vision, called, simple, based; EU scope not established. This is a provisional connection, not an outcome finding.</w:t>
      </w:r>
    </w:p>
    <w:p>
      <w:pPr>
        <w:pStyle w:val="SourceNote"/>
      </w:pPr>
      <w:r>
        <w:rPr>
          <w:b/>
        </w:rPr>
        <w:t>Available abstract (not full text):</w:t>
      </w:r>
      <w:r>
        <w:t xml:space="preserve"> Unmanned aerial vehicles (UAV) have been widely used in various fields, and their invasion of security and privacy has aroused social concern. Several detection and tracking systems for UAVs have been introduced in recent years, but most of them are based on radio frequency, radar, and other media. We assume that the field of computer vision is mature enough to detect and track invading UAVs. Thus we propose a visible light mode dataset called Dalian University of Technology Anti-UAV dataset, DUT Anti-UAV for short. It contains a detection dataset with a total of 10,000 images and a tracking dataset with 20 videos that include short-term and long-term sequences. All frames and images are manually annotated precisely. We use this dataset to train several existing detection algorithms and evaluate the algorithms’ performance. Several tracking methods are also tested on our tracking dataset. Furthermore, we propose a clear and simple tracking algorithm combined with detection that inherits the detector’s high precision. Extensive experiments show that the tracking performance is improved considerably after fusing detection, thus providing a new attempt at UAV tracking using our dataset. The datasets and results are publicly available at:https://github.com/wangdongdut/DUT-Anti-UAV.</w:t>
      </w:r>
    </w:p>
    <w:p>
      <w:pPr>
        <w:pStyle w:val="Heading2"/>
      </w:pPr>
      <w:r>
        <w:t>863. Prospects of labour migration pressure in Algeria, Morocco, Tunisia and Turkey</w:t>
      </w:r>
    </w:p>
    <w:p>
      <w:pPr>
        <w:pStyle w:val="SourceNote"/>
      </w:pPr>
      <w:r>
        <w:rPr>
          <w:b/>
        </w:rPr>
        <w:t>Original source (2016):</w:t>
      </w:r>
      <w:r>
        <w:t xml:space="preserve"> https://doi.org/10.1186/s41118-016-0015-x</w:t>
      </w:r>
    </w:p>
    <w:p>
      <w:pPr/>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pPr/>
      <w:r>
        <w:rPr>
          <w:b/>
        </w:rPr>
        <w:t>POSSIBLE 2026:</w:t>
      </w:r>
      <w:r>
        <w:t xml:space="preserve"> Deriving Character Logic from Storyline as Codified Decision Trees — https://doi.org/10.18653/v1/2026.acl-long.568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behavior.We propose Codified Decision Trees (CDT), a datadriven framework that induces an executable and interpretable decision structure from largescale narrative data.CDT represents behavioral profiles as a tree of conditional rules, where internal nodes correspond to validated scene conditions and leaves encode grounded behavioral statements, enabling deterministic retrieval of context-appropriate rules at execution time.The tree is learned by iteratively inducing candidate scene-action rules, validating them against data, and refining them through hierarchical specialization, yielding profiles that support transparent inspection and principled updates.Across multiple benchmarks, CDT substantially outperforms human-written profiles and prior profile induction methods on 85 characters across 16 artifacts, indicating that codified and validated behavioral representations lead to more reliable agent grounding.1</w:t>
      </w:r>
    </w:p>
    <w:p>
      <w:pPr/>
      <w:r>
        <w:rPr>
          <w:b/>
        </w:rPr>
        <w:t>POSSIBLE 2026:</w:t>
      </w:r>
      <w:r>
        <w:t xml:space="preserve"> Probabilistic storyline attribution using machine learning — https://doi.org/10.1088/3049-4753/aea4b7</w:t>
      </w:r>
    </w:p>
    <w:p>
      <w:pPr/>
      <w:r>
        <w:rPr>
          <w:b/>
        </w:rPr>
        <w:t>Shared claim-specific concepts:</w:t>
      </w:r>
      <w:r>
        <w:t xml:space="preserve"> deriving, storylines, different;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Storyline Trees: Hierarchical Representations for Long-Form Narratives — https://doi.org/10.48550/arxiv.2606.20900</w:t>
      </w:r>
    </w:p>
    <w:p>
      <w:pPr/>
      <w:r>
        <w:rPr>
          <w:b/>
        </w:rPr>
        <w:t>Shared claim-specific concepts:</w:t>
      </w:r>
      <w:r>
        <w:t xml:space="preserve"> then, storylines, three; EU scope not established. This is a provisional connection, not an outcome finding.</w:t>
      </w:r>
    </w:p>
    <w:p>
      <w:pPr>
        <w:pStyle w:val="SourceNote"/>
      </w:pPr>
      <w:r>
        <w:rPr>
          <w:b/>
        </w:rPr>
        <w:t>Available abstract (not full text):</w:t>
      </w:r>
      <w:r>
        <w:t xml:space="preserve"> Long-form narratives are challenging for long-context models because their structure is implicit: events, characters, and plotlines interact across hundreds of pages without the explicit cues that guide navigation in structured documents. We address this by constructing storyline trees, hierarchical representations that organize narratives from global themes and major plotlines to fine-grained events. We first segment chapters into contiguous narrative segments, or scenes, and use them as the basic units for tree construction. We then infer storyline trees through complementary top-down and bottom-up procedures that derive, refine, cluster, and summarize storylines at multiple levels of abstraction. We showcase the utility of this representation for question answering: storyline trees enable adaptive retrieval, allowing models to iteratively inspect high-level narrative structure and retrieve scene-level evidence on demand. Experiments on three long-context narrative QA benchmarks show that adaptive retrieval outperforms strong baselines, including post-trained long-context models and agentic chunk-based methods. Ablations confirm that scenes are more effective basic units than chapters or generic segmentation, and that gains persist under matched retrieval budgets</w:t>
      </w:r>
    </w:p>
    <w:p>
      <w:pPr/>
      <w:r>
        <w:rPr>
          <w:b/>
        </w:rPr>
        <w:t>POSSIBLE 2026:</w:t>
      </w:r>
      <w:r>
        <w:t xml:space="preserve"> Deriving Character Logic from Storyline as Codified Decision Trees — https://openalex.org/W7124513928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 We propose Codified Decision Trees (CDT), a data-driven framework that induces an executable and interpretable decision structure from large-scale narrative data. CDT represents behavioral profiles as a tree of conditional rules, where internal nodes correspond to validated scene conditions and leaves encode grounded behavioral statements, enabling deterministic retrieval of context-appropriate rules at execution time. The tree is learned by iteratively inducing candidate scene-action rules, validating them against data, and refining them through hierarchical specialization, yielding profiles that support transparent inspection and principled updates. Across multiple benchmarks, CDT substantially outperforms human-written profiles and prior profile induction methods on $85$ characters across $16$ artifacts, indicating that codified and validated behavioral representations lead to more reliable agent grounding.</w:t>
      </w:r>
    </w:p>
    <w:p>
      <w:pPr/>
      <w:r>
        <w:rPr>
          <w:b/>
        </w:rPr>
        <w:t>POSSIBLE 2026:</w:t>
      </w:r>
      <w:r>
        <w:t xml:space="preserve"> Quantifying future Arctic and Antarctic climate change from a storyline perspective using global variable-resolution models — https://doi.org/10.5194/egusphere-egu26-13000</w:t>
      </w:r>
    </w:p>
    <w:p>
      <w:pPr/>
      <w:r>
        <w:rPr>
          <w:b/>
        </w:rPr>
        <w:t>Shared claim-specific concepts:</w:t>
      </w:r>
      <w:r>
        <w:t xml:space="preserve"> storylines, three, different; EU scope not established. This is a provisional connection, not an outcome finding.</w:t>
      </w:r>
    </w:p>
    <w:p>
      <w:pPr>
        <w:pStyle w:val="SourceNote"/>
      </w:pPr>
      <w:r>
        <w:rPr>
          <w:b/>
        </w:rPr>
        <w:t>Available abstract (not full text):</w:t>
      </w:r>
      <w:r>
        <w:t xml:space="preserve"> Here, we use three variable-resolution, global models to explore storylines of future Arctic and Antarctic climate change previously derived by Levine et al. (2024; 10.5194/esd-15-1161-2024) and Williams et al. (2024; 10.1175/JCLI-D-23-0122.1). The models are the Community Earth System Model (CESM), the ICOsahedral Nonhydrostatic model (ICON), and the Model for Prediction Across Scales (MPAS). The pair of Arctic storylines examined represent 1) weak Arctic amplification combined with strong SST warming in the Barents-Kara Seas and 2) strong Arctic amplification combined with weak SST warming in the Barents-Kara Seas. Over Antarctica, the storylines explored are 1) high Southern Hemisphere (SH) sea-ice loss combined with a shorter delay in SH vortex breakdown, and 2) low SH sea-ice loss combined with a longer delay in SH vortex breakdown. Sea surface temperatures (SSTs) and sea ice concentrations (SICs) from CMIP6 models that are representative of these storylines were provided to the variable-resolution models to perform a number of AMIP-style experiments. We performed experiments for the recent past and for the future with uniform and refined horizontal resolution over the polar regions. The result is a novel and comprehensive set of experiments based on three different variable-resolution models (CESM, ICON, MPAS), two different SST and SIC forcing fields for the Arctic and t</w:t>
      </w:r>
    </w:p>
    <w:p>
      <w:pPr/>
      <w:r>
        <w:rPr>
          <w:b/>
        </w:rPr>
        <w:t>POSSIBLE 2026:</w:t>
      </w:r>
      <w:r>
        <w:t xml:space="preserve"> A combined storyline-statistical approach for conditional extreme event attribution — https://doi.org/10.5194/wcd-7-597-2026</w:t>
      </w:r>
    </w:p>
    <w:p>
      <w:pPr/>
      <w:r>
        <w:rPr>
          <w:b/>
        </w:rPr>
        <w:t>Shared claim-specific concepts:</w:t>
      </w:r>
      <w:r>
        <w:t xml:space="preserve"> framework, storylines; EU scope visible. This is a provisional connection, not an outcome finding.</w:t>
      </w:r>
    </w:p>
    <w:p>
      <w:pPr>
        <w:pStyle w:val="SourceNote"/>
      </w:pPr>
      <w:r>
        <w:rPr>
          <w:b/>
        </w:rPr>
        <w:t>Available abstract (not full text):</w:t>
      </w:r>
      <w:r>
        <w:t xml:space="preserve"> Abstract. Quantifying the influence of anthropogenic global warming on extreme events requires both physical and statistical understanding. We present a framework combining two complementary conditional attribution methods: spectrally nudged storylines and flow-analogues. Applied to the 2018 Central European heatwave, storylines project an area-mean intensification of 1.7 °C per degree of global warming. Despite no detected changes in atmospheric blocking, the flow-analogue approach further indicates that heatwaves exceeding the storyline-projected intensities become far less rare at their corresponding warming levels than the factual 2018 event was under present conditions. Specifically, the 2018 heatwave, with an intensity of 2.2 °C and a return period of 1-in-277-years today, becomes a 6.6 °C event with a 1-in-26-year probability in a +4 K world. We conclude that this combined framework is promising for climate change attribution of individual extreme events, offering both a physical assessment of anthropogenic warming and its associated likelihood while accounting for potential shifts in atmospheric dynamics.</w:t>
      </w:r>
    </w:p>
    <w:p>
      <w:pPr/>
      <w:r>
        <w:rPr>
          <w:b/>
        </w:rPr>
        <w:t>POSSIBLE 2026:</w:t>
      </w:r>
      <w:r>
        <w:t xml:space="preserve"> A storyline approach to select the CMIP6 model ensemble to be downscaled for the South America domain — https://doi.org/10.1007/s00382-025-08017-8</w:t>
      </w:r>
    </w:p>
    <w:p>
      <w:pPr/>
      <w:r>
        <w:rPr>
          <w:b/>
        </w:rPr>
        <w:t>Shared claim-specific concepts:</w:t>
      </w:r>
      <w:r>
        <w:t xml:space="preserve"> used, storylines, three, different; EU scope not established. This is a provisional connection, not an outcome finding.</w:t>
      </w:r>
    </w:p>
    <w:p>
      <w:pPr>
        <w:pStyle w:val="SourceNote"/>
      </w:pPr>
      <w:r>
        <w:rPr>
          <w:b/>
        </w:rPr>
        <w:t>Available abstract (not full text):</w:t>
      </w:r>
      <w:r>
        <w:t xml:space="preserve"> Abstract Selecting the most appropriate Global Climate Models (GCMs) is necessary for Regional Climate Models (RCMs) downscaling. We propose a methodology to select CMIP6 GCMs based on the representation of the multiple physical processes which control regional circulation in a specific domain and the uncertainty in the precipitation projections. To develop the methodology, we identified relevant climate features for the South American (SA) region, focusing on the two most important climatological features: the South American Monsoon System (SAMS) and extratropical cyclones. A set of indicators was defined based on the precipitation in three specific regions (the La Plata and Amazon basins, and Southeastern Brazil) and circulation patterns that are part of the SAMS and control the tracking of extratropical cyclones (South American Low-Level jets, South Atlantic and South Pacific Subtropical Highs, trade winds, Bolivian High, cyclonic vortices, and upper-level jet stream). The selection of the CMIP6 GCM ensemble is based on historical validation of the circulation patterns and the spread in possible future circulation changes that can lead to different precipitation responses. We used a storyline approach to assess the spread in the precipitation response controlled by regional circulation uncertainty and to identify the wettest and driest possible futures. To assess both SAMS (</w:t>
      </w:r>
    </w:p>
    <w:p>
      <w:pPr/>
      <w:r>
        <w:rPr>
          <w:b/>
        </w:rPr>
        <w:t>POSSIBLE 2026:</w:t>
      </w:r>
      <w:r>
        <w:t xml:space="preserve"> Once upon a future heatwave: A practical storyline chain from existing climate data to stakeholder engagement — https://doi.org/10.1016/j.cliser.2026.100681</w:t>
      </w:r>
    </w:p>
    <w:p>
      <w:pPr/>
      <w:r>
        <w:rPr>
          <w:b/>
        </w:rPr>
        <w:t>Shared claim-specific concepts:</w:t>
      </w:r>
      <w:r>
        <w:t xml:space="preserve"> used, storylines, different; EU scope not established. This is a provisional connection, not an outcome finding.</w:t>
      </w:r>
    </w:p>
    <w:p>
      <w:pPr>
        <w:pStyle w:val="SourceNote"/>
      </w:pPr>
      <w:r>
        <w:rPr>
          <w:b/>
        </w:rPr>
        <w:t>Available abstract (not full text):</w:t>
      </w:r>
      <w:r>
        <w:t xml:space="preserve"> With ongoing global warming, the occurrence of unprecedented, record-breaking heat extremes steadily rises. Storylines, or tales of future weather, are an increasingly popular climate communication strategy that describe how specific, individual events may arise and how severe they may become under different background climates. By focusing on plausibility rather than probability, they can help stress-test current policy and infrastructure, and support adaptation planning and heat-risk preparedness. What remains less developed is a practical workflow for building event-based storylines and bringing them into stakeholder discussions. Here, we present a readily applicable chain of methodological steps for constructing stakeholder-oriented tales of future weather using only existing simulation output and observational datasets. The chain incorporates Global Warming Scaling and ensemble mining to identify plausible future years of extreme heat in climate-model projections by matching specific indices derived from scaled observations. We apply the method to the EURO-CORDEX ensemble to assess heat extremes in a future Belgian climate corresponding to 2°of global warming. From the mining results, an example event is chosen and used as input for impact modeling, after which model outputs are translated into a coherent and communicable tale. This tale is presented to national stakeholde</w:t>
      </w:r>
    </w:p>
    <w:p>
      <w:pPr/>
      <w:r>
        <w:rPr>
          <w:b/>
        </w:rPr>
        <w:t>POSSIBLE 2026:</w:t>
      </w:r>
      <w:r>
        <w:t xml:space="preserve"> Could the 2018 Amsterdam heatwave have been more extreme? A climate risk storyline of plausible extreme heat — https://doi.org/10.5194/egusphere-egu26-8221</w:t>
      </w:r>
    </w:p>
    <w:p>
      <w:pPr/>
      <w:r>
        <w:rPr>
          <w:b/>
        </w:rPr>
        <w:t>Shared claim-specific concepts:</w:t>
      </w:r>
      <w:r>
        <w:t xml:space="preserve"> then, storylines, different, leading; EU scope visible. This is a provisional connection, not an outcome finding.</w:t>
      </w:r>
    </w:p>
    <w:p>
      <w:pPr>
        <w:pStyle w:val="SourceNote"/>
      </w:pPr>
      <w:r>
        <w:rPr>
          <w:b/>
        </w:rPr>
        <w:t>Available abstract (not full text):</w:t>
      </w:r>
      <w:r>
        <w:t xml:space="preserve"> The Royal Netherlands Meteorological Institute (KNMI) recently published nine different climate risk storylines to prepare for climate hazards in the current and near future climate. This study specifically zooms in on the climate risk storyline for a heatwave in Amsterdam. The summer of 2018 was exceptional, leading to the first code Orange for extreme heat. In this study we investigate whether, and how, the heatwave of 2018 could plausibly have evolved into a more extreme event. Using ensemble forecasts from ECMWF, we identify an alternative but physically consistent meteorological evolution in which the cooling front of late July 2018 did not reach the Netherlands. This alternative scenario, termed ‘Heatwave XL’, is dynamically downscaled using the regional climate model RACMO, with corrections for model bias. Urban heat island diagnostics are applied to derive spatially explicit heat exposure across Amsterdam. Sectoral impact knowledge from impact partners is then integrated to assess potential societal impacts and cascading effects. The Heatwave XL storyline results in several additional days of extreme daytime temperatures exceeding 35 °C, combined with persistently hot nights, likely exacerbating societal impacts already seen in 2018. This case demonstrates the value of storyline approaches for stress-testing preparedness and supporting anticipatory decision-making under</w:t>
      </w:r>
    </w:p>
    <w:p>
      <w:pPr/>
      <w:r>
        <w:rPr>
          <w:b/>
        </w:rPr>
        <w:t>POSSIBLE 2026:</w:t>
      </w:r>
      <w:r>
        <w:t xml:space="preserve"> Ambient temperature and impacts on preterm birth: A storyline approach — https://doi.org/10.64898/2026.10.07.26364935</w:t>
      </w:r>
    </w:p>
    <w:p>
      <w:pPr/>
      <w:r>
        <w:rPr>
          <w:b/>
        </w:rPr>
        <w:t>Shared claim-specific concepts:</w:t>
      </w:r>
      <w:r>
        <w:t xml:space="preserve"> then, used, demographic; EU scope visible. This is a provisional connection, not an outcome finding.</w:t>
      </w:r>
    </w:p>
    <w:p>
      <w:pPr>
        <w:pStyle w:val="SourceNote"/>
      </w:pPr>
      <w:r>
        <w:rPr>
          <w:b/>
        </w:rPr>
        <w:t>Available abstract (not full text):</w:t>
      </w:r>
      <w:r>
        <w:t xml:space="preserve"> Abstract Background Non-optimal air temperature increases the risk of preterm birth, but how temperature-related risks may translate into future population burden remains uncertain. We aimed to estimate the association between temperature and preterm birth in Sweden and assess how preterm birth burden may change under plausible future temperature conditions. Methods We conducted a nationwide population-based cohort study of singleton births in Sweden from 1973 to 2018. Weekly mean temperature was assigned at the parish level according to maternal residence. Cox proportional hazards models with a distributed lag nonlinear model were used to estimate nonlinear and delayed associations between temperature and preterm birth. The estimated exposure–response relationship and baseline hazards were then incorporated into an individual-based microsimulation of gestational progression under projected temperatures for 2025–2055. Future projections were examined across multiple climate models under SSP1-2.6 and SSP3-7.0 scenarios. Outcomes included the annual number and cumulative incidence of preterm births and the temperature-attributable fraction. Results Among 4,338,825 singleton births, 211,397 (4.9%) were preterm. Temperature–preterm birth associations were modest overall. The clearest increase in hazard was observed following exposure to very low temperatures, particularly −10°C at </w:t>
      </w:r>
    </w:p>
    <w:p>
      <w:pPr/>
      <w:r>
        <w:rPr>
          <w:b/>
        </w:rPr>
        <w:t>POSSIBLE 2026:</w:t>
      </w:r>
      <w:r>
        <w:t xml:space="preserve"> Neuroadaptive Generative Gaming using Artificial Intelligence and Brain–Computer Interface for Real-Time Storyline Evolution — https://doi.org/10.56726/irjmets85487</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The rapid evolution of Artificial Intelligence (AI) and Brain-Computer Interface (BCI) technologies is revolutionizing the way humans interact with digital systems, particularly within the gaming industry.This study introduces and explores the emerging paradigm of Neuroadaptive Generative Gaming, a nextgeneration approach that merges cognitive neuroscience, emotion-aware computing, and generative artificial intelligence to enable dynamically evolving narrative experiences.The core objective of this research is to design a hybridized system in which BCI-derived neural data and Generative AI models collaborate to adapt in-game storylines, missions, dialogues, and environmental factors in real time, in response to a player's cognitive and emotional states.In this proposed framework, the player's brain activity-captured through electroencephalography (EEG) signals-is continuously analyzed using machine learning classifiers to interpret affective states such as engagement, frustration, relaxation, or excitement.These real-time affective indicators are transmitted to a Generative Language Model (LLM) that reconstructs the narrative context dynamically.For instance, when heightened excitement or stress is detected, the system can autonomously alter gameplay intensity, modify environmental tone, or reconfigure dialogue structures to sustain player immersion.Conversely, in calmer states</w:t>
      </w:r>
    </w:p>
    <w:p>
      <w:pPr/>
      <w:r>
        <w:rPr>
          <w:b/>
        </w:rPr>
        <w:t>POSSIBLE 2026:</w:t>
      </w:r>
      <w:r>
        <w:t xml:space="preserve"> Modelling language using large language models — https://doi.org/10.1007/s11098-026-02479-0</w:t>
      </w:r>
    </w:p>
    <w:p>
      <w:pPr/>
      <w:r>
        <w:rPr>
          <w:b/>
        </w:rPr>
        <w:t>Shared claim-specific concepts:</w:t>
      </w:r>
      <w:r>
        <w:t xml:space="preserve"> then, used; EU scope not established. This is a provisional connection, not an outcome finding.</w:t>
      </w:r>
    </w:p>
    <w:p>
      <w:pPr>
        <w:pStyle w:val="SourceNote"/>
      </w:pPr>
      <w:r>
        <w:rPr>
          <w:b/>
        </w:rPr>
        <w:t>Available abstract (not full text):</w:t>
      </w:r>
      <w:r>
        <w:t xml:space="preserve"> Abstract This paper argues that large language models have a valuable scientific role to play in serving as scientific models of public languages. Linguistic study should not only be concerned with the cognitive processes behind linguistic competence, but also with language understood as an external, social entity. Once this is recognized, the value of large language models as scientific models becomes clear. This paper defends the position against a number of arguments to the effect that language models provide no linguistic insight. Building upon Weisberg’s (Brit J Philos Sci 58(2):207–233, 2007) notion of a model construal, it is then argued that recent work in computational linguistics to better understand the inner workings of large language models can be used to develop a model construal for large language models as models of a language.</w:t>
      </w:r>
    </w:p>
    <w:p>
      <w:pPr>
        <w:pStyle w:val="Heading2"/>
      </w:pPr>
      <w:r>
        <w:t>864. Record dry summer in 2015 challenges precipitation projections in Central Europe</w:t>
      </w:r>
    </w:p>
    <w:p>
      <w:pPr>
        <w:pStyle w:val="SourceNote"/>
      </w:pPr>
      <w:r>
        <w:rPr>
          <w:b/>
        </w:rPr>
        <w:t>Original source (2016):</w:t>
      </w:r>
      <w:r>
        <w:t xml:space="preserve"> https://doi.org/10.1038/srep28334</w:t>
      </w:r>
    </w:p>
    <w:p>
      <w:pPr/>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POSSIBLE 2026:</w:t>
      </w:r>
      <w:r>
        <w:t xml:space="preserve"> Mopo pan-European VRE data: Climate change projections — https://doi.org/10.5281/zenodo.18549864</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pPr/>
      <w:r>
        <w:rPr>
          <w:b/>
        </w:rPr>
        <w:t>POSSIBLE 2026:</w:t>
      </w:r>
      <w:r>
        <w:t xml:space="preserve"> Hydrological drought projections across Europe under climate change — https://doi.org/10.1038/s44304-025-00152-w</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Exploiting km-scale climate projections to provide new insights into changing convective hazards in UK, Europe and Africa — https://doi.org/10.5194/egusphere-egu26-3880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At the UK Met Office, recent advances in km-scale climate modelling include the first continuous 100-year ensemble projections at 2.2km resolution over the UK ( ‘UKCP Local’), and 4.5km ensemble projections over Africa. In this talk I will highlight new understanding of changes in heavy rainfall, convective storm hazards and tropical cyclones, with implications for flooding and adaptation planning. This includes insights into the interplay between natural variability and climate change, and the factors leading to apparent rapid transitions in the occurrence of local rainfall extremes through time. Over Europe, new understanding includes changes in severe convective storms and hail, that contrast with previous studies based on environmental proxies from coarser resolution climate models. Over Africa, km-scale models are able to capture the most intense tropical cyclones, providing a key advance in our modelling capability. This is showing that we need to be prepared for Category 5 tropical cyclones making landfall over Africa and the potential for landfall at southerly latitudes, both of which are unprecedented in the historical record.</w:t>
      </w:r>
    </w:p>
    <w:p>
      <w:pPr/>
      <w:r>
        <w:rPr>
          <w:b/>
        </w:rPr>
        <w:t>POSSIBLE 2026:</w:t>
      </w:r>
      <w:r>
        <w:t xml:space="preserve"> Agrometeorological risk of Epitrix papa in Europe under climate change using ERA5-land and EURO-CORDEX projections — https://doi.org/10.1016/j.scitotenv.2026.181366</w:t>
      </w:r>
    </w:p>
    <w:p>
      <w:pPr/>
      <w:r>
        <w:rPr>
          <w:b/>
        </w:rPr>
        <w:t>Shared claim-specific concepts:</w:t>
      </w:r>
      <w:r>
        <w:t xml:space="preserve"> climate, projections, shift, past; EU scope visible. This is a provisional connection, not an outcome finding.</w:t>
      </w:r>
    </w:p>
    <w:p>
      <w:pPr>
        <w:pStyle w:val="SourceNote"/>
      </w:pPr>
      <w:r>
        <w:rPr>
          <w:b/>
        </w:rPr>
        <w:t>Available abstract (not full text):</w:t>
      </w:r>
      <w:r>
        <w:t xml:space="preserve"> The European distribution range of the recently described potentially threatening potato flea beetle Epitrix papa remain unknown. Understanding its potential range and future spread dynamics requires a host-specific thermal niche assessment. We developed an Epitrix Suitability Index (ESI) by combining a potato Host Suitability Index (HSI), proxied by July mean air temperature with, a Climate Suitability Index (CSI),derived from degree-day accumulation between 1 March and30 September (base 8.1 °C, 625 °Cday per generation). Past conditions were reconstructed from ERA5-Land for 1990–2024; whilefuture projections based on CORDEX-CORE (EUR-22) RegCM4 downscaling of three GCMs under RCP2.6 / SSP1–2.6-TYPE LOW FORCING and RCP8.5 / SSP5–8.5-TYPE HIGH FORCING for 2041–2070 and 2071–2099. Present-day patterns reproduce known potato belts and show high model-agreement across Western and Central Europe, with greater spread across complex terrains such as Alps, the Carpathians, and Fennoscandia, as well as at transition zones. Projections indicate a possible northward shift of suitability of the host and pest, with the strongest shift under RCP8.5 / SSP5–8.5-TYPE HIGH FORCING during 2071–2099. This shift is accompanied by an increasing ESI across the British Isles, southern Scandinavia and the Baltic region, while parts of the Mediterranean may become less suitableas a result of heat stres</w:t>
      </w:r>
    </w:p>
    <w:p>
      <w:pPr/>
      <w:r>
        <w:rPr>
          <w:b/>
        </w:rPr>
        <w:t>POSSIBLE 2026:</w:t>
      </w:r>
      <w:r>
        <w:t xml:space="preserve"> Changes in air temperature frequency in Europe as a component of climate change — https://doi.org/10.31577/geogrcas.2026.78.4.03</w:t>
      </w:r>
    </w:p>
    <w:p>
      <w:pPr/>
      <w:r>
        <w:rPr>
          <w:b/>
        </w:rPr>
        <w:t>Shared claim-specific concepts:</w:t>
      </w:r>
      <w:r>
        <w:t xml:space="preserve"> climate, area, shift, temperatures, century; EU scope visible. This is a provisional connection, not an outcome finding.</w:t>
      </w:r>
    </w:p>
    <w:p>
      <w:pPr>
        <w:pStyle w:val="SourceNote"/>
      </w:pPr>
      <w:r>
        <w:rPr>
          <w:b/>
        </w:rPr>
        <w:t>Available abstract (not full text):</w:t>
      </w:r>
      <w:r>
        <w:t xml:space="preserve"> The main features of air temperature change in Europe, particularly in Ukraine, are described.In general, the rate of air temperature increase in the studied area exceeds the global average.The warming observed in Western Europe and in mountainous regions is less pronounced than in Eastern Europe.In particular, the mean annual air temperature in Ukraine has risen by more than 3 °C since the beginning of meteorological observations in the late nineteenth century.This warming corresponds to an approximate southward shift of the country's climatic zone by about 500 km.A common feature of recent climate change is the acceleration of air temperature increase.A comparison of data for two equal periods (1961-1990 and 1995-2024) shows a significant increase in the frequency of high-temperature events.Consequently, the probability of hot days during 1995-2024 was substantially higher than during .A characteristic feature of mean daily temperatures across most of Europe, especially in its eastern part, is bimodality in the frequency distribution.In many cases, a peak with a high frequency of occurrence is observed at about 0-2 °C, which is close to the temperature of snow melting.Another common feature, mainly observed in Eastern Europe, is the presence of a right-hand peak at much higher temperatures.At the same time, in Western Europe and in mountainous regions, bimodality is much less</w:t>
      </w:r>
    </w:p>
    <w:p>
      <w:pPr/>
      <w:r>
        <w:rPr>
          <w:b/>
        </w:rPr>
        <w:t>POSSIBLE 2026:</w:t>
      </w:r>
      <w:r>
        <w:t xml:space="preserve"> Projected Range Shifts of Emerging Agricultural Weeds Under Climate Change in Central Europe — https://doi.org/10.1111/wre.70098</w:t>
      </w:r>
    </w:p>
    <w:p>
      <w:pPr/>
      <w:r>
        <w:rPr>
          <w:b/>
        </w:rPr>
        <w:t>Shared claim-specific concepts:</w:t>
      </w:r>
      <w:r>
        <w:t xml:space="preserve"> climate, projections, area; EU scope visible. This is a provisional connection, not an outcome finding.</w:t>
      </w:r>
    </w:p>
    <w:p>
      <w:pPr>
        <w:pStyle w:val="SourceNote"/>
      </w:pPr>
      <w:r>
        <w:rPr>
          <w:b/>
        </w:rPr>
        <w:t>Available abstract (not full text):</w:t>
      </w:r>
      <w:r>
        <w:t xml:space="preserve"> ABSTRACT Assessing which weed species are likely to expand under climate change is essential for proactive management. While climate‐driven range expansions of many weed species have been documented globally, projections for their future spread in Central Europe remain limited and poorly understood. We used ensemble species distribution models for 23 weed species that are currently emerging in Central Europe to evaluate their climatically suitable areas at present and future time periods (2041–2060, 2061–2080 and, 2081–2100) under four different future climate change scenarios (SSP1‐2.6, SSP2‐4.5, SSP3‐7.0, SSP5‐8.5). The climatic suitability of our study area is predicted to increase for all species in the two earlier time periods and under moderate climate change conditions. However, climate change is likely to reduce the potentially suitable area in later time periods and under more severe scenarios. The climatically suitable area is expected to decline or remain stable for 14 of the modelled species, of which two thirds show a decline by 2100, regardless of the climatic trajectory. Furthermore, hotspots of climatic suitability, where multiple emerging weeds overlap are shifting northwest under the two more moderate climate change scenarios, whereas under the two severe climate change scenarios, hotspots are likely to shrink by 2100. Additionally, we found that most of the m</w:t>
      </w:r>
    </w:p>
    <w:p>
      <w:pPr/>
      <w:r>
        <w:rPr>
          <w:b/>
        </w:rPr>
        <w:t>POSSIBLE 2026:</w:t>
      </w:r>
      <w:r>
        <w:t xml:space="preserve"> ClimRisk.eu: Regional climate projections for Europe — https://doi.org/10.5194/ems2026-518</w:t>
      </w:r>
    </w:p>
    <w:p>
      <w:pPr/>
      <w:r>
        <w:rPr>
          <w:b/>
        </w:rPr>
        <w:t>Shared claim-specific concepts:</w:t>
      </w:r>
      <w:r>
        <w:t xml:space="preserve"> climate, projections, precipitation, even;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Environmental determinants and potential suitability for Phlebotomus mascittii sand flies in central-western Europe under future Shared Socioeconomic Pathways climate change projections — https://doi.org/10.21203/rs.3.rs-8718479/v1</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New ensemble of regional climate projections for Europe — https://doi.org/10.5281/zenodo.20340839</w:t>
      </w:r>
    </w:p>
    <w:p>
      <w:pPr/>
      <w:r>
        <w:rPr>
          <w:b/>
        </w:rPr>
        <w:t>Shared claim-specific concepts:</w:t>
      </w:r>
      <w:r>
        <w:t xml:space="preserve"> climate, projections, end, century;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2025:</w:t>
      </w:r>
      <w:r>
        <w:t xml:space="preserve"> Projections of streamflow intermittence under climate change in European drying river networks — https://doi.org/10.5194/hess-29-1615-2025</w:t>
      </w:r>
    </w:p>
    <w:p>
      <w:pPr/>
      <w:r>
        <w:rPr>
          <w:b/>
        </w:rPr>
        <w:t>Shared claim-specific concepts:</w:t>
      </w:r>
      <w:r>
        <w:t xml:space="preserve"> climate, projections, shift, end, century, past; EU scope visible. This is a provisional connection, not an outcome finding.</w:t>
      </w:r>
    </w:p>
    <w:p>
      <w:pPr>
        <w:pStyle w:val="SourceNote"/>
      </w:pPr>
      <w:r>
        <w:rPr>
          <w:b/>
        </w:rPr>
        <w:t>Available abstract (not full text):</w:t>
      </w:r>
      <w:r>
        <w:t xml:space="preserve">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pPr/>
      <w:r>
        <w:rPr>
          <w:b/>
        </w:rPr>
        <w:t>POSSIBLE 2025:</w:t>
      </w:r>
      <w:r>
        <w:t xml:space="preserve"> The Accelerating Exposure of European Protected Areas to Climate Change — https://doi.org/10.1111/gcb.70261</w:t>
      </w:r>
    </w:p>
    <w:p>
      <w:pPr/>
      <w:r>
        <w:rPr>
          <w:b/>
        </w:rPr>
        <w:t>Shared claim-specific concepts:</w:t>
      </w:r>
      <w:r>
        <w:t xml:space="preserve"> climate, area, highly;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2025:</w:t>
      </w:r>
      <w:r>
        <w:t xml:space="preserve"> Functional bat diversity and the role of the protected areas against climate change projections across Europe — https://doi.org/10.1016/j.scitotenv.2025.180567</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pStyle w:val="Heading2"/>
      </w:pPr>
      <w:r>
        <w:t>865. STRATEGIC DIRECTIONS OF DEVELOPMENT OF THE POLISH POWER SECTOR IN THE LIGHT OF CLIMATE AND ENERGY POLICY OF THE EUROPEAN UNION</w:t>
      </w:r>
    </w:p>
    <w:p>
      <w:pPr>
        <w:pStyle w:val="SourceNote"/>
      </w:pPr>
      <w:r>
        <w:rPr>
          <w:b/>
        </w:rPr>
        <w:t>Original source (2016):</w:t>
      </w:r>
      <w:r>
        <w:t xml:space="preserve"> https://doi.org/10.7862/rz.2016.hss.18</w:t>
      </w:r>
    </w:p>
    <w:p>
      <w:pPr/>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POSSIBLE 2026:</w:t>
      </w:r>
      <w:r>
        <w:t xml:space="preserve"> On Possibility of Converting Electricity Generation System Based on Fossil Fuels to Fully Renewable—Polish Case — https://doi.org/10.3390/en19020483</w:t>
      </w:r>
    </w:p>
    <w:p>
      <w:pPr/>
      <w:r>
        <w:rPr>
          <w:b/>
        </w:rPr>
        <w:t>Shared claim-specific concepts:</w:t>
      </w:r>
      <w:r>
        <w:t xml:space="preserve"> polish, electricity, sector, energy, conditions, fuel; EU scope visible. This is a provisional connection, not an outcome finding.</w:t>
      </w:r>
    </w:p>
    <w:p>
      <w:pPr>
        <w:pStyle w:val="SourceNote"/>
      </w:pPr>
      <w:r>
        <w:rPr>
          <w:b/>
        </w:rPr>
        <w:t>Available abstract (not full text):</w:t>
      </w:r>
      <w:r>
        <w:t xml:space="preserve"> The energy sector in all countries around the world is undergoing a transformation, with the main trend being the increasing share of renewable sources. Some countries, such as those in the European Union, have set themselves the goal of completely phasing out fossil fuels by 2050. Currently, the energy systems of European countries are far from this goal, and fossil fuels play a key role in balancing energy systems. This article presents a one-year simulation of a hypothetical Polish energy system based solely on renewable sources and utilizing biomethane, synthetic ammonia, and solid biomass as sources to ensure energy supply in the event of unfavorable weather conditions, which means a lack of wind and solar radiation. Six variants of these systems were analyzed, demonstrating the feasibility of such a system using only biogas as a stabilizing fuel. The required generating capacities of wind turbines, photovoltaic panels, and installations for converting biomethane, ammonia, and solid biomass into electricity were determined. Calculations were based on historical data recorded in 2024 in the Polish energy system. It was found that by increasing currently installed PV and wind turbines by a factor of 4.8 and installing 24 GW of ICE engines fueled with biomethane and an additional 10 GW of ORC modules, current electricity demand would be covered 100% by renewable energy source</w:t>
      </w:r>
    </w:p>
    <w:p>
      <w:pPr/>
      <w:r>
        <w:rPr>
          <w:b/>
        </w:rPr>
        <w:t>POSSIBLE 2026:</w:t>
      </w:r>
      <w:r>
        <w:t xml:space="preserve"> Analysis of Demand-Driven Operation in an Existing Biogas Plant Under Polish Electricity Market Conditions — https://doi.org/10.3390/en19133119</w:t>
      </w:r>
    </w:p>
    <w:p>
      <w:pPr/>
      <w:r>
        <w:rPr>
          <w:b/>
        </w:rPr>
        <w:t>Shared claim-specific concepts:</w:t>
      </w:r>
      <w:r>
        <w:t xml:space="preserve"> polish, electricity, energy, conditions; EU scope visible. This is a provisional connection, not an outcome finding.</w:t>
      </w:r>
    </w:p>
    <w:p>
      <w:pPr>
        <w:pStyle w:val="SourceNote"/>
      </w:pPr>
      <w:r>
        <w:rPr>
          <w:b/>
        </w:rPr>
        <w:t>Available abstract (not full text):</w:t>
      </w:r>
      <w:r>
        <w:t xml:space="preserve"> This study addresses the increasing need for flexibility in the Polish Power System (PPS), particularly in the context of growing price volatility on the Day-Ahead Market (DAM) resulting from the rising share of renewable energy sources (RESs). The aim of the study was to assess the feasibility of implementing demand-driven operation in an existing linear biogas plant in Poland and to develop a Decision-Making Model (DMM) for optimizing its operation based on electricity price forecasts. A machine learning model based on Extreme Gradient Boosting (XGBoost) was developed using historical electricity price, demand and weather data and integrated into the DMM to generate hourly operating schedules. The model achieved high predictive accuracy, with a Mean Absolute Error (MAE) of approximately 51 PLN/MWh, and effectively captured nonlinear price dynamics. Based on predefined decision thresholds—biogas production rate, current biogas storage level, upper and lower limits of pressure in biogas storage capacity, maximum biogas storage duration, power quotient (PQ) and electricity price levels—optimal operating strategies were determined. The results indicate that while demand-driven operation is technically feasible and enables better alignment with market signals, its economic viability remains limited under current market and regulatory conditions. Investment in additional cogenerati</w:t>
      </w:r>
    </w:p>
    <w:p>
      <w:pPr/>
      <w:r>
        <w:rPr>
          <w:b/>
        </w:rPr>
        <w:t>POSSIBLE 2026:</w:t>
      </w:r>
      <w:r>
        <w:t xml:space="preserve"> Determining directions for improving the regulation of the transfer of scientific technologies in the European Union — https://doi.org/10.15587/1729-4061.2026.368706</w:t>
      </w:r>
    </w:p>
    <w:p>
      <w:pPr/>
      <w:r>
        <w:rPr>
          <w:b/>
        </w:rPr>
        <w:t>Shared claim-specific concepts:</w:t>
      </w:r>
      <w:r>
        <w:t xml:space="preserve"> directions, technology; EU scope visible. This is a provisional connection, not an outcome finding.</w:t>
      </w:r>
    </w:p>
    <w:p>
      <w:pPr>
        <w:pStyle w:val="SourceNote"/>
      </w:pPr>
      <w:r>
        <w:rPr>
          <w:b/>
        </w:rPr>
        <w:t>Available abstract (not full text):</w:t>
      </w:r>
      <w:r>
        <w:t xml:space="preserve"> This study considers a system of methods and techniques for regulating relations related to technology transfer in the European Union, in connection with the implementation of the EUROPEAN INNOVATION ACT. The directions for improving this issue in connection with the development and implementation of the EUROPEAN INNOVATION ACT have been determined. The current methods for defining knowledge-intensive technologies in the European Union and the features of their regulation have been analyzed. This work determined that the regulation of the transfer of knowledge-intensive technologies in the European Union is not generalized. The existing methods and techniques of regulation are not aimed at the terminological identification of knowledge-intensive technologies. They do not provide simplification or stimulation of their transfer but only create prerequisites for scaling up their circulation. It was established that participants in technology transfer need to improve the regulatory system. The need to fix the definition of knowledge-intensive technologies and the corresponding delimiting criteria for its separation from other types of technologies has been proven. The need to form a special regime for conducting economic activities based on knowledge-intensive technologies is indicated. This study aimed at formulating proposals for improving the process of regulating the transfer o</w:t>
      </w:r>
    </w:p>
    <w:p>
      <w:pPr/>
      <w:r>
        <w:rPr>
          <w:b/>
        </w:rPr>
        <w:t>POSSIBLE 2026:</w:t>
      </w:r>
      <w:r>
        <w:t xml:space="preserve"> Harmonization of Ukrainian legislation with the European Green Deal: Legal challenges and directions for improvement — https://doi.org/10.24144/2307-3322.2025.92.3.20</w:t>
      </w:r>
    </w:p>
    <w:p>
      <w:pPr/>
      <w:r>
        <w:rPr>
          <w:b/>
        </w:rPr>
        <w:t>Shared claim-specific concepts:</w:t>
      </w:r>
      <w:r>
        <w:t xml:space="preserve"> analyzes, possible, directions, sector, requirements, energy; EU scope visible. This is a provisional connection, not an outcome finding.</w:t>
      </w:r>
    </w:p>
    <w:p>
      <w:pPr>
        <w:pStyle w:val="SourceNote"/>
      </w:pPr>
      <w:r>
        <w:rPr>
          <w:b/>
        </w:rPr>
        <w:t>Available abstract (not full text):</w:t>
      </w:r>
      <w:r>
        <w:t xml:space="preserve"> The article analyzes the harmonization of Ukrainian legislation with the European Green Deal and the «Fit for 55» package of initiatives. It is noted that legal research in the aspect of harmonization of Ukrainian legislation with the European Green Deal should be grouped according to the following vectors: theoretical foundations of climate law and integration of «green» goals in the state policy sector; monitoring as empirical analytical developments in the field of the EDC; institutional diagnostics and roadmaps of the European Commission on the approximation of Ukrainian legislation to the EDC; sectoral legal research comparing the European acts of the «Fit for 55» package with Ukrainian law and law enforcement practice. A comprehensive legal analysis of the harmonization of Ukrainian legislation with the EDC is possible provided that all these interrelated components are systematically analyzed. It is noted that the approximation of Ukrainian legislation to the EU environmental acquis is carried out according to the following basic vectors: reduction of greenhouse gas emissions; development of renewable energy; increasing energy efficiency (reducing the energy intensity of the economy and implementing the energy efficiency first principle in accordance with the requirements of EU directives, in particular by updating the regulatory framework and introducing modern energy m</w:t>
      </w:r>
    </w:p>
    <w:p>
      <w:pPr/>
      <w:r>
        <w:rPr>
          <w:b/>
        </w:rPr>
        <w:t>POSSIBLE 2026:</w:t>
      </w:r>
      <w:r>
        <w:t xml:space="preserve"> The European Union's Pharmaceutical Trade in the Era of Globalization: Developments, Partners, and Strategic Directions — https://doi.org/10.61801/ouaess.2025.2.22</w:t>
      </w:r>
    </w:p>
    <w:p>
      <w:pPr/>
      <w:r>
        <w:rPr>
          <w:b/>
        </w:rPr>
        <w:t>Shared claim-specific concepts:</w:t>
      </w:r>
      <w:r>
        <w:t xml:space="preserve"> analyzes, directions, sector; EU scope visible. This is a provisional connection, not an outcome finding.</w:t>
      </w:r>
    </w:p>
    <w:p>
      <w:pPr>
        <w:pStyle w:val="SourceNote"/>
      </w:pPr>
      <w:r>
        <w:rPr>
          <w:b/>
        </w:rPr>
        <w:t>Available abstract (not full text):</w:t>
      </w:r>
      <w:r>
        <w:t xml:space="preserve"> This study analyzes the evolution of European Union trade in pharmaceutical and medical products between 2014 and 2024, in a global context marked by economic, technological, and geopolitical transformations. The research uses official Eurostat data and descriptive analyses of total, extra-EU, and bilateral trade flows with key partners, complemented by a contextual interpretation of the structural factors influencing the sector. The results highlight the significant increase in exports, the consolidation of the trade balance, and the strategic role of the US and Switzerland in the EU's global pharmaceutical network, alongside the emerging dynamic Asian markets. The study adds a new perspective by integrating trade insights with contemporary discussions on strategic autonomy, supply chain resilience, and the geopolitical reconfiguration of the industry, providing a coherent picture of the EU's position in the global health economy.</w:t>
      </w:r>
    </w:p>
    <w:p>
      <w:pPr/>
      <w:r>
        <w:rPr>
          <w:b/>
        </w:rPr>
        <w:t>POSSIBLE 2026:</w:t>
      </w:r>
      <w:r>
        <w:t xml:space="preserve"> STRATEGIC DIRECTIONS FOR THE DEVELOPMENT OF TELECOMMUNICATION SERVICES IN UKRAINE IN THE CONDITIONS OF EUROPEAN INTEGRATION — https://doi.org/10.32752/1993-6788-2026-1-295-630-637</w:t>
      </w:r>
    </w:p>
    <w:p>
      <w:pPr/>
      <w:r>
        <w:rPr>
          <w:b/>
        </w:rPr>
        <w:t>Shared claim-specific concepts:</w:t>
      </w:r>
      <w:r>
        <w:t xml:space="preserve"> directions, requirements, conditions; EU scope visible. This is a provisional connection, not an outcome finding.</w:t>
      </w:r>
    </w:p>
    <w:p>
      <w:pPr>
        <w:pStyle w:val="SourceNote"/>
      </w:pPr>
      <w:r>
        <w:rPr>
          <w:b/>
        </w:rPr>
        <w:t>Available abstract (not full text):</w:t>
      </w:r>
      <w:r>
        <w:t xml:space="preserve"> The article substantiates the strategic directions of development of telecommunications services in Ukraine in the context of European integration as the basic infrastructure of the digital economy and society. It is shown that the European integration vector transforms the logic of the industry's functioning through the requirements of market openness, technological neutrality, consumer protection and guaranteeing the continuity of service provision. Key development challenges are identified: uneven infrastructure coverage between regions, asymmetry between the pace of digital transformation and investment opportunities of networks, as well as increasing requirements for quality, cyber resilience and data protection. The strategic vectors of development of telecommunications services (infrastructure, regulatory, technological and social) are systematized and their systemic effect for reducing the digital divide, increasing market transparency and competitiveness of operators is revealed. It is proven that the transformation of the market under the influence of European integration is manifested in the consolidation of the structure, the transition from basic services to complex digital solutions and the growth of investment activity, while at the same time increasing financial and institutional risks. It is substantiated that the coordination of telecommunications development </w:t>
      </w:r>
    </w:p>
    <w:p>
      <w:pPr/>
      <w:r>
        <w:rPr>
          <w:b/>
        </w:rPr>
        <w:t>POSSIBLE 2026:</w:t>
      </w:r>
      <w:r>
        <w:t xml:space="preserve"> MAIN DIRECTIONS OF PENSION SYSTEM REFORM IN THE EU COUNTRIES AND UKRAINE — https://doi.org/10.32782/business-navigator.85-43</w:t>
      </w:r>
    </w:p>
    <w:p>
      <w:pPr/>
      <w:r>
        <w:rPr>
          <w:b/>
        </w:rPr>
        <w:t>Shared claim-specific concepts:</w:t>
      </w:r>
      <w:r>
        <w:t xml:space="preserve"> possible, directions, different, conditions; EU scope visible. This is a provisional connection, not an outcome finding.</w:t>
      </w:r>
    </w:p>
    <w:p>
      <w:pPr>
        <w:pStyle w:val="SourceNote"/>
      </w:pPr>
      <w:r>
        <w:rPr>
          <w:b/>
        </w:rPr>
        <w:t>Available abstract (not full text):</w:t>
      </w:r>
      <w:r>
        <w:t xml:space="preserve"> The article examines the main directions of pension system reform in the countries of the European Union and Ukraine in the context of contemporary socio-economic transformations. The theoretical foundations of the functioning of pension provision are analyzed, and its role in shaping the system of social protection of the population is determined. Particular attention is paid to the analysis of the current state of pension systems, key trends in their development, and the challenges faced by European countries and Ukraine under conditions of demographic and economic change. The main factors that determine the need for pension system reform are identified, including demographic population aging, increasing life expectancy, a decrease in the share of the economically active population, an increasing burden on working citizens, as well as the financial instability of solidarity pension systems. The study examines the main models of pension provision operating in the countries of the European Union and identifies their characteristic features. The experience of implementing multi-pillar pension systems that combine solidarity, funded, and private pension provision levels is analyzed. It is demonstrated that the combination of different mechanisms for the formation of pension benefits makes it possible to increase the financial stability of the system, ensure the diversification of</w:t>
      </w:r>
    </w:p>
    <w:p>
      <w:pPr/>
      <w:r>
        <w:rPr>
          <w:b/>
        </w:rPr>
        <w:t>POSSIBLE 2026:</w:t>
      </w:r>
      <w:r>
        <w:t xml:space="preserve"> Kyrgyzstan – Europe: Cooperation in the Field of Education — https://doi.org/10.33619/2414-2948/124/61</w:t>
      </w:r>
    </w:p>
    <w:p>
      <w:pPr/>
      <w:r>
        <w:rPr>
          <w:b/>
        </w:rPr>
        <w:t>Shared claim-specific concepts:</w:t>
      </w:r>
      <w:r>
        <w:t xml:space="preserve"> analyzes, possible, directions; EU scope visible. This is a provisional connection, not an outcome finding.</w:t>
      </w:r>
    </w:p>
    <w:p>
      <w:pPr>
        <w:pStyle w:val="SourceNote"/>
      </w:pPr>
      <w:r>
        <w:rPr>
          <w:b/>
        </w:rPr>
        <w:t>Available abstract (not full text):</w:t>
      </w:r>
      <w:r>
        <w:t xml:space="preserve"> This article will analyze the formation, stages of development, and current state of educational cooperation between Kyrgyzstan and European countries on a comprehensive scientific basis. In the context of globalization, the internationalization of education systems is one of the main directions of interstate cooperation. Cooperation with European countries in reforming the education system, increasing human resources, and introducing international standards is of particular importance for Kyrgyzstan. This abstract will consider the regulatory framework for cooperation between the European Union and Kyrgyzstan in the field of education. In particular, partnership and cooperation agreements concluded between Kyrgyzstan and the European Union, and strategic documents aimed at the development of educational policy will be analyzed. These documents demonstrate a desire to modernize the education system, expand academic mobility, and improve the quality of education. The study will highlight the role of European educational programs such as Erasmus+, Tempus (NEE), and Horizon Europe for Kyrgyzstan. Through these programs, Kyrgyz universities closely cooperate with European universities, implementing joint educational programs. As a result, it has become possible to update curricula, introduce credit technologies, and use competency-based educational models. In this abstract, the aca</w:t>
      </w:r>
    </w:p>
    <w:p>
      <w:pPr/>
      <w:r>
        <w:rPr>
          <w:b/>
        </w:rPr>
        <w:t>POSSIBLE 2025:</w:t>
      </w:r>
      <w:r>
        <w:t xml:space="preserve"> Forecasting electricity prices in the Polish Day-Ahead Market using machine learning models — https://doi.org/10.33223/epj/207197</w:t>
      </w:r>
    </w:p>
    <w:p>
      <w:pPr/>
      <w:r>
        <w:rPr>
          <w:b/>
        </w:rPr>
        <w:t>Shared claim-specific concepts:</w:t>
      </w:r>
      <w:r>
        <w:t xml:space="preserve"> polish, electricity, energy; EU scope not established. This is a provisional connection, not an outcome finding.</w:t>
      </w:r>
    </w:p>
    <w:p>
      <w:pPr>
        <w:pStyle w:val="SourceNote"/>
      </w:pPr>
      <w:r>
        <w:rPr>
          <w:b/>
        </w:rPr>
        <w:t>Available abstract (not full text):</w:t>
      </w:r>
      <w:r>
        <w:t xml:space="preserve"> Given the constantly changing market situation for electricity prices, driven by shifts in the energy mix, regulatory reforms, and broader socio-economic factors, it is necessary to reassess the understanding of price forecasting periodically.Traditional statistical methods may struggle when faced with heightened volatility, nonlinear dependencies, and rapidly changing input features.In contrast, machine learning models, particularly Artificial Neural Networks (ANNs), can adapt more effectively to complex, non-stationary patterns in price time series.In this study, six distinct artificial neural network (ANN) architectures were developed and trained using eight years of historical Polish Day-Ahead Market electricity price data (2016-2024).Four of these were plain deep learning models: a Multilayer Perceptron (MLP), a Convolutional Neural Network (CNN), a Long Short-Term Memory (LSTM) model, and a Gated Recurrent Unit (GRU) model.Two others were hybrid models combining convolutional layers with recurrent layers.The hybrid architectures, namely CNN+LSTM and CNN+GRU, were designed to leverage the capacity of CNN to automatically extract features from narrower sliding windows of past prices and the LSTM/GRU layers' ability to capture long-term temporal dependencies.The models' performances were evaluated using three metrics: Mean Absolute Error (MAE), Root Mean Squared Error (RMSE)</w:t>
      </w:r>
    </w:p>
    <w:p>
      <w:pPr/>
      <w:r>
        <w:rPr>
          <w:b/>
        </w:rPr>
        <w:t>POSSIBLE 2025:</w:t>
      </w:r>
      <w:r>
        <w:t xml:space="preserve"> How to Mitigate the Risk of Late Payments? The Case of the Largest Polish Companies Selling Electricity in 2018–2023 — https://doi.org/10.3390/en18081918</w:t>
      </w:r>
    </w:p>
    <w:p>
      <w:pPr/>
      <w:r>
        <w:rPr>
          <w:b/>
        </w:rPr>
        <w:t>Shared claim-specific concepts:</w:t>
      </w:r>
      <w:r>
        <w:t xml:space="preserve"> analyzes, polish, electricity, terms, energy; EU scope visible. This is a provisional connection, not an outcome finding.</w:t>
      </w:r>
    </w:p>
    <w:p>
      <w:pPr>
        <w:pStyle w:val="SourceNote"/>
      </w:pPr>
      <w:r>
        <w:rPr>
          <w:b/>
        </w:rPr>
        <w:t>Available abstract (not full text):</w:t>
      </w:r>
      <w:r>
        <w:t xml:space="preserve"> Companies operating in the energy market in Poland conduct business activity on the basis of special regulations applicable to this type of entity. However, they are, like any other entrepreneur, exposed to the risk of delays in payments, non-payment, restructuring, or even bankruptcy of their contractor. Appropriate instruments should be used to mitigate these risks. There are many methods available today to deal with trading risks. However, they should be tailored to the individual needs of each entrepreneur based on an in-depth analysis of its contractors. This article analyzes the five largest companies selling electricity in Poland in terms of the risk of late payments in the period 2018–2023. It turned out that in the surveyed companies in the period 2018–2013, the amount of receivables was constantly increasing, and the average recovery term was longer than the average payment term in enterprises in general. The real impact of delayed payments on the profitability of the surveyed companies was also calculated. Then, the available methods of transaction risk mitigation (tangible collateral, personal collateral, form of paying, other legal, banking and insurance instruments) were analyzed and described, and whether and to what extent they are used in the surveyed companies. The conducted research also allowed the author to conclude that, unfortunately, despite the existenc</w:t>
      </w:r>
    </w:p>
    <w:p>
      <w:pPr/>
      <w:r>
        <w:rPr>
          <w:b/>
        </w:rPr>
        <w:t>POSSIBLE 2025:</w:t>
      </w:r>
      <w:r>
        <w:t xml:space="preserve"> A Possible Way to Enhance European Competitiveness — https://doi.org/10.34190/ecie.20.1.3930</w:t>
      </w:r>
    </w:p>
    <w:p>
      <w:pPr/>
      <w:r>
        <w:rPr>
          <w:b/>
        </w:rPr>
        <w:t>Shared claim-specific concepts:</w:t>
      </w:r>
      <w:r>
        <w:t xml:space="preserve"> possible, directions;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2025:</w:t>
      </w:r>
      <w:r>
        <w:t xml:space="preserve"> V2G Participation in European Union: Legal and Regulatory Barriers in Spanish Electricity Markets — https://doi.org/10.31235/osf.io/vjnpy_v1</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pStyle w:val="Heading2"/>
      </w:pPr>
      <w:r>
        <w:t>866. Scenario planning as communicative action: Lessons from participatory exercises conducted for the Scottish livestock industry</w:t>
      </w:r>
    </w:p>
    <w:p>
      <w:pPr>
        <w:pStyle w:val="SourceNote"/>
      </w:pPr>
      <w:r>
        <w:rPr>
          <w:b/>
        </w:rPr>
        <w:t>Original source (2016):</w:t>
      </w:r>
      <w:r>
        <w:t xml:space="preserve"> https://doi.org/10.1016/j.techfore.2016.07.034</w:t>
      </w:r>
    </w:p>
    <w:p>
      <w:pPr/>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POSSIBLE 2026:</w:t>
      </w:r>
      <w:r>
        <w:t xml:space="preserve"> Modelling the frequency and extent of waterlogging: a case study — https://doi.org/10.36334/modsim2025.j10.beverly</w:t>
      </w:r>
    </w:p>
    <w:p>
      <w:pPr/>
      <w:r>
        <w:rPr>
          <w:b/>
        </w:rPr>
        <w:t>Shared claim-specific concepts:</w:t>
      </w:r>
      <w:r>
        <w:t xml:space="preserve"> extent, case, conditions, applied, within; EU scope not established. This is a provisional connection, not an outcome finding.</w:t>
      </w:r>
    </w:p>
    <w:p>
      <w:pPr>
        <w:pStyle w:val="SourceNote"/>
      </w:pPr>
      <w:r>
        <w:rPr>
          <w:b/>
        </w:rPr>
        <w:t>Available abstract (not full text):</w:t>
      </w:r>
      <w:r>
        <w:t xml:space="preserve">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pPr/>
      <w:r>
        <w:rPr>
          <w:b/>
        </w:rPr>
        <w:t>POSSIBLE 2026:</w:t>
      </w:r>
      <w:r>
        <w:t xml:space="preserve"> Extent of Underemployment among Government Service Employees in Kerala — https://openalex.org/W7218043265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Underemployment in the public sector is defined as a situation in which government employees are employed below their education or skill level, or their availability. It is a social problem that affects job growth, career growth and the emotional health of underemployed workers. The study checked the extent of underemployment among Kerala government service employees in the context of their education, age and gender wise analysis. The result revealed that age matters in the perception of employees on underemployment and is negatively related to underemployment. In the case of lower age people, they consider them as underemployed while aged people do not bother about it. Gender and qualification do not play a role in the employee’s perception of feeling on underemployment.</w:t>
      </w:r>
    </w:p>
    <w:p>
      <w:pPr/>
      <w:r>
        <w:rPr>
          <w:b/>
        </w:rPr>
        <w:t>POSSIBLE 2026:</w:t>
      </w:r>
      <w:r>
        <w:t xml:space="preserve"> Collapsibility in case-control studies — https://doi.org/10.1093/ije/dyag085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It is well-established that the odds ratio (OR) is non-collapsible and that adjustment of the OR for a risk factor can produce a change in the main effect estimate even when there is no confounding. In contrast, the risk ratio (RR) is collapsible, whereas the rate ratio is non-collapsible, but usually to a lesser extent than is the case with ORs. However, almost all discussions of non-collapsibility have been conducted in the context of effect measures in cohort studies. In this paper, I consider non-collapsibility in case-control studies where the OR inherits the collapsibility or non-collapsibility of the ratio effect measure that the study was designed to estimate. This is most clearly illustrated in the situation of a closed cohort with a fixed follow-up time. In this situation, choosing controls by cumulative incidence sampling estimates the OR in the corresponding cohort study, and therefore the resulting case-control OR is non-collapsible. Choosing controls by case-cohort sampling estimates the cohort study RR, and the resulting case-control OR is collapsible. Choosing controls by density sampling (perhaps the most common approach) estimates the cohort study rate ratio, and the resulting case-control OR is non-collapsible, but to a lesser extent than for cumulative incidence sampling. Moreover, if the disease under study is rare (in the cohort study), all three methods p</w:t>
      </w:r>
    </w:p>
    <w:p>
      <w:pPr/>
      <w:r>
        <w:rPr>
          <w:b/>
        </w:rPr>
        <w:t>POSSIBLE 2026:</w:t>
      </w:r>
      <w:r>
        <w:t xml:space="preserve"> An Unusual Extent of Retroperitoneal Abscess Formation in Spinal Tuberculosis : An Illustrative Case Report — https://doi.org/10.70780/medpeer.000qgr1</w:t>
      </w:r>
    </w:p>
    <w:p>
      <w:pPr/>
      <w:r>
        <w:rPr>
          <w:b/>
        </w:rPr>
        <w:t>Shared claim-specific concepts:</w:t>
      </w:r>
      <w:r>
        <w:t xml:space="preserve"> extent, case, planning, critical; EU scope not established. This is a provisional connection, not an outcome finding.</w:t>
      </w:r>
    </w:p>
    <w:p>
      <w:pPr>
        <w:pStyle w:val="SourceNote"/>
      </w:pPr>
      <w:r>
        <w:rPr>
          <w:b/>
        </w:rPr>
        <w:t>Available abstract (not full text):</w:t>
      </w:r>
      <w:r>
        <w:t xml:space="preserve"> Pott disease, or spinal tuberculosis, is the most frequent form of osteoarticular tuberculosis and can manifest with diverse radiological patterns and potentially serious complications. Cold abscesses are a hallmark feature but may remain clinically silent until late in the disease course. We report the case of a patient with thoracolumbar Pott disease complicated by large bilateral retroperitoneal muscular abscesses, initially undetected on physical examination. Cross-sectional imaging, including CT and MRI, was pivotal in delineating the extent of spinal involvement and associated soft tissue collections, guiding timely surgical and medical management. This case highlights the importance of maintaining a high index of suspicion for atypical presentations of spinal tuberculosis and demonstrates the critical role of imaging in early diagnosis, assessment of disease severity, and planning of appropriate interventions to prevent further morbidity.</w:t>
      </w:r>
    </w:p>
    <w:p>
      <w:pPr/>
      <w:r>
        <w:rPr>
          <w:b/>
        </w:rPr>
        <w:t>POSSIBLE 2025:</w:t>
      </w:r>
      <w:r>
        <w:t xml:space="preserve"> 7. Using cases — https://doi.org/10.1093/he/9780198924722.003.0007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 The ability to use cases and knowledge of the operation of precedent are both vital legal skills. Equally, when charting the development of particular areas of law, it is necessary to understand how the decisions given in cases have changed the law over time.</w:t>
      </w:r>
    </w:p>
    <w:p>
      <w:pPr/>
      <w:r>
        <w:rPr>
          <w:b/>
        </w:rPr>
        <w:t>POSSIBLE 2025:</w:t>
      </w:r>
      <w:r>
        <w:t xml:space="preserve"> Bayesian active sound localisation: To what extent do humans perform like an ideal-observer? — https://doi.org/10.1371/journal.pcbi.1012108</w:t>
      </w:r>
    </w:p>
    <w:p>
      <w:pPr/>
      <w:r>
        <w:rPr>
          <w:b/>
        </w:rPr>
        <w:t>Shared claim-specific concepts:</w:t>
      </w:r>
      <w:r>
        <w:t xml:space="preserve"> extent, ideal, reference; EU scope not established. This is a provisional connection, not an outcome finding.</w:t>
      </w:r>
    </w:p>
    <w:p>
      <w:pPr>
        <w:pStyle w:val="SourceNote"/>
      </w:pPr>
      <w:r>
        <w:rPr>
          <w:b/>
        </w:rPr>
        <w:t>Available abstract (not full text):</w:t>
      </w:r>
      <w:r>
        <w:t xml:space="preserve"> Self-motion is an essential but often overlooked component of sound localisation. As the directional information of a source is implicitly contained in head-centred acoustic cues, that acoustic input needs to be continuously combined with sensorimotor information about the head orientation in order to decode to a world-centred frame of reference. When utilised, head movements significantly reduce ambiguities in the directional information provided by the incoming sound. In this work, we model human active sound localisation (considering small head rotations) as an ideal observer. In the evaluation, we compared human performance obtained in a free-field active localisation experiment with the predictions of a Bayesian model. Model noise parameters were set a-priori based on behavioural results from other studies, i.e., without any post-hoc parameter fitting to behavioural results. The model predictions showed a general agreement with actual human performance. However, a spatial analysis revealed that the ideal observer was not able to predict localisation behaviour for each source direction. A more detailed investigation into the effects of various model parameters indicated that uncertainty on head orientation significantly contributed to the observed differences. Yet, the biases and spatial distribution of the human responses remained partially unexplained by the presented ide</w:t>
      </w:r>
    </w:p>
    <w:p>
      <w:pPr/>
      <w:r>
        <w:rPr>
          <w:b/>
        </w:rPr>
        <w:t>POSSIBLE 2025:</w:t>
      </w:r>
      <w:r>
        <w:t xml:space="preserve"> Narrative and case law — https://doi.org/10.4324/9781003404668-3</w:t>
      </w:r>
    </w:p>
    <w:p>
      <w:pPr/>
      <w:r>
        <w:rPr>
          <w:b/>
        </w:rPr>
        <w:t>Shared claim-specific concepts:</w:t>
      </w:r>
      <w:r>
        <w:t xml:space="preserve"> considers, extent, case, within, critical; EU scope not established. This is a provisional connection, not an outcome finding.</w:t>
      </w:r>
    </w:p>
    <w:p>
      <w:pPr>
        <w:pStyle w:val="SourceNote"/>
      </w:pPr>
      <w:r>
        <w:rPr>
          <w:b/>
        </w:rPr>
        <w:t>Available abstract (not full text):</w:t>
      </w:r>
      <w:r>
        <w:t xml:space="preserve"> This chapter addresses the particular and the general in narrative, and in masterplots, as an approach to questions of authority and change in the law. It argues that the concept of ‘masterplot’ encapsulates a reciprocity between the particular and the general that is fundamental to narrative as a mode of cognition, and that this foundation of narrative authority is essential to the principles of case law, as expounded by Oliver Wendell Holmes Jr. These principles are thrown into relief by two contrasting views of the authority of law, from Frederick Schauer and Meir Sternberg – both of whom, however, misconstrue the reciprocal relation involved. The chapter draws out the respects in which the particular–general dynamic within the narrative bears upon the strengths and weaknesses of the common law and considers the extent to which the critical concept of masterplot may help hold the law’s authority up to proper scrutiny.</w:t>
      </w:r>
    </w:p>
    <w:p>
      <w:pPr/>
      <w:r>
        <w:rPr>
          <w:b/>
        </w:rPr>
        <w:t>POSSIBLE 2025:</w:t>
      </w:r>
      <w:r>
        <w:t xml:space="preserve"> Increasing frequency and spatial extent of cattle heat stress conditions in the Southern plains of the USA — https://doi.org/10.1038/s41598-025-99621-5</w:t>
      </w:r>
    </w:p>
    <w:p>
      <w:pPr/>
      <w:r>
        <w:rPr>
          <w:b/>
        </w:rPr>
        <w:t>Shared claim-specific concepts:</w:t>
      </w:r>
      <w:r>
        <w:t xml:space="preserve"> extent, conditions, critical; EU scope not established. This is a provisional connection, not an outcome finding.</w:t>
      </w:r>
    </w:p>
    <w:p>
      <w:pPr>
        <w:pStyle w:val="SourceNote"/>
      </w:pPr>
      <w:r>
        <w:rPr>
          <w:b/>
        </w:rPr>
        <w:t>Available abstract (not full text):</w:t>
      </w:r>
      <w:r>
        <w:t xml:space="preserve"> Oklahoma, as part of the Southern Plains region and a key contributor to U.S. cattle production, faces increasing heat stress due to climate change, which can adversely influence livestock. We analyzed data from 121 Oklahoma Mesonet stations (1998-2022) to assess the spatio-temporal patterns of heat stress that influence cattle production across the state. Using the temperature humidity index (THI) and comprehensive climate index (CCI), we counted the number of days that exceeded critical thresholds for cattle production. Based on THI, only 12% of stations showed a significant increase in heat stress, while more than 60% did based on CCI, driven mainly by significantly lower summer wind speeds. Statewide cattle and calf inventory data showed a significant decrease in cattle numbers, especially following years with a large number of heat stress days based on CCI. At the county level, decreasing inventory often aligned with increasing heat stress, which suggested a strong relationship between heat stress and cattle health. With the number of heat stress days increasing by up to four days per year, adaptive strategies are crucial to mitigate the negative impacts of heat stress on cattle health and productivity in this region.</w:t>
      </w:r>
    </w:p>
    <w:p>
      <w:pPr/>
      <w:r>
        <w:rPr>
          <w:b/>
        </w:rPr>
        <w:t>POSSIBLE 2025:</w:t>
      </w:r>
      <w:r>
        <w:t xml:space="preserve"> Case studies of AI policy development in Africa — https://doi.org/10.1017/dap.2024.71</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Abstract Artificial intelligence (AI) requires new ways of evaluating national technology use and strategy for African nations. We conduct a survey of existing “readiness” assessments both for general digital adoption and AI policy in particular. We conclude that existing global readiness assessments do not fully capture African states’ progress in AI readiness and lay the groundwork for how assessments can be better used for the African context. We consider the extent to which these indicators map to the African context and what these indicators miss in capturing African states’ on-the-ground work in meeting AI capability. Through case studies of four African nations of diverse geographic and economic dimensions, we identify nuances missed by global assessments and offer high-level policy considerations for how states can best improve their AI readiness standards and prepare their societies to capture the benefits of AI.</w:t>
      </w:r>
    </w:p>
    <w:p>
      <w:pPr/>
      <w:r>
        <w:rPr>
          <w:b/>
        </w:rPr>
        <w:t>POSSIBLE 2024:</w:t>
      </w:r>
      <w:r>
        <w:t xml:space="preserve"> Extent of Corporate Sustainability Adoption in the Hospitality Industry: A Case Study of Tourist Hotels in Sri Lanka — https://doi.org/10.47772/ijriss.2024.809007</w:t>
      </w:r>
    </w:p>
    <w:p>
      <w:pPr/>
      <w:r>
        <w:rPr>
          <w:b/>
        </w:rPr>
        <w:t>Shared claim-specific concepts:</w:t>
      </w:r>
      <w:r>
        <w:t xml:space="preserve"> considers, extent, case, corporate; EU scope not established. This is a provisional connection, not an outcome finding.</w:t>
      </w:r>
    </w:p>
    <w:p>
      <w:pPr>
        <w:pStyle w:val="SourceNote"/>
      </w:pPr>
      <w:r>
        <w:rPr>
          <w:b/>
        </w:rPr>
        <w:t>Available abstract (not full text):</w:t>
      </w:r>
      <w:r>
        <w:t xml:space="preserve">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pPr/>
      <w:r>
        <w:rPr>
          <w:b/>
        </w:rPr>
        <w:t>POSSIBLE 2024:</w:t>
      </w:r>
      <w:r>
        <w:t xml:space="preserve"> Relationship Between Working Memory, Compression, and Beamformers in Ideal Conditions — https://doi.org/10.1097/aud.0000000000001605</w:t>
      </w:r>
    </w:p>
    <w:p>
      <w:pPr/>
      <w:r>
        <w:rPr>
          <w:b/>
        </w:rPr>
        <w:t>Shared claim-specific concepts:</w:t>
      </w:r>
      <w:r>
        <w:t xml:space="preserve"> conditions, ideal, speech; EU scope not established. This is a provisional connection, not an outcome finding.</w:t>
      </w:r>
    </w:p>
    <w:p>
      <w:pPr>
        <w:pStyle w:val="SourceNote"/>
      </w:pPr>
      <w:r>
        <w:rPr>
          <w:b/>
        </w:rPr>
        <w:t>Available abstract (not full text):</w:t>
      </w:r>
      <w:r>
        <w:t xml:space="preserve"> OBJECTIVES: Previous research has shown that speech recognition with different wide dynamic range compression (WDRC) time-constants (fast-acting or Fast and slow-acting or Slow) is associated with individual working memory ability, especially in adverse listening conditions. Until recently, much of this research has been limited to omnidirectional hearing aid settings and colocated speech and noise, whereas most hearing aids are fit with directional processing that may improve the listening environment in spatially separated conditions and interact with WDRC processing. The primary objective of this study was to determine whether there is an association between individual working memory ability and speech recognition in noise with different WDRC time-constants, with and without microphone directionality (binaural beamformer or Beam versus omnidirectional or Omni) in a spatial condition ideal for the beamformer (speech at 0 , noise at 180 ). The hypothesis was that the relationship between speech recognition ability and different WDRC time-constants would depend on working memory in the Omni mode, whereas the relationship would diminish in the Beam mode. The study also examined whether this relationship is different from the effects of working memory on speech recognition with WDRC time-constants previously studied in colocated conditions. DESIGN: Twenty-one listeners with bilat</w:t>
      </w:r>
    </w:p>
    <w:p>
      <w:pPr/>
      <w:r>
        <w:rPr>
          <w:b/>
        </w:rPr>
        <w:t>POSSIBLE 2024:</w:t>
      </w:r>
      <w:r>
        <w:t xml:space="preserve"> Case 7: Acne — https://doi.org/10.1201/9781003449737-8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This chapter looks at the case of a young boy who is troubled by what may be considered to be mild acne. It explores the mismatch that may exist between the clinician and the patient in terms of understanding the extent of the condition. It encourages the reader to consider the psychological impact of dermatological conditions. The various treatment regimens available for acne and their efficacy are discussed. The learning tip revolves around the importance of developing skills to appropriately manage the expectations of patients. The AKT questions further look at other skin conditions and their management.</w:t>
      </w:r>
    </w:p>
    <w:p>
      <w:pPr>
        <w:pStyle w:val="Heading2"/>
      </w:pPr>
      <w:r>
        <w:t>867. Secular stagnation – are we stuck in Summers' long winter?</w:t>
      </w:r>
    </w:p>
    <w:p>
      <w:pPr>
        <w:pStyle w:val="SourceNote"/>
      </w:pPr>
      <w:r>
        <w:rPr>
          <w:b/>
        </w:rPr>
        <w:t>Original source (2016):</w:t>
      </w:r>
      <w:r>
        <w:t xml:space="preserve"> https://doi.org/10.1111/1468-0319.12197</w:t>
      </w:r>
    </w:p>
    <w:p>
      <w:pPr/>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POSSIBLE 2026:</w:t>
      </w:r>
      <w:r>
        <w:t xml:space="preserve"> Sensselo Male Enhancement Device | Safe Size Growth &amp; Stronger Erections — https://doi.org/10.5281/zenodo.18785338</w:t>
      </w:r>
    </w:p>
    <w:p>
      <w:pPr/>
      <w:r>
        <w:rPr>
          <w:b/>
        </w:rPr>
        <w:t>Shared claim-specific concepts:</w:t>
      </w:r>
      <w:r>
        <w:t xml:space="preserve"> stronger, over; EU scope not established. This is a provisional connection, not an outcome finding.</w:t>
      </w:r>
    </w:p>
    <w:p>
      <w:pPr>
        <w:pStyle w:val="SourceNote"/>
      </w:pPr>
      <w:r>
        <w:rPr>
          <w:b/>
        </w:rPr>
        <w:t>Available abstract (not full text):</w:t>
      </w:r>
      <w:r>
        <w:t xml:space="preserve">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pPr/>
      <w:r>
        <w:rPr>
          <w:b/>
        </w:rPr>
        <w:t>POSSIBLE 2026:</w:t>
      </w:r>
      <w:r>
        <w:t xml:space="preserve"> Population Ageing: Implications for Economic Growth and Fiscal Sustainability — https://doi.org/10.1111/1467-8454.70029</w:t>
      </w:r>
    </w:p>
    <w:p>
      <w:pPr/>
      <w:r>
        <w:rPr>
          <w:b/>
        </w:rPr>
        <w:t>Shared claim-specific concepts:</w:t>
      </w:r>
      <w:r>
        <w:t xml:space="preserve"> stronger, drag, fiscal, gdp; EU scope not established. This is a provisional connection, not an outcome finding.</w:t>
      </w:r>
    </w:p>
    <w:p>
      <w:pPr>
        <w:pStyle w:val="SourceNote"/>
      </w:pPr>
      <w:r>
        <w:rPr>
          <w:b/>
        </w:rPr>
        <w:t>Available abstract (not full text):</w:t>
      </w:r>
      <w:r>
        <w:t xml:space="preserve"> ABSTRACT Population ageing poses significant challenges to economic growth and fiscal sustainability in advanced economies. This study examines how fiscal sustainability and labour force participation moderate the impact of ageing on gross domestic product (GDP) growth across 37 Organisation for Economic Co‐operation and Development member countries from 1995 to 2023. We introduce a novel composite fiscal sustainability index that captures fiscal health through nine macro‐fiscal indicators, integrating expenditure control, revenue adequacy, macroeconomic stability, and debt management. Employing a dynamic panel data approach with system generalised method of moments estimation, we address endogeneity and unobserved heterogeneity to derive robust causal inferences. Our findings reveal that a 1% increase in the share of the older adult population reduces short‐run GDP growth by 0.31% and long‐run GDP growth by 0.37%. Stronger fiscal discipline significantly attenuates the negative growth impact of ageing, mitigating the growth drag by approximately 0.077 percentage points in the short run. Moreover, higher labour force participation cushions the adverse effects of demographic shifts and positively contributes to growth in both the short and long run. These results underscore the crucial roles of sound fiscal governance and inclusive labour market policies in sustaining economic v</w:t>
      </w:r>
    </w:p>
    <w:p>
      <w:pPr/>
      <w:r>
        <w:rPr>
          <w:b/>
        </w:rPr>
        <w:t>POSSIBLE 2026:</w:t>
      </w:r>
      <w:r>
        <w:t xml:space="preserve"> Impact of fiscal sustainability on economic growth in Kenya — https://doi.org/10.65748/fiqf-2026-0001</w:t>
      </w:r>
    </w:p>
    <w:p>
      <w:pPr/>
      <w:r>
        <w:rPr>
          <w:b/>
        </w:rPr>
        <w:t>Shared claim-specific concepts:</w:t>
      </w:r>
      <w:r>
        <w:t xml:space="preserve"> fiscal, over, effect; EU scope not established. This is a provisional connection, not an outcome finding.</w:t>
      </w:r>
    </w:p>
    <w:p>
      <w:pPr>
        <w:pStyle w:val="SourceNote"/>
      </w:pPr>
      <w:r>
        <w:rPr>
          <w:b/>
        </w:rPr>
        <w:t>Available abstract (not full text):</w:t>
      </w:r>
      <w:r>
        <w:t xml:space="preserve"> Fiscal sustainability refers to a government's capacity to generate sufficient revenue to cover its expenses and repay its debts without accumulating excessive liabilities or creating new money. Recent observations indicate that Kenya's economic growth has slowed, prompting concerns about its fiscal sustainability. This study investigates the long-term relationship between Kenya's economic growth and certain budgetary sustainability indicators, specifically the public primary budget balance and external debt. Two control variables-trade balance and inflation-were also considered, with data sourced from the IMF and World Bank. Utilizing time series annual data spanning from 1990 to 2023, the study employed the autoregressive distributed lag (ARDL) bounds test and error correction model to analyze the data through three stages: unit root testing, F-bounds cointegration testing, and estimating the ARDL error correction model. The findings reveal a long-term relationship between fiscal sustainability indicators and economic growth in Kenya. Notably, the primary budget balance, which serves as a proxy for fiscal sustainability, as well as inflation and trade balance, were found to negatively and significantly impact economic growth in the country. Conversely, external debt, another proxy for fiscal sustainability, exhibited a positive effect on economic growth over the long term. To</w:t>
      </w:r>
    </w:p>
    <w:p>
      <w:pPr/>
      <w:r>
        <w:rPr>
          <w:b/>
        </w:rPr>
        <w:t>POSSIBLE 2026:</w:t>
      </w:r>
      <w:r>
        <w:t xml:space="preserve"> Taxes, Growth, and Equity: The Illusions of Fiscal Policy — https://doi.org/10.3390/ijfs14020030</w:t>
      </w:r>
    </w:p>
    <w:p>
      <w:pPr/>
      <w:r>
        <w:rPr>
          <w:b/>
        </w:rPr>
        <w:t>Shared claim-specific concepts:</w:t>
      </w:r>
      <w:r>
        <w:t xml:space="preserve"> fiscal, over; EU scope not established. This is a provisional connection, not an outcome finding.</w:t>
      </w:r>
    </w:p>
    <w:p>
      <w:pPr>
        <w:pStyle w:val="SourceNote"/>
      </w:pPr>
      <w:r>
        <w:rPr>
          <w:b/>
        </w:rPr>
        <w:t>Available abstract (not full text):</w:t>
      </w:r>
      <w:r>
        <w:t xml:space="preserve"> For over a century now, one of the central debates of economic policy has been around fiscal policy. Taxation and government spending have been a feature of most political campaigns, with one (more vocal) side claiming that taxation chokes economic growth and benefits special interests, while leaving a legacy of debt. Another side sees taxation as a necessary tool for creating equal opportunity and ensuring adequate investment in collective public goods, including human capital. Using newly constructed datasets that we will make available, we take a fresh look at fiscal policy on the global level and across U.S. states, measuring its effects on growth and equity. We utilize a new technique, functional data analysis (FDA). We find limited evidence for both the conservative and progressive arguments around fiscal policy in the short term. Rather, the data suggest persistent fiscal patterns across space and time that reflect long-term social value choices around the tradeoffs of growth vs. public investment and equity.</w:t>
      </w:r>
    </w:p>
    <w:p>
      <w:pPr/>
      <w:r>
        <w:rPr>
          <w:b/>
        </w:rPr>
        <w:t>POSSIBLE 2026:</w:t>
      </w:r>
      <w:r>
        <w:t xml:space="preserve"> Fiscal Policy, Debt Management and Economic Growth in Nigeria — https://doi.org/10.47772/ijriss.2026.100500380</w:t>
      </w:r>
    </w:p>
    <w:p>
      <w:pPr/>
      <w:r>
        <w:rPr>
          <w:b/>
        </w:rPr>
        <w:t>Shared claim-specific concepts:</w:t>
      </w:r>
      <w:r>
        <w:t xml:space="preserve"> stronger, fiscal, effect, strong, gdp, largely; EU scope not established. This is a provisional connection, not an outcome finding.</w:t>
      </w:r>
    </w:p>
    <w:p>
      <w:pPr>
        <w:pStyle w:val="SourceNote"/>
      </w:pPr>
      <w:r>
        <w:rPr>
          <w:b/>
        </w:rPr>
        <w:t>Available abstract (not full text):</w:t>
      </w:r>
      <w:r>
        <w:t xml:space="preserve"> This study examines fiscal policy, debt management, and economic growth in Nigeria using annual data from 1990 to 2023 within an Autoregressive Distributed Lag (ARDL) framework. The results show that in the short run, government revenue to GDP has a negative and marginal effect on economic growth (β = –0.335, p≈0.055), while debt service payments significantly reduce economic growth (β = –3.70, p = 0.0120). External debt to GDP also exerts a delayed negative effect on growth (β = –0.932, p = 0.0068), whereas regulatory quality positively influences growth in the short run (β = 0.268, p = 0.0229). Foreign direct investment shows limited short run impact, while the error correction term is negative and highly significant (β = –0.889973, p = 0.0010), indicating a strong adjustment speed of about 89 percent toward long run equilibrium. In the long run, external debt to GDP positively affects economic growth (β = 1.68, p = 0.0001), alongside regulatory quality which also shows a significant positive effect (β = 1.31, p = 0.0006), suggesting that well managed borrowing and strong institutions support growth performance. However, government revenue to GDP (β = –1.49, p = 0.0134) and debt service payments (β = –1.01, p = 0.0013) exert significant negative effects on economic growth, indicating fiscal inefficiencies and crowding out of productive expenditure. The model explains about 70</w:t>
      </w:r>
    </w:p>
    <w:p>
      <w:pPr/>
      <w:r>
        <w:rPr>
          <w:b/>
        </w:rPr>
        <w:t>POSSIBLE 2026:</w:t>
      </w:r>
      <w:r>
        <w:t xml:space="preserve"> Fiscal Imbalances and Economic Growth: Evidence from India — https://doi.org/10.37622/ijhss/14.2.2025.173-181</w:t>
      </w:r>
    </w:p>
    <w:p>
      <w:pPr/>
      <w:r>
        <w:rPr>
          <w:b/>
        </w:rPr>
        <w:t>Shared claim-specific concepts:</w:t>
      </w:r>
      <w:r>
        <w:t xml:space="preserve"> fiscal, over, effect, period; EU scope not established. This is a provisional connection, not an outcome finding.</w:t>
      </w:r>
    </w:p>
    <w:p>
      <w:pPr>
        <w:pStyle w:val="SourceNote"/>
      </w:pPr>
      <w:r>
        <w:rPr>
          <w:b/>
        </w:rPr>
        <w:t>Available abstract (not full text):</w:t>
      </w:r>
      <w:r>
        <w:t xml:space="preserve"> A fiscal deficit plays a crucial role in a nation's macroeconomic framework, as it enables the government to finance infrastructure, support economic growth, and counter-economic emergencies or crises effectively.However, its effective management is essential for long-term fiscal sustainability.Owing to its dynamic nature, the contribution of fiscal deficit to economic performance varies across countries due to structural and institutional factors.Against this backdrop, the present study investigates the impact of deficit on India's economic growth in India over the period 1990-2024.The "Autoregressive Distributed Lag (ARDL)" approach is used to capture both short-run and longrun dynamics of the model.Empirical results signify that fiscal deficit has a contractionary effect on economic growth in short run, highlighting inefficiencies and crowding-out effects associated with deficit financing.Furthermore, COVID-19 caused a significant and measurable drop in economic performance in the short-run.</w:t>
      </w:r>
    </w:p>
    <w:p>
      <w:pPr/>
      <w:r>
        <w:rPr>
          <w:b/>
        </w:rPr>
        <w:t>POSSIBLE 2026:</w:t>
      </w:r>
      <w:r>
        <w:t xml:space="preserve"> Fiscal Devolution and Place Investment:Will It Unlock Growth Everywhere and Redistribute Prosperity? — https://openalex.org/W7169822674</w:t>
      </w:r>
    </w:p>
    <w:p>
      <w:pPr/>
      <w:r>
        <w:rPr>
          <w:b/>
        </w:rPr>
        <w:t>Shared claim-specific concepts:</w:t>
      </w:r>
      <w:r>
        <w:t xml:space="preserve"> fiscal, over, but; EU scope not established. This is a provisional connection, not an outcome finding.</w:t>
      </w:r>
    </w:p>
    <w:p>
      <w:pPr>
        <w:pStyle w:val="SourceNote"/>
      </w:pPr>
      <w:r>
        <w:rPr>
          <w:b/>
        </w:rPr>
        <w:t>Available abstract (not full text):</w:t>
      </w:r>
      <w:r>
        <w:t xml:space="preserve"> The Chancellor's Growth Plan commits to "unlocking growth in every part of Britain", and Andy Burnham has highlighted the same direction of travel in his speech on 29th June. The government has promised a Treasury roadmap for fiscal devolution, including, for the first time, looking at income tax alongside other taxes. But will these reforms genuinely empower places to invest, or will they push financial risk downward? This evidence review examines the international and UK evidence on fiscal devolution to answer that question. It draws on OECD cross-country analysis, Scotland's lived experience of income tax devolution since 2017, and a detailed assessment of England's current fiscal architecture, including the 2026 business rates reset, Integrated Settlements, the English Devolution and Community Empowerment Act 2026, and the unresolved problem of council tax. The headline finding is that fiscal devolution can support growth, but only under certain conditions. The review identifies seven risks where the current trajectory could fail, including the danger of "risk devolution", where financial exposure is transferred to local government without genuine fiscal control, and the exclusion of council tax, which funds over half of local government spending, from the reform conversation. It finds that cities, towns, and rural areas will be affected very differently, and that without d</w:t>
      </w:r>
    </w:p>
    <w:p>
      <w:pPr/>
      <w:r>
        <w:rPr>
          <w:b/>
        </w:rPr>
        <w:t>POSSIBLE 2026:</w:t>
      </w:r>
      <w:r>
        <w:t xml:space="preserve"> The paradox of strong institutions: when better governance intensifies public debt’s drag on economic growth in Heavily Indebted Poor Countries (HIPCs) in Africa — https://doi.org/10.1016/j.resglo.2026.100348</w:t>
      </w:r>
    </w:p>
    <w:p>
      <w:pPr/>
      <w:r>
        <w:rPr>
          <w:b/>
        </w:rPr>
        <w:t>Shared claim-specific concepts:</w:t>
      </w:r>
      <w:r>
        <w:t xml:space="preserve"> stronger, drag, fiscal, effect, period, strong; EU scope not established. This is a provisional connection, not an outcome finding.</w:t>
      </w:r>
    </w:p>
    <w:p>
      <w:pPr>
        <w:pStyle w:val="SourceNote"/>
      </w:pPr>
      <w:r>
        <w:rPr>
          <w:b/>
        </w:rPr>
        <w:t>Available abstract (not full text):</w:t>
      </w:r>
      <w:r>
        <w:t xml:space="preserve"> This study examines the threshold effect of public debt on economic growth in Africa’s Heavily Indebted Poor Countries (HIPCs) within the broader context of globalization, where increased financial integration and global governance frameworks shape national debt dynamics. Using secondary data for the period 2000–2023, a dynamic threshold regression model is employed to estimate debt thresholds, while the system GMM estimator is applied to assess how institutional quality conditions the debt–growth relationship. The results confirm a nonlinear relationship between debt and growth, with an overall public debt threshold of about 22%. Debt supports growth below this level but becomes contractionary above it. Sub-group analysis shows thresholds of 25% for low-income countries and 22% for resource-intensive countries, while no significant nonlinear relationship is detected for lower-middle-income or non-resource-intensive countries. Contrary to much of the existing literature, the findings indicate that institutional quality amplifies, rather than mitigates, the negative effect of debt on growth. These results highlight the asymmetric nature of globalization, showing that in highly indebted and globally integrated low-income economies, stronger institutions may enforce global fiscal norms that limit domestic policy space. Policy implications suggest that institutional reforms alone a</w:t>
      </w:r>
    </w:p>
    <w:p>
      <w:pPr/>
      <w:r>
        <w:rPr>
          <w:b/>
        </w:rPr>
        <w:t>POSSIBLE 2026:</w:t>
      </w:r>
      <w:r>
        <w:t xml:space="preserve"> Is There Fiscal Convergence in the European Union? — https://doi.org/10.1111/ecpo.70075</w:t>
      </w:r>
    </w:p>
    <w:p>
      <w:pPr/>
      <w:r>
        <w:rPr>
          <w:b/>
        </w:rPr>
        <w:t>Shared claim-specific concepts:</w:t>
      </w:r>
      <w:r>
        <w:t xml:space="preserve"> fiscal, strong; EU scope visible. This is a provisional connection, not an outcome finding.</w:t>
      </w:r>
    </w:p>
    <w:p>
      <w:pPr>
        <w:pStyle w:val="SourceNote"/>
      </w:pPr>
      <w:r>
        <w:rPr>
          <w:b/>
        </w:rPr>
        <w:t>Available abstract (not full text):</w:t>
      </w:r>
      <w:r>
        <w:t xml:space="preserve"> ABSTRACT This article studies fiscal convergence in the European Union (EU) from 1995 to 2024 using the sequential panel selection method. We use an improved econometric method to analyze the sequence of convergence and the factors influencing convergence differences. The conclusions provide strong evidence that 21 of 27 countries have achieved fiscal convergence, whereas six countries, including Slovakia, Greece, Portugal, Italy, Slovenia, and Bulgaria, present nonconvergence characteristics. It also identifies that the degree of trade openness and economic growth affect the speed of fiscal convergence positively. The results have reference value for the study of the coordinated development of EU fiscal integration.</w:t>
      </w:r>
    </w:p>
    <w:p>
      <w:pPr/>
      <w:r>
        <w:rPr>
          <w:b/>
        </w:rPr>
        <w:t>POSSIBLE 2026:</w:t>
      </w:r>
      <w:r>
        <w:t xml:space="preserve"> Europe’s Fiscal Squeeze — https://doi.org/10.5089/9798229049306.087</w:t>
      </w:r>
    </w:p>
    <w:p>
      <w:pPr/>
      <w:r>
        <w:rPr>
          <w:b/>
        </w:rPr>
        <w:t>Shared claim-specific concepts:</w:t>
      </w:r>
      <w:r>
        <w:t xml:space="preserve"> fiscal, consolidation; EU scope visible. This is a provisional connection, not an outcome finding.</w:t>
      </w:r>
    </w:p>
    <w:p>
      <w:pPr>
        <w:pStyle w:val="SourceNote"/>
      </w:pPr>
      <w:r>
        <w:rPr>
          <w:b/>
        </w:rPr>
        <w:t>Available abstract (not full text):</w:t>
      </w:r>
      <w:r>
        <w:t xml:space="preserve"> European countries face rising spending pressures and higher interest costs that could sharply increase debt and threaten growth if left unaddressed. The paper argues that maintaining fiscal sustainability requires a coordinated strategy combining structural reforms and fiscal consolidation, and in some cases deeper changes to the role of government, as incremental approaches are no longer sufficient</w:t>
      </w:r>
    </w:p>
    <w:p>
      <w:pPr/>
      <w:r>
        <w:rPr>
          <w:b/>
        </w:rPr>
        <w:t>POSSIBLE 2026:</w:t>
      </w:r>
      <w:r>
        <w:t xml:space="preserve"> Natural disasters and fiscal shelters — https://doi.org/10.53479/42825</w:t>
      </w:r>
    </w:p>
    <w:p>
      <w:pPr/>
      <w:r>
        <w:rPr>
          <w:b/>
        </w:rPr>
        <w:t>Shared claim-specific concepts:</w:t>
      </w:r>
      <w:r>
        <w:t xml:space="preserve"> stronger, fiscal, activity; EU scope not established. This is a provisional connection, not an outcome finding.</w:t>
      </w:r>
    </w:p>
    <w:p>
      <w:pPr>
        <w:pStyle w:val="SourceNote"/>
      </w:pPr>
      <w:r>
        <w:rPr>
          <w:b/>
        </w:rPr>
        <w:t>Available abstract (not full text):</w:t>
      </w:r>
      <w:r>
        <w:t xml:space="preserve"> Using a novel dataset on U.S. natural disasters and high-frequency measures of economic activity, we evaluate the effectiveness of federal disaster assistance. Exploiting quasi-random variation in whether aid from the Federal Emergency Management Agency is granted or denied, we compare otherwise similar events. States receiving aid recover within 20 weeks, whereas denied states face deeper and more persistent contractions. Recovery is stronger when aid is timely and generous, and includes direct transfers. Pre-disaster mitigation lowers future disaster frequency and costs, while stronger fiscal capacity enhances resilience by enabling governments to sustain post-disaster recovery.</w:t>
      </w:r>
    </w:p>
    <w:p>
      <w:pPr/>
      <w:r>
        <w:rPr>
          <w:b/>
        </w:rPr>
        <w:t>POSSIBLE 2026:</w:t>
      </w:r>
      <w:r>
        <w:t xml:space="preserve"> The Role of Fiscal Policy in the Management of Nigerian Economy — https://doi.org/10.61090/aksujomas.11312</w:t>
      </w:r>
    </w:p>
    <w:p>
      <w:pPr/>
      <w:r>
        <w:rPr>
          <w:b/>
        </w:rPr>
        <w:t>Shared claim-specific concepts:</w:t>
      </w:r>
      <w:r>
        <w:t xml:space="preserve"> not, fiscal, effect, strong, but; EU scope not established. This is a provisional connection, not an outcome finding.</w:t>
      </w:r>
    </w:p>
    <w:p>
      <w:pPr>
        <w:pStyle w:val="SourceNote"/>
      </w:pPr>
      <w:r>
        <w:rPr>
          <w:b/>
        </w:rPr>
        <w:t>Available abstract (not full text):</w:t>
      </w:r>
      <w:r>
        <w:t xml:space="preserve"> This study critically examined the role of fiscal policy in managing Nigeria’s economy, specifically assessing the impact of government expenditure, taxation, and public debt on Real Gross Domestic Product (RGDP). It employed time series data and the Autoregressive Distributed Lag (ARDL) model, supported by unit root tests and bounds testing to analyze short-run and long-run dynamics. The key findings were clear. Firstly, government spending, especially on areas like roads, schools, and hospitals, had a strong positive effect on economic growth, particularly in the short term. Secondly, taxes were found to have a slight negative effect on growth, but this result was not strong enough to be definitive, suggesting the current tax system may be inefficient. Finally, public debt helped the economy a little in the short run but became harmful to long-term growth if too much debt was accumulated. The study concluded that wise fiscal policy is vital for Nigeria. It recommended that the government should focus on productive spending, reform the tax system to make it more growth-friendly, and be very careful to only borrow for projects that will benefit the economy in the future, ensuring debt remains sustainable.</w:t>
      </w:r>
    </w:p>
    <w:p>
      <w:pPr>
        <w:pStyle w:val="Heading2"/>
      </w:pPr>
      <w:r>
        <w:t>868. Shaping the ‘Energy Union': between national positions and governance innovation in EU energy and climate policy</w:t>
      </w:r>
    </w:p>
    <w:p>
      <w:pPr>
        <w:pStyle w:val="SourceNote"/>
      </w:pPr>
      <w:r>
        <w:rPr>
          <w:b/>
        </w:rPr>
        <w:t>Original source (2016):</w:t>
      </w:r>
      <w:r>
        <w:t xml:space="preserve"> https://doi.org/10.1080/14693062.2015.1135100</w:t>
      </w:r>
    </w:p>
    <w:p>
      <w:pPr/>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POSSIBLE 2026:</w:t>
      </w:r>
      <w:r>
        <w:t xml:space="preserve"> European Media Policy Grounded in Fundamental Rights — https://doi.org/10.1017/9781009568159.005</w:t>
      </w:r>
    </w:p>
    <w:p>
      <w:pPr/>
      <w:r>
        <w:rPr>
          <w:b/>
        </w:rPr>
        <w:t>Shared claim-specific concepts:</w:t>
      </w:r>
      <w:r>
        <w:t xml:space="preserve"> sketch, two, union, provide; EU scope visible. This is a provisional connection, not an outcome finding.</w:t>
      </w:r>
    </w:p>
    <w:p>
      <w:pPr>
        <w:pStyle w:val="SourceNote"/>
      </w:pPr>
      <w:r>
        <w:rPr>
          <w:b/>
        </w:rPr>
        <w:t>Available abstract (not full text):</w:t>
      </w:r>
      <w:r>
        <w:t xml:space="preserve"> This chapter explores the evolving interplay between the Council of Europe (CoE) and the European Union (EU) in safeguarding fundamental rights in the context of media policy. Both organisations have a long history in media policy, and both have extensively adapted their standards to counter recent threats resulting from digitisation and democratic backsliding. In this process the EU has significantly expanded its safeguards for fundamental rights, traditionally the CoE’s main focus. This convergence raises the possibility of conflict but also that of mutual reinforcement. In this chapter we first sketch the history of increasing convergence between EU and CoE media policy and provide an overview of each institution’s recent overlapping activities. We then argue for a closer relationship between the two institutions in the context of fundamental rights in media policy, focusing on the need for consistency between their respective standards, the normative guidance CoE standards can provide to the EU, and the practical implementation of fundamental rights standards EU enforcement can ensure. We close by suggesting ways in which a mutually reinforcing relationship between the two institutions can be operationalised through closer legal and organisational ties.</w:t>
      </w:r>
    </w:p>
    <w:p>
      <w:pPr/>
      <w:r>
        <w:rPr>
          <w:b/>
        </w:rPr>
        <w:t>POSSIBLE 2026:</w:t>
      </w:r>
      <w:r>
        <w:t xml:space="preserve"> Policy Dynamics in the European Union — https://doi.org/10.1017/9781009410274</w:t>
      </w:r>
    </w:p>
    <w:p>
      <w:pPr/>
      <w:r>
        <w:rPr>
          <w:b/>
        </w:rPr>
        <w:t>Shared claim-specific concepts:</w:t>
      </w:r>
      <w:r>
        <w:t xml:space="preserve"> governance, union; EU scope visible. This is a provisional connection, not an outcome finding.</w:t>
      </w:r>
    </w:p>
    <w:p>
      <w:pPr>
        <w:pStyle w:val="SourceNote"/>
      </w:pPr>
      <w:r>
        <w:rPr>
          <w:b/>
        </w:rPr>
        <w:t>Available abstract (not full text):</w:t>
      </w:r>
      <w:r>
        <w:t xml:space="preserve"> In multilevel governance systems, member states work together to address cross-border problems, yet people still lack a clear understanding of how and why their policies differ or converge. Existing research offers many explanations but often treats them separately or overstates the EU's independent influence. This Element brings these perspectives together in a single framework of policy dynamics. It distinguishes policy areas shaped mainly by EU institutions or member states, or by their interaction. It introduces an actor-centered typology of policy dynamics – stable patterns of actors, incentives, and mechanisms that shape policy over time. The Element shows that these dynamics matter only when governments, interest groups, and NGOs have the incentives, capacity, and leverage to build coalitions and pursue goals. The policy dynamics framework helps learners identify likely causal mechanisms and supports clearer comparison, explanation, and teaching of EU policymaking. This title is also available as Open Access on Cambridge Core.</w:t>
      </w:r>
    </w:p>
    <w:p>
      <w:pPr/>
      <w:r>
        <w:rPr>
          <w:b/>
        </w:rPr>
        <w:t>POSSIBLE 2026:</w:t>
      </w:r>
      <w:r>
        <w:t xml:space="preserve"> European Values: Sovereignty in EU Digital Law and Policy — https://doi.org/10.1007/978-981-95-9226-5_3</w:t>
      </w:r>
    </w:p>
    <w:p>
      <w:pPr/>
      <w:r>
        <w:rPr>
          <w:b/>
        </w:rPr>
        <w:t>Shared claim-specific concepts:</w:t>
      </w:r>
      <w:r>
        <w:t xml:space="preserve"> union, reach, beyond; EU scope visible. This is a provisional connection, not an outcome finding.</w:t>
      </w:r>
    </w:p>
    <w:p>
      <w:pPr>
        <w:pStyle w:val="SourceNote"/>
      </w:pPr>
      <w:r>
        <w:rPr>
          <w:b/>
        </w:rPr>
        <w:t>Available abstract (not full text):</w:t>
      </w:r>
      <w:r>
        <w:t xml:space="preserve"> This chapter explores the concept of European digital sovereignty as both a philosophical and historical construct in EU digital law and policy. It contextualises digital sovereignty within a long-standing European tradition, linking it to foundational values such as human dignity, freedom, and democracy outlined in treaties and declarations like the Treaty on European Union or the Declaration on European Digital Rights and Principles. It provides a philosophical overview of sovereignty from classical times, through modern developments post-Westphalia, to contemporary interpretations that move beyond territoriality, acknowledging non-state actors like technology companies and the EU as new “sovereign” forces. Ultimately, the chapter suggests that EU digital sovereignty efforts are a step toward a “digital constitution” aiming to create a legitimate framework for governing digital spaces. However, it remains a work in progress as the EU must address internal critiques, questions of legitimacy, and the global implications of its regulatory reach.</w:t>
      </w:r>
    </w:p>
    <w:p>
      <w:pPr/>
      <w:r>
        <w:rPr>
          <w:b/>
        </w:rPr>
        <w:t>POSSIBLE 2026:</w:t>
      </w:r>
      <w:r>
        <w:t xml:space="preserve"> The politics of borders:How intra-European border policies shape political attitudes in the European Union — https://openalex.org/W7204152672</w:t>
      </w:r>
    </w:p>
    <w:p>
      <w:pPr/>
      <w:r>
        <w:rPr>
          <w:b/>
        </w:rPr>
        <w:t>Shared claim-specific concepts:</w:t>
      </w:r>
      <w:r>
        <w:t xml:space="preserve"> union, reach; EU scope visible. This is a provisional connection, not an outcome finding.</w:t>
      </w:r>
    </w:p>
    <w:p>
      <w:pPr>
        <w:pStyle w:val="SourceNote"/>
      </w:pPr>
      <w:r>
        <w:rPr>
          <w:b/>
        </w:rPr>
        <w:t>Available abstract (not full text):</w:t>
      </w:r>
      <w:r>
        <w:t xml:space="preserve"> When governments close borders, how do they justify this and what happens to the people who live near them? This dissertation investigates how intra-European border policies shape the political attitudes of EU citizens. Although the Schengen Area was built on the promise of free movement, Member States have increasingly reintroduced temporary border controls, as was most visible during the migration crisis and the COVID-19 pandemic. This dissertation asks whether these decisions impact not just travel and trade, but also how citizens relate to their governments and to Europe itself. I argue that border policies reach citizens through both, direct experience and official communication. Those living in border regions feel the consequences in their daily lives through disrupted routines, economic uncertainty, and changed social interactions. Citizens are also exposed to how governments justify these measures, for example as legal obligations, security, or cooperative action. Drawing on original datasets that combine survey data, government communications, and detailed border closure records across Germany, France, and the Netherlands, the findings reveal a mixed picture. Direct exposure produces significant but temporary attitudinal shifts. Government justifications matter less for their specific content than for whether they meet basic standards of accountability. Taken together,</w:t>
      </w:r>
    </w:p>
    <w:p>
      <w:pPr/>
      <w:r>
        <w:rPr>
          <w:b/>
        </w:rPr>
        <w:t>POSSIBLE 2025:</w:t>
      </w:r>
      <w:r>
        <w:t xml:space="preserve"> LMQ-Sketch: Lagom Multi-Query Sketch for High-Rate Online Analytics — https://doi.org/10.4230/lipics.disc.2025.36</w:t>
      </w:r>
    </w:p>
    <w:p>
      <w:pPr/>
      <w:r>
        <w:rPr>
          <w:b/>
        </w:rPr>
        <w:t>Shared claim-specific concepts:</w:t>
      </w:r>
      <w:r>
        <w:t xml:space="preserve"> sketch, two, provide; EU scope not established. This is a provisional connection, not an outcome finding.</w:t>
      </w:r>
    </w:p>
    <w:p>
      <w:pPr>
        <w:pStyle w:val="SourceNote"/>
      </w:pPr>
      <w:r>
        <w:rPr>
          <w:b/>
        </w:rPr>
        <w:t>Available abstract (not full text):</w:t>
      </w:r>
      <w:r>
        <w:t xml:space="preserve"> Data sketches balance resource efficiency with controllable approximations for extracting features in high-volume, high-rate data. Two important points of interest are highlighted separately in recent works; namely, to (1) answer multiple types of queries from a single data structure built in one pass over the data, and (2) perform both queries and updates concurrently. In this work, we now tackle the new challenges arising when combining these useful directions together. We investigate the trade-offs around efficiency, consistency, and accuracy to be balanced and synthesize key ideas into LMQ-Sketch, a single, composite data sketch supporting concurrent updates and multiple queries (frequency point queries, frequency moments F₁, and F₂ as representative selection). Our method "Lagom" is a cornerstone of LMQ-Sketch for low-latency global querying (&lt;100µs), combining freshness, timeliness, and accuracy with a low memory footprint and high throughput (&gt;2B updates/s). We analyze and evaluate the accuracy of Lagom, which builds on a simple geometric argument and efficiently combines work distribution with synchronization for proper concurrency semantics - monotonicity of operations and intermediate value linearizability. Comparing with state-of-the-art methods, which, as mentioned, provide either mixed queries or concurrency separately, LMQ-Sketch shows highly competitive throughpu</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union, provide, climate;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r>
        <w:rPr>
          <w:b/>
        </w:rPr>
        <w:t>POSSIBLE 2025:</w:t>
      </w:r>
      <w:r>
        <w:t xml:space="preserve"> What Factors Are Conducive to Coherence? Translation Activity in Late Medieval Western Europe: A Sketch of a Research Program — https://doi.org/10.38145/2025.2.158</w:t>
      </w:r>
    </w:p>
    <w:p>
      <w:pPr/>
      <w:r>
        <w:rPr>
          <w:b/>
        </w:rPr>
        <w:t>Shared claim-specific concepts:</w:t>
      </w:r>
      <w:r>
        <w:t xml:space="preserve"> sketch, coherence, article; EU scope visible. This is a provisional connection, not an outcome finding.</w:t>
      </w:r>
    </w:p>
    <w:p>
      <w:pPr>
        <w:pStyle w:val="SourceNote"/>
      </w:pPr>
      <w:r>
        <w:rPr>
          <w:b/>
        </w:rPr>
        <w:t>Available abstract (not full text):</w:t>
      </w:r>
      <w:r>
        <w:t xml:space="preserve"> Why is the history of intellectual change in the Middle Ages a history of selectively studied influences about which so few historians have dared venture generalizations? Why is it so rich with contradictions? And why do we have so little comprehensive knowledge about the translators behind these intellectual changes? To answer these questions, this article proposes a novel approach to the history of Greek-Latin translations between 1050 and 1350, which substantially reshaped the Medieval Latin intellectual landscape and the cultural history of Europe. After reviewing the conclusions in the most recent secondary literature, the essay offers a sketch of a historical analysis of translation-centered decision-making processes. In doing so, it singles out four hypotheses and describes four research areas corresponding to these assumptions. The proposed research examines the translators’ personalities and activities, their training, mobility, cultural patronage, networks and their audiences (including universities) that influenced their decisions when they chose to translate texts from Greek into Latin. Such an analysis will help us better understand the expanding cultural networks between the medieval Western and Eastern Mediterranean and the development of translations in Latin-using Western Europe.</w:t>
      </w:r>
    </w:p>
    <w:p>
      <w:pPr/>
      <w:r>
        <w:rPr>
          <w:b/>
        </w:rPr>
        <w:t>POSSIBLE 2024:</w:t>
      </w:r>
      <w:r>
        <w:t xml:space="preserve"> Recent Crises and the Evolution of European Policies. An Introduction — https://doi.org/10.1080/07360932.2024.2431828</w:t>
      </w:r>
    </w:p>
    <w:p>
      <w:pPr/>
      <w:r>
        <w:rPr>
          <w:b/>
        </w:rPr>
        <w:t>Shared claim-specific concepts:</w:t>
      </w:r>
      <w:r>
        <w:t xml:space="preserve"> two, union; EU scope visible. This is a provisional connection, not an outcome finding.</w:t>
      </w:r>
    </w:p>
    <w:p>
      <w:pPr>
        <w:pStyle w:val="SourceNote"/>
      </w:pPr>
      <w:r>
        <w:rPr>
          <w:b/>
        </w:rPr>
        <w:t>Available abstract (not full text):</w:t>
      </w:r>
      <w:r>
        <w:t xml:space="preserve"> This introduction briefly presents the contents of the six contributions that compose the special issue of The Forum for Social Economics titled ‘Recent crises and the evolution of European policies’. We discuss the papers by proposing a reflection on the evolution of the European institutional structure, the assessment of policies that have marked especially the last 15 years characterized by the continuous succession of crises, and the future of Europe. At the end of our argument, we make room for two main reflections: 1) In the face of external shocks affecting European Union, the endogenous stabilization attempts provided for an incomplete institutional system have amplified the instability present in the system itself; 2) the analysis of structural and institutional change is crucial to propose alternative policy perspectives focused on quality of life and to bring them back into the public debate, which seems to be increasingly urgent in Europe.</w:t>
      </w:r>
    </w:p>
    <w:p>
      <w:pPr/>
      <w:r>
        <w:rPr>
          <w:b/>
        </w:rPr>
        <w:t>POSSIBLE 2024:</w:t>
      </w:r>
      <w:r>
        <w:t xml:space="preserve"> Germany's cannabis act: a catalyst for European drug policy reform? — https://doi.org/10.1016/j.lanepe.2024.100929</w:t>
      </w:r>
    </w:p>
    <w:p>
      <w:pPr/>
      <w:r>
        <w:rPr>
          <w:b/>
        </w:rPr>
        <w:t>Shared claim-specific concepts:</w:t>
      </w:r>
      <w:r>
        <w:t xml:space="preserve"> approaches, potential, expected; EU scope visible. This is a provisional connection, not an outcome finding.</w:t>
      </w:r>
    </w:p>
    <w:p>
      <w:pPr>
        <w:pStyle w:val="SourceNote"/>
      </w:pPr>
      <w:r>
        <w:rPr>
          <w:b/>
        </w:rPr>
        <w:t>Available abstract (not full text):</w:t>
      </w:r>
      <w:r>
        <w:t xml:space="preserve"> With the enforcement of the Cannabis Act on 1 April 2024, Germany has adopted one of the most liberal legal approaches to cannabis on the continent. The German model prioritises a non-profit approach and precludes legal market mechanisms. We believe these are the main drivers for increasing cannabis use and related health problems, based on observations following cannabis legalisation in Canada and many states in the U.S. Although legalising cannabis possession and cultivation may not immediately eliminate the illegal market, it is expected to serve public health goals. Despite the overall positive evaluation of the Cannabis Act in Germany, there are three potential areas of concern: the potential for misuse of the medical system, the normalization of cannabis use, and the influence of the cannabis industry. The German model may herald the beginning of a new generation of European cannabis policies, but concerted efforts will be required to ensure that these policy reforms serve rather than undermine public health goals.</w:t>
      </w:r>
    </w:p>
    <w:p>
      <w:pPr/>
      <w:r>
        <w:rPr>
          <w:b/>
        </w:rPr>
        <w:t>POSSIBLE 2024:</w:t>
      </w:r>
      <w:r>
        <w:t xml:space="preserve"> On disease and healing: a theoretical sketch — https://doi.org/10.3389/fams.2024.1468556</w:t>
      </w:r>
    </w:p>
    <w:p>
      <w:pPr/>
      <w:r>
        <w:rPr>
          <w:b/>
        </w:rPr>
        <w:t>Shared claim-specific concepts:</w:t>
      </w:r>
      <w:r>
        <w:t xml:space="preserve"> sketch, possible, mechanism, provide; EU scope not established. This is a provisional connection, not an outcome finding.</w:t>
      </w:r>
    </w:p>
    <w:p>
      <w:pPr>
        <w:pStyle w:val="SourceNote"/>
      </w:pPr>
      <w:r>
        <w:rPr>
          <w:b/>
        </w:rPr>
        <w:t>Available abstract (not full text):</w:t>
      </w:r>
      <w:r>
        <w:t xml:space="preserve"> The onset and progression of a neurological disease can often be explained in terms of brain-network alteration. They can be formalized as the action of an operator representing the disease, the so-called K -operator, acting on the network. The healing process can thus be seen as the inverse of the disease mechanism. However, perfect healing is often impossible to achieve. Here, we formalize the ideal healing in terms of perturbative variation of the possible partial healing. The modeling and analytical strategy is based on techniques from theoretical physics, with the language of matrix operators. In addition, using the language of category theory, we also formalize the progressive abstraction from the reality of diseased patients to the definition of a disease and the comparison between different diseases as a natural transformation between colimits. This theoretical presentation can provide a new, interdisciplinary perspective on neurological investigation and possibly foster new theoretical-experimental developments.</w:t>
      </w:r>
    </w:p>
    <w:p>
      <w:pPr/>
      <w:r>
        <w:rPr>
          <w:b/>
        </w:rPr>
        <w:t>POSSIBLE 2024:</w:t>
      </w:r>
      <w:r>
        <w:t xml:space="preserve"> Sketching on Paper and Tape — https://doi.org/10.14361/9783839474297-004</w:t>
      </w:r>
    </w:p>
    <w:p>
      <w:pPr/>
      <w:r>
        <w:rPr>
          <w:b/>
        </w:rPr>
        <w:t>Shared claim-specific concepts:</w:t>
      </w:r>
      <w:r>
        <w:t xml:space="preserve"> possible, provide, article; EU scope not established. This is a provisional connection, not an outcome finding.</w:t>
      </w:r>
    </w:p>
    <w:p>
      <w:pPr>
        <w:pStyle w:val="SourceNote"/>
      </w:pPr>
      <w:r>
        <w:rPr>
          <w:b/>
        </w:rPr>
        <w:t>Available abstract (not full text):</w:t>
      </w:r>
      <w:r>
        <w:t xml:space="preserve"> The first issue of the American magazine Tape &amp; Film Recording addressed a wide-ranging readership covering both "home" and "professional" sound recording (Mooney 1953).It portrayed the heterogeneous use of tape records in industry and leisure-time activities in 1953.Recording sounds and voices in home, office, plant, school or church served to preserve family memories of children's voices or wedding ceremonies, provide party entertainment, overseas exchanges in "tape clubs" and the documentation of meeting notes in offices.They were also used in highly professional music productions.At the time, different production lines of tape machines -portable or installed, luxurious or functional, with new push buttons, microphones, cords and reelsalready catered to the different needs of various individuals using tapes professionally or privately.The size and weight of the portable tape recorders allowed the user to record any kind of sound anywhere.In contrast to the established disc records, the medium of the tape not only simplified recording and playback, but it also made sound manipulation possible during and after the recording process itself by means of cutting, splicing and the use of loops, overdubbing and reverberation.A great variety of practices can also be found in the early artistic use of the tape machine, and it is documented in some of the preserved collections of tape </w:t>
      </w:r>
    </w:p>
    <w:p>
      <w:pPr/>
      <w:r>
        <w:rPr>
          <w:b/>
        </w:rPr>
        <w:t>POSSIBLE 2024:</w:t>
      </w:r>
      <w:r>
        <w:t xml:space="preserve"> Symbol Detection in Mechanical Engineering Sketches: Experimental Study on Principle Sketches with Synthetic Data Generation and Deep Learning — https://doi.org/10.3390/app14146106</w:t>
      </w:r>
    </w:p>
    <w:p>
      <w:pPr/>
      <w:r>
        <w:rPr>
          <w:b/>
        </w:rPr>
        <w:t>Shared claim-specific concepts:</w:t>
      </w:r>
      <w:r>
        <w:t xml:space="preserve"> two, approaches, potential; EU scope not established. This is a provisional connection, not an outcome finding.</w:t>
      </w:r>
    </w:p>
    <w:p>
      <w:pPr>
        <w:pStyle w:val="SourceNote"/>
      </w:pPr>
      <w:r>
        <w:rPr>
          <w:b/>
        </w:rPr>
        <w:t>Available abstract (not full text):</w:t>
      </w:r>
      <w:r>
        <w:t xml:space="preserve"> Digital transformation is omnipresent in our daily lives and its impact is noticeable through new technologies, like smart devices, AI-Chatbots or the changing work environment. This digitalization also takes place in product development, with the integration of many technologies, such as Industry 4.0, digital twins or data-driven methods, to improve the quality of new products and to save time and costs during the development process. Therefore, the use of data-driven methods reusing existing data has great potential. However, data from product design are very diverse and strongly depend on the respective development phase. One of the first few product representations are sketches and drawings, which represent the product in a simplified and condensed way. But, to reuse the data, the existing sketches must be found with an automated approach, allowing the contained information to be utilized. One approach to solve this problem is presented in this paper, with the detection of principle sketches in the early phase of the development process. The aim is to recognize the symbols in these sketches automatically with object detection models. Therefore, existing approaches were analyzed and a new procedure developed, which uses synthetic training data generation. In the next step, a total of six different data generation types were analyzed and tested using six different one- and tw</w:t>
      </w:r>
    </w:p>
    <w:p>
      <w:pPr>
        <w:pStyle w:val="Heading2"/>
      </w:pPr>
      <w:r>
        <w:t>869. Situational analysis of EU renewable energy legislation</w:t>
      </w:r>
    </w:p>
    <w:p>
      <w:pPr>
        <w:pStyle w:val="SourceNote"/>
      </w:pPr>
      <w:r>
        <w:rPr>
          <w:b/>
        </w:rPr>
        <w:t>Original source (2016):</w:t>
      </w:r>
      <w:r>
        <w:t xml:space="preserve"> https://doi.org/10.1080/14693062.2015.1135412</w:t>
      </w:r>
    </w:p>
    <w:p>
      <w:pPr/>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POSSIBLE 2026:</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r>
        <w:rPr>
          <w:b/>
        </w:rPr>
        <w:t>Shared claim-specific concepts:</w:t>
      </w:r>
      <w:r>
        <w:t xml:space="preserve"> next, identify, agreed; EU scope visible. This is a provisional connection, not an outcome finding.</w:t>
      </w:r>
    </w:p>
    <w:p>
      <w:pPr>
        <w:pStyle w:val="SourceNote"/>
      </w:pPr>
      <w:r>
        <w:rPr>
          <w:b/>
        </w:rPr>
        <w:t>Available abstract (not full text):</w:t>
      </w:r>
      <w:r>
        <w:t xml:space="preserve"> This qualitative comparative legal analysis examines the regional differences of the right to seek asylum in Europe and Africa. As both regions struggle to cope with the surrounding issues of migration flows and the Mediterranean Sea as a frequently chosen route for African asylum seekers to Europe, the aim of this thesis is to compare how the two regions legally regulate the right to asylum. The reason for this comparison is particularly Europe's recent reform of its Common European Asylum System (CEAS), which was agreed on after eight years of discussions in order to restructure the responsibilities of its member states and their asylum procedures. The thesis utilises various methods and comparative theories in order to obtain the qualitative differences. First, laws, literature and cases concerning the right to asylum in the respective region were collected and studied. Next, the selected data acquired from the studies was systematically reviewed and evaluated to identify whether a right, an obligation, a procedure or else exist. Thirdly, the findings were compared by using comparative methods, such as functional, law-in-context and historical legal theories. The identified differences are mainly that the new CEAS is more detailed than the African asylum system. The new CEAS includes, for example, a new solidarity mechanism among member states, reception conditions and asylu</w:t>
      </w:r>
    </w:p>
    <w:p>
      <w:pPr/>
      <w:r>
        <w:rPr>
          <w:b/>
        </w:rPr>
        <w:t>POSSIBLE 2026:</w:t>
      </w:r>
      <w:r>
        <w:t xml:space="preserve"> Governing asylum seekers : logistics, differentiation, and failure in the European Union’s reception regime — https://doi.org/10.82444/warw.33757732</w:t>
      </w:r>
    </w:p>
    <w:p>
      <w:pPr/>
      <w:r>
        <w:rPr>
          <w:b/>
        </w:rPr>
        <w:t>Shared claim-specific concepts:</w:t>
      </w:r>
      <w:r>
        <w:t xml:space="preserve"> identify, resulting, government; EU scope visible. This is a provisional connection, not an outcome finding.</w:t>
      </w:r>
    </w:p>
    <w:p>
      <w:pPr>
        <w:pStyle w:val="SourceNote"/>
      </w:pPr>
      <w:r>
        <w:rPr>
          <w:b/>
        </w:rPr>
        <w:t>Available abstract (not full text):</w:t>
      </w:r>
      <w:r>
        <w:t xml:space="preserve"> This thesis investigates the complex and heterogeneous regime of government resulting from the failure of the EU attempts to govern asylum seekers through the Dublin system and the harmonisation of reception conditions. Combining the analytical perspective of governmentality with a regime analysis which resembles those proposed by critical migration studies, the thesis aims to identify features and functioning of a possible EU government of asylum seekers, which is defined as EU reception regime. Through a rich empirical study primarily based on semi-structured interviews with a range of different actors in several contexts in Italy and Sweden, three key modes of operation of the regime are identified, which are: logistics, differentiation, and failure. Logistics denotes an increasing importance of operational and organisational concerns in the reception of asylum seekers, which pave the way to the commodification of reception and transform the regime into a reception industry. Differentiation concerns a mode of governing asylum seekers based on the arbitrary multiplication of treatments, conditions, and experiences, across as well as within states, which therefore makes the regime work as a reception roulette. Finally, failure is a key aspect of the regime which is both intrinsic to its functioning and productive, thus making the regime operate as a reception dispositif. In pa</w:t>
      </w:r>
    </w:p>
    <w:p>
      <w:pPr/>
      <w:r>
        <w:rPr>
          <w:b/>
        </w:rPr>
        <w:t>POSSIBLE 2026:</w:t>
      </w:r>
      <w:r>
        <w:t xml:space="preserve"> Dancer in the Dark: Where Next for the European Union as a Global Film Enabler? — https://doi.org/10.1007/978-3-032-25320-0_11</w:t>
      </w:r>
    </w:p>
    <w:p>
      <w:pPr/>
      <w:r>
        <w:rPr>
          <w:b/>
        </w:rPr>
        <w:t>Shared claim-specific concepts:</w:t>
      </w:r>
      <w:r>
        <w:t xml:space="preserve"> next, internal, external; EU scope visible. This is a provisional connection, not an outcome finding.</w:t>
      </w:r>
    </w:p>
    <w:p>
      <w:pPr>
        <w:pStyle w:val="SourceNote"/>
      </w:pPr>
      <w:r>
        <w:rPr>
          <w:b/>
        </w:rPr>
        <w:t>Available abstract (not full text):</w:t>
      </w:r>
      <w:r>
        <w:t xml:space="preserve"> The film industry occupies a distinctive position at the intersection of economic, political, and cultural dynamics, making it a strategic sector within the European Union’s broader objective of integration. The European Film Industry has developed as a political project combining cultural and economic objectives and reflecting the EU’s ambition to exercise influence as a regulatory, industrial, and cultural power. This project encompasses both internal and external dimensions, guiding the development of the film industry across Europe while also informing the EU’s engagement with global audiovisual markets. Today, however, these ambitions are increasingly challenged by the accelerating process of platformisation and the growing power of global streaming services, which are reshaping production, distribution, and visibility in the industry. Understanding how these transformations affect the EU’s capacity to sustain this project lies at the core of this book’s purpose. In this context, the book pursued two main objectives:</w:t>
      </w:r>
    </w:p>
    <w:p>
      <w:pPr/>
      <w:r>
        <w:rPr>
          <w:b/>
        </w:rPr>
        <w:t>POSSIBLE 2025:</w:t>
      </w:r>
      <w:r>
        <w:t xml:space="preserve"> Scenario-Building Papers for Europe 2030 - INTERNAL AND EXTERNAL DYNAMICS OF EUROPEAN INTEGRATION (DEBUE). — https://doi.org/10.5281/zenodo.17566447</w:t>
      </w:r>
    </w:p>
    <w:p>
      <w:pPr/>
      <w:r>
        <w:rPr>
          <w:b/>
        </w:rPr>
        <w:t>Shared claim-specific concepts:</w:t>
      </w:r>
      <w:r>
        <w:t xml:space="preserve"> next, seeks, between, internal, external, threats; EU scope visible. This is a provisional connection, not an outcome finding.</w:t>
      </w:r>
    </w:p>
    <w:p>
      <w:pPr>
        <w:pStyle w:val="SourceNote"/>
      </w:pPr>
      <w:r>
        <w:rPr>
          <w:b/>
        </w:rPr>
        <w:t>Available abstract (not full text):</w:t>
      </w:r>
      <w:r>
        <w:t xml:space="preserve"> This report presents papers from scenario-building exercises carried out in the context of the Jean Monnet DEBUE module. Beginning with a brief overview of scenario-building methodologies some of the most insightful student papers based on the ‘best’, ‘worst’ and ‘wildcard’ future scenarios for the European Union (EU) in 2030 are presented. Student-written scenario papers represent creative outputs from the DEBUE Jean Monnet Module. Scenario-building is central to DEBUE’s high-impact pedagogy which seeks to move learning away from the classroom towards real-world foresight when it comes to EU studies. Using the Turning Point and Matrix methods described above, students were encouraged to think strategically about how Europe might evolve by 2030, by identifying key variables, shocks, trends and policy choices that could potentially drive and shape Europe and its role in the world over the next decade. The scenarios presented below suggest that students approach the European project with a mixture of critical optimism and realism in that they recognise the Union’s fragility and limitations but also its transformative potential and power of attraction. Across the best-case, worst-case and wild-card scenarios, a coherent picture emerges of what matters most. Democracy, equality, climate security and solidarity are consistently seen as the cornerstones of Europe’s future. Conversely</w:t>
      </w:r>
    </w:p>
    <w:p>
      <w:pPr/>
      <w:r>
        <w:rPr>
          <w:b/>
        </w:rPr>
        <w:t>POSSIBLE 2025:</w:t>
      </w:r>
      <w:r>
        <w:t xml:space="preserve"> The Journey Beyond Reception: Asylum Seekers’ Internal Migration Trajectories in Belgium — https://doi.org/10.1002/psp.70062</w:t>
      </w:r>
    </w:p>
    <w:p>
      <w:pPr/>
      <w:r>
        <w:rPr>
          <w:b/>
        </w:rPr>
        <w:t>Shared claim-specific concepts:</w:t>
      </w:r>
      <w:r>
        <w:t xml:space="preserve"> between, internal; EU scope visible. This is a provisional connection, not an outcome finding.</w:t>
      </w:r>
    </w:p>
    <w:p>
      <w:pPr>
        <w:pStyle w:val="SourceNote"/>
      </w:pPr>
      <w:r>
        <w:rPr>
          <w:b/>
        </w:rPr>
        <w:t>Available abstract (not full text):</w:t>
      </w:r>
      <w:r>
        <w:t xml:space="preserve"> ABSTRACT Research on internal migrations of asylum seekers has focused on contexts of stringent dispersal policies and has highlighted that such policies are often not in line with the subsequent settlement of refugees. However, few studies adopt a quantitative and longitudinal approach to the matter in contexts of less stringent dispersal policies. We examine the internal migrations of asylum seekers and the role of the Belgian reception system. Drawing on National Register data, we use sequence analysis to describe the internal migration trajectories of asylum‐seeking migrants who arrived between 2012 and 2016. To assess the extent to which the place of reception allocated determines their subsequent moves, we compare them with migrants having similar sociodemographic profiles but who did not apply for asylum. Results show that asylum seekers are initially more dispersed across Belgium's territory compared to non‐asylum seekers and are overrepresented in rural areas and Wallonia. Their residential patterns later converge to those of non‐asylum seekers, with a concentration in urban Flanders and Brussels. Nonetheless, we find evidence that being assigned to a rural reception place at arrival slightly increases the chances of staying in rural municipalities. Additionally, being allocated to a reception place in one region significantly reduces the chances of moving to the oppos</w:t>
      </w:r>
    </w:p>
    <w:p>
      <w:pPr/>
      <w:r>
        <w:rPr>
          <w:b/>
        </w:rPr>
        <w:t>POSSIBLE 2025:</w:t>
      </w:r>
      <w:r>
        <w:t xml:space="preserve"> From strategy to doctrine: the next steps for European economic security — https://doi.org/10.64153/nmid5539</w:t>
      </w:r>
    </w:p>
    <w:p>
      <w:pPr/>
      <w:r>
        <w:rPr>
          <w:b/>
        </w:rPr>
        <w:t>Shared claim-specific concepts:</w:t>
      </w:r>
      <w:r>
        <w:t xml:space="preserve"> next, relationships, threats, state; EU scope visible. This is a provisional connection, not an outcome finding.</w:t>
      </w:r>
    </w:p>
    <w:p>
      <w:pPr>
        <w:pStyle w:val="SourceNote"/>
      </w:pPr>
      <w:r>
        <w:rPr>
          <w:b/>
        </w:rPr>
        <w:t>Available abstract (not full text):</w:t>
      </w:r>
      <w:r>
        <w:t xml:space="preserve"> The European Union’s economic security strategy was initially developed at a time of close transatlantic cooperation and focused largely on risks linked to Chinese dominance of certain parts of global manufacturing. However, given the diminished commitment of the United States to its traditional alliances and to multilateral rules, EU economic-security planning now also needs to take into account the risk of US coercive action. The EU must combine a medium-term strategy to reduce dependencies on both China and the US in critical areas with the capacity to react in the short term to threats of coercion. This requires supply chain chokepoints to be identified. There should also be a political discussion with EU countries on the circumstances in which the EU Anti-Coercion Instrument should be deployed, and the appropriate measures to respond to coercion. The EU’s various tools for responding to urgent threats to its economic security need to be adapted to the new geopolitical context. The EU should prioritise support for research and development in relation to critical technologies and should ensure a more targeted and effective approach to state aid. It should avoid ‘buy Europe’ policies that contradict its international commitments and limit the scope for partnering with third countries. On traditional economic-statecraft tools, screening of foreign investment needs to be transf</w:t>
      </w:r>
    </w:p>
    <w:p>
      <w:pPr/>
      <w:r>
        <w:rPr>
          <w:b/>
        </w:rPr>
        <w:t>POSSIBLE 2025:</w:t>
      </w:r>
      <w:r>
        <w:t xml:space="preserve"> The European Health Data Space: The Next Step in Data Regulation — https://doi.org/10.5771/9783748943990-425</w:t>
      </w:r>
    </w:p>
    <w:p>
      <w:pPr/>
      <w:r>
        <w:rPr>
          <w:b/>
        </w:rPr>
        <w:t>Shared claim-specific concepts:</w:t>
      </w:r>
      <w:r>
        <w:t xml:space="preserve"> next, resulting, state; EU scope visible. This is a provisional connection, not an outcome finding.</w:t>
      </w:r>
    </w:p>
    <w:p>
      <w:pPr>
        <w:pStyle w:val="SourceNote"/>
      </w:pPr>
      <w:r>
        <w:rPr>
          <w:b/>
        </w:rPr>
        <w:t>Available abstract (not full text):</w:t>
      </w:r>
      <w:r>
        <w:t xml:space="preserve"> The European Health Data Space (Regulation (EU) 2025/327, EHDS) is an ambitious regulatory project concerning the accessibility of health data.The rules established through this initiative can play a crucial role in addressing the currently fragmented state of digitalisation in healthcare across Member States.Major changes occur in the area of primary use of health data.By granting individuals more autonomy over their electronic health records, the EHDS ensures that patients can access, add, rectify and manage their health records more easily.This also provides healthcare professionals with a greater understanding of a patient's medical history, thus improving treatment quality, especially in cross-border scenarios.Furthermore, the EHDS creates a novel framework for the secondary use of health data, mainly for research, innovation and policymaking.It does so by stipulating specific cases of secondary use for which different categories of data can be accessed.If all criteria are fulfilled, a data permit will be issued.The EHDS establishes a set of rules and guidelines for such application processes.However, the implementation of the EHDS raises complex questions, particularly regarding its relationship with the General Data Protection Regulation and the resulting legal conflicts.Additionally, the risk of national fragmentation in interpretation and application of the EHDS could </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between, internal, state;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The EU Internal Market in the Next Decade – Quo Vadis? — https://doi.org/10.1163/9789004712119</w:t>
      </w:r>
    </w:p>
    <w:p>
      <w:pPr/>
      <w:r>
        <w:rPr>
          <w:b/>
        </w:rPr>
        <w:t>Shared claim-specific concepts:</w:t>
      </w:r>
      <w:r>
        <w:t xml:space="preserve"> next, between, internal; EU scope visible. This is a provisional connection, not an outcome finding.</w:t>
      </w:r>
    </w:p>
    <w:p>
      <w:pPr>
        <w:pStyle w:val="SourceNote"/>
      </w:pPr>
      <w:r>
        <w:rPr>
          <w:b/>
        </w:rPr>
        <w:t>Available abstract (not full text):</w:t>
      </w:r>
      <w:r>
        <w:t xml:space="preserve"> In this chapter, the author explores the role which translation of legal texts plays as a tool of harmonisation and the techniques involved in securing uniformity between texts, which uniformity is vital to ensure legal certainty.</w:t>
      </w:r>
    </w:p>
    <w:p>
      <w:pPr/>
      <w:r>
        <w:rPr>
          <w:b/>
        </w:rPr>
        <w:t>POSSIBLE 2024:</w:t>
      </w:r>
      <w:r>
        <w:t xml:space="preserve"> Climate Policy Priorities for the Next European Commission — https://openalex.org/W4392885355</w:t>
      </w:r>
    </w:p>
    <w:p>
      <w:pPr/>
      <w:r>
        <w:rPr>
          <w:b/>
        </w:rPr>
        <w:t>Shared claim-specific concepts:</w:t>
      </w:r>
      <w:r>
        <w:t xml:space="preserve"> next, external, increase;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European electricity market reform: an assessment &amp; next steps — https://doi.org/10.56269/20240115/pl</w:t>
      </w:r>
    </w:p>
    <w:p>
      <w:pPr/>
      <w:r>
        <w:rPr>
          <w:b/>
        </w:rPr>
        <w:t>Shared claim-specific concepts:</w:t>
      </w:r>
      <w:r>
        <w:t xml:space="preserve"> next; EU scope visible. This is a provisional connection, not an outcome finding.</w:t>
      </w:r>
    </w:p>
    <w:p>
      <w:pPr>
        <w:pStyle w:val="SourceNote"/>
      </w:pPr>
      <w:r>
        <w:rPr>
          <w:b/>
        </w:rPr>
        <w:t>Available abstract (not full text):</w:t>
      </w:r>
      <w:r>
        <w:t xml:space="preserve"> The motivation behind the reform of the European electricity markets is therefore to create new incentives for the construction of generation capacity that will enable a more decisive move towards decarbonisation, while providing greater flexibility (both in terms of supply and demand) that can lead to greater price stability. However, although these goals are shared by all countries, the path towards them is not uniform at the outset due to the different energy and consumption mixes (industry and households). As a result, the outcome is far from the same and, in its current form,the reform of the European electricity market falls short in several important aspects. However, this reform should be seen as a first step, a process of reflection that creates the basis for further development. The ultimate goal should be the creation of a harmonised and long-term focused European electricity market.</w:t>
      </w:r>
    </w:p>
    <w:p>
      <w:pPr/>
      <w:r>
        <w:rPr>
          <w:b/>
        </w:rPr>
        <w:t>POSSIBLE 2024:</w:t>
      </w:r>
      <w:r>
        <w:t xml:space="preserve"> Green Investment Challenges in European Firms: Internal vs. External Resources — https://doi.org/10.3390/su16020496</w:t>
      </w:r>
    </w:p>
    <w:p>
      <w:pPr/>
      <w:r>
        <w:rPr>
          <w:b/>
        </w:rPr>
        <w:t>Shared claim-specific concepts:</w:t>
      </w:r>
      <w:r>
        <w:t xml:space="preserve"> between, internal, external, opportunities, increase; EU scope visible. This is a provisional connection, not an outcome finding.</w:t>
      </w:r>
    </w:p>
    <w:p>
      <w:pPr>
        <w:pStyle w:val="SourceNote"/>
      </w:pPr>
      <w:r>
        <w:rPr>
          <w:b/>
        </w:rPr>
        <w:t>Available abstract (not full text):</w:t>
      </w:r>
      <w:r>
        <w:t xml:space="preserve"> This paper examines the impact of internal and external resources on the adoption of eco-efficiency actions by European firms. The empirical analysis is based on an ordered logit model on data from the fifth wave of the Flash Eurobarometer survey (2021) for a sample of 9158 firms. We obtain three main results. First, we show that internal and external financial resources are positively correlated with firm eco-innovations, but the association with the former is stronger. Second, we observe a high degree of complementarity between public and private funds. Finally, besides financial resources, both in-house technical expertise and external non-financial assistance seem to play an important role for the implementation of eco-efficiency actions at the firm level. These findings have some relevant policy implications. European policy-makers should increase opportunities for public co-financing, while providing support to firms for developing the necessary competencies to enable green investments.</w:t>
      </w:r>
    </w:p>
    <w:p>
      <w:pPr>
        <w:pStyle w:val="Heading2"/>
      </w:pPr>
      <w:r>
        <w:t>870. Society in need of transformation. Citizen-Foresight as a method to co-create urban future</w:t>
      </w:r>
    </w:p>
    <w:p>
      <w:pPr>
        <w:pStyle w:val="SourceNote"/>
      </w:pPr>
      <w:r>
        <w:rPr>
          <w:b/>
        </w:rPr>
        <w:t>Original source (2016):</w:t>
      </w:r>
      <w:r>
        <w:t xml:space="preserve"> https://doi.org/10.14746/fped.2016.5.2.21</w:t>
      </w:r>
    </w:p>
    <w:p>
      <w:pPr/>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pPr/>
      <w:r>
        <w:rPr>
          <w:b/>
        </w:rPr>
        <w:t>POSSIBLE 2026:</w:t>
      </w:r>
      <w:r>
        <w:t xml:space="preserve"> Work as a Third Pathway to New Longevity — https://doi.org/10.12660/gvexec.v25n1.2026.98714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pPr/>
      <w:r>
        <w:rPr>
          <w:b/>
        </w:rPr>
        <w:t>POSSIBLE 2026:</w:t>
      </w:r>
      <w:r>
        <w:t xml:space="preserve"> Unmasking the spatial-temporal characteristics of knowledge workers’ third-place remote work — https://doi.org/10.1177/27541231261444208</w:t>
      </w:r>
    </w:p>
    <w:p>
      <w:pPr/>
      <w:r>
        <w:rPr>
          <w:b/>
        </w:rPr>
        <w:t>Shared claim-specific concepts:</w:t>
      </w:r>
      <w:r>
        <w:t xml:space="preserve"> third, show, work, methods; EU scope not established. This is a provisional connection, not an outcome finding.</w:t>
      </w:r>
    </w:p>
    <w:p>
      <w:pPr>
        <w:pStyle w:val="SourceNote"/>
      </w:pPr>
      <w:r>
        <w:rPr>
          <w:b/>
        </w:rPr>
        <w:t>Available abstract (not full text):</w:t>
      </w:r>
      <w:r>
        <w:t xml:space="preserve">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pPr/>
      <w:r>
        <w:rPr>
          <w:b/>
        </w:rPr>
        <w:t>POSSIBLE 2026:</w:t>
      </w:r>
      <w:r>
        <w:t xml:space="preserve"> From non-places to third places. The potential of railway stations for mobile work — https://openalex.org/W7221284877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Purpose: Advances in mobile tech and optimising commuting time now allow work across various locations, including transient 'non-places".Yet, workplace research often ignores the experiences and needs in these environments.This paper explores mobile workers' needs and whether temporary workplaces in railway premises can meet these needs. Research Goal(s):This study aims to identify the needs of mobile workers and to understand whether these needs could fit temporary workplaces within underutilised railway premises. Theoretical Background:The literature on non-places and third places provides a theoretical basis for conceptualising underutilised railway stations as places of work.Design/Methodology: The paper adopts a multi-step methodology.First, a survey was administered to a sample of Italian mobile workers to collect their needs and habits while on the move, including a willingness-to-pay inquiry.Second, seven case studies of temporary workplaces, both within and outside railway stations, are examined to identify alternative spatial models of productive environments.Findings: Findings show that most users spend short periods there, mainly making phone calls, and would value quiet, safe, and equipped workspaces.Many are willing to pay for such amenities, suggesting a missed opportunity in stations compared to other contexts.The case study analysis shows that existing temporar</w:t>
      </w:r>
    </w:p>
    <w:p>
      <w:pPr/>
      <w:r>
        <w:rPr>
          <w:b/>
        </w:rPr>
        <w:t>POSSIBLE 2026:</w:t>
      </w:r>
      <w:r>
        <w:t xml:space="preserve"> Work and Leisure Oriented Time Use Pattern among Male, Female and Third Gender — https://doi.org/10.1007/s41027-026-00631-2</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One of the long-standing social issues extending to everyday activity is gender-based inequality. An appropriate method to study gender inequality would be to observe how different genders spend their time on various activities. The core purpose of the study is to check whether there is a significant difference in how different genders allocate their time to various activities. Another purpose of the study is to emphasise the time spent on work and leisure by different genders and to identify factors that impact an individual’s work–life balance. The study used the unit-level data from National Sample Survey Organisation's (NSSO) first Time Use Survey 2019. The study sample is restricted to a population aged 15 years and above, comprising 382,228 persons: 192,266 males, 189,854 females and 108 of the third gender. Work-oriented and leisure-oriented time allocation has been defined as the population above one standard deviation of the mean time spent on the activities. Stratified logistic regressions based on gender have been used to understand the influence of factors on work and leisure time allocation. Results show that males spent substantially more time on employment and related activities, while females spent substantially more time on unpaid domestic and caregiving services. Consuming meals constitutes the second most time-intensive activity for males and the third gender</w:t>
      </w:r>
    </w:p>
    <w:p>
      <w:pPr/>
      <w:r>
        <w:rPr>
          <w:b/>
        </w:rPr>
        <w:t>POSSIBLE 2026:</w:t>
      </w:r>
      <w:r>
        <w:t xml:space="preserve"> Activity profiles and their correlates in patients with localised renal and colorectal cancer shortly after treatment: a cross-sectional analysis — https://doi.org/10.1007/s11764-026-02106-1</w:t>
      </w:r>
    </w:p>
    <w:p>
      <w:pPr/>
      <w:r>
        <w:rPr>
          <w:b/>
        </w:rPr>
        <w:t>Shared claim-specific concepts:</w:t>
      </w:r>
      <w:r>
        <w:t xml:space="preserve"> shortly, methods, behaviour; EU scope not established. This is a provisional connection, not an outcome finding.</w:t>
      </w:r>
    </w:p>
    <w:p>
      <w:pPr>
        <w:pStyle w:val="SourceNote"/>
      </w:pPr>
      <w:r>
        <w:rPr>
          <w:b/>
        </w:rPr>
        <w:t>Available abstract (not full text):</w:t>
      </w:r>
      <w:r>
        <w:t xml:space="preserve"> Abstract Purpose The purpose of this study is to identify activity profiles and their correlates in patients with localised renal cell carcinoma (RCC) and colorectal cancer (CRC) shortly after treatment completion. Methods In the ReLife ( n = 326 patients with RCC) and EnCoRe ( n = 358 patients with CRC) studies, we measured physical activity and sedentary behaviour at 3 months and 6 weeks after treatment completion using accelerometers. We used latent profile analyses to determine activity profiles. Demographic, lifestyle-related, and clinical correlates were investigated with multinomial regression analyses. Results We identified three activity profiles for both populations: a most sedentary (RCC:28%, CRC:16%), an average (RCC:50%, CRC:53%), and a highly active profile (RCC:22%, CRC:31%). In the most sedentary profile, mean sedentary time was 11.9 h/day for RCC and 13.1 h/day for CRC, while mean physical activity was 72 min/day and 44 min/day, respectively. Correlates of the most sedentary profile were male sex (RCC: odds ratio (OR), 2.18; 95% confidence interval [95%CI], 1.06–4.47), and higher fatigue scores (per 1 point: RCC, 0.98 [0.96–1.00]; CRC, 0.98 [0.96–0.99]). Correlates of the highly active profile were male sex (CRC, 0.38 [0.20–0.71]), higher educational level (RCC, 0.31 [0.14–0.72]; CRC, 0.46 [0.22–0.96]), and higher BMI (per 1 kg/m 2 : RCC, 0.91 [0.84–0.99]; CRC,</w:t>
      </w:r>
    </w:p>
    <w:p>
      <w:pPr/>
      <w:r>
        <w:rPr>
          <w:b/>
        </w:rPr>
        <w:t>POSSIBLE 2026:</w:t>
      </w:r>
      <w:r>
        <w:t xml:space="preserve"> The Third Temple of Panjakent — https://doi.org/10.1163/31173802-20250105</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Abstract The paper is a first summary of the excavations of the third, minor temple in the Sogdian city of Panjakent which is located in the area XI-East to the north of the large temples i and ii . The excavations are ongoing since 2015. Here, I would like to (1) give a short history of research on the site; (2) describe the architecture of the excavated parts of it as it looked in the first half of the eighth century; (3) present the fragmented mural paintings and individual finds discovered so far; (4) scrutinize the stratigraphy of the area, its coins and pottery to show that the third temple was functioning until 740 and thus outlived the main temples of the city, although it was erected not later than the sixth century and (5) position this temple among other religious structures of Sogdiana and (6) in the history of Panjakent. Needless to say, many assumptions of this interim paper will be rejected or confirmed by future work on the site.</w:t>
      </w:r>
    </w:p>
    <w:p>
      <w:pPr/>
      <w:r>
        <w:rPr>
          <w:b/>
        </w:rPr>
        <w:t>POSSIBLE 2026:</w:t>
      </w:r>
      <w:r>
        <w:t xml:space="preserve"> The Third Path: The Fiction of Sytze Backer — https://doi.org/10.5281/zenodo.19139896</w:t>
      </w:r>
    </w:p>
    <w:p>
      <w:pPr/>
      <w:r>
        <w:rPr>
          <w:b/>
        </w:rPr>
        <w:t>Shared claim-specific concepts:</w:t>
      </w:r>
      <w:r>
        <w:t xml:space="preserve"> third, work, two; EU scope not established. This is a provisional connection, not an outcome finding.</w:t>
      </w:r>
    </w:p>
    <w:p>
      <w:pPr>
        <w:pStyle w:val="SourceNote"/>
      </w:pPr>
      <w:r>
        <w:rPr>
          <w:b/>
        </w:rPr>
        <w:t>Available abstract (not full text):</w:t>
      </w:r>
      <w:r>
        <w:t xml:space="preserve"> Between 1983 and 1995, Sytze Backer published ten works of fiction through his own imprints, outside the major Dutch publishing houses, without prizes, without reviews in the national press. In 1993 he placed his work on the internet — making him, in all likelihood, the first Dutch literary writer to publish online. There it has remained ever since: quietly present, entirely available, almost entirely unread. This essay reads Backer's bibliography in full, from the 1983 novella Het Beest to the 1995 novel Amoebe Tien, and makes the case that what these ten works constitute, read together, is a body of fiction of unusual ambition, consistency, and formal intelligence. The Breda that runs through the bibliography is as specifically rendered as any city in Dutch fiction of the period. The recurring human types — the man of principle whose ethics exceed the world's capacity to reward them, the woman whose clarity the narrative consistently validates, the charismatic authority figure who organises the world around his own indifference — are among the most precisely observed in postwar Dutch prose. And in Amoebe Tien, published two years before the first mass-market browser brought the internet into Dutch living rooms, Backer assembled an argument about the attention economy, the colonisation of consciousness by commercial infrastructure, and the dissolution of private selfhood into </w:t>
      </w:r>
    </w:p>
    <w:p>
      <w:pPr/>
      <w:r>
        <w:rPr>
          <w:b/>
        </w:rPr>
        <w:t>POSSIBLE 2026:</w:t>
      </w:r>
      <w:r>
        <w:t xml:space="preserve"> On satire and The Third Policeman — https://doi.org/10.1075/lal.45.06too</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Abstract Simpson’s doctoral thesis ( 1984 , see also 1986 , 1997 ) presented an innovative stylistic account of Flann O’Brien’s absurdist or post-modernist novel The Third Policeman , originally written around 1940 but not published until 1967. This early stylistic work drew on sociolinguistic patterns in order to show the ways that our familiar language usages can be subverted for satirical, humorous or dark effects, particularly in dealing with the misdirection that underlies the series of red herrings across the narrative world of the novel. In this chapter, Michael Toolan takes Simpson’s later thinking on satire to re-evaluate the novel in terms of its addressivity and its complex layering of narrator, author and pseudonym. The chapter captures the modern stylistic method of moving from key literary critical questions, to text, to different framing contexts of history, authorship and genre.</w:t>
      </w:r>
    </w:p>
    <w:p>
      <w:pPr/>
      <w:r>
        <w:rPr>
          <w:b/>
        </w:rPr>
        <w:t>POSSIBLE 2025:</w:t>
      </w:r>
      <w:r>
        <w:t xml:space="preserve"> Reputation on the Line: How the Third-Party Dilemma Shapes Trust in High-Risk Work — https://doi.org/10.1177/00018392251387673</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pPr/>
      <w:r>
        <w:rPr>
          <w:b/>
        </w:rPr>
        <w:t>POSSIBLE 2025:</w:t>
      </w:r>
      <w:r>
        <w:t xml:space="preserve"> Rethinking Automation and the Future of Work with Hannah Arendt — https://doi.org/10.1007/s10551-025-05991-1</w:t>
      </w:r>
    </w:p>
    <w:p>
      <w:pPr/>
      <w:r>
        <w:rPr>
          <w:b/>
        </w:rPr>
        <w:t>Shared claim-specific concepts:</w:t>
      </w:r>
      <w:r>
        <w:t xml:space="preserve"> third, show, work, fourth;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The Division of Domestic Labor and the Invisible Work of the Third Shift Among Parents in Norway – A Mixed-Methods Study — https://doi.org/10.1080/08038740.2025.2518958</w:t>
      </w:r>
    </w:p>
    <w:p>
      <w:pPr/>
      <w:r>
        <w:rPr>
          <w:b/>
        </w:rPr>
        <w:t>Shared claim-specific concepts:</w:t>
      </w:r>
      <w:r>
        <w:t xml:space="preserve"> third, show, work, two; EU scope visible. This is a provisional connection, not an outcome finding.</w:t>
      </w:r>
    </w:p>
    <w:p>
      <w:pPr>
        <w:pStyle w:val="SourceNote"/>
      </w:pPr>
      <w:r>
        <w:rPr>
          <w:b/>
        </w:rPr>
        <w:t>Available abstract (not full text):</w:t>
      </w:r>
      <w:r>
        <w:t xml:space="preserve"> Over the last few decades, mothers and fathers in Norway have increasingly been approaching each other in terms of time spent on the first shift (paid work), and time spent on the second shift (unpaid domestic work). However, the so called third shift (the invisible, emotional and cognitive administration of a family) is still unevenly distributed between mothers and fathers, even in an egalitarian country like Norway. In this article we explore how the distribution of domestic tasks and practices and experiences of the third shift may be a possible source of gender differentiated experiences of everyday life. The article builds on mixed-methods, using representative survey data (N = 602) among parents with children under 18, and two rounds of qualitative interviews with 35 families. Findings show that a gendered division of invisible third shift tasks is present even among couples who express strong ideals of gender equality and share household chores equally among them. Analyzed against an emerging cultural and social norm of intensive parenting the findings suggest that the third shift may contribute to preserve gender inequality within families with children. Findings also show that even with equal distribution of household chores, mothers experience more everyday life stress than fathers.</w:t>
      </w:r>
    </w:p>
    <w:p>
      <w:pPr/>
      <w:r>
        <w:rPr>
          <w:b/>
        </w:rPr>
        <w:t>POSSIBLE 2025:</w:t>
      </w:r>
      <w:r>
        <w:t xml:space="preserve"> Data outlining the demographics and treatment course for each anonymised patient — https://doi.org/10.5256/f1000research.15514.d211612</w:t>
      </w:r>
    </w:p>
    <w:p>
      <w:pPr/>
      <w:r>
        <w:rPr>
          <w:b/>
        </w:rPr>
        <w:t>Shared claim-specific concepts:</w:t>
      </w:r>
      <w:r>
        <w:t xml:space="preserve"> outlining, two, cases, methods; EU scope not established. This is a provisional connection, not an outcome finding.</w:t>
      </w:r>
    </w:p>
    <w:p>
      <w:pPr>
        <w:pStyle w:val="SourceNote"/>
      </w:pPr>
      <w:r>
        <w:rPr>
          <w:b/>
        </w:rPr>
        <w:t>Available abstract (not full text):</w:t>
      </w:r>
      <w:r>
        <w:t xml:space="preserve"> Background: Infections are a common and serious complication of ventricular shunts that can lead to significant mortality and morbidity. Treatment consists of surgical and antimicrobial therapy, but there is a lack of evidence regarding optimal management. We therefore aimed to analyse the current practice and patient outcomes within a large tertiary referral centre. Methods: We identified cases of infection in ventriculoperitoneal shunts from January 2000 until April 2015 in our institution. All patients were under 18 years at the time of infection. Clinical, microbiological and radiological data were collected with the use of a standardised proforma. Non-parametric tests were used for statistical analysis. Results: There were 92 episodes of infection in 65 patients. The most common microorganisms were coagulase-negative staphylococci (47%), followed by Staphylococcus aureus (16%). Surgical treatment included shunt externalisation (15%) and complete removal (67%). Antibiotics were given in 97% of the patients in addition to surgery. Vancomycin, linezolid, cefotaxime, meropenem and rifampicin were used most frequently. The median duration of antibiotic treatment was 18 days (IQR 14-25 days). Two patients died from consequences of a shunt infection and seven had recurrent infection. Conclusions: It would be beneficial to develop a guideline for recognition and treatment of shunt</w:t>
      </w:r>
    </w:p>
    <w:p>
      <w:pPr>
        <w:pStyle w:val="Heading2"/>
      </w:pPr>
      <w:r>
        <w:t>871. Strategies for emerging research and innovation futures</w:t>
      </w:r>
    </w:p>
    <w:p>
      <w:pPr>
        <w:pStyle w:val="SourceNote"/>
      </w:pPr>
      <w:r>
        <w:rPr>
          <w:b/>
        </w:rPr>
        <w:t>Original source (2016):</w:t>
      </w:r>
      <w:r>
        <w:t xml:space="preserve"> https://doi.org/10.1108/fs-07-2014-0048</w:t>
      </w:r>
    </w:p>
    <w:p>
      <w:pPr/>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POSSIBLE 2026:</w:t>
      </w:r>
      <w:r>
        <w:t xml:space="preserve"> Summary report - Multisite-light dosimetry data set — https://doi.org/10.5281/zenodo.21238932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pPr/>
      <w:r>
        <w:rPr>
          <w:b/>
        </w:rPr>
        <w:t>POSSIBLE 2026:</w:t>
      </w:r>
      <w:r>
        <w:t xml:space="preserve"> Communicating options for advanced breast cancer support and treatment (COAST): Developing a decision support tool. — https://doi.org/10.1200/op.2026.22.10_suppl.682</w:t>
      </w:r>
    </w:p>
    <w:p>
      <w:pPr/>
      <w:r>
        <w:rPr>
          <w:b/>
        </w:rPr>
        <w:t>Shared claim-specific concepts:</w:t>
      </w:r>
      <w:r>
        <w:t xml:space="preserve"> light, developed, options, stakeholder, group, different; EU scope not established. This is a provisional connection, not an outcome finding.</w:t>
      </w:r>
    </w:p>
    <w:p>
      <w:pPr>
        <w:pStyle w:val="SourceNote"/>
      </w:pPr>
      <w:r>
        <w:rPr>
          <w:b/>
        </w:rPr>
        <w:t>Available abstract (not full text):</w:t>
      </w:r>
      <w:r>
        <w:t xml:space="preserve"> 682 Background: In the United States, &gt;170,000 individuals are living with metastatic breast cancer (mBC). New treatments continue to emerge and vary by mode of delivery, length, side effects, and costs. While providers share information about potential risks and benefits of different treatments, accounting for individual preferences and concerns around these decisions may help inform patient treatment choice. Reflecting evidence-based information about treatment options while accounting for patient goals, values, and preferences; decision aids facilitate shared decision making and enhance patient-provider communication. Decision aids focused specifically on supporting patients through mBC treatment choice are lacking. Together with our patient, provider, and community partner stakeholders, we developed COAST (Communicating Options for Advanced breast cancer Support and Treatment) to address this gap. Methods: The development of COAST was guided by the International Patient Decision Aid Standards. First, we formed a stakeholder advisory group, which included three breast oncologists, a patient advocate, and a community partner. Second, through a literature review and discussions with stakeholders, we developed content specific for adults with mBC. Following protocol development and alpha testing by patients and providers, we finalized both web and paper versions of COAST. Resul</w:t>
      </w:r>
    </w:p>
    <w:p>
      <w:pPr/>
      <w:r>
        <w:rPr>
          <w:b/>
        </w:rPr>
        <w:t>POSSIBLE 2026:</w:t>
      </w:r>
      <w:r>
        <w:t xml:space="preserve"> Visible Light‐Mediated Photocatalytic Dearomative Hydroxylation of 2‐aryl‐3‐aryl/Alkyl Indoles — https://doi.org/10.1002/ajoc.70391</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We have developed a visible‐light‐driven photocatalytic protocol for the efficient synthesis of 3‐hydroxyindolenines under mild reaction conditions. The transformation proceeds via a photocatalytic oxidative process mediated by chlorophyll, which functions as a sustainable, metal‐free, and environmentally benign photocatalyst. Upon irradiation with visible light, chlorophyll is photoexcited to its reactive excited state, enabling effective single‐electron transfer (SET) and/or energy‐transfer pathways that promote the oxidative functionalization of the indole framework. This reaction facilitates selective oxidation at the C3 position of indole substrates, leading to the formation of 3‐hydroxyindolenine derivatives.</w:t>
      </w:r>
    </w:p>
    <w:p>
      <w:pPr/>
      <w:r>
        <w:rPr>
          <w:b/>
        </w:rPr>
        <w:t>POSSIBLE 2026:</w:t>
      </w:r>
      <w:r>
        <w:t xml:space="preserve"> Developing whole-life cost models for retrofit options in office buildings — https://doi.org/10.17869/enu.463388</w:t>
      </w:r>
    </w:p>
    <w:p>
      <w:pPr/>
      <w:r>
        <w:rPr>
          <w:b/>
        </w:rPr>
        <w:t>Shared claim-specific concepts:</w:t>
      </w:r>
      <w:r>
        <w:t xml:space="preserve"> developed, options, identified, different; EU scope not established. This is a provisional connection, not an outcome finding.</w:t>
      </w:r>
    </w:p>
    <w:p>
      <w:pPr>
        <w:pStyle w:val="SourceNote"/>
      </w:pPr>
      <w:r>
        <w:rPr>
          <w:b/>
        </w:rPr>
        <w:t>Available abstract (not full text):</w:t>
      </w:r>
      <w:r>
        <w:t xml:space="preserve"> Office retrofit building projects have become a subject of increased attention among building researchers in the United Kingdom, and in many economically advanced nations. Existing whole-life costing models have however, not proven to be robust enough to deal with these retrofit building scenarios. There is a growing body of evidence that conceptual modifications in the mechanics of whole-life cost modelling, could facilitate improvements in the long-term cost assessment of buildings. Recent research has made a case for the existence of revocability and disruption, in the appraisal of retrofit building investments. Revocability, connotes the potential for variability, in the future cost projections of a building over its estimated life. Disruption relates to the diminished building use, or unusability, over a period of implementing a retrofit initiative. Existing whole-life cost models have however, not recognised the implications of revocability and disruption in their framework. This study conducts an investigation into the whole-life costing of office retrofit building projects, and develops a Fuzzy New-Generation Whole-life Costing approach. Two office retrofit building projects are adopted, to appraise the identified issues in the whole-life costing framework. A number of building configuration permutations (BCPs) constituting different retrofit options, are developed in b</w:t>
      </w:r>
    </w:p>
    <w:p>
      <w:pPr/>
      <w:r>
        <w:rPr>
          <w:b/>
        </w:rPr>
        <w:t>POSSIBLE 2026:</w:t>
      </w:r>
      <w:r>
        <w:t xml:space="preserve"> Visible Light‐Driven NHC/Organophotoredox Catalysis: Mechanistic Insights and Organic Transformations — https://doi.org/10.1002/slct.74753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Visible light‐driven organophotoredox catalysis has emerged as a sustainable strategy for promoting diverse organic transformations with remarkable efficiency under mild reaction conditions. The integration of N‐heterocyclic carbene (NHC) catalysis with organophotoredox catalysis has enabled the generation of persistent ketyl radicals and transient radical intermediates through single electron transfer (SET), hydrogen atom transfer (HAT), and proton‐coupled electron transfer (PCET) processes, thereby facilitating chemo‐, regio‐, and stereoselective Carbon–Carbon and C–heteroatom (N, O, P) bond‐forming reactions. Likewise, to overcome the limitations associated with transition‐metal‐based photocatalysts, sustainable metal‐free organophotoredox catalysts, such as xanthene dyes, acridinium salts, anthracene‐derived photocatalysts, and thermally activated delayed fluorescence (TADF) donor–acceptor systems, have been extensively developed. Owing to their tunable photophysical properties, excellent redox capabilities, low toxicity, and cost‐effectiveness, these organophotoredox catalysts have emerged as attractive alternatives for transition metal‐based photoredox catalysis. This review summarizes the fundamental principles of visible light‐driven NHC/organophotoredox catalysis, discusses the underlying mechanistic pathways and dual catalytic transformations, thereby highlig</w:t>
      </w:r>
    </w:p>
    <w:p>
      <w:pPr/>
      <w:r>
        <w:rPr>
          <w:b/>
        </w:rPr>
        <w:t>POSSIBLE 2025:</w:t>
      </w:r>
      <w:r>
        <w:t xml:space="preserve"> Light is Calling — https://doi.org/10.5117/9789089649966_ch06</w:t>
      </w:r>
    </w:p>
    <w:p>
      <w:pPr/>
      <w:r>
        <w:rPr>
          <w:b/>
        </w:rPr>
        <w:t>Shared claim-specific concepts:</w:t>
      </w:r>
      <w:r>
        <w:t xml:space="preserve"> light, set, different; EU scope not established. This is a provisional connection, not an outcome finding.</w:t>
      </w:r>
    </w:p>
    <w:p>
      <w:pPr>
        <w:pStyle w:val="SourceNote"/>
      </w:pPr>
      <w:r>
        <w:rPr>
          <w:b/>
        </w:rPr>
        <w:t>Available abstract (not full text):</w:t>
      </w:r>
      <w:r>
        <w:t xml:space="preserve">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pPr/>
      <w:r>
        <w:rPr>
          <w:b/>
        </w:rPr>
        <w:t>POSSIBLE 2025:</w:t>
      </w:r>
      <w:r>
        <w:t xml:space="preserve"> Quantum state engineering of light using intensity measurements and postselection — https://doi.org/10.1103/11vz-9gcz</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Quantum state engineering of light is of great interest for quantum technologies, particularly generating non-classical states of light, and is often studied through quantum conditioning approaches. Recently, we demonstrated that such approaches can be applied in intense laser-atom interactions to generate optical "cat" states by using intensity measurements and classical post-selection of the measurement data. Post-processing of the sampled data set allows to select specific events corresponding to measurement statistics as if there would be non-classical states of light leading to these measurement outcomes. However, to fully realize the potential of this method for quantum state engineering, it is crucial to thoroughly investigate the role of the involved measurements and the specifications of the post-selection scheme. We illustrate this by analyzing post-selection schemes recently developed for the process of high harmonic generation, which enables generating optical cat states bright enough to induce non-linear phenomena. These findings provide significant guidance for quantum light engineering and the generation of high-quality, intense optical cat states for applications in non-linear optics and quantum information science.</w:t>
      </w:r>
    </w:p>
    <w:p>
      <w:pPr/>
      <w:r>
        <w:rPr>
          <w:b/>
        </w:rPr>
        <w:t>POSSIBLE 2025:</w:t>
      </w:r>
      <w:r>
        <w:t xml:space="preserve"> Visible-Light-Driven Oxidation of Benzylic C—H Bonds Enabled by Anthraquinone in Water — https://doi.org/10.6023/cjoc202406032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An efficient photochemical protocol for the oxidation of alkylarenes to ketones was developed using anthraquinone (AQ) as a organic small molecule photocatalysts, O2 as an oxidant and water as green solvent.The main feature of this method is that visible light, molecular oxygen and water are low-cost, abundance and eco-friendliness in green chemistry.Moreover, the system shows a broad substrate scope and good functional-group tolerance, which can also easily be scaled-up to gram scale.A series of control experiments was conducted to study the influence of superoxide radicals on the reaction, and a reasonable catalytic cycle mechanism was proposed.The mechanism studies revealed that AQ absorbed the light and served as a photosensitizer to promote the transformation of O2 to the highly reactive 2 O -via single electron transfer (SET) process, which then oxidized alkylarenes to ketones. Keywords visible-light photocatalysis</w:t>
      </w:r>
    </w:p>
    <w:p>
      <w:pPr/>
      <w:r>
        <w:rPr>
          <w:b/>
        </w:rPr>
        <w:t>POSSIBLE 2025:</w:t>
      </w:r>
      <w:r>
        <w:t xml:space="preserve"> Visible-light-driven photocatalyst-free deoxygenative homologation of alcohols to access tertiary alcohols — https://doi.org/10.1039/d5cc02650d</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 general and effective deoxygenation process for the homologation of alcohols has been developed, driven by visible light without the need for any external photocatalysts or EDA complex formation. Using xanthate anions as intermediates, the present protocol facilitates the C-O bond homolysis of a variety of primary, secondary and tertiary alcohols to couple with diverse α-ketoesters, providing facile and practical access to diverse sterically hindered α-hydroxy esters under mild conditions. Mechanistic studies demonstrate that SET from xanthate anions to α-ketoesters triggered by direct photoexcitation is pivotal in initiating the transformation.</w:t>
      </w:r>
    </w:p>
    <w:p>
      <w:pPr/>
      <w:r>
        <w:rPr>
          <w:b/>
        </w:rPr>
        <w:t>POSSIBLE 2025:</w:t>
      </w:r>
      <w:r>
        <w:t xml:space="preserve"> GROWING TRENDS IN EQUITY DERIVATIVE MARKETS IN INDIA – SPECIAL REFERENCE TO FUTURES AND OPTIONS IN NSE — https://openalex.org/W7217289709</w:t>
      </w:r>
    </w:p>
    <w:p>
      <w:pPr/>
      <w:r>
        <w:rPr>
          <w:b/>
        </w:rPr>
        <w:t>Shared claim-specific concepts:</w:t>
      </w:r>
      <w:r>
        <w:t xml:space="preserve"> light, options, identified, industry; EU scope not established. This is a provisional connection, not an outcome finding.</w:t>
      </w:r>
    </w:p>
    <w:p>
      <w:pPr>
        <w:pStyle w:val="SourceNote"/>
      </w:pPr>
      <w:r>
        <w:rPr>
          <w:b/>
        </w:rPr>
        <w:t>Available abstract (not full text):</w:t>
      </w:r>
      <w:r>
        <w:t xml:space="preserve"> The equity derivative market has grown at a greater rate than average in recent years, driven by developments including more investor engagement, more liberalization, and more improved technology. In light of this expansion, the following trends that are reshaping this sector of the financial industry can be identified. In the span of only five years, India's participation in the equity derivatives market has skyrocketed, going from almost nonexistent to a world leader. This expansion was made possible, in large part, by the 2019 transition from monthly to weekly contract expiration. In light of the above, the purpose of this research is to evaluate the increase in the trading volume and turnover of equity derivatives over the past decade. The research is based on secondary data supplied by NSE regarding the yearly turnover of equity derivatives during a 10-year period. This study analyzed trends in the equities derivatives market using data collected from the NSE website and a linear regression model. Researchers typically consider a ten-year term to be enough for identifying significant market adjustments, therefore that is how long we based our data gathering on. Researchers learned crucial things about the patterns of evolution of equity derivatives, which helped both analysts and investors make better decisions. In order to understand market dynamics and predict future tre</w:t>
      </w:r>
    </w:p>
    <w:p>
      <w:pPr/>
      <w:r>
        <w:rPr>
          <w:b/>
        </w:rPr>
        <w:t>POSSIBLE 2025:</w:t>
      </w:r>
      <w:r>
        <w:t xml:space="preserve"> Amyloid Light-Chain (AL) Amyloidosis in a Middle-Aged Lady: Confronting the Challenges of a Rare Diagnosis in a Developing Country — https://doi.org/10.7759/cureus.85493</w:t>
      </w:r>
    </w:p>
    <w:p>
      <w:pPr/>
      <w:r>
        <w:rPr>
          <w:b/>
        </w:rPr>
        <w:t>Shared claim-specific concepts:</w:t>
      </w:r>
      <w:r>
        <w:t xml:space="preserve"> light, options, identified; EU scope not established. This is a provisional connection, not an outcome finding.</w:t>
      </w:r>
    </w:p>
    <w:p>
      <w:pPr>
        <w:pStyle w:val="SourceNote"/>
      </w:pPr>
      <w:r>
        <w:rPr>
          <w:b/>
        </w:rPr>
        <w:t>Available abstract (not full text):</w:t>
      </w:r>
      <w:r>
        <w:t xml:space="preserve"> Amyloid light-chain (AL) amyloidosis, which results from monoclonal light-chain deposition from plasma cell dyscrasia, is often identified in old patients. A 37-year-old lady presented with frothy urine and constipation with constitutional symptoms for two months duration. On examination, she had tender hepatomegaly with cervical lymphadenopathy. She was found to have sub-nephrotic-range proteinuria, while serum protein electrophoresis revealed a monoclonal band of 17 g/l. Bone marrow aspiration and biopsy showed evidence of plasma cell dyscrasia with 20% of pleomorphic plasma cells. Myeloma-defining events were negative with normal serum calcium and serum creatinine, a haemoglobin of 10.5 g/dl, no lytic lesions on low-dose whole-body computed tomography, and involved-to-uninvolved serum free light-chain ratio of 8 with involved lambda light chains of 126.21 mg/l (4.23-27.69). Renal and lymph node biopsies demonstrated an eosinophilic amorphous material which showed apple-green birefringence on a Congo red stain suggestive of amyloidosis. Bone marrow aspiration, trephine biopsy, and lymph node biopsy together with renal biopsy led to the diagnosis of AL amyloidosis. She was classified as a stage 1 disease according to the Revised Mayo Clinic staging system. She was treated with a total of nine cycles of cyclophosphamide, bortezomib, and dexamethasone (CycloBorDex), where she ac</w:t>
      </w:r>
    </w:p>
    <w:p>
      <w:pPr/>
      <w:r>
        <w:rPr>
          <w:b/>
        </w:rPr>
        <w:t>POSSIBLE 2025:</w:t>
      </w:r>
      <w:r>
        <w:t xml:space="preserve"> Shear center determination of open light-gauge sections — https://doi.org/10.52899/24141437_2025_01_5</w:t>
      </w:r>
    </w:p>
    <w:p>
      <w:pPr/>
      <w:r>
        <w:rPr>
          <w:b/>
        </w:rPr>
        <w:t>Shared claim-specific concepts:</w:t>
      </w:r>
      <w:r>
        <w:t xml:space="preserve"> developed, options, different, industry; EU scope not established. This is a provisional connection, not an outcome finding.</w:t>
      </w:r>
    </w:p>
    <w:p>
      <w:pPr>
        <w:pStyle w:val="SourceNote"/>
      </w:pPr>
      <w:r>
        <w:rPr>
          <w:b/>
        </w:rPr>
        <w:t>Available abstract (not full text):</w:t>
      </w:r>
      <w:r>
        <w:t xml:space="preserve"> BACKGROUND: Import substitution issues are very topical in the domestic machine building industry. Recently, thin-walled curvilinear cross-sections have been obtained in the optimization of design and technological parameters thin-walled curvilinear cross-sections have been recently emphasized in the optimization of structural and technological parameters of power machine elements. The method of calculation of strength characteristics for a thin-walled closed profile is similar to those commonly used for the calculation of solid profiles, but for the calculation of sections with unclosed thin-walled curvilinear profiles it is limitedly applicable, due to the mismatch of the center of torsion with the center of mass of the section area. AIM: To presents some highlights on the strain state of units and parts of various power machines and devices with curved light-gauge open profiles operating in various strain conditions. METHODS: It describes the methodology of the proposed general algorithm for the automated calculation of the basic stiffness parameters of strained curved light-gauge open profiles with the determination of the shear center. It also reviews different options for determining these parameters for light-gauge line profiles and complex light-gauge profiles of components. RESULTS: An experimental setup has been developed that allows to identify the planes of loading </w:t>
      </w:r>
    </w:p>
    <w:p>
      <w:pPr>
        <w:pStyle w:val="Heading2"/>
      </w:pPr>
      <w:r>
        <w:t>872. Testing Scenarios to Achieve Workplace Sustainability Goals Using Backcasting and Agent-Based Modeling</w:t>
      </w:r>
    </w:p>
    <w:p>
      <w:pPr>
        <w:pStyle w:val="SourceNote"/>
      </w:pPr>
      <w:r>
        <w:rPr>
          <w:b/>
        </w:rPr>
        <w:t>Original source (2016):</w:t>
      </w:r>
      <w:r>
        <w:t xml:space="preserve"> https://doi.org/10.1177/0013916516673869</w:t>
      </w:r>
    </w:p>
    <w:p>
      <w:pPr/>
      <w:r>
        <w:t>Original wording (abstract; indexed_source_text_not_full_document_verified): Future scenarios were developed using a participatory backcasting scenario development methodology, and policy tracks were derived.</w:t>
      </w:r>
    </w:p>
    <w:p>
      <w:pPr/>
      <w:r>
        <w:rPr>
          <w:b/>
        </w:rPr>
        <w:t>POSSIBLE 2026:</w:t>
      </w:r>
      <w:r>
        <w:t xml:space="preserve"> Backcasting intergenerational energy justice — https://openalex.org/W7165503411</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pPr/>
      <w:r>
        <w:rPr>
          <w:b/>
        </w:rPr>
        <w:t>POSSIBLE 2026:</w:t>
      </w:r>
      <w:r>
        <w:t xml:space="preserve"> Bibliometric Analysis of Methodologies and Trends in Participatory Planning Using a Dual Strategy Approach — https://doi.org/10.51983/ijiss-2026.16.3.12</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planning has emerged as an important tool for democratic decision-making in the fields of urban planning, public policies, and social development through involving citizens in governance processes and ensuring transparency and social sustainability. However, its efficient use faces problems related to the colonial past, political centralism, and threats of superficial consensus. The present article discusses the following research problem: In spite of the current scientific interest in participatory planning, there is no systematic bibliometric study of the methodology trends, leadership of institutions, and theme evolution in various temporal and search-strategy settings. To solve the problem, the study performs a bibliometric analysis of the literature on participatory planning identified in the Scopus database with the help of two alternative search strategies. Strategy 1 identified 77 articles (1995-2024) based on the Boolean search query "participatory AND planning" with Social Sciences filtering. Strategy 2 identified 953 articles (2020-2025) with additional filters of open access and English language. The data were analyzed using RStudio and Bibliometrix tools in order to study the dynamics of scientific production, international cooperation, major institutions, authorship, and theme dynamics. Strategy 1 showed low yearly growth (1.41%), but high citation i</w:t>
      </w:r>
    </w:p>
    <w:p>
      <w:pPr/>
      <w:r>
        <w:rPr>
          <w:b/>
        </w:rPr>
        <w:t>POSSIBLE 2026:</w:t>
      </w:r>
      <w:r>
        <w:t xml:space="preserve"> Participatory foresight in subnational policy processes: two experiences in Peru — https://doi.org/10.1108/fs-08-2025-0177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paper aims to illustrate the challenges faced by efforts to institutionalize participatory foresight as a regular component of policymaking processes in a developing country, based on the analysis of a country case (Peru) where national-level rules and guidelines have incorporated participatory foresight in policymaking and planning processes at the subnational level. Design/methodology/approach Exploratory research on the challenges faced when institutionalizing participatory foresight in policy processes, carried out as a case study of two relevant, official experiences at the subnational level in Peru. In-depth interviews, a survey of regional officials and literature review are used. Findings There have been significant regulatory advances; national officials seem committed to strengthening participatory foresight; and rules are being applied in regional planning processes and educational policy frameworks. However, the broader institutionalization of participatory foresight in a democratic context is incipient. Significant challenges are found within the operation of the national planning system, which sets rules and guidelines for incorporating participatory foresight, and also pertaining to participatory practices in general and the state–society relationship. Research limitations/implications This exploratory research, while addressing the early stages of i</w:t>
      </w:r>
    </w:p>
    <w:p>
      <w:pPr/>
      <w:r>
        <w:rPr>
          <w:b/>
        </w:rPr>
        <w:t>POSSIBLE 2026:</w:t>
      </w:r>
      <w:r>
        <w:t xml:space="preserve"> Intersectionality in participatory methodologies: systematic review and evaluation framework — https://doi.org/10.1108/qrj-01-2026-0021</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systematic review examines how an intersectional perspective is integrated into participatory methodologies and what it contributes when applied from the outset of the research process. Design/methodology/approach Forty-six studies (2018–2024), identified through systematic searches in regional and international databases, were analyzed. Deductive–inductive coding was guided by seven dimensions: (1) social demand for research, (2) participation in definition of the problem, (3) epistemological plurality in conceptualization, (4) population and territorial heterogeneity, (5) redistribution of epistemic power, (6) relationality and (7) affectivity, situated reflexivity and decentralization of the universal subject. A complementary content analysis enabled the derivation and operationalization of eleven criteria that capture the benefits of integrating an intersectional perspective into participatory methodologies for researchers, professionals and participants. Findings The results reveal uneven integration of these dimensions: social demand and co-definition of the problem are frequent, while epistemological plurality and territorial adaptability appear less often. Methodological families demonstrating a stronger intersectional orientation show a higher concentration of benefits. An evaluative framework of intersectional coherence and a checklist of twenty-one indic</w:t>
      </w:r>
    </w:p>
    <w:p>
      <w:pPr/>
      <w:r>
        <w:rPr>
          <w:b/>
        </w:rPr>
        <w:t>POSSIBLE 2026:</w:t>
      </w:r>
      <w:r>
        <w:t xml:space="preserve"> Backcasting: An innovative approach to conflict management for transformative innovation projects — https://doi.org/10.1016/j.techfore.2026.124851</w:t>
      </w:r>
    </w:p>
    <w:p>
      <w:pPr/>
      <w:r>
        <w:rPr>
          <w:b/>
        </w:rPr>
        <w:t>Shared claim-specific concepts:</w:t>
      </w:r>
      <w:r>
        <w:t xml:space="preserve"> participatory, backcasting; EU scope visible. This is a provisional connection, not an outcome finding.</w:t>
      </w:r>
    </w:p>
    <w:p>
      <w:pPr>
        <w:pStyle w:val="SourceNote"/>
      </w:pPr>
      <w:r>
        <w:rPr>
          <w:b/>
        </w:rPr>
        <w:t>Available abstract (not full text):</w:t>
      </w:r>
      <w:r>
        <w:t xml:space="preserve"> Environmental issues and sustainability transition are nowadays among the most contentious arenas, as they entail complexity, uncertainty and a multiplicity of different interests and visions. Transformative innovation projects, that attempt to address the key challenges that our society is currently facing, have increased rapidly over the last decade as a solution to wicked problems, including sustainability. Yet, the development of these projects does not occur without difficulties. Transitioning to a more sustainable system is a significantly controversial and conflictual issue, as different actors have diverse perspectives on what sustainability means and how to achieve it. Studies on how to manage conflict in innovative and transformative contexts are scarce and methodologically limited. This paper conceptualises participatory backcasting as a conflict management approach for transformative innovation projects and investigates the key mechanisms through which backcasting supports the management of stakeholder conflicts. The article draws on an intervention research aiming at co-experimenting participatory backcasting with 24 transformative innovation projects engaged in fostering agroecological transition in France. This approach engages project participants in a collective visioning exercise to define the desired future to which the project aims to contribute. The case st</w:t>
      </w:r>
    </w:p>
    <w:p>
      <w:pPr/>
      <w:r>
        <w:rPr>
          <w:b/>
        </w:rPr>
        <w:t>POSSIBLE 2026:</w:t>
      </w:r>
      <w:r>
        <w:t xml:space="preserve"> Weaving stories into policies: integrating storytelling in urban freight participatory planning — https://doi.org/10.1016/j.tranpol.2026.104455</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Urban freight transport remains only partially integrated into Sustainable Urban Mobility Plans, despite its economic importance and growing environmental and social implications. Existing research points to methodological weaknesses, fragmented governance, and limited stakeholder engagement, but these problems have rarely been examined jointly through collective-action and narrative perspectives. This paper conceptualises urban freight as a collective-action problem shaped by coordination failures, conflicting incentives, and weak mutual assurance. Using a research-question-driven integrative conceptual methodology combining mobility planning, collective-action theory, and narrative studies, the paper develops a six-step narrative-based participatory planning framework. Storytelling is treated not as a stand-alone communication tool, but as a mechanism embedded in participatory governance and linked to diagnosis, deliberation, policy translation, implementation, and learning. The framework offers planners and policymakers a structured way to connect technical evidence with stakeholder cooperation while providing a basis for future empirical testing.</w:t>
      </w:r>
    </w:p>
    <w:p>
      <w:pPr/>
      <w:r>
        <w:rPr>
          <w:b/>
        </w:rPr>
        <w:t>POSSIBLE 2026:</w:t>
      </w:r>
      <w:r>
        <w:t xml:space="preserve"> Children Reimagining Mobility: A Participatory Toolbox for Schools, Cities and Policymakers — https://doi.org/10.5281/zenodo.22123052</w:t>
      </w:r>
    </w:p>
    <w:p>
      <w:pPr/>
      <w:r>
        <w:rPr>
          <w:b/>
        </w:rPr>
        <w:t>Shared claim-specific concepts:</w:t>
      </w:r>
      <w:r>
        <w:t xml:space="preserve"> developed, participatory, methodology; EU scope visible. This is a provisional connection, not an outcome finding.</w:t>
      </w:r>
    </w:p>
    <w:p>
      <w:pPr>
        <w:pStyle w:val="SourceNote"/>
      </w:pPr>
      <w:r>
        <w:rPr>
          <w:b/>
        </w:rPr>
        <w:t>Available abstract (not full text):</w:t>
      </w:r>
      <w:r>
        <w:t xml:space="preserve"> Children Reimagining Mobility: A Participatory Toolbox for Schools, Cities and Policymakers provides a practical participatory methodology for exploring how children experience everyday mobility and how their knowledge can contribute to more child-responsive urban environments. Developed through doctoral research at Frederick University and informed by participatory workshops with children in Limassol, Cyprus, the toolbox combines guided discussion, questionnaires, drawing, collaborative model-making and children’s own explanations. The methodology supports the exploration of children’s travel patterns, emotional and physical experiences of journeys, perceptions of safety and accessibility, environmental barriers, and imagined alternatives for safer, healthier and more enjoyable mobility. The toolbox is intended for teachers and schools, municipalities and local authorities, urban and transport planners, policymakers, researchers and universities, NGOs, and community organisations. It provides practical guidance on workshop preparation, ethics and safeguarding, implementation, documentation and interpretation, as well as a framework for translating children’s experiential knowledge into planning-relevant evidence. The methodology recognises children as knowledgeable users of the city and provides structured, multimodal ways for their experiences and ideas to contribute to plann</w:t>
      </w:r>
    </w:p>
    <w:p>
      <w:pPr/>
      <w:r>
        <w:rPr>
          <w:b/>
        </w:rPr>
        <w:t>POSSIBLE 2026:</w:t>
      </w:r>
      <w:r>
        <w:t xml:space="preserve"> Backcasting the Future of the Automotive Industry: Leveraging Digital Technologies for the Circular Economy — https://doi.org/10.17705/1cais.05835</w:t>
      </w:r>
    </w:p>
    <w:p>
      <w:pPr/>
      <w:r>
        <w:rPr>
          <w:b/>
        </w:rPr>
        <w:t>Shared claim-specific concepts:</w:t>
      </w:r>
      <w:r>
        <w:t xml:space="preserve"> developed, backcasting; EU scope visible. This is a provisional connection, not an outcome finding.</w:t>
      </w:r>
    </w:p>
    <w:p>
      <w:pPr>
        <w:pStyle w:val="SourceNote"/>
      </w:pPr>
      <w:r>
        <w:rPr>
          <w:b/>
        </w:rPr>
        <w:t>Available abstract (not full text):</w:t>
      </w:r>
      <w:r>
        <w:t xml:space="preserve"> The automotive industry faces environmental challenges due to fossil fuel reliance and linear production models. Transitioning to a circular economy (CE) is essential for reducing emissions and achieving sustainability. This study uses backcasting to envision a circular automotive industry by 2050, aligned with the European Green Deal's carbon neutrality objectives. Our envisioned future leverages digital technologies such as AI, digital twins, and product passports to enhance data sharing, traceability, and decision-making across the supply chain. We examine how these technologies improve life cycle management of electric vehicles, enhance circularity in design and manufacturing, and ensure transparency from production to end of life. While these technologies extend product life cycles and minimize waste, transitioning toward circularity presents challenges such as data sharing, emphasizing the need for collaborative industry platforms. By engaging key stakeholders, we developed a pathway from the current state to the envisioned circular future. Focusing on CE principles, the study seeks to foster a systemic shift toward circularity, bridging the gap between information systems and CE research. Strategic policy interventions and cooperative frameworks are recommended to enable the transition. The paper contributes insights into digitalization's impact on CE, providing actionab</w:t>
      </w:r>
    </w:p>
    <w:p>
      <w:pPr/>
      <w:r>
        <w:rPr>
          <w:b/>
        </w:rPr>
        <w:t>POSSIBLE 2026:</w:t>
      </w:r>
      <w:r>
        <w:t xml:space="preserve"> Developing a Participatory Sustainability Framework: Integrating Vision Building and Participatory Assessment for Restoration in Mediterranean Agro-ecosystems — https://doi.org/10.48693/797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Agricultural sustainability assessments (SA) often fail to translate into practice because they are designed without adequately reflecting local priorities and stakeholder values. This disconnect between scientific evaluation and real-world needs limits their effectiveness in guiding sustainable agricultural transitions. To address this gap and improve the practical application of agricultural SAs, we present a methodology for co-creating contextually relevant sustainability frameworks by integrating participatory visioning exercises that ground SA in stakeholder values and aspirations of desirable futures. The methodology, which involves a four-step process – collaborative vision-building workshops, qualitative data analysis of visions, scientist selection of indicators, and stakeholder validation – was implemented across five Mediterranean case studies. Results indicate a tendency for practitioners and policy actors to prioritise socioeconomic benefits while science-based actors focused on environmental aspects, highlighting the need for a balance across sustainability dimensions. Challenges relating to time constraints, stakeholder representation, and facilitation skills were encountered. Nevertheless, the study underscores the value of collaborative approaches for developing more effective and equitable pathways towards sustainable agricultural systems and demonstrates that</w:t>
      </w:r>
    </w:p>
    <w:p>
      <w:pPr/>
      <w:r>
        <w:rPr>
          <w:b/>
        </w:rPr>
        <w:t>POSSIBLE 2026:</w:t>
      </w:r>
      <w:r>
        <w:t xml:space="preserve"> Co‐Creating Circular Pathways in the Fashion Industry: A Participatory System Dynamics Perspective — https://doi.org/10.1002/bse.71644</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ABSTRACT Circular economy transitions in the fashion industry are frequently constrained not by a lack of reinforcing drivers but by endogenous feedback structures that limit growth as systems expand. Focusing on the Brazil context, this study identifies the dominant feedback archetypes governing circular transitions across four distinct socio‐technical contexts, namely, fashion brands, consumers, micro‐businesses, and digital circular platforms and offers an explanation, grounded in a participatory system dynamics approach, for why circular initiatives stall or progress. A participatory approach was adopted, combining co‐created causal loop diagrams, group model building, and backcasting workshops targeting a shared 2030 circular economy scenario, actively engaging 20 heterogeneous stakeholders including fashion brands, waste picker cooperatives, local government officials, and academics. Four causal loop diagrams were developed and validated through recorded and transcribed stakeholder interviews. The results identify a dominant limits to growth archetype across all four contexts, each driven by a distinct limiting mechanism: margin erosion in fashion brands, price‐mediated adoption constraints in consumer markets, infrastructure and workforce deficits in micro‐business recycling systems, and a dual operational and financial constraint in digital circular platforms. By struct</w:t>
      </w:r>
    </w:p>
    <w:p>
      <w:pPr/>
      <w:r>
        <w:rPr>
          <w:b/>
        </w:rPr>
        <w:t>POSSIBLE 2026:</w:t>
      </w:r>
      <w:r>
        <w:t xml:space="preserve"> System archetypes shaping e-waste circular economy transitions: A participatory system dynamics study — https://doi.org/10.1016/j.jclepro.2026.149418</w:t>
      </w:r>
    </w:p>
    <w:p>
      <w:pPr/>
      <w:r>
        <w:rPr>
          <w:b/>
        </w:rPr>
        <w:t>Shared claim-specific concepts:</w:t>
      </w:r>
      <w:r>
        <w:t xml:space="preserve"> developed, participatory, backcasting, methodology; EU scope not established. This is a provisional connection, not an outcome finding.</w:t>
      </w:r>
    </w:p>
    <w:p>
      <w:pPr>
        <w:pStyle w:val="SourceNote"/>
      </w:pPr>
      <w:r>
        <w:rPr>
          <w:b/>
        </w:rPr>
        <w:t>Available abstract (not full text):</w:t>
      </w:r>
      <w:r>
        <w:t xml:space="preserve"> Socio-technical transitions in e-waste systems are increasingly recognised as a distinct class of technological change, in which the co-evolution of reverse logistics infrastructure, extended producer responsibility regimes, and informal recovery networks determines the pace and direction of circular economy diffusion. Understanding how feedback structures within these systems accelerate or obstruct the scaling of circular technologies is therefore central to designing effective transition interventions. This study examines circular economy transition pathways in Brazil's e-waste sector through the lens of socio-technical change, employing a participatory System Dynamics methodology that integrates co-created causal loop diagrams (CLDs), backcasting exercises anchored to a 2030 normative vision, and archetype analysis. CLDs were developed in a participatory workshop engaging heterogeneous stakeholder groups, including manufacturers, waste cooperatives, policymakers, and industry practitioners operating across Brazil's hybrid extended producer responsibility and informal governance landscape. The diagrams were further validated through multi-round interviews with the same stakeholders. The analysis spans the full product life cycle, from circular design and manufacturing to reverse logistics and end-of-life recovery. This study develops participatory causal loop diagrams that ca</w:t>
      </w:r>
    </w:p>
    <w:p>
      <w:pPr/>
      <w:r>
        <w:rPr>
          <w:b/>
        </w:rPr>
        <w:t>POSSIBLE 2026:</w:t>
      </w:r>
      <w:r>
        <w:t xml:space="preserve"> A participatory framework for assessing climate neutrality transition readiness — https://doi.org/10.5281/zenodo.22777820</w:t>
      </w:r>
    </w:p>
    <w:p>
      <w:pPr/>
      <w:r>
        <w:rPr>
          <w:b/>
        </w:rPr>
        <w:t>Shared claim-specific concepts:</w:t>
      </w:r>
      <w:r>
        <w:t xml:space="preserve"> developed, participatory, methodology; EU scope visible. This is a provisional connection, not an outcome finding.</w:t>
      </w:r>
    </w:p>
    <w:p>
      <w:pPr>
        <w:pStyle w:val="SourceNote"/>
      </w:pPr>
      <w:r>
        <w:rPr>
          <w:b/>
        </w:rPr>
        <w:t>Available abstract (not full text):</w:t>
      </w:r>
      <w:r>
        <w:t xml:space="preserve"> Climate neutrality transitions require not only technical planning but also collaborative governance ecosystems capable of ‘injecting’ strategic objectives into real implementation. Despite the increasing availability of European policy frameworks and funding mechanisms, many regional and local authorities continue to face institutional, organizational and participatory barriers limiting their transition capacity. In this context, Living Lab-oriented approaches can support stakeholder engagement, collaborative learning and evidence-informed governance. This paper proposes a participatory framework for assessing climate neutrality transition readiness across eight European areas participating in the Interreg Europe 2021–2027 SMARTFORM project. The methodology was developed through a Living Lab and Design Thinking co-creation process involving municipalities, regional authorities, academia and civil society and business stakeholders (in total 103 actors). Through iterative stakeholder engagement, the framework identified three core dimensions related to governance and planning, future readiness and gaps and barriers affecting climate neutrality transitions. The findings suggest that governance coordination, participatory capacity and institutional collaboration are perceived as critical enabling conditions for climate neutrality transitions, while implementation barriers remain s</w:t>
      </w:r>
    </w:p>
    <w:p>
      <w:pPr>
        <w:pStyle w:val="Heading2"/>
      </w:pPr>
      <w:r>
        <w:t>873. The Deliberative Practice of Vision Mobility 2050: Vision-making for Sustainable Mobility in the Region of Munich?</w:t>
      </w:r>
    </w:p>
    <w:p>
      <w:pPr>
        <w:pStyle w:val="SourceNote"/>
      </w:pPr>
      <w:r>
        <w:rPr>
          <w:b/>
        </w:rPr>
        <w:t>Original source (2016):</w:t>
      </w:r>
      <w:r>
        <w:t xml:space="preserve"> https://doi.org/10.1016/j.trpro.2016.12.096</w:t>
      </w:r>
    </w:p>
    <w:p>
      <w:pPr/>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POSSIBLE 2026:</w:t>
      </w:r>
      <w:r>
        <w:t xml:space="preserve"> Monitoring the Screens: Current Challenges of Minority Language Media in the Context of the Council of Europe — https://doi.org/10.1163/15718115-bja10260</w:t>
      </w:r>
    </w:p>
    <w:p>
      <w:pPr/>
      <w:r>
        <w:rPr>
          <w:b/>
        </w:rPr>
        <w:t>Shared claim-specific concepts:</w:t>
      </w:r>
      <w:r>
        <w:t xml:space="preserve"> specifically, looks, recent, particularly, context; EU scope visible. This is a provisional connection, not an outcome finding.</w:t>
      </w:r>
    </w:p>
    <w:p>
      <w:pPr>
        <w:pStyle w:val="SourceNote"/>
      </w:pPr>
      <w:r>
        <w:rPr>
          <w:b/>
        </w:rPr>
        <w:t>Available abstract (not full text):</w:t>
      </w:r>
      <w:r>
        <w:t xml:space="preserve"> Abstract The rapidly changing media landscape affects all areas of society, but minoritized groups and media in minority languages can be particularly precarious. Therefore, after a short outlook on the relevant regulation and case-law in the context of the UN, the Council of Europe, the OSCE and the EU, this paper unpacks media trends and challenges minority language media faces in a post-Covid-19 era, then looks at how international monitoring handles the most recent challenges. Specifically, monitoring materials under the Framework Convention for the Protection of National Minorities and the European Charter for Regional or Minority Languages from the past five years are analysed with the aim to ascertain to what extent the Advisory Committee and the Committee of Experts are prepared to interpret media provisions in a way that satisfies the needs of changing times. Finally, the paper outlines precisely where Council of Europe monitoring could be strengthened.</w:t>
      </w:r>
    </w:p>
    <w:p>
      <w:pPr/>
      <w:r>
        <w:rPr>
          <w:b/>
        </w:rPr>
        <w:t>POSSIBLE 2026:</w:t>
      </w:r>
      <w:r>
        <w:t xml:space="preserve"> Winners and Losers from the Protestant Reformation: An Analysis of the Network of European Universities — https://doi.org/10.1017/s0022050725101058</w:t>
      </w:r>
    </w:p>
    <w:p>
      <w:pPr/>
      <w:r>
        <w:rPr>
          <w:b/>
        </w:rPr>
        <w:t>Shared claim-specific concepts:</w:t>
      </w:r>
      <w:r>
        <w:t xml:space="preserve"> network, mobility, one; EU scope visible. This is a provisional connection, not an outcome finding.</w:t>
      </w:r>
    </w:p>
    <w:p>
      <w:pPr>
        <w:pStyle w:val="SourceNote"/>
      </w:pPr>
      <w:r>
        <w:rPr>
          <w:b/>
        </w:rPr>
        <w:t>Available abstract (not full text):</w:t>
      </w:r>
      <w:r>
        <w:t xml:space="preserve"> Using a new database of European academics, we build a network of universities that is based on professors’ mobility. We describe how the network was altered following the Protestant Reformation. We focus on fragmentation and on universities’ centrality. Dyadic regressions confirm that geography and vernacular languages were important for mobility, but did not substitute for religion. We compare simulated networks with and without religious identity. Most universities lose centrality in the simulated religious network compared to the non-religious one. As publications per university are correlated with centrality, the loss of connectedness of many universities after the Reformation contributed to their scientific decline.</w:t>
      </w:r>
    </w:p>
    <w:p>
      <w:pPr/>
      <w:r>
        <w:rPr>
          <w:b/>
        </w:rPr>
        <w:t>POSSIBLE 2025:</w:t>
      </w:r>
      <w:r>
        <w:t xml:space="preserve"> Fostering continuous quality improvement in a European rare disease network — https://doi.org/10.3389/frhs.2025.1609018</w:t>
      </w:r>
    </w:p>
    <w:p>
      <w:pPr/>
      <w:r>
        <w:rPr>
          <w:b/>
        </w:rPr>
        <w:t>Shared claim-specific concepts:</w:t>
      </w:r>
      <w:r>
        <w:t xml:space="preserve"> process, network, context; EU scope visible. This is a provisional connection, not an outcome finding.</w:t>
      </w:r>
    </w:p>
    <w:p>
      <w:pPr>
        <w:pStyle w:val="SourceNote"/>
      </w:pPr>
      <w:r>
        <w:rPr>
          <w:b/>
        </w:rPr>
        <w:t>Available abstract (not full text):</w:t>
      </w:r>
      <w:r>
        <w:t xml:space="preserve"> Background: The European Reference Network for rare Inherited Congenital Anomalies (ERNICA) is a clinical network dedicated to improving the quality of care for patients with rare and complex digestive and gastrointestinal diseases, many of whom require surgery in early life. The network brings together clinicians, researchers and patient representatives from 22 countries in Europe. By pooling expertise, ERNICA is able to facilitate improvement initiatives that may not otherwise be possible. However, describing the desired quality of care and transferring it to local practice remains a challenge, complicated by our low-prevalence patient population, multidisciplinary clinical involvement and heterogeneous European context. In an attempt to mitigate these challenges, and foster a system of continuous quality improvement, we present the "ERNICA quality cycle". Main body: The ERNICA quality cycle is comprised of five steps: (1) Describing the desired quality of care (2) Promoting guideline implementation (3) Measuring quality of care (4) Evaluating clinical practice (5) Conducting research. It offers a structured, continuous and collaborative approach to the improvement of care for patients with rare and complex digestive and gastrointestinal diseases. Evaluating the approach, through qualitative process evaluation, will be critical to capturing learning points. Conclusions: The E</w:t>
      </w:r>
    </w:p>
    <w:p>
      <w:pPr/>
      <w:r>
        <w:rPr>
          <w:b/>
        </w:rPr>
        <w:t>POSSIBLE 2025:</w:t>
      </w:r>
      <w:r>
        <w:t xml:space="preserve"> Health networking on cancer in the European Union: a ‘green paper’ by the EU Joint Action on Networks of Expertise (JANE) — https://doi.org/10.1016/j.esmoop.2024.104126</w:t>
      </w:r>
    </w:p>
    <w:p>
      <w:pPr/>
      <w:r>
        <w:rPr>
          <w:b/>
        </w:rPr>
        <w:t>Shared claim-specific concepts:</w:t>
      </w:r>
      <w:r>
        <w:t xml:space="preserve"> network, context, one; EU scope visible. This is a provisional connection, not an outcome finding.</w:t>
      </w:r>
    </w:p>
    <w:p>
      <w:pPr>
        <w:pStyle w:val="SourceNote"/>
      </w:pPr>
      <w:r>
        <w:rPr>
          <w:b/>
        </w:rPr>
        <w:t>Available abstract (not full text):</w:t>
      </w:r>
      <w:r>
        <w:t xml:space="preserve"> Health networking is in principle a formidable instrument to address many challenges posed by cancer, one of the two most common and most lethal non-communicable chronic diseases. The European Union (EU)'s Beating Cancer Plan foresaw the addition of new health networks to the four already existing European Reference Networks on rare cancers: the Network of Comprehensive Cancer Centres and several networks of expertise (NoEs), which will be shortly deployed on items as complex and poor-prognosis cancers, palliative care, survivorship, personalised primary and secondary prevention, omic technologies, hi-tech medical resources, and cancers in adolescents and young adults. The community of experts of the EU Joint Action, due to build such NoEs, has drafted this 'green paper', incorporating 13 open questions, in an effort to foster discussion on some open questions about health networking on cancer in the EU. These affect highly diverse issues such as the following: how gaps in research into the instrument of health networking may be filled; which items lend themselves more to health networking in the EU; what degree of cooperation and harmonisation should be required of EU member states to best exploit health networking and give rise to European networks of national/regional networks; how the idea of subsidiarity may be best interpreted to support health networking in the context o</w:t>
      </w:r>
    </w:p>
    <w:p>
      <w:pPr/>
      <w:r>
        <w:rPr>
          <w:b/>
        </w:rPr>
        <w:t>POSSIBLE 2025:</w:t>
      </w:r>
      <w:r>
        <w:t xml:space="preserve"> Processed food intake assortativity in the personal networks of older adults — https://doi.org/10.1038/s41598-025-94969-0</w:t>
      </w:r>
    </w:p>
    <w:p>
      <w:pPr/>
      <w:r>
        <w:rPr>
          <w:b/>
        </w:rPr>
        <w:t>Shared claim-specific concepts:</w:t>
      </w:r>
      <w:r>
        <w:t xml:space="preserve"> network, particularly, context; EU scope visible. This is a provisional connection, not an outcome finding.</w:t>
      </w:r>
    </w:p>
    <w:p>
      <w:pPr>
        <w:pStyle w:val="SourceNote"/>
      </w:pPr>
      <w:r>
        <w:rPr>
          <w:b/>
        </w:rPr>
        <w:t>Available abstract (not full text):</w:t>
      </w:r>
      <w:r>
        <w:t xml:space="preserve"> Existing research indicates that dietary habits spread through social networks, yet the impact on populations in Eastern Europe, particularly in rural areas, is less understood. We examine the influence of personal networks on the consumption of high-salt processed foods among individuals in rural Romania, with a specific focus on older adults. Using a personal network analysis, we analyze data from 83 participants of varying ages and their social contacts through multi-level regression models. The inclusion of participants across a wider age range allows us to capture the broader dynamics of social networks, reflecting the intergenerational nature of rural communities. Our findings reveal assortativity in dietary habits, indicating that individuals cluster with others who share similar food consumption patterns. Our results underscore the need for public health interventions that account for the influence of social networks on dietary behavior, as addressing high salt intake and its associated health risks may require considering the broader social context beyond older adults. The study contributes to understanding the social determinants of dietary behaviors and highlights the role of personal networks in shaping food choices in vulnerable populations.</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process, particularly;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Carbon trade biases and the emerging mesoscale structure of the European Emissions Trading System network — https://doi.org/10.1038/s41467-025-59913-w</w:t>
      </w:r>
    </w:p>
    <w:p>
      <w:pPr/>
      <w:r>
        <w:rPr>
          <w:b/>
        </w:rPr>
        <w:t>Shared claim-specific concepts:</w:t>
      </w:r>
      <w:r>
        <w:t xml:space="preserve"> recent, network, transport; EU scope visible. This is a provisional connection, not an outcome finding.</w:t>
      </w:r>
    </w:p>
    <w:p>
      <w:pPr>
        <w:pStyle w:val="SourceNote"/>
      </w:pPr>
      <w:r>
        <w:rPr>
          <w:b/>
        </w:rPr>
        <w:t>Available abstract (not full text):</w:t>
      </w:r>
      <w:r>
        <w:t xml:space="preserve"> The European Union Emissions Trading System (EU ETS) is designed to promote cost-effective carbon emission reductions through allowance trading. However, observed trade patterns suggest potential inefficiencies. This study conducts a province-level analysis of the EU ETS trade network of allowances, demonstrating that trades predominantly occur between entities within the same country and sector, even in recent phases of the system. To systematically examine the mesoscale structure of the trade network while accounting for geographical and sectoral homophily, we introduce a community detection framework based on the gravity model and optimal transport theory. By disentangling home and sectoral biases, we identify trade communities that align with cultural dimensions. Our findings reveal a complex interplay between geographical, economic, and cultural factors that shape carbon allowances trade patterns. These findings contribute to a deeper understanding of structural constraints within the EU ETS trade network and inform strategies for improving its cost-effectiveness. The EU Emissions Trading System allows carbon trading across Europe, but market inefficiencies remain. A gravity-based community model reveals that trades are shaped by cultural, economic, and geographic proximity, limiting broader integration.</w:t>
      </w:r>
    </w:p>
    <w:p>
      <w:pPr/>
      <w:r>
        <w:rPr>
          <w:b/>
        </w:rPr>
        <w:t>POSSIBLE 2024:</w:t>
      </w:r>
      <w:r>
        <w:t xml:space="preserve"> Un/seeing race:Articulating differences in governing people in Europe through multimodal methods — https://openalex.org/W7135537615</w:t>
      </w:r>
    </w:p>
    <w:p>
      <w:pPr/>
      <w:r>
        <w:rPr>
          <w:b/>
        </w:rPr>
        <w:t>Shared claim-specific concepts:</w:t>
      </w:r>
      <w:r>
        <w:t xml:space="preserve"> specifically, ideas, mobility; EU scope visible. This is a provisional connection, not an outcome finding.</w:t>
      </w:r>
    </w:p>
    <w:p>
      <w:pPr>
        <w:pStyle w:val="SourceNote"/>
      </w:pPr>
      <w:r>
        <w:rPr>
          <w:b/>
        </w:rPr>
        <w:t>Available abstract (not full text):</w:t>
      </w:r>
      <w:r>
        <w:t xml:space="preserve">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pPr/>
      <w:r>
        <w:rPr>
          <w:b/>
        </w:rPr>
        <w:t>POSSIBLE 2024:</w:t>
      </w:r>
      <w:r>
        <w:t xml:space="preserve"> Sustainability and competition policy in Europe: recent developments — https://doi.org/10.1093/jeclap/lpae063</w:t>
      </w:r>
    </w:p>
    <w:p>
      <w:pPr/>
      <w:r>
        <w:rPr>
          <w:b/>
        </w:rPr>
        <w:t>Shared claim-specific concepts:</w:t>
      </w:r>
      <w:r>
        <w:t xml:space="preserve"> looks, recent, network, one;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2024:</w:t>
      </w:r>
      <w:r>
        <w:t xml:space="preserve"> Learning in European Administrative Networks: a process to all or only to a few? — https://doi.org/10.1017/s0143814x24000011</w:t>
      </w:r>
    </w:p>
    <w:p>
      <w:pPr/>
      <w:r>
        <w:rPr>
          <w:b/>
        </w:rPr>
        <w:t>Shared claim-specific concepts:</w:t>
      </w:r>
      <w:r>
        <w:t xml:space="preserve"> process, network, actors; EU scope visible. This is a provisional connection, not an outcome finding.</w:t>
      </w:r>
    </w:p>
    <w:p>
      <w:pPr>
        <w:pStyle w:val="SourceNote"/>
      </w:pPr>
      <w:r>
        <w:rPr>
          <w:b/>
        </w:rPr>
        <w:t>Available abstract (not full text):</w:t>
      </w:r>
      <w:r>
        <w:t xml:space="preserve"> Abstract Through the pooling and exchange of resources such as expertise and knowledge between network participants, European Administrative Networks (EANs) are expected to play a significant role in enhancing policy learning. Yet, scarce empirical evidence has been presented concerning the learning process taking place within EANs. This paper addresses this gap through the analysis of the Network of the Heads of European Environmental Protection Agencies (EPA Network). Based on a unique survey dataset, social network analysis and exponential random graph models are used to trace the interaction patterns within the network and test which factors shape them. The analysis highlights the relevance of national political factors – i.e. the preferences of national governments and ministries – in shaping the learning processes taking place in the EPA Network. While the network is an important venue for disseminating knowledge between directly and indirectly connected actors, learning processes are mainly limited to like-minded peers.</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recent, regions;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The impact of intersecting crises on recent intra‐ EU mobilities: The case of Spaniards in the UK and Germany — https://doi.org/10.1111/imig.13266</w:t>
      </w:r>
    </w:p>
    <w:p>
      <w:pPr/>
      <w:r>
        <w:rPr>
          <w:b/>
        </w:rPr>
        <w:t>Shared claim-specific concepts:</w:t>
      </w:r>
      <w:r>
        <w:t xml:space="preserve"> specifically, looks, recent, mobility, mobilities; EU scope visible. This is a provisional connection, not an outcome finding.</w:t>
      </w:r>
    </w:p>
    <w:p>
      <w:pPr>
        <w:pStyle w:val="SourceNote"/>
      </w:pPr>
      <w:r>
        <w:rPr>
          <w:b/>
        </w:rPr>
        <w:t>Available abstract (not full text):</w:t>
      </w:r>
      <w:r>
        <w:t xml:space="preserve"> Abstract This article contributes to two interconnected fields of study: recent literature on intra‐EU migration, specifically South–North flows; and scholarship into the impact of intersecting crises on (im)mobilities. Interest in intra‐EU mobilities has increased with the expansion of the EU and especially since the 2008 Great Recession, with a focus mostly on young people and East–West flows. However, based on a mixed‐methods research approach, this article looks at the recent migration of individuals and families from Spain to the UK and Germany, two of the main destinations in Europe. It explores the impacts on (im)mobility strategies of three intersecting “crises”: starting with emigration since 2008, including the erosion of EU mobile citizens' rights culminating in “Brexit,” and ending with the effects of COVID‐19. Our analysis situates these migrant experiences in the interplay between core‐periphery theories and the concept of liquid migration, highlighting how crises accentuate vulnerabilities but can also generate opportunities.</w:t>
      </w:r>
    </w:p>
    <w:p>
      <w:pPr>
        <w:pStyle w:val="Heading2"/>
      </w:pPr>
      <w:r>
        <w:t>874. The Future of European Labour Law and the Right to Employability</w:t>
      </w:r>
    </w:p>
    <w:p>
      <w:pPr>
        <w:pStyle w:val="SourceNote"/>
      </w:pPr>
      <w:r>
        <w:rPr>
          <w:b/>
        </w:rPr>
        <w:t>Original source (2016):</w:t>
      </w:r>
      <w:r>
        <w:t xml:space="preserve"> https://doi.org/10.1177/201395251600700311</w:t>
      </w:r>
    </w:p>
    <w:p>
      <w:pPr/>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POSSIBLE 2026:</w:t>
      </w:r>
      <w:r>
        <w:t xml:space="preserve"> D2.3 Ethical and Legal Evaluation and Recommendation Report — https://openalex.org/W7213823402</w:t>
      </w:r>
    </w:p>
    <w:p>
      <w:pPr/>
      <w:r>
        <w:rPr>
          <w:b/>
        </w:rPr>
        <w:t>Shared claim-specific concepts:</w:t>
      </w:r>
      <w:r>
        <w:t xml:space="preserve"> evaluation, recommendation, well, possible; EU scope not established. This is a provisional connection, not an outcome finding.</w:t>
      </w:r>
    </w:p>
    <w:p>
      <w:pPr>
        <w:pStyle w:val="SourceNote"/>
      </w:pPr>
      <w:r>
        <w:rPr>
          <w:b/>
        </w:rPr>
        <w:t>Available abstract (not full text):</w:t>
      </w:r>
      <w:r>
        <w:t xml:space="preserve"> To ensure sustainable use of novel technologies, it is crucial to identify potential legal and ethical issues and mitigate them as early as possible in the development stage. Having this in mind, the project has adopted a privacy- and data-protection-by-design approach, as well as an ethics-by-design approach. Against this background, the goal of the deliverable D2.3, which derives from task T2.3, is twofold. Firstly, it aims to provide an assessment of the legal and ethical considerations within the project. It demonstrates how the CYLCOMED project has integrated the identified legal and ethical requirements. In other words, the deliverable D2.3 presents the evaluation of the implementation of the identified legal and ethical requirements in the Deliverable D2.1, “Analysis of Ethical, Legal and Data Protection Frameworks”, and Deliverable D2.2, “Examination of Ethical, Legal and Data Protection Requirements”. As such, it should be read in conjunction with the deliverables mentioned above. Secondly, this evaluation will highlight shortcomings in the current regulatory framework and provide policymakers and lawmakers with recommendations to improve the existing rules and policies. In doing so, special attention will be paid to the MDCG 2019-16 Guidance on Cybersecurity for Medical Devices.</w:t>
      </w:r>
    </w:p>
    <w:p>
      <w:pPr/>
      <w:r>
        <w:rPr>
          <w:b/>
        </w:rPr>
        <w:t>POSSIBLE 2026:</w:t>
      </w:r>
      <w:r>
        <w:t xml:space="preserve"> THE IMPACT OF MERGERS AND ACQUISITIONS ON THE PERFORMANCE OF EUROPEAN PHARMACEUTICAL COMPANIES: A CURRENT STATUS REVIEW — https://doi.org/10.36871/ek.up.p.r.2026.01.02.004</w:t>
      </w:r>
    </w:p>
    <w:p>
      <w:pPr/>
      <w:r>
        <w:rPr>
          <w:b/>
        </w:rPr>
        <w:t>Shared claim-specific concepts:</w:t>
      </w:r>
      <w:r>
        <w:t xml:space="preserve"> view, evaluation, well, review, about; EU scope visible. This is a provisional connection, not an outcome finding.</w:t>
      </w:r>
    </w:p>
    <w:p>
      <w:pPr>
        <w:pStyle w:val="SourceNote"/>
      </w:pPr>
      <w:r>
        <w:rPr>
          <w:b/>
        </w:rPr>
        <w:t>Available abstract (not full text):</w:t>
      </w:r>
      <w:r>
        <w:t xml:space="preserve"> The purpose of the study is to generalize and systematize scientific ideas about the impact of mergers and acquisitions on the effectiveness of European pharmaceutical companies based on the analysis of modern empirical and theoretical works. The research materials include scientific publications on mergers and acquisitions in the pharmaceutical industry in Europe, as well as research results on the pricing, innovation and corporate effects of mergers and acquisitions. The article uses methods of comparative and structural analysis, deductive generalization, and analytical comparison of studies. Research result: a holistic view of the multidimensional nature of the impact of mergers and acquisitions on the effectiveness of pharmaceutical companies has been formed, taking into account differences in indicators and evaluation horizons. Conclusions: a) the effectiveness of mergers and acquisitions in the European pharmaceutical industry is not reduced to a single indicator; b) discrepancies in research results are due to differences in methods and interpretations; c) a correct assessment of the impact of mergers and acquisitions involves taking into account management decisions after their completion.</w:t>
      </w:r>
    </w:p>
    <w:p>
      <w:pPr/>
      <w:r>
        <w:rPr>
          <w:b/>
        </w:rPr>
        <w:t>POSSIBLE 2025:</w:t>
      </w:r>
      <w:r>
        <w:t xml:space="preserve"> Recommendations for digital inclusion in the use of European digital public services — https://doi.org/10.1057/s41599-025-04576-7</w:t>
      </w:r>
    </w:p>
    <w:p>
      <w:pPr/>
      <w:r>
        <w:rPr>
          <w:b/>
        </w:rPr>
        <w:t>Shared claim-specific concepts:</w:t>
      </w:r>
      <w:r>
        <w:t xml:space="preserve"> review, evaluating; EU scope visible. This is a provisional connection, not an outcome finding.</w:t>
      </w:r>
    </w:p>
    <w:p>
      <w:pPr>
        <w:pStyle w:val="SourceNote"/>
      </w:pPr>
      <w:r>
        <w:rPr>
          <w:b/>
        </w:rPr>
        <w:t>Available abstract (not full text):</w:t>
      </w:r>
      <w:r>
        <w:t xml:space="preserve"> This study examines digital public services within the European Union, focusing on digital inclusion and the barriers preventing widespread e-government adoption. A significant knowledge gap exists in understanding the interaction between citizens and digital public services, particularly for vulnerable groups, and in evaluating the impact of regional and sector-specific factors. The research employs a mixed-methods approach, including a systematic review based on PRISMA methodology, a document analysis of the digital and programs of the European Union and the Member States, 33 semi-structured expert interviews, and a survey targeting Spanish intermediate leaders, to explore digital divides in access, skills, and outcomes. Key findings reveal that barriers such as limited digital skills, access to technology, and inadequate service design disproportionately affect the elderly, low-income populations, and those with minimal education. Eighteen recommendations have been proposed, associated to five indicators of the model proposed to evaluate the key dimensions of e- government adoption and digital inclusion: internet access, digital skills, user interaction, social drivers and barriers, and outcomes. The recommendations include, among others, enhancing digital skills through tailored training programs, involving the third sector, simplifying service interfaces, and promoting a h</w:t>
      </w:r>
    </w:p>
    <w:p>
      <w:pPr/>
      <w:r>
        <w:rPr>
          <w:b/>
        </w:rPr>
        <w:t>POSSIBLE 2025:</w:t>
      </w:r>
      <w:r>
        <w:t xml:space="preserve"> Guiding AI in radiology: ESR’s recommendations for effective implementation of the European AI Act — https://doi.org/10.1186/s13244-025-01905-x</w:t>
      </w:r>
    </w:p>
    <w:p>
      <w:pPr/>
      <w:r>
        <w:rPr>
          <w:b/>
        </w:rPr>
        <w:t>Shared claim-specific concepts:</w:t>
      </w:r>
      <w:r>
        <w:t xml:space="preserve"> offers, relevance, field; EU scope visible. This is a provisional connection, not an outcome finding.</w:t>
      </w:r>
    </w:p>
    <w:p>
      <w:pPr>
        <w:pStyle w:val="SourceNote"/>
      </w:pPr>
      <w:r>
        <w:rPr>
          <w:b/>
        </w:rPr>
        <w:t>Available abstract (not full text):</w:t>
      </w:r>
      <w:r>
        <w:t xml:space="preserve"> This statement has been produced within the European Society of Radiology AI Working Group and identifies the key policies of the EU AI Act as they pertain to medical imaging. It offers specific recommendations to policymakers and the professional community for the effective implementation of the legislation, addressing potential gaps and uncertainties. Key areas include AI literacy, classification rules for high-risk AI systems, data governance, transparency, human oversight, quality management, deployer obligations, regulatory sandboxes, post-market monitoring, information sharing, and market surveillance. By proposing actionable solutions, the statement highlights ESR's readiness in supporting appropriate application of the AI Act in the field, promoting clarity and the effective integration of AI technologies to ensure their impactful and safe use for the benefit of Europe's patients. CRITICAL RELEVANCE STATEMENT: With the impending arrival of the EU AI Act, it is critical for stakeholders to provide timely input on its key areas. This statement offers expert feedback on the aspects of the EU AI Act that will affect medical imaging. KEY POINTS: The AI Act will significantly impact the field of medical imaging, shaping how AI technologies are used and regulated. The ESR is committed to develop guidelines and best practices, collaborating on the implementation process. This s</w:t>
      </w:r>
    </w:p>
    <w:p>
      <w:pPr/>
      <w:r>
        <w:rPr>
          <w:b/>
        </w:rPr>
        <w:t>POSSIBLE 2025:</w:t>
      </w:r>
      <w:r>
        <w:t xml:space="preserve"> Impact of insomnia: Cultural and societal aspects from a European survey — https://doi.org/10.1016/j.encep.2025.01.004</w:t>
      </w:r>
    </w:p>
    <w:p>
      <w:pPr/>
      <w:r>
        <w:rPr>
          <w:b/>
        </w:rPr>
        <w:t>Shared claim-specific concepts:</w:t>
      </w:r>
      <w:r>
        <w:t xml:space="preserve"> elements, about; EU scope visible. This is a provisional connection, not an outcome finding.</w:t>
      </w:r>
    </w:p>
    <w:p>
      <w:pPr>
        <w:pStyle w:val="SourceNote"/>
      </w:pPr>
      <w:r>
        <w:rPr>
          <w:b/>
        </w:rPr>
        <w:t>Available abstract (not full text):</w:t>
      </w:r>
      <w:r>
        <w:t xml:space="preserve"> This European study explored the cultural and societal aspects of chronic insomnia by means of a survey undertaken in France, Germany, Italy, Spain, and the United Kingdom. The primary objectives were to understand the impact of insomnia on the daily lives of patients, both personally and professionally, and to evaluate the patients’ perceptions and coping strategies thus identifying cultural differences in the management of this disorder. Based on online panels targeting insomnia sufferers, the survey included 755 patients aged 35 to 65 years with moderate to severe insomnia for at least three months, occurring at least three times per week (DSM-5 criteria for insomnia disorder, ISI score 15–28). Topics covered included the impact of insomnia on daily life, strategies for coping and managing insomnia, and patients’ perceptions and views of insomnia. A total of 755 patients completed the questionnaire. Most respondents were women (70%) and between 35 and 49 years of age (50%). About half of the patients (49%) had severe insomnia, with 49% experiencing it for over three years. Nearly 70% did not initially consider their insomnia serious, and 73% believed their condition would improve over time. Stress (39%), difficulty relaxing in the evening (37%), and a rapid flow of thoughts (37%) were identified as the main causes of insomnia. Insomnia was shown to significantly affect daily</w:t>
      </w:r>
    </w:p>
    <w:p>
      <w:pPr/>
      <w:r>
        <w:rPr>
          <w:b/>
        </w:rPr>
        <w:t>POSSIBLE 2025:</w:t>
      </w:r>
      <w:r>
        <w:t xml:space="preserve"> Evaluation of 15-months of flash flood impact forecasts over Europe — https://doi.org/10.5194/egusphere-egu25-19188</w:t>
      </w:r>
    </w:p>
    <w:p>
      <w:pPr/>
      <w:r>
        <w:rPr>
          <w:b/>
        </w:rPr>
        <w:t>Shared claim-specific concepts:</w:t>
      </w:r>
      <w:r>
        <w:t xml:space="preserve"> view, evaluation; EU scope visible. This is a provisional connection, not an outcome finding.</w:t>
      </w:r>
    </w:p>
    <w:p>
      <w:pPr>
        <w:pStyle w:val="SourceNote"/>
      </w:pPr>
      <w:r>
        <w:rPr>
          <w:b/>
        </w:rPr>
        <w:t>Available abstract (not full text):</w:t>
      </w:r>
      <w:r>
        <w:t xml:space="preserve"> The EDERA project, funded by the EU Civil Protection Mechanism, has focused on the use of real-time products for forecasting and monitoring the impacts of storms, heavy rainfall and flash floods to support emergency management. The project ran a 15 months demonstration in real time with European coverage and involved the participation of several end-users (with responsibilities at regional or national level). The study presents the main results obtained during the demonstration period from the point of view of the skill of the products to identify/anticipate the occurrence of the most significant events, and the magnitude of the resulting impacts.</w:t>
      </w:r>
    </w:p>
    <w:p>
      <w:pPr/>
      <w:r>
        <w:rPr>
          <w:b/>
        </w:rPr>
        <w:t>POSSIBLE 2025:</w:t>
      </w:r>
      <w:r>
        <w:t xml:space="preserve"> #REval: A Semantic Evaluation Framework for Hashtag Recommendation — https://doi.org/10.1109/tkde.2025.3553683</w:t>
      </w:r>
    </w:p>
    <w:p>
      <w:pPr/>
      <w:r>
        <w:rPr>
          <w:b/>
        </w:rPr>
        <w:t>Shared claim-specific concepts:</w:t>
      </w:r>
      <w:r>
        <w:t xml:space="preserve"> evaluation, recommendation, evaluating; EU scope not established. This is a provisional connection, not an outcome finding.</w:t>
      </w:r>
    </w:p>
    <w:p>
      <w:pPr>
        <w:pStyle w:val="SourceNote"/>
      </w:pPr>
      <w:r>
        <w:rPr>
          <w:b/>
        </w:rPr>
        <w:t>Available abstract (not full text):</w:t>
      </w:r>
      <w:r>
        <w:t xml:space="preserve"> Automatic evaluation of hashtag recommendation models is a fundamental task in Twitter. In the traditional evaluation methods, the recommended hashtags from an algorithm are first compared with the ground truth hashtags for exact correspondences. The number of exact matches is then used to calculate the hit rate, hit ratio, precision, recall, or F1-score. This way of evaluating hashtag similarities is inadequate as it ignores the semantic correlation between the recommended and ground truth hashtags. To tackle this problem, we propose a novel semantic evaluation framework for hashtag recommendation, called #REval. This framework includes an internal module referred to asBERTag, which automatically learns the hashtag embeddings. We investigate on how the #REval framework performs under different word embedding methods and different numbers of synonyms and hashtags in the recommendation using our proposed #REval-hit-ratio measure. Our experiments of the proposed framework on three large datasets show that #REval gave more meaningful hashtag synonyms for hashtag recommendation evaluation. Our analysis also highlights the sensitivity of the framework to the word embedding technique, with #REval based on BERTag more superior over #REval based on Word2Vec, FastText, and GloVe.</w:t>
      </w:r>
    </w:p>
    <w:p>
      <w:pPr/>
      <w:r>
        <w:rPr>
          <w:b/>
        </w:rPr>
        <w:t>POSSIBLE 2025:</w:t>
      </w:r>
      <w:r>
        <w:t xml:space="preserve"> Impacts of reduced livestock density on European agriculture and the environment — https://doi.org/10.1016/j.agsy.2025.104299</w:t>
      </w:r>
    </w:p>
    <w:p>
      <w:pPr/>
      <w:r>
        <w:rPr>
          <w:b/>
        </w:rPr>
        <w:t>Shared claim-specific concepts:</w:t>
      </w:r>
      <w:r>
        <w:t xml:space="preserve"> view, evaluation; EU scope visible. This is a provisional connection, not an outcome finding.</w:t>
      </w:r>
    </w:p>
    <w:p>
      <w:pPr>
        <w:pStyle w:val="SourceNote"/>
      </w:pPr>
      <w:r>
        <w:rPr>
          <w:b/>
        </w:rPr>
        <w:t>Available abstract (not full text):</w:t>
      </w:r>
      <w:r>
        <w:t xml:space="preserve"> The European Green Deal (EGD) and Common Agricultural Policy (CAP) reforms aim to achieve substantial environmental and climate objectives, requiring changes in agricultural practices. Livestock density limits could be one of the measures to reduce adverse environmental impacts associated with intensive livestock production, particularly nitrogen pollution and greenhouse gas (GHG) emissions. This study examines the effects of imposing maximum limits on livestock units (LSU) per hectare of utilized agricultural area (UAA) across the EU. The analysis focuses on both the economic and environmental impacts of livestock density restrictions, with particular emphasis on their influence on production, nitrogen surplus, ammonia emissions, nitrate leaching, and GHG emissions. Using the Common Agricultural Policy Regional Impact Analysis (CAPRI) model, a detailed agricultural sector model, the study simulates impacts of different livestock density thresholds (2 LSU/ha and 1.4 LSU/ha) at regional and grid levels. The model facilitates an evaluation of the potential changes in production, market prices, trade dynamics, and environmental indicators, providing a comprehensive view of the policy's potential outcomes. Implementing livestock density limits results in reduced EU livestock numbers, particularly affecting the pig sector, with subsequent decreases in production of animal products a</w:t>
      </w:r>
    </w:p>
    <w:p>
      <w:pPr/>
      <w:r>
        <w:rPr>
          <w:b/>
        </w:rPr>
        <w:t>POSSIBLE 2025:</w:t>
      </w:r>
      <w:r>
        <w:t xml:space="preserve"> Implementation Toolkit for the OECD Recommendation on Public Policy Evaluation — https://doi.org/10.1787/77faa4fe-en</w:t>
      </w:r>
    </w:p>
    <w:p>
      <w:pPr/>
      <w:r>
        <w:rPr>
          <w:b/>
        </w:rPr>
        <w:t>Shared claim-specific concepts:</w:t>
      </w:r>
      <w:r>
        <w:t xml:space="preserve"> evaluation, recommendation, learning, offers, action; EU scope not established. This is a provisional connection, not an outcome finding.</w:t>
      </w:r>
    </w:p>
    <w:p>
      <w:pPr>
        <w:pStyle w:val="SourceNote"/>
      </w:pPr>
      <w:r>
        <w:rPr>
          <w:b/>
        </w:rPr>
        <w:t>Available abstract (not full text):</w:t>
      </w:r>
      <w:r>
        <w:t xml:space="preserve"> ​The Implementation Toolkit for the OECD Recommendation offers practical guidance for government officials and evaluators seeking to improve their evaluation capacities and systems, by enabling a deeper understanding of their strengths and weaknesses and learning from OECD member country experiences and trends. The toolkit supports the practical implementation of the principles contained in the 2022 OECD Recommendation on Public Policy Evaluation, which is the first international standard aimed at driving the establishment of robust institutions and practices that promote the use of public policy evaluations. Together, the Recommendation and this accompanying toolkit seek to help governments build a culture of continuous learning and evidence-informed policymaking, potentially leading to more impactful policies and greater trust in government action.​</w:t>
      </w:r>
    </w:p>
    <w:p>
      <w:pPr/>
      <w:r>
        <w:rPr>
          <w:b/>
        </w:rPr>
        <w:t>POSSIBLE 2024:</w:t>
      </w:r>
      <w:r>
        <w:t xml:space="preserve"> More (of) Democracy: European Citizens’ Views and Evaluations of Democracy — https://doi.org/10.46630/gsoc.32.2024.01</w:t>
      </w:r>
    </w:p>
    <w:p>
      <w:pPr/>
      <w:r>
        <w:rPr>
          <w:b/>
        </w:rPr>
        <w:t>Shared claim-specific concepts:</w:t>
      </w:r>
      <w:r>
        <w:t xml:space="preserve"> view, well, elements; EU scope visible. This is a provisional connection, not an outcome finding.</w:t>
      </w:r>
    </w:p>
    <w:p>
      <w:pPr>
        <w:pStyle w:val="SourceNote"/>
      </w:pPr>
      <w:r>
        <w:rPr>
          <w:b/>
        </w:rPr>
        <w:t>Available abstract (not full text):</w:t>
      </w:r>
      <w:r>
        <w:t xml:space="preserve"> Social and political theory recognizes several conjunctural, as well as long-term factors that shape how citizens conceptualize democracy and what they expect from it. Based on Round 10 of the European Social Survey, we analyse how Europeans view and evaluate democracy, distinguishing liberal (basic) model and several additions, such as social-democratic, participatory and populist models (that we analyse integrated as alternative model of democracy). We explore whether liberal and alternative models of democracy are mutually complementary or exclusionary, and which model prevails, but also to what extent there are discrepancies between the normative elements and evaluated outcomes. The paper examines whether and how the length of historical experience with democracy (operationalized through different waves of democratization) influences the predominant normative of democracy, as well as evaluations of the implemented standards. Finally, in the last section, the aim of the analysis is to draw conclusions on the profile of both proponents of liberal and alternative models of democracy but also of critical citizens, who value democracy as an ideal, while remaining wary in terms of its empirical manifestations.</w:t>
      </w:r>
    </w:p>
    <w:p>
      <w:pPr/>
      <w:r>
        <w:rPr>
          <w:b/>
        </w:rPr>
        <w:t>POSSIBLE 2024:</w:t>
      </w:r>
      <w:r>
        <w:t xml:space="preserve"> Evaluation of the quality and impact of online learning through the SAFE EUROPE webinars — https://doi.org/10.1016/j.radi.2024.03.011</w:t>
      </w:r>
    </w:p>
    <w:p>
      <w:pPr/>
      <w:r>
        <w:rPr>
          <w:b/>
        </w:rPr>
        <w:t>Shared claim-specific concepts:</w:t>
      </w:r>
      <w:r>
        <w:t xml:space="preserve"> evaluation, learning; EU scope visible. This is a provisional connection, not an outcome finding.</w:t>
      </w:r>
    </w:p>
    <w:p>
      <w:pPr>
        <w:pStyle w:val="SourceNote"/>
      </w:pPr>
      <w:r>
        <w:rPr>
          <w:b/>
        </w:rPr>
        <w:t>Available abstract (not full text):</w:t>
      </w:r>
      <w:r>
        <w:t xml:space="preserve"> INTRODUCTION: The SAFE EUROPE project, a European-funded project, addressed educational gaps of Therapeutic Radiographers/Radiation Therapists (TR/RTTs) by offering a series of free webinars. This study aimed to assess the quality of these webinars and their impact on professional practice. METHODS: Data collection involved two methods: an automated feedback form administered after each webinar, supplemented by a survey disseminated through social media. The collected data encompassed attendance statistics, participants' professions and geographic locations, webinar quality assessment, the acquisition of new knowledge and skills, the application of this newfound knowledge in practice, and the likelihood of recommending these webinars. Descriptive statistics and thematic analysis were used to analyse the quantitative and qualitative data, respectively. Ethical approval for the study was obtained. RESULTS: 11,286 individuals from 107 countries participated in 18 webinars. Despite 72.7% being radiographers, a diverse array of professionals attended the webinars, including medical physicists, oncologists, radiologists, and academics. Remarkably, 98.7% of respondents rated the webinar quality as either good or excellent. The average rating for the likelihood of recommending these webinars to colleagues was 8.96/10. A substantial proportion of respondents expressed agreement or stron</w:t>
      </w:r>
    </w:p>
    <w:p>
      <w:pPr/>
      <w:r>
        <w:rPr>
          <w:b/>
        </w:rPr>
        <w:t>POSSIBLE 2024:</w:t>
      </w:r>
      <w:r>
        <w:t xml:space="preserve"> PD39-09 THE TRANS-ATLANTIC RECOMMENDATIONS FOR PROSTATE GLAND EVALUATION WITH MRI AFTER FOCAL THERAPY (TARGET) INTERNATIONAL CONSENSUS RECOMMENDATIONS — https://doi.org/10.1097/01.ju.0001008924.16121.42.09</w:t>
      </w:r>
    </w:p>
    <w:p>
      <w:pPr/>
      <w:r>
        <w:rPr>
          <w:b/>
        </w:rPr>
        <w:t>Shared claim-specific concepts:</w:t>
      </w:r>
      <w:r>
        <w:t xml:space="preserve"> view, evaluation, december, validation; EU scope visible. This is a provisional connection, not an outcome finding.</w:t>
      </w:r>
    </w:p>
    <w:p>
      <w:pPr>
        <w:pStyle w:val="SourceNote"/>
      </w:pPr>
      <w:r>
        <w:rPr>
          <w:b/>
        </w:rPr>
        <w:t>Available abstract (not full text):</w:t>
      </w:r>
      <w:r>
        <w:t xml:space="preserve"> You have accessJournal of UrologyProstate Cancer: Localized: Ablative Therapy II (PD39)1 May 2024PD39-09 THE TRANS-ATLANTIC RECOMMENDATIONS FOR PROSTATE GLAND EVALUATION WITH MRI AFTER FOCAL THERAPY (TARGET) INTERNATIONAL CONSENSUS RECOMMENDATIONS Alexander Light, Nikhil N. Mayor, Emma Cullen, Jan van der Meulen, Taimur T. Shah, and Hashim U. Ahmed Alexander LightAlexander Light , Nikhil N. MayorNikhil N. Mayor , Emma CullenEmma Cullen , Jan van der MeulenJan van der Meulen , Taimur T. ShahTaimur T. Shah , and Hashim U. AhmedHashim U. Ahmed View All Author Informationhttps://doi.org/10.1097/01.JU.0001008924.16121.42.09AboutPDF ToolsAdd to favoritesDownload CitationsTrack CitationsPermissionsReprints ShareFacebookLinked InTwitterEmail Abstract INTRODUCTION AND OBJECTIVE: After focal therapy for prostate cancer, patients require close surveillance in case of tumor recurrence. Prostate MRI is key, but there exists no robust guidance for its use. We used consensus methodology and an international, multi-disciplinary, expert panel to derive new recommendations for the conduct and interpretation of MRI post-focal therapy. METHODS: The RAND/UCLA Appropriateness Method was used to conduct a 2-round consensus study. 24 panellists from 7 countries across Europe and North America participated, comprising 13 radiologists, 10 urologists, and 1 pathologist. Focal therapy experience spanned 8</w:t>
      </w:r>
    </w:p>
    <w:p>
      <w:pPr>
        <w:pStyle w:val="Heading2"/>
      </w:pPr>
      <w:r>
        <w:t>875. The state of democracy in the European Union in scenarios: federation, empire and Europe à la carte</w:t>
      </w:r>
    </w:p>
    <w:p>
      <w:pPr>
        <w:pStyle w:val="SourceNote"/>
      </w:pPr>
      <w:r>
        <w:rPr>
          <w:b/>
        </w:rPr>
        <w:t>Original source (2016):</w:t>
      </w:r>
      <w:r>
        <w:t xml:space="preserve"> https://doi.org/10.31338/1641-2478pe.4.15.5</w:t>
      </w:r>
    </w:p>
    <w:p>
      <w:pPr/>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Beyond dualism: the hybridization of technocracy and democracy in Europe — https://doi.org/10.1017/s1755773926100514</w:t>
      </w:r>
    </w:p>
    <w:p>
      <w:pPr/>
      <w:r>
        <w:rPr>
          <w:b/>
        </w:rPr>
        <w:t>Shared claim-specific concepts:</w:t>
      </w:r>
      <w:r>
        <w:t xml:space="preserve"> article, democracy, develop; EU scope visible. This is a provisional connection, not an outcome finding.</w:t>
      </w:r>
    </w:p>
    <w:p>
      <w:pPr>
        <w:pStyle w:val="SourceNote"/>
      </w:pPr>
      <w:r>
        <w:rPr>
          <w:b/>
        </w:rPr>
        <w:t>Available abstract (not full text):</w:t>
      </w:r>
      <w:r>
        <w:t xml:space="preserve"> Abstract This article investigates the structural hybridization of technocracy and democracy in European governance. Moving beyond normative and binary accounts that frame the two as mutually exclusive, we conceptualize their relationship as a systemic, relational, internal, and processual dynamic. Building on this framework, we develop a typology of four ideal-type governance configurations – techno-dominant, demo-dominant, high-intensity hybrid, and low-intensity hybrid – which captures the co-evolution and institutional entanglement of democratic and technocratic logics. Empirically, we construct original composite indices of technocracy and democracy using V-Dem data, and apply them to 893 country-year observations across the EU27 and the United Kingdom (1989–2024). The findings reveal significant regional variation and temporally differentiated trajectories of hybrid governance, shaped in part by major crises. Our typology offers a replicable tool for classifying governance regimes and invites further inquiry into how hybrid forms condition democratic legitimacy, institutional resilience, and the evolving architecture of political authority in the twenty-first century.</w:t>
      </w:r>
    </w:p>
    <w:p>
      <w:pPr/>
      <w:r>
        <w:rPr>
          <w:b/>
        </w:rPr>
        <w:t>POSSIBLE 2026:</w:t>
      </w:r>
      <w:r>
        <w:t xml:space="preserve"> Freedom of Expression and speech threatened in Europe — https://doi.org/10.52224/21845263/rev45a4</w:t>
      </w:r>
    </w:p>
    <w:p>
      <w:pPr/>
      <w:r>
        <w:rPr>
          <w:b/>
        </w:rPr>
        <w:t>Shared claim-specific concepts:</w:t>
      </w:r>
      <w:r>
        <w:t xml:space="preserve"> article, present, democracy;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Media, Populism and European Democracy — https://doi.org/10.3726/b23640</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The book offers insight into different relevant issues related to recent developments in the political and media space in Europe. The authors are interested in how these phenomena affect the future of the democratic system and the general development of the European Union. The special focus is on populism as one of the most discussed political phenomena in recent years. The assumption is that the rise of populism in Europe is a reaction to the anomalies and consequences of globalisation as well as a symptom of the crisis of established politics. Furthermore, the spread of populist messages is related to the profound change the media space is facing, particularly with the crisis of traditional media. Populists utilise different media channels that often serve to spread disinformation. Strengthening European democracy requires improving institutional effectiveness, responsiveness and accountability toward the citizenry, as well as building a European identity.</w:t>
      </w:r>
    </w:p>
    <w:p>
      <w:pPr/>
      <w:r>
        <w:rPr>
          <w:b/>
        </w:rPr>
        <w:t>POSSIBLE 2026:</w:t>
      </w:r>
      <w:r>
        <w:t xml:space="preserve"> The European Commission and Dissensus over Liberal Democracy — https://doi.org/10.1007/978-3-032-22481-1_15</w:t>
      </w:r>
    </w:p>
    <w:p>
      <w:pPr/>
      <w:r>
        <w:rPr>
          <w:b/>
        </w:rPr>
        <w:t>Shared claim-specific concepts:</w:t>
      </w:r>
      <w:r>
        <w:t xml:space="preserve"> article, democracy, polity; EU scope visible. This is a provisional connection, not an outcome finding.</w:t>
      </w:r>
    </w:p>
    <w:p>
      <w:pPr>
        <w:pStyle w:val="SourceNote"/>
      </w:pPr>
      <w:r>
        <w:rPr>
          <w:b/>
        </w:rPr>
        <w:t>Available abstract (not full text):</w:t>
      </w:r>
      <w:r>
        <w:t xml:space="preserve"> Abstract As guardian of the EU treaties, the European Commission has a key role to play in order to uphold the rule of law, and therefore also finds itself at the forefront when it comes to dissensus over liberal democracy in the Union. The Commission, in order to protect core European values as enshrined in Article 2 TEU, has a number of instruments at its disposal, ranging from soft law such as the rule of law framework and annual reports to binding and indeed punitive sanctions such as infringement procedures, the general regime of conditionality, and the budgetary horizontal enabling conditions. Against this background, the chapter examines the internal and inter-institutional tensions surrounding the Commission’s role in responding to encroachments on liberal democracy. The chapter starts with a review of the Commission’s formal powers pursuant to the EU treaties, its composition and role in the EU’s polity and the mechanisms established to ensure the institution’s internal cohesion, before proceeding to compare and contrast the Commission’s role with respect to two specific crises confronted by the EU over the past decade: the sovereign debt crisis in the Eurozone and the Rule of Law crisis. The chapter concludes that while the Commission’s principled commitment to the values of liberal democracy remains deeply entrenched, there is a significant degree of ambivalence in t</w:t>
      </w:r>
    </w:p>
    <w:p>
      <w:pPr/>
      <w:r>
        <w:rPr>
          <w:b/>
        </w:rPr>
        <w:t>POSSIBLE 2026:</w:t>
      </w:r>
      <w:r>
        <w:t xml:space="preserve"> Sustainability in EU Competition Law : An Analysis of Article 102 TFEU in Light of the European Green Deal — https://openalex.org/W7131733282</w:t>
      </w:r>
    </w:p>
    <w:p>
      <w:pPr/>
      <w:r>
        <w:rPr>
          <w:b/>
        </w:rPr>
        <w:t>Shared claim-specific concepts:</w:t>
      </w:r>
      <w:r>
        <w:t xml:space="preserve"> aim, article, different; EU scope visible. This is a provisional connection, not an outcome finding.</w:t>
      </w:r>
    </w:p>
    <w:p>
      <w:pPr>
        <w:pStyle w:val="SourceNote"/>
      </w:pPr>
      <w:r>
        <w:rPr>
          <w:b/>
        </w:rPr>
        <w:t>Available abstract (not full text):</w:t>
      </w:r>
      <w:r>
        <w:t xml:space="preserve"> The European Commission presented the European Green Deal in 2019 with the ultimate goal of achieving net zero greenhouse gas emissions by 2050. For this reason, the possibility of considering sustainability in EU competition law have received increasing attention in recent years. The aim of this thesis is to examine the role of environmental sustainability in assessments of abuse of dominance under Article 102 in the Treaty on the Functioning of the European Union [TFEU]. The discussion is commonly framed as using sustainability as a ‘sword’, prohibiting unsustainable conduct by dominant undertakings, and as a ‘shield’, allowing dominant undertakings to objectively justify prima facie abusive conduct where it promotes sustainability. Article 102 TFEU applies to conduct by undertakings, that is, entities engaged in economic activity, that are dominant on the relevant market. Abuse consists of conduct that is objectively capable of affecting trade between EU member states and harming on competition. The illustrative list of abuses in Article 102 TFEU covers exploitative abuses, directly harming consumers and exclusionary abuses, indirectly harming consumers by distorting market structure. To what extent sustainability is to be taken into account under Article 102 TFEU depends on the adopted competition law theory. While competition law has traditionally been understood as pursui</w:t>
      </w:r>
    </w:p>
    <w:p>
      <w:pPr/>
      <w:r>
        <w:rPr>
          <w:b/>
        </w:rPr>
        <w:t>POSSIBLE 2025:</w:t>
      </w:r>
      <w:r>
        <w:t xml:space="preserve"> Battleground Europe: the rise of anti-woke movements and their threat to democracy — https://doi.org/10.3389/fpos.2025.1568816</w:t>
      </w:r>
    </w:p>
    <w:p>
      <w:pPr/>
      <w:r>
        <w:rPr>
          <w:b/>
        </w:rPr>
        <w:t>Shared claim-specific concepts:</w:t>
      </w:r>
      <w:r>
        <w:t xml:space="preserve"> democracy, politics; EU scope visible. This is a provisional connection, not an outcome finding.</w:t>
      </w:r>
    </w:p>
    <w:p>
      <w:pPr>
        <w:pStyle w:val="SourceNote"/>
      </w:pPr>
      <w:r>
        <w:rPr>
          <w:b/>
        </w:rPr>
        <w:t>Available abstract (not full text):</w:t>
      </w:r>
      <w:r>
        <w:t xml:space="preserve"> In 2003, within Black communities, the term "woke" served as a vital reminder to remain alert to the systemic police brutality targeting Black people in the United States (Allen, 2023). It symbolised the commitment of those dedicated to social justice and remaining vigilant. During the resurgence of the Black Lives Matter (BLM) movement in 2020-sparked by the murder of George Floyd, a Black American man who was fatally asphyxiated in Minneapolis on 25 May 2020 after police officer Derek Chauvin knelt on his neck and back for more than nine minutes-the term regained prominence, reinforcing its original meaning (Madrid Gil, 2023).Since then, the word has spread rapidly, demonstrating how digital activism has globalised the language of social justice while intertwining with Europe's historical and contemporary challenges with racism, colonialism, and identity politics. Its evolution has expanded well beyond its American origins, moulding European political and cultural discourse (Madrid Gil, 2023) even as it has encountered significant resistance. Conservative actors increasingly adopt the so-called "antiwoke" rhetoric to attack issues they deem incompatible with societal norms, often invoking free speech as justification (Steel, 2023). This stance has resulted in efforts to marginalise LGBTQ+ rights, restrict migration, and condemn Islam, with some of these views frequently accom</w:t>
      </w:r>
    </w:p>
    <w:p>
      <w:pPr/>
      <w:r>
        <w:rPr>
          <w:b/>
        </w:rPr>
        <w:t>POSSIBLE 2025:</w:t>
      </w:r>
      <w:r>
        <w:t xml:space="preserve"> Polarization and Democracy in Central Europe — https://doi.org/10.17645/pag.9560</w:t>
      </w:r>
    </w:p>
    <w:p>
      <w:pPr/>
      <w:r>
        <w:rPr>
          <w:b/>
        </w:rPr>
        <w:t>Shared claim-specific concepts:</w:t>
      </w:r>
      <w:r>
        <w:t xml:space="preserve"> article, democracy, distinguishing; EU scope visible. This is a provisional connection, not an outcome finding.</w:t>
      </w:r>
    </w:p>
    <w:p>
      <w:pPr>
        <w:pStyle w:val="SourceNote"/>
      </w:pPr>
      <w:r>
        <w:rPr>
          <w:b/>
        </w:rPr>
        <w:t>Available abstract (not full text):</w:t>
      </w:r>
      <w:r>
        <w:t xml:space="preserve"> This article examines the dual role of polarization in fostering political mobilization for and against democracy in Central and Eastern Europe. Populist movements in this region often drive democratic decline, yet, notable cases, such as electoral victories in Czechia (2021) and Poland (2023), suggest that civil society can counter these trends. Following Schedler (2023), we perceive polarization as a fundamental democratic conflict about democratic norms and values. This study investigated how varying forms of polarization— ideological, affective, intransigent, and partisan sorting—affected the mobilization dynamics for and against democracy. We highlight that polarization affected mobilization for democracy more strongly than mobilization for autocracy—i.e., civil society successfully mobilized against populism. In a critical case study of limited polarized pluralism in the 2023 Czechia presidential election between populist and anti‐populist candidates, affective and partisan sorting polarization were the strongest predictors of populist support, with anger at the political situation boosting votes for the populist candidate. At the same time, pro‐Ukrainian stances drove support for the anti‐populist candidate. Our findings revealed that affective polarization and partisan sorting significantly shaped mobilization outcomes, thereby impacting democratic resilience and decay.</w:t>
      </w:r>
    </w:p>
    <w:p>
      <w:pPr/>
      <w:r>
        <w:rPr>
          <w:b/>
        </w:rPr>
        <w:t>POSSIBLE 2025:</w:t>
      </w:r>
      <w:r>
        <w:t xml:space="preserve"> DEMOCRACY AND PROMOTING A DIALOGUE BETWEEN EUROPE AND AMERICA — https://doi.org/10.21134/czz5t890</w:t>
      </w:r>
    </w:p>
    <w:p>
      <w:pPr/>
      <w:r>
        <w:rPr>
          <w:b/>
        </w:rPr>
        <w:t>Shared claim-specific concepts:</w:t>
      </w:r>
      <w:r>
        <w:t xml:space="preserve"> article, democracy, notions; EU scope visible. This is a provisional connection, not an outcome finding.</w:t>
      </w:r>
    </w:p>
    <w:p>
      <w:pPr>
        <w:pStyle w:val="SourceNote"/>
      </w:pPr>
      <w:r>
        <w:rPr>
          <w:b/>
        </w:rPr>
        <w:t>Available abstract (not full text):</w:t>
      </w:r>
      <w:r>
        <w:t xml:space="preserve"> Although it is difficult to identify a clear concept of Democracy at an international level, and the relationship between Europe and Latin America is complex, promoting Democracy has been a factor that has fostered dialogue between the two regions. It might be interesting to understand if there is a common notion of Democracy. Firstly, the paper will examine the concept of Democracy at the international level from the UN Charter to Resolution 62/7. Secondly, the paper will compare this concept with notions emerging within the Council of Europe and the Organization of American States (OAS). The concept emerging at the international level is reflected in Article 3 of the Additional Protocol to the European Convention on Human Rights (ECHR), which was opened for signature by member states on March 20, 1952, in Paris, and in Article 23 of the American Convention on Human Rights. It was adopted within the framework of the Organization of American States (OAS) in San José, Costa Rica, in 1969, and it entered into force in 1978. Thirdly, the proposal will examine the interpretations offered by the European and Inter-American Courts of Human Rights.</w:t>
      </w:r>
    </w:p>
    <w:p>
      <w:pPr/>
      <w:r>
        <w:rPr>
          <w:b/>
        </w:rPr>
        <w:t>POSSIBLE 2025:</w:t>
      </w:r>
      <w:r>
        <w:t xml:space="preserve"> Why democracy does not work for everyone: Social status and support for democracy in Europe — https://doi.org/10.1590/1807-0191202531101</w:t>
      </w:r>
    </w:p>
    <w:p>
      <w:pPr/>
      <w:r>
        <w:rPr>
          <w:b/>
        </w:rPr>
        <w:t>Shared claim-specific concepts:</w:t>
      </w:r>
      <w:r>
        <w:t xml:space="preserve"> article, democracy, objective; EU scope visible. This is a provisional connection, not an outcome finding.</w:t>
      </w:r>
    </w:p>
    <w:p>
      <w:pPr>
        <w:pStyle w:val="SourceNote"/>
      </w:pPr>
      <w:r>
        <w:rPr>
          <w:b/>
        </w:rPr>
        <w:t>Available abstract (not full text):</w:t>
      </w:r>
      <w:r>
        <w:t xml:space="preserve"> Why do losers like democracy less than winners? Although the fact that social status influences support for democracy is empirically established, it is often overlooked in the literature. This article analyses the effects of subjective and objective social status on citizens' expectations and evaluations of democracy. Results show that low status citizens value democratic dimensions differently - they prefer social justice over liberal criteria. Low status citizens also evaluate the performance of their own democratic system in all dimensions significantly more critically than their higher status counterparts. These two effects combined create a larger 'distance' between low-status citizens' expectations and evaluations, especially in the social dimension, causing them to be more prone to democratic dissatisfaction. Moreover, subjective social position has a significantly stronger effect than objective position, pointing to the relevance of status perceptions for democratic attitudes.</w:t>
      </w:r>
    </w:p>
    <w:p>
      <w:pPr/>
      <w:r>
        <w:rPr>
          <w:b/>
        </w:rPr>
        <w:t>POSSIBLE 2025:</w:t>
      </w:r>
      <w:r>
        <w:t xml:space="preserve"> Influence of the European Union on queer politics of Eastern Europe — https://doi.org/10.1504/ijhrcs.2025.147396</w:t>
      </w:r>
    </w:p>
    <w:p>
      <w:pPr/>
      <w:r>
        <w:rPr>
          <w:b/>
        </w:rPr>
        <w:t>Shared claim-specific concepts:</w:t>
      </w:r>
      <w:r>
        <w:t xml:space="preserve"> article, different, politics; EU scope visible. This is a provisional connection, not an outcome finding.</w:t>
      </w:r>
    </w:p>
    <w:p>
      <w:pPr>
        <w:pStyle w:val="SourceNote"/>
      </w:pPr>
      <w:r>
        <w:rPr>
          <w:b/>
        </w:rPr>
        <w:t>Available abstract (not full text):</w:t>
      </w:r>
      <w:r>
        <w:t xml:space="preserve"> Eastern Europe's socio-cultural dynamics are defined by early Slavs and Greeks - cultures with evidence of accepted homosexuality and queerness. However, present-day Eastern Europe hosts an anti-queer environment. This paper focuses on finding the roots of this divergence by secondary data analysis of the available historical literature about the socio-cultural practices of the region. The paper also aims to find the influence of the politics of the European Union on the queer politics of the region by analysing particular socio-economic policies. The neo-functionalist theory of European integration talks about the spillover effect experienced across different socio - political-economic sectors. This paper examines how/whether this spillover 'controls' the 'queer politics' of Eastern European countries. The article has further taken a specific case of contemporary Hungarian 'queer politics' to analyse the contentions between the state and the union and to see the European Union's scope in redefining this politics.</w:t>
      </w:r>
    </w:p>
    <w:p>
      <w:pPr/>
      <w:r>
        <w:rPr>
          <w:b/>
        </w:rPr>
        <w:t>POSSIBLE 2025:</w:t>
      </w:r>
      <w:r>
        <w:t xml:space="preserve"> Internationalisation of higher education: its conceptual evolution as a process, intended aims, and unintended effects in the global and European context — https://doi.org/10.5117/ejep2025.3.001.dewi</w:t>
      </w:r>
    </w:p>
    <w:p>
      <w:pPr/>
      <w:r>
        <w:rPr>
          <w:b/>
        </w:rPr>
        <w:t>Shared claim-specific concepts:</w:t>
      </w:r>
      <w:r>
        <w:t xml:space="preserve"> article, present; EU scope visible. This is a provisional connection, not an outcome finding.</w:t>
      </w:r>
    </w:p>
    <w:p>
      <w:pPr>
        <w:pStyle w:val="SourceNote"/>
      </w:pPr>
      <w:r>
        <w:rPr>
          <w:b/>
        </w:rPr>
        <w:t>Available abstract (not full text):</w:t>
      </w:r>
      <w:r>
        <w:t xml:space="preserve"> Higher education has long been viewed as inherently international, yet the concept of being international is interpreted in various ways. It is shaped by institutional, local, and regional contexts, as well as the diverse intentions of stakeholders both within and outside the sector. As a strategic approach, internationalisation is a relatively recent phenomenon, emerging over the past three to four decades and influenced by political, social, economic, and educational factors. However, most internationalisation actions and policies remain ad hoc, fragmented, and marginal, often misaligned with the core mission of higher education institutions and national higher education policies (de Wit, 2024). This article explores the evolution of the concept of internationalisation from the 1980s to the present, examining its development and varying interpretations. It also analyses the dimensions and actions associated with the process, identifying which are most dominant. Additionally, it reviews key achievements of recent decades and assesses the primary challenges that hinder further progress. The discussion is framed within the context of a shifting global landscape, where political support for internationalism in higher education and research has waned compared to the 1980s and 1990s. The article highlights the European context, where internationalisation efforts have been driven by</w:t>
      </w:r>
    </w:p>
    <w:p>
      <w:pPr>
        <w:pStyle w:val="Heading2"/>
      </w:pPr>
      <w:r>
        <w:t>876. Towards an assessment of adaptive capacity of the European agricultural sector to droughts</w:t>
      </w:r>
    </w:p>
    <w:p>
      <w:pPr>
        <w:pStyle w:val="SourceNote"/>
      </w:pPr>
      <w:r>
        <w:rPr>
          <w:b/>
        </w:rPr>
        <w:t>Original source (2016):</w:t>
      </w:r>
      <w:r>
        <w:t xml:space="preserve"> https://doi.org/10.1016/j.cliser.2016.10.003</w:t>
      </w:r>
    </w:p>
    <w:p>
      <w:pPr/>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POSSIBLE 2026:</w:t>
      </w:r>
      <w:r>
        <w:t xml:space="preserve"> DIGITALIZATION AND ENERGY INDICATORS IN THE EUROPEAN UNION — https://doi.org/10.38104/vadyba.2026.2.04</w:t>
      </w:r>
    </w:p>
    <w:p>
      <w:pPr/>
      <w:r>
        <w:rPr>
          <w:b/>
        </w:rPr>
        <w:t>Shared claim-specific concepts:</w:t>
      </w:r>
      <w:r>
        <w:t xml:space="preserve"> indicators, areas, based; EU scope visible. This is a provisional connection, not an outcome finding.</w:t>
      </w:r>
    </w:p>
    <w:p>
      <w:pPr>
        <w:pStyle w:val="SourceNote"/>
      </w:pPr>
      <w:r>
        <w:rPr>
          <w:b/>
        </w:rPr>
        <w:t>Available abstract (not full text):</w:t>
      </w:r>
      <w:r>
        <w:t xml:space="preserve"> Digitalization is increasingly recognized as a key driver of energy efficiency, renewable energy development, and the decarbonization of energy systems. Artificial intelligence, the Internet of Things, big data analytics, smart grids, and digital twins contribute to more efficient energy generation, transmission, and consumption while enhancing resource management and reducing operational costs. Nevertheless, significant differences remain among the EU Member States regarding their levels of digitalization, energy efficiency, renewable energy deployment, and greenhouse gas emissions. Assessing these differences is essential for designing effective policies that support both the digital and green transitions. The aim of this study is to develop the multidimensional measurement framework and to assess the EU Member states according to their digitalization, energy, and emissions performance. The analysis is based on the Eurostat data covering the period from 2010 to 2023. This study examines digitalization, energy and environmental sustainability in the 27 European Union Member States using the Eurostat data for 2010–2023. Principal component analysis was employed to reduce the dimensionality of the selected indicators and identify the key underlying dimensions, while hierarchical cluster analysis was applied to classify countries according to their digital, energy, and environmen</w:t>
      </w:r>
    </w:p>
    <w:p>
      <w:pPr/>
      <w:r>
        <w:rPr>
          <w:b/>
        </w:rPr>
        <w:t>POSSIBLE 2026:</w:t>
      </w:r>
      <w:r>
        <w:t xml:space="preserve"> Selected Indicators of the Agricultural Sector in the European Union — https://doi.org/10.33422/worldbme.v3i2.1740</w:t>
      </w:r>
    </w:p>
    <w:p>
      <w:pPr/>
      <w:r>
        <w:rPr>
          <w:b/>
        </w:rPr>
        <w:t>Shared claim-specific concepts:</w:t>
      </w:r>
      <w:r>
        <w:t xml:space="preserve"> indicators, highlight, high, world, concentration; EU scope visible. This is a provisional connection, not an outcome finding.</w:t>
      </w:r>
    </w:p>
    <w:p>
      <w:pPr>
        <w:pStyle w:val="SourceNote"/>
      </w:pPr>
      <w:r>
        <w:rPr>
          <w:b/>
        </w:rPr>
        <w:t>Available abstract (not full text):</w:t>
      </w:r>
      <w:r>
        <w:t xml:space="preserve"> Agriculture plays a key role in the modern world due to its multifaceted impact. In the last three decades, global, as well as Slovak, agricultural enterprises have undergone significant changes driven by socio-economic transformations, shifts in agricultural policy, institutional reforms, and the adoption of new tools. An analysis of selected indicators of the agricultural sector in the European Union points to significant differences in the structure and performance of agricultural holdings between Member States. In 2020, there were a total of 9.1 million agricultural holdings operating in the EU-27, with the highest shares in Romania (31.8%), Poland (14.4%), Italy (12.5%), and Spain (10.1%). Most of these entities (94.8%) were family farms, though France and Estonia had notable proportions of non-family farms. Almost two-thirds of farms operated on an area of less than 5 ha, while only 7.5% of holdings with an area of 50 ha or more managed 68.2% of the utilised agricultural area (UAA). Slovakia had one of the smallest shares of farms (0.2%) but one of the largest average farm sizes (81 ha) and a high concentration of land in large farms. The grouped Gini coefficient reached approximately 0.81, confirming a high degree of concentration of UAA among agricultural holdings in the EU-27. 3.3 million holdings with standard output below EUR 2,000 produced only 1% of the total stand</w:t>
      </w:r>
    </w:p>
    <w:p>
      <w:pPr/>
      <w:r>
        <w:rPr>
          <w:b/>
        </w:rPr>
        <w:t>POSSIBLE 2026:</w:t>
      </w:r>
      <w:r>
        <w:t xml:space="preserve"> Effectiveness of the National Radon Action Plans: Core Set and Extensive Set of Indicators — https://doi.org/10.14407/jrpr.2026.00066</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health risks associated with radon exposure have been known for decades. European legislation has established basic safety requirements for protection against hazards arising from exposure to indoor radon. European Union (EU) Member States are required to implement national radon action plans to address the long-term risks of radon exposure in homes, public buildings, and workplaces.Materials and Methods: By applying the drivers, pressures, state, impact, and response model (DPSIR) to radon and incorporating key factors associated with European legislation into the causal framework, indicators were identified to assess the effectiveness of the actions implemented by national radon action plans in line with EU guidelines.Results and Discussion: Since national radon action plans must take into account aspects such as radiation protection, geology, epidemiology, data management and analysis, political responsibility, building construction techniques, and communication, an extensive set of 25 effectiveness indicators associated with specific objectives of European radon legislation has been identified. It would be difficult for a policy maker to guide decisions among so many different indicators, so a core set of four effectiveness indicators has been selected based on the political relevance, analytical validity, and measurability of each indicator.Conclusion: Desp</w:t>
      </w:r>
    </w:p>
    <w:p>
      <w:pPr/>
      <w:r>
        <w:rPr>
          <w:b/>
        </w:rPr>
        <w:t>POSSIBLE 2025:</w:t>
      </w:r>
      <w:r>
        <w:t xml:space="preserve"> Creating a data processing warehouse to support performance monitoring of cancer screening programmes in Europe using a common set of indicators — https://doi.org/10.1093/eurpub/ckaf119</w:t>
      </w:r>
    </w:p>
    <w:p>
      <w:pPr/>
      <w:r>
        <w:rPr>
          <w:b/>
        </w:rPr>
        <w:t>Shared claim-specific concepts:</w:t>
      </w:r>
      <w:r>
        <w:t xml:space="preserve"> create, set, indicators, based; EU scope visible. This is a provisional connection, not an outcome finding.</w:t>
      </w:r>
    </w:p>
    <w:p>
      <w:pPr>
        <w:pStyle w:val="SourceNote"/>
      </w:pPr>
      <w:r>
        <w:rPr>
          <w:b/>
        </w:rPr>
        <w:t>Available abstract (not full text):</w:t>
      </w:r>
      <w:r>
        <w:t xml:space="preserve">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pPr/>
      <w:r>
        <w:rPr>
          <w:b/>
        </w:rPr>
        <w:t>POSSIBLE 2025:</w:t>
      </w:r>
      <w:r>
        <w:t xml:space="preserve"> High resolution maps of European agricultural indicators — https://doi.org/10.5194/egusphere-egu25-16510</w:t>
      </w:r>
    </w:p>
    <w:p>
      <w:pPr/>
      <w:r>
        <w:rPr>
          <w:b/>
        </w:rPr>
        <w:t>Shared claim-specific concepts:</w:t>
      </w:r>
      <w:r>
        <w:t xml:space="preserve"> create, indicators, highlight, areas, high, estimated; EU scope visible. This is a provisional connection, not an outcome finding.</w:t>
      </w:r>
    </w:p>
    <w:p>
      <w:pPr>
        <w:pStyle w:val="SourceNote"/>
      </w:pPr>
      <w:r>
        <w:rPr>
          <w:b/>
        </w:rPr>
        <w:t>Available abstract (not full text):</w:t>
      </w:r>
      <w:r>
        <w:t xml:space="preserve">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pPr/>
      <w:r>
        <w:rPr>
          <w:b/>
        </w:rPr>
        <w:t>POSSIBLE 2025:</w:t>
      </w:r>
      <w:r>
        <w:t xml:space="preserve"> EMULATION OF A NUMERICAL URBAN MODEL TO CREATE HIGH-RESOLUTION NEAR SURFACE AIR TEMPERATURE OVER EUROPEAN CITIES — https://doi.org/10.22541/essoar.173671231.11835703/v1</w:t>
      </w:r>
    </w:p>
    <w:p>
      <w:pPr/>
      <w:r>
        <w:rPr>
          <w:b/>
        </w:rPr>
        <w:t>Shared claim-specific concepts:</w:t>
      </w:r>
      <w:r>
        <w:t xml:space="preserve"> create, set, areas; EU scope visible. This is a provisional connection, not an outcome finding.</w:t>
      </w:r>
    </w:p>
    <w:p>
      <w:pPr>
        <w:pStyle w:val="SourceNote"/>
      </w:pPr>
      <w:r>
        <w:rPr>
          <w:b/>
        </w:rPr>
        <w:t>Available abstract (not full text):</w:t>
      </w:r>
      <w:r>
        <w:t xml:space="preserve"> Sub-kilometer climate data over a limited amount of cities are currently available or being produced by numerical models. Using numerical models to resolve processes at such a fine resolution is computationally very expensive, which complicates the generation of high-resolution data for long periods and large areas. Statistical models, including machine learning techniques, built on data-driven relationships are a cost-effective alternative. Current statistical models for urban climate simulations are typically tuned for a single city or limited region, resulting in poor performance for cities with different characteristics. Therefore, we explored the potential to simulate near surface temperature over European cities with the newly developed machine learning model European Random Forest Urban Climate Emulator (Eu-RaFUCE). As visualized in the figure below, the Eu-RaFUCE model uses both spatial and temporal variables as input and was trained on hectometer 2 m-temperature output of the urban climate model UrbClim, which is developed and maintained by the Flemish Institute for Technological Research (VITO) \cite{Lauwaet_2024} . Next, hourly ERA5 reanalysis data with a horizontal resolution of about 30 km by 30 km was directly downscaled to 100 m by 100 m with Eu-RaFUCE for unseen cities and unseen years during the training. Validation shows that downscaled 2 m-temperatures with E</w:t>
      </w:r>
    </w:p>
    <w:p>
      <w:pPr/>
      <w:r>
        <w:rPr>
          <w:b/>
        </w:rPr>
        <w:t>POSSIBLE 2025:</w:t>
      </w:r>
      <w:r>
        <w:t xml:space="preserve"> Evaluating sustainability in Europe with composite indicators — https://doi.org/10.1007/s43621-025-02129-1</w:t>
      </w:r>
    </w:p>
    <w:p>
      <w:pPr/>
      <w:r>
        <w:rPr>
          <w:b/>
        </w:rPr>
        <w:t>Shared claim-specific concepts:</w:t>
      </w:r>
      <w:r>
        <w:t xml:space="preserve"> indicators, high, based;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2025:</w:t>
      </w:r>
      <w:r>
        <w:t xml:space="preserve"> Enabling and constraining factors for organic agriculture in Europe: a spatial analysis — https://doi.org/10.1088/2976-601x/adf22e</w:t>
      </w:r>
    </w:p>
    <w:p>
      <w:pPr/>
      <w:r>
        <w:rPr>
          <w:b/>
        </w:rPr>
        <w:t>Shared claim-specific concepts:</w:t>
      </w:r>
      <w:r>
        <w:t xml:space="preserve"> create, set, highlight, areas, high, socioeconomic; EU scope visible. This is a provisional connection, not an outcome finding.</w:t>
      </w:r>
    </w:p>
    <w:p>
      <w:pPr>
        <w:pStyle w:val="SourceNote"/>
      </w:pPr>
      <w:r>
        <w:rPr>
          <w:b/>
        </w:rPr>
        <w:t>Available abstract (not full text):</w:t>
      </w:r>
      <w:r>
        <w:t xml:space="preserve"> Abstract The European Commission has set a target of making 25% of its agricultural land organic by 2030. This is part of the farm-to-fork strategy to produce high-quality food in a more environmentally friendly way. However, there are large disparities between and within member states in the share of agricultural land currently managed as organic. Current statistics available on organic agriculture in the EU are limited to national or subnational scale. In addition to that, studies on location factors of organic agriculture are mostly conducted at the national or subnational level. This constitutes a major obstacle in formulating policies to improve the share of organic agriculture within Europe. This study analyses the influence of socioeconomic, climate, and biophysical variables on the spatial distribution of certified organic producers at high resolution throughout Europe. To do so, it maps the location of current organic agriculture throughout Europe, using detailed postcode-level data from certification registries. Subsequently, regression analysis at NUTS 2 and 1 km 2 resolution identify the driving forces for their location. The results indicate that organic agriculture is found predominantly in areas close to markets and with unfavourable biophysical conditions for conventional agriculture. Population density was found to be the single strongest indicator increasing t</w:t>
      </w:r>
    </w:p>
    <w:p>
      <w:pPr/>
      <w:r>
        <w:rPr>
          <w:b/>
        </w:rPr>
        <w:t>POSSIBLE 2025:</w:t>
      </w:r>
      <w:r>
        <w:t xml:space="preserve"> Participatory agreed set of key indicators for monitoring and reporting IFM — https://openalex.org/W7128122029</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Integrative Forest Management (IFM), as defined in WP3 of the TRANSFORMIT project, “aims at integrating biodiversity conservation and global change adaptation into forest management for the sustainable provision of multiple ecosystem services. It is guided by natural and diverse forest structures, compositions, and dynamics to support ecosystem functioning and resilience. Its management practices consistently consider the tree, stand, and landscape scale and employ different silvicultural intensities, including intentionally unmanaged forests. IFM can be applied in any type of forest to achieve integrated environmental, economic, and social outcomes.” To measure progress towards IFM effectively, a participatory process was undertaken to develop a set of key indicators. Indicators are measurable variables or metrics that provide insights into the progress or effectiveness of specific goals or targets. When carefully selected to ensure they are relevant, sensitive to IFM, feasible, and aligned with policy goals, indicators become effective tools for monitoring and decision-making. We started in Task 5.2 with a pool of about 80 indicators identified in Task 5.1 from international frameworks, projects and certification schemes as potentially relevant to monitor IFM (see Deliverable 5.1). Through a series of iterative workshops and stakeholder engagement, this pool of indicators was</w:t>
      </w:r>
    </w:p>
    <w:p>
      <w:pPr/>
      <w:r>
        <w:rPr>
          <w:b/>
        </w:rPr>
        <w:t>POSSIBLE 2025:</w:t>
      </w:r>
      <w:r>
        <w:t xml:space="preserve"> The Need to Standardize the Criteria for Classifying Protected Areas within the EU — https://openalex.org/W7215017291</w:t>
      </w:r>
    </w:p>
    <w:p>
      <w:pPr/>
      <w:r>
        <w:rPr>
          <w:b/>
        </w:rPr>
        <w:t>Shared claim-specific concepts:</w:t>
      </w:r>
      <w:r>
        <w:t xml:space="preserve"> create, set, areas, high, world, based; EU scope visible. This is a provisional connection, not an outcome finding.</w:t>
      </w:r>
    </w:p>
    <w:p>
      <w:pPr>
        <w:pStyle w:val="SourceNote"/>
      </w:pPr>
      <w:r>
        <w:rPr>
          <w:b/>
        </w:rPr>
        <w:t>Available abstract (not full text):</w:t>
      </w:r>
      <w:r>
        <w:t xml:space="preserve"> Abstract: The European Union has paid increasing attention to the conservation of biodiversity in its member countries and to the protection of the environment. In this context, protected areas, regardless of their rank, surface area, geographical location, play an essential role in saving ecosystems and species in danger of extinction or simply threatened. However, despite their importance, a fundamental aspect of their management remains the non-uniformity in their classification and assessment in the Member States of the European Union and in other non-member European countries. The need to standardize the criteria for classifying protected areas has thus become a key theme in the debates on conservation. The implications are not limited to the effectiveness of environmental policies or the harmonization of standards between the different EU countries. The efficiency of national or EU funding for protected area officials could be greatly improved if there were a common denominator in classifying and comparing these protected areas. Each Member State adopts different rules and methodologies for identifying and designating protected areas, and this can lead to significant differences in the protection status of ecologically similar areas. For example, an area may be considered of major ecological importance in one country but not protected in another. A standardization of crit</w:t>
      </w:r>
    </w:p>
    <w:p>
      <w:pPr/>
      <w:r>
        <w:rPr>
          <w:b/>
        </w:rPr>
        <w:t>POSSIBLE 2025:</w:t>
      </w:r>
      <w:r>
        <w:t xml:space="preserve"> Statistical atlas of European agriculture: gridded data from the agricultural census 2020 and the spatial distribution of CAP contextual indicators — https://doi.org/10.5194/essd-17-3893-2025</w:t>
      </w:r>
    </w:p>
    <w:p>
      <w:pPr/>
      <w:r>
        <w:rPr>
          <w:b/>
        </w:rPr>
        <w:t>Shared claim-specific concepts:</w:t>
      </w:r>
      <w:r>
        <w:t xml:space="preserve"> create, set, indicators, areas, high, based; EU scope visible. This is a provisional connection, not an outcome finding.</w:t>
      </w:r>
    </w:p>
    <w:p>
      <w:pPr>
        <w:pStyle w:val="SourceNote"/>
      </w:pPr>
      <w:r>
        <w:rPr>
          <w:b/>
        </w:rPr>
        <w:t>Available abstract (not full text):</w:t>
      </w:r>
      <w:r>
        <w:t xml:space="preserve"> Abstract. International organizations have voiced the need to integrate geographical information from agricultural holdings into official statistics to gain a better understanding of the spatial dynamics of the European agricultural sector. This paper presents a set of thematic maps based on the European 2020 agricultural census to explore the major structural differences between regions and countries. To comply with the confidentiality requirements associated with the census data, we applied a multi-resolution gridded approach by varying the resolution of the grid cells as a function of the density, dominance, and quality of individual observations. The data sets contain a mixture of grid resolutions ranging from 1 km to 40 km, preserving a hierarchical structure where higher resolution grids are aggregated into lower levels until the statistical disclosure requirements are met. The variables presented here correspond to the Contextual Indicators of the Performance Monitoring and Evaluation Framework of the Common Agricultural Policy and are divided into three broad categories: structural components (i.e., agricultural holdings, land use, livestock patterns, and labor input); the demographics of farmers (i.e., age, gender, and skills); and agricultural production methods (i.e., irrigation and organic farming). Our exploratory analysis indicates that high farm density occurs in</w:t>
      </w:r>
    </w:p>
    <w:p>
      <w:pPr/>
      <w:r>
        <w:rPr>
          <w:b/>
        </w:rPr>
        <w:t>POSSIBLE 2024:</w:t>
      </w:r>
      <w:r>
        <w:t xml:space="preserve"> Towards a sustainable set of European Core Health Indicators (ECHI) — https://doi.org/10.25646/12918</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pPr>
        <w:pStyle w:val="Heading2"/>
      </w:pPr>
      <w:r>
        <w:t>877. Using Scenarios to Assess Policy Mixes for Resource Efficiency and Eco-Innovation in Different Fiscal Policy Frameworks</w:t>
      </w:r>
    </w:p>
    <w:p>
      <w:pPr>
        <w:pStyle w:val="SourceNote"/>
      </w:pPr>
      <w:r>
        <w:rPr>
          <w:b/>
        </w:rPr>
        <w:t>Original source (2016):</w:t>
      </w:r>
      <w:r>
        <w:t xml:space="preserve"> https://doi.org/10.3390/su8040309</w:t>
      </w:r>
    </w:p>
    <w:p>
      <w:pPr/>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sustainable, possible, experts, identify;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Circular futures of the cement and concrete industry in the European Union: enriching prospective life cycle assessment with participatory foresight — https://doi.org/10.1007/s11367-026-02699-w</w:t>
      </w:r>
    </w:p>
    <w:p>
      <w:pPr/>
      <w:r>
        <w:rPr>
          <w:b/>
        </w:rPr>
        <w:t>Shared claim-specific concepts:</w:t>
      </w:r>
      <w:r>
        <w:t xml:space="preserve"> purpose, foresight, economy, identify; EU scope visible. This is a provisional connection, not an outcome finding.</w:t>
      </w:r>
    </w:p>
    <w:p>
      <w:pPr>
        <w:pStyle w:val="SourceNote"/>
      </w:pPr>
      <w:r>
        <w:rPr>
          <w:b/>
        </w:rPr>
        <w:t>Available abstract (not full text):</w:t>
      </w:r>
      <w:r>
        <w:t xml:space="preserve"> Abstract Purpose Given the urgency of the cement and concrete industry to decarbonise by 2050, circular economy (CE) strategies are becoming more eminent. This study aims to identify how CE practices can contribute to lowering environmental impacts and in particular greenhouse gas (GHG) emissions in the European Union. As future developments of our socio-economic systems are inherently uncertain, the analysis also considers the effectiveness of CE measures in different types of decarbonised futures. Methods As part of a prospective LCA (pLCA), the study defines a status quo, a future baseline scenario with a decarbonised energy system and an ambitious circular economy scenario. These are then assessed using the Environmental Footprint (EF 3.1) method for the years 2030 and 2050. To account for the inherently higher epistemic uncertainty in 2050, the ambitious CE scenario is subjected to a sensitivity analysis consisting of four normative socio-economic scenarios on the green transition. The quantification of these alternative future narratives is achieved by means of a stakeholder workshop and sensemaking session. In a final step, the results of the pLCA following the historical trajectory and the ones of the alternative futures are compared and contextualised with the agency of the involved actors. Results and discussion Results indicate that the ambitious CE scenario saves up</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jrc, foresight;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Circular Economy Pathways for Critical Raw Materials: European Union Policy Instruments, Secondary Supply, and Sustainable Development Outcomes — https://doi.org/10.3390/su18020562</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Achieving sustainable development in the low-carbon transition requires securing critical raw materials (CRMs) while reducing environmental burdens and strengthening industrial resilience (SDGs 7, 9, 12, 13). This review synthesizes 2016–2025 evidence on how the European Union’s policy package—the Critical Raw Materials Act (CRMA), the Batteries Regulation, the Ecodesign for Sustainable Products Regulation (ESPR) with Digital Product Passports (DPPs), and the recast Waste Shipments Regulation (WSR)—shapes markets for secondary supply in battery-relevant metals such as lithium, cobalt, nickel, copper, aluminum, and rare earths. We apply a structured scoping review protocol to map the state of the art across policy instruments (EPR, ecodesign/DPP, recycled content mandates, recovery targets, shipment controls) and value chain stages (collection, preprocessing, refining, manufacturing). The analysis highlights benefits, including clearer investment signals, improved traceability, and emerging opportunities for industrial symbiosis, but also identifies drawbacks such as heterogeneous standards, compliance costs, and trade frictions. Evidence gaps remain, especially in causal ex post assessments, price pass-through, and interoperability of MRV/DPP systems. The paper contributes by (i) providing an integrative framework linking policy instruments, value chain stages, and investment s</w:t>
      </w:r>
    </w:p>
    <w:p>
      <w:pPr/>
      <w:r>
        <w:rPr>
          <w:b/>
        </w:rPr>
        <w:t>POSSIBLE 2026:</w:t>
      </w:r>
      <w:r>
        <w:t xml:space="preserve"> Analysis of EU Media on the Protection of Minors Online — https://doi.org/10.2760/9472171</w:t>
      </w:r>
    </w:p>
    <w:p>
      <w:pPr/>
      <w:r>
        <w:rPr>
          <w:b/>
        </w:rPr>
        <w:t>Shared claim-specific concepts:</w:t>
      </w:r>
      <w:r>
        <w:t xml:space="preserve"> purpose, jrc, foresight; EU scope visible. This is a provisional connection, not an outcome finding.</w:t>
      </w:r>
    </w:p>
    <w:p>
      <w:pPr>
        <w:pStyle w:val="SourceNote"/>
      </w:pPr>
      <w:r>
        <w:rPr>
          <w:b/>
        </w:rPr>
        <w:t>Available abstract (not full text):</w:t>
      </w:r>
      <w:r>
        <w:t xml:space="preserve"> This is a joint publication of the Joint Research Centre (JRC), the European Commission’s science and knowledge service, and the European Science-Media Hub, in the Scientific Foresight Unit at the European Parliamentary Research Services (EPRS) of the European Parliament. The purpose of this document is to illustrate, using text mining techniques, what topics related to Protection of Minors Online are covered by European online media. It intends to provide an overview of the most important narratives and reporting trends related to this topic. The sources of our analysis include a selection of the most visited online media outlets in the 27 Member States. This report summarises the findings of the analysis on data collected from 1 January 2024 until 15 April 2026.</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sustainable, possible, experts;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Circular Economy in Cities and Regions of the European Union — https://doi.org/10.1787/e09c21e2-en</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2025:</w:t>
      </w:r>
      <w:r>
        <w:t xml:space="preserve"> Strategic foresight framework for addressing agency in sustainability transitions: a co-creation approach — https://doi.org/10.3389/frsus.2025.1507708</w:t>
      </w:r>
    </w:p>
    <w:p>
      <w:pPr/>
      <w:r>
        <w:rPr>
          <w:b/>
        </w:rPr>
        <w:t>Shared claim-specific concepts:</w:t>
      </w:r>
      <w:r>
        <w:t xml:space="preserve"> foresight, sustainable, explore, possible, identify, mixes; EU scope visible. This is a provisional connection, not an outcome finding.</w:t>
      </w:r>
    </w:p>
    <w:p>
      <w:pPr>
        <w:pStyle w:val="SourceNote"/>
      </w:pPr>
      <w:r>
        <w:rPr>
          <w:b/>
        </w:rPr>
        <w:t>Available abstract (not full text):</w:t>
      </w:r>
      <w:r>
        <w:t xml:space="preserve"> This paper presents a novel methodological approach that integrates strategic foresight with sustainability transitions frameworks to explore how different forms of agency shape transition pathways. The research methodology employed include the development of foresight scenarios addressing sustainability, the X-curve framework for mapping possible transition pathways for a sustainable EU 2050, and agency analysis to identify strategic areas of interventions and understanding systemic policy mixes over time. This work was performed in the context of the preparation of the European Commission’s Annual Strategic Foresight Report 2023. Additionally, through empirical application across three distinct contexts, this paper demonstrates how strategic foresight can generate actionable knowledge for sustainability transitions while maintaining methodological rigor. The study advances the theoretical understanding of agency in sustainability transitions by showing how different actors can be strategically engaged through interventions aimed at shaping, navigating, and orchestrating transition pathways over time. Our findings reveal that successful transitions require balancing the agency of established institutional actors with emerging stakeholders who may lack formal authority but bring crucial perspectives and capabilities. The study emphasizes the importance of agency of multiple act</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paths, used;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experts;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Strategic Foresight for a Net-Zero Built Environment: Exploring Australia’s Decarbonisation and Resilience Pathways to 2050 — https://doi.org/10.3390/buildings15203639</w:t>
      </w:r>
    </w:p>
    <w:p>
      <w:pPr/>
      <w:r>
        <w:rPr>
          <w:b/>
        </w:rPr>
        <w:t>Shared claim-specific concepts:</w:t>
      </w:r>
      <w:r>
        <w:t xml:space="preserve"> foresight, each; EU scope not established. This is a provisional connection, not an outcome finding.</w:t>
      </w:r>
    </w:p>
    <w:p>
      <w:pPr>
        <w:pStyle w:val="SourceNote"/>
      </w:pPr>
      <w:r>
        <w:rPr>
          <w:b/>
        </w:rPr>
        <w:t>Available abstract (not full text):</w:t>
      </w:r>
      <w:r>
        <w:t xml:space="preserve"> The Australian built environment is pivotal to achieving national net-zero targets, yet progress remains slow due to fragmented policy frameworks, low retrofit adoption, and uneven integration of emerging technologies. Despite these challenges, little research has applied a foresight perspective that both defines reproducible scenario thresholds and provides semi-quantitative comparisons tailored to Australia. This study integrates strategic foresight with international benchmarking to develop four scenarios for 2050: Business as Usual, Accelerated Sustainability, Technological Transformation, and Climate Resilience. Each scenario is underpinned by measurable thresholds for renovation rates, electrification, digital penetration, and low-carbon material uptake, and is evaluated through a scorecard spanning five outcome domains, with sensitivity and stress testing of high-leverage parameters. Findings indicate that an Accelerated Sustainability pathway, driven by deep retrofits of ≥3% annually, whole-life carbon policies, and renewable penetration of at least 70%, delivers the strongest combined performance across emissions reduction, liveability, and resilience. Technological Transformation offers adaptability and service quality but raises concerns over equity and cyber-dependence, while Climate Resilience maximises adaptation capacity yet risks under-delivering on mitigation. </w:t>
      </w:r>
    </w:p>
    <w:p>
      <w:pPr/>
      <w:r>
        <w:rPr>
          <w:b/>
        </w:rPr>
        <w:t>POSSIBLE 2025:</w:t>
      </w:r>
      <w:r>
        <w:t xml:space="preserve"> Shaping Water Infrastructure Futures in the European Union Context — https://doi.org/10.3390/encyclopedia5040188</w:t>
      </w:r>
    </w:p>
    <w:p>
      <w:pPr/>
      <w:r>
        <w:rPr>
          <w:b/>
        </w:rPr>
        <w:t>Shared claim-specific concepts:</w:t>
      </w:r>
      <w:r>
        <w:t xml:space="preserve"> foresight, sustainable; EU scope visible. This is a provisional connection, not an outcome finding.</w:t>
      </w:r>
    </w:p>
    <w:p>
      <w:pPr>
        <w:pStyle w:val="SourceNote"/>
      </w:pPr>
      <w:r>
        <w:rPr>
          <w:b/>
        </w:rPr>
        <w:t>Available abstract (not full text):</w:t>
      </w:r>
      <w:r>
        <w:t xml:space="preserve"> This entry explores how foresight approaches can guide the future of water infrastructures. It highlights key long-term disruptive drivers of change—such as climate change, digital transformation, and geopolitical tensions—that infrastructures must withstand and adapt to. It also emphasizes the role of collective choices and innovation alliances, including Water-Oriented Living Labs, in shaping resilient and sustainable water systems. The focus is on transforming today’s infrastructures into adaptive systems that ensure water security and ecosystem integrity for future generations. Although many of the drivers of change are global, this entry emphasizes the European context, where policy frameworks and innovation agendas are currently shaping infrastructure transitions.</w:t>
      </w:r>
    </w:p>
    <w:p>
      <w:pPr>
        <w:pStyle w:val="Heading2"/>
      </w:pPr>
      <w:r>
        <w:t>878. A Transport Policy Tool for Reduction of Co2 Emissions in Finland – Visions, Scenarios and Pathways using Pluralistic Backcasting Method</w:t>
      </w:r>
    </w:p>
    <w:p>
      <w:pPr>
        <w:pStyle w:val="SourceNote"/>
      </w:pPr>
      <w:r>
        <w:rPr>
          <w:b/>
        </w:rPr>
        <w:t>Original source (2015):</w:t>
      </w:r>
      <w:r>
        <w:t xml:space="preserve"> https://doi.org/10.1016/j.trpro.2015.12.016</w:t>
      </w:r>
    </w:p>
    <w:p>
      <w:pPr/>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POSSIBLE 2026:</w:t>
      </w:r>
      <w:r>
        <w:t xml:space="preserve"> SECTORAL GREENHOUSE GAS EMISSION REDUCTIONS IN THE EUROPEAN UNION – THE ROLE OF AGRICULTURE — https://doi.org/10.5604/01.3001.0055.6722</w:t>
      </w:r>
    </w:p>
    <w:p>
      <w:pPr/>
      <w:r>
        <w:rPr>
          <w:b/>
        </w:rPr>
        <w:t>Shared claim-specific concepts:</w:t>
      </w:r>
      <w:r>
        <w:t xml:space="preserve"> reduction, greenhouse, gas, emission, further; EU scope visible. This is a provisional connection, not an outcome finding.</w:t>
      </w:r>
    </w:p>
    <w:p>
      <w:pPr>
        <w:pStyle w:val="SourceNote"/>
      </w:pPr>
      <w:r>
        <w:rPr>
          <w:b/>
        </w:rPr>
        <w:t>Available abstract (not full text):</w:t>
      </w:r>
      <w:r>
        <w:t xml:space="preserve">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Driving product innovation for greenhouse gas reduction: insights from European manufacturing — https://doi.org/10.1017/pds.2026.10526</w:t>
      </w:r>
    </w:p>
    <w:p>
      <w:pPr/>
      <w:r>
        <w:rPr>
          <w:b/>
        </w:rPr>
        <w:t>Shared claim-specific concepts:</w:t>
      </w:r>
      <w:r>
        <w:t xml:space="preserve"> reduction, greenhouse, gas; EU scope visible. This is a provisional connection, not an outcome finding.</w:t>
      </w:r>
    </w:p>
    <w:p>
      <w:pPr>
        <w:pStyle w:val="SourceNote"/>
      </w:pPr>
      <w:r>
        <w:rPr>
          <w:b/>
        </w:rPr>
        <w:t>Available abstract (not full text):</w:t>
      </w:r>
      <w:r>
        <w:t xml:space="preserve">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pPr/>
      <w:r>
        <w:rPr>
          <w:b/>
        </w:rPr>
        <w:t>POSSIBLE 2026:</w:t>
      </w:r>
      <w:r>
        <w:t xml:space="preserve"> Increase in European summer heatwaves driven by greenhouse gases and amplified by aerosol emission reductions — https://doi.org/10.1088/1748-9326/ae6d18</w:t>
      </w:r>
    </w:p>
    <w:p>
      <w:pPr/>
      <w:r>
        <w:rPr>
          <w:b/>
        </w:rPr>
        <w:t>Shared claim-specific concepts:</w:t>
      </w:r>
      <w:r>
        <w:t xml:space="preserve"> reduction, greenhouse, emission, about, further, method; EU scope visible. This is a provisional connection, not an outcome finding.</w:t>
      </w:r>
    </w:p>
    <w:p>
      <w:pPr>
        <w:pStyle w:val="SourceNote"/>
      </w:pPr>
      <w:r>
        <w:rPr>
          <w:b/>
        </w:rPr>
        <w:t>Available abstract (not full text):</w:t>
      </w:r>
      <w:r>
        <w:t xml:space="preserve">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pPr/>
      <w:r>
        <w:rPr>
          <w:b/>
        </w:rPr>
        <w:t>POSSIBLE 2026:</w:t>
      </w:r>
      <w:r>
        <w:t xml:space="preserve"> The greenhouse gas reduction gap in manufacturing companies: An action-research framework for European reporting requirements — https://doi.org/10.1016/j.cesys.2026.100406</w:t>
      </w:r>
    </w:p>
    <w:p>
      <w:pPr/>
      <w:r>
        <w:rPr>
          <w:b/>
        </w:rPr>
        <w:t>Shared claim-specific concepts:</w:t>
      </w:r>
      <w:r>
        <w:t xml:space="preserve"> reduction, greenhouse, gas, use; EU scope visible. This is a provisional connection, not an outcome finding.</w:t>
      </w:r>
    </w:p>
    <w:p>
      <w:pPr>
        <w:pStyle w:val="SourceNote"/>
      </w:pPr>
      <w:r>
        <w:rPr>
          <w:b/>
        </w:rPr>
        <w:t>Available abstract (not full text):</w:t>
      </w:r>
      <w:r>
        <w:t xml:space="preserve">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pPr/>
      <w:r>
        <w:rPr>
          <w:b/>
        </w:rPr>
        <w:t>POSSIBLE 2026:</w:t>
      </w:r>
      <w:r>
        <w:t xml:space="preserve"> Reducing embodied carbon in buildings: A Delphi-based assessment of expert evaluated measures and future scalability — https://doi.org/10.1016/j.cesys.2026.100497</w:t>
      </w:r>
    </w:p>
    <w:p>
      <w:pPr/>
      <w:r>
        <w:rPr>
          <w:b/>
        </w:rPr>
        <w:t>Shared claim-specific concepts:</w:t>
      </w:r>
      <w:r>
        <w:t xml:space="preserve"> reduction, greenhouse, gas, delphi, expert, used; EU scope visible. This is a provisional connection, not an outcome finding.</w:t>
      </w:r>
    </w:p>
    <w:p>
      <w:pPr>
        <w:pStyle w:val="SourceNote"/>
      </w:pPr>
      <w:r>
        <w:rPr>
          <w:b/>
        </w:rPr>
        <w:t>Available abstract (not full text):</w:t>
      </w:r>
      <w:r>
        <w:t xml:space="preserve"> The building sector accounts for roughly 21% of global greenhouse gas emissions and 34% of European energy-related emissions, with embodied carbon emerging as a potential leverage point for a climate-neutral construction sector. Although numerous decarbonization concepts exist, their translation into industry practice remains limited, and expert judgment has rarely been used to jointly quantify reduction potential and future scalability. This study applies a two-round Delphi method to collect and consolidate practitioner insights on fifteen embodied carbon reduction measures in the Austrian building sector. Thirty-two experts participated in Round 1 and twenty-six in Round 2, evaluating each measure on a 5-point Likert scale, providing optional percentage reduction estimates, and projecting mid- and long-term scalability for 2035 and 2050. Results show a consistent positive correlation between ordinal and quantified assessments, and identify renewable energy supply for material production, improved cement production, intensified use of recycled materials, and wood and timber construction as priority levers aligned with long-term scalability potential. Life cycle thinking emerged as a systemic transformation enabler despite persistent uncertainty, whereas prefabrication, clay construction, natural insulation, and optimized glazing showed more moderate or context-dependent potent</w:t>
      </w:r>
    </w:p>
    <w:p>
      <w:pPr/>
      <w:r>
        <w:rPr>
          <w:b/>
        </w:rPr>
        <w:t>POSSIBLE 2026:</w:t>
      </w:r>
      <w:r>
        <w:t xml:space="preserve"> The Determinants of Greenhouse Gas Emissions (GHE) in European Economies — https://doi.org/10.2478/picbe-2026-0132</w:t>
      </w:r>
    </w:p>
    <w:p>
      <w:pPr/>
      <w:r>
        <w:rPr>
          <w:b/>
        </w:rPr>
        <w:t>Shared claim-specific concepts:</w:t>
      </w:r>
      <w:r>
        <w:t xml:space="preserve"> reduction, greenhouse, gas, used, method, use;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2026:</w:t>
      </w:r>
      <w:r>
        <w:t xml:space="preserve"> Identifying indicators for responsible investment assessment and monitoring using the Delphi method — https://doi.org/10.1186/s40100-026-00463-0</w:t>
      </w:r>
    </w:p>
    <w:p>
      <w:pPr/>
      <w:r>
        <w:rPr>
          <w:b/>
        </w:rPr>
        <w:t>Shared claim-specific concepts:</w:t>
      </w:r>
      <w:r>
        <w:t xml:space="preserve"> delphi, about, method, approach; EU scope not established. This is a provisional connection, not an outcome finding.</w:t>
      </w:r>
    </w:p>
    <w:p>
      <w:pPr>
        <w:pStyle w:val="SourceNote"/>
      </w:pPr>
      <w:r>
        <w:rPr>
          <w:b/>
        </w:rPr>
        <w:t>Available abstract (not full text):</w:t>
      </w:r>
      <w:r>
        <w:t xml:space="preserve"> Abstract The global agricultural sector faces a range of multifaceted challenges across economic, social, and environmental dimensions. These include economic volatilities, inflation and territorial disparities, social issues such as youth and women's marginalization, and environmental pressures including resource scarcity, pollution and climate change induced by extreme weather events. Ongoing multidimensional crises have intensified concerns about food security and sustainable development. In response, the Committee on World Food Security (CFS) has proposed promoting responsible investment in agriculture and food systems (RAI) as a promising global strategy. To effectively implement this approach, robust evaluation, monitoring, and control mechanisms are essential. Recognizing the absence of comprehensive scientific tools aligned with responsible investment principles, this research applied the Delphi method, involving 26 agricultural entrepreneurship experts. Based on a list of 178 indicators derived from a systematic literature review, the experts participated in two iterative rounds of consultations. This process resulted in the development of a significant model of 65 indicators that comprehensively address the ten principles for responsible investment in agriculture and food systems. Once contextualized for specific local settings, these indicators will offer valuable gu</w:t>
      </w:r>
    </w:p>
    <w:p>
      <w:pPr/>
      <w:r>
        <w:rPr>
          <w:b/>
        </w:rPr>
        <w:t>POSSIBLE 2026:</w:t>
      </w:r>
      <w:r>
        <w:t xml:space="preserve"> Autonomous vehicles in urban last-mile delivery. A Delphi-based assessment of adoption prospects — https://doi.org/10.29119/1641-3466.2026.251.3</w:t>
      </w:r>
    </w:p>
    <w:p>
      <w:pPr/>
      <w:r>
        <w:rPr>
          <w:b/>
        </w:rPr>
        <w:t>Shared claim-specific concepts:</w:t>
      </w:r>
      <w:r>
        <w:t xml:space="preserve"> basis, delphi, expert, about, form, approach; EU scope not established. This is a provisional connection, not an outcome finding.</w:t>
      </w:r>
    </w:p>
    <w:p>
      <w:pPr>
        <w:pStyle w:val="SourceNote"/>
      </w:pPr>
      <w:r>
        <w:rPr>
          <w:b/>
        </w:rPr>
        <w:t>Available abstract (not full text):</w:t>
      </w:r>
      <w:r>
        <w:t xml:space="preserve"> Purpose: This paper aims to assess the adoption prospects of autonomous vehicles in urban last-mile courier delivery.Design/methodology/approach: A qualitative Delphi study was conducted.The Delphi research form included four future-oriented theses concerning the use of autonomous vehicles by courier companies.The factors supporting and hindering the implementation of the theses were identified on the basis of the literature review.The paper presents findings from the Delphi study.Expert assessments were synthesised using significance, favourability and barrier indicators derived from research. Findings:The results indicate that experts perceive autonomous vehicles as a plausible future component of courier fleets, rather than a short-term replacement for all other last-mile delivery solutions.Experts assigned the strongest support to the development of autonomous vehicle technology, the possibility of co-financing purchases and the readiness of urban infrastructure.The main barriers were the cost of purchasing autonomous vehicles, legal uncertainty, limited service facilities, difficulties in obtaining spare parts and concerns about the safety of technological solutions. Research limitations/implications:The study is based on a limited expert panel and presents exploratory findings.Future research should involve a larger and more diverse group of experts and allow comparison b</w:t>
      </w:r>
    </w:p>
    <w:p>
      <w:pPr/>
      <w:r>
        <w:rPr>
          <w:b/>
        </w:rPr>
        <w:t>POSSIBLE 2026:</w:t>
      </w:r>
      <w:r>
        <w:t xml:space="preserve"> Structural conditions for working-time reduction as an eco-social policy: stakeholder assessments across European welfare regimes — https://doi.org/10.1080/15487733.2026.2744601</w:t>
      </w:r>
    </w:p>
    <w:p>
      <w:pPr/>
      <w:r>
        <w:rPr>
          <w:b/>
        </w:rPr>
        <w:t>Shared claim-specific concepts:</w:t>
      </w:r>
      <w:r>
        <w:t xml:space="preserve"> reduction, delphi, about; EU scope visible. This is a provisional connection, not an outcome finding.</w:t>
      </w:r>
    </w:p>
    <w:p>
      <w:pPr>
        <w:pStyle w:val="SourceNote"/>
      </w:pPr>
      <w:r>
        <w:rPr>
          <w:b/>
        </w:rPr>
        <w:t>Available abstract (not full text):</w:t>
      </w:r>
      <w:r>
        <w:t xml:space="preserve"> Working-time reduction (WTR) has reemerged as a prominent eco-social policy proposal in debates on how to enable 1.5 °C-compatible lifestyles. While a growing literature documents its potential benefits for well-being and sustainability, less is known about the political conditions under which WTR becomes acceptable and implementable across different welfare regimes and positions in the global political economy. This article examines how stakeholder acceptance of WTR is assembled, contested, and constrained in practice, and what this implies for its political feasibility as an eco-social transition policy. Drawing on a hybrid Policy Delphi and Stakeholder Thinking Lab conducted in Sweden, Germany, and Latvia, we analyze how stakeholders embedded in distinct welfare-state and work-regime formations reason about WTR’s desirability, feasibility, and political possibility. The findings show widespread support for WTR on well-being grounds, but highly conditional acceptance when assessed as an ecological and political intervention. Perceived political feasibility depends on income security, labor-market institutions, coordination capacity, and countries’ positions within European and global core-periphery relations. Where welfare institutions buffer individuals from labor-market risks, WTR becomes a negotiable reform; where working time functions as a survival imperative, it remains</w:t>
      </w:r>
    </w:p>
    <w:p>
      <w:pPr/>
      <w:r>
        <w:rPr>
          <w:b/>
        </w:rPr>
        <w:t>POSSIBLE 2026:</w:t>
      </w:r>
      <w:r>
        <w:t xml:space="preserve"> Assessing the potential of CAP 2023 Agri-environmental schemes for Mediterranean agroforestry livestock systems: A Delphi approach — https://doi.org/10.1016/j.scitotenv.2026.181617</w:t>
      </w:r>
    </w:p>
    <w:p>
      <w:pPr/>
      <w:r>
        <w:rPr>
          <w:b/>
        </w:rPr>
        <w:t>Shared claim-specific concepts:</w:t>
      </w:r>
      <w:r>
        <w:t xml:space="preserve"> delphi, expert, approach; EU scope not established. This is a provisional connection, not an outcome finding.</w:t>
      </w:r>
    </w:p>
    <w:p>
      <w:pPr>
        <w:pStyle w:val="SourceNote"/>
      </w:pPr>
      <w:r>
        <w:rPr>
          <w:b/>
        </w:rPr>
        <w:t>Available abstract (not full text):</w:t>
      </w:r>
      <w:r>
        <w:t xml:space="preserve"> The Common Agricultural Policy (CAP) 2023-2027 seeks to promote a greener and more sustainable agricultural model through the introduction of agri-environmental schemes that require significant changes in farm management. In this context, extensive livestock farms located in Mediterranean agroforestry systems (MAGFs), such as the Spanish dehesa, play a key role in climate regulation, biodiversity conservation and wildfire prevention. To assess the potential impacts of the new CAP agri-environmental schemes on these systems, a Delphi study was conducted in 2022 and 2023 with a panel of 35 national experts. Using an online questionnaire, experts evaluated 65 statements grouped into six thematic sections covering environmental, productive, social and policy-related dimensions. Overall, the Delphi results reveal a clear contrast between dimensions, with strong expert convergence on environmental outcomes and greater uncertainty regarding socio-economic and structural effects. Experts point out, with a high degree of consensus, that the implementation of the CAP and the agri-environmental schemes will generate significant environmental benefits in dehesa systems, particularly through improvements in soil quality and the enhancement of their role as carbon sinks. A transition towards more sustainable and organic livestock production models is anticipated, although this shift is perce</w:t>
      </w:r>
    </w:p>
    <w:p>
      <w:pPr/>
      <w:r>
        <w:rPr>
          <w:b/>
        </w:rPr>
        <w:t>POSSIBLE 2026:</w:t>
      </w:r>
      <w:r>
        <w:t xml:space="preserve"> Selecting Life Cycle Cost Indicators for Sustainable Public Procurement: A Fuzzy Delphi Consensus from Indonesia — https://doi.org/10.3390/su18157560</w:t>
      </w:r>
    </w:p>
    <w:p>
      <w:pPr/>
      <w:r>
        <w:rPr>
          <w:b/>
        </w:rPr>
        <w:t>Shared claim-specific concepts:</w:t>
      </w:r>
      <w:r>
        <w:t xml:space="preserve"> delphi, expert, method, approach; EU scope not established. This is a provisional connection, not an outcome finding.</w:t>
      </w:r>
    </w:p>
    <w:p>
      <w:pPr>
        <w:pStyle w:val="SourceNote"/>
      </w:pPr>
      <w:r>
        <w:rPr>
          <w:b/>
        </w:rPr>
        <w:t>Available abstract (not full text):</w:t>
      </w:r>
      <w:r>
        <w:t xml:space="preserve"> Sustainable public procurement (SPP) has emerged as a crucial strategy for advancing environmental management and socioeconomic development. Life Cycle Cost (LCC) is widely regarded as a quantitative measure of long-term economic viability. However, integrating LCC analysis into SPP remains a major challenge. This study addresses this gap by identifying and selecting LCC indicators that align with sustainable procurement. This study develops new indicators for LCC assessment through a mixed-methods approach that combines a systematic literature review, an institutional policy review, and expert stakeholder consensus via a fuzzy Delphi method. A panel of 12 experts evaluated the indicators, and of the 173 potential items generated from the literature review, consensus was reached on 88 indicators, with an average threshold value (d) = 0.182. The findings establish a systematic framework that highlights the cost indicators most critical for guiding public procurement decisions. The findings also suggest indicators that are priorities for LCC in sustainable public procurement. Selecting appropriate LCC indicators in the SPP will help the government achieve several Sustainable Development Goals (SDGs) targets.</w:t>
      </w:r>
    </w:p>
    <w:p>
      <w:pPr>
        <w:pStyle w:val="Heading2"/>
      </w:pPr>
      <w:r>
        <w:t>879. A decision support system to find the best water allocation strategies in a Mediterranean river basin in future scenarios of global change</w:t>
      </w:r>
    </w:p>
    <w:p>
      <w:pPr>
        <w:pStyle w:val="SourceNote"/>
      </w:pPr>
      <w:r>
        <w:rPr>
          <w:b/>
        </w:rPr>
        <w:t>Original source (2015):</w:t>
      </w:r>
      <w:r>
        <w:t xml:space="preserve"> https://doi.org/10.1080/0952813x.2015.1024493</w:t>
      </w:r>
    </w:p>
    <w:p>
      <w:pPr/>
      <w:r>
        <w:t>Original wording (abstract; indexed_source_text_not_full_document_verified): Several scenarios have been constructed to evaluate different sectorial water allocation policies to mitigate the water scarcity induced by global change.</w:t>
      </w:r>
    </w:p>
    <w:p>
      <w:pPr/>
      <w:r>
        <w:rPr>
          <w:b/>
        </w:rPr>
        <w:t>POSSIBLE 2026:</w:t>
      </w:r>
      <w:r>
        <w:t xml:space="preserve"> Make Any Collection Navigable: Methods for Constructing and Evaluating Hypergraph of Text — https://doi.org/10.48550/arxiv.2604.25906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pPr/>
      <w:r>
        <w:rPr>
          <w:b/>
        </w:rPr>
        <w:t>POSSIBLE 2026:</w:t>
      </w:r>
      <w:r>
        <w:t xml:space="preserve"> Modelling the interplay between sectoral power asymmetries and the use of climate services — https://doi.org/10.1016/j.cliser.2026.100694</w:t>
      </w:r>
    </w:p>
    <w:p>
      <w:pPr/>
      <w:r>
        <w:rPr>
          <w:b/>
        </w:rPr>
        <w:t>Shared claim-specific concepts:</w:t>
      </w:r>
      <w:r>
        <w:t xml:space="preserve"> evaluate, different, water, allocation; EU scope visible. This is a provisional connection, not an outcome finding.</w:t>
      </w:r>
    </w:p>
    <w:p>
      <w:pPr>
        <w:pStyle w:val="SourceNote"/>
      </w:pPr>
      <w:r>
        <w:rPr>
          <w:b/>
        </w:rPr>
        <w:t>Available abstract (not full text):</w:t>
      </w:r>
      <w:r>
        <w:t xml:space="preserve"> Effective climate adaptation requires the integration of equitable and evidence-based decision-making tools and data, such as climate services (CS) products. However, the development and use of CS products are often shaped by stakeholder power asymmetries, which can influence who benefits the most and who remains vulnerable. This study uses a system dynamic modelling approach to evaluate how these power imbalances affect sectoral outcomes and the overall sustainability of the human-environmental system. Using the island of Crete, Greece, as a case, we simulated three scenarios reflecting different configurations of CS prioritization across five key sectors: tourism, water, energy, transport, and agriculture. Results show that prioritizing a single dominant sector amplifies adaptation benefits for that sector but increases systemic vulnerabilities elsewhere. Equitable prioritization across sectors fosters more balanced power distributions and improved sustainability outcomes. The findings highlight the need to rethink stakeholder engagement frameworks, such as the Co-create, Co-design, and Co-produce approach, by embedding systems thinking and stakeholder inclusivity from the outset of CS development. This study underscores the critical role of transdisciplinary modelling in informing just and sustainable climate adaptation strategies. Practical Implications This study demonstra</w:t>
      </w:r>
    </w:p>
    <w:p>
      <w:pPr/>
      <w:r>
        <w:rPr>
          <w:b/>
        </w:rPr>
        <w:t>POSSIBLE 2025:</w:t>
      </w:r>
      <w:r>
        <w:t xml:space="preserve"> Enhancing MUSIC’s Capability for Performance Evaluation and Optimization of Established Urban Constructed Wetlands — https://doi.org/10.3390/hydrology12080219</w:t>
      </w:r>
    </w:p>
    <w:p>
      <w:pPr/>
      <w:r>
        <w:rPr>
          <w:b/>
        </w:rPr>
        <w:t>Shared claim-specific concepts:</w:t>
      </w:r>
      <w:r>
        <w:t xml:space="preserve"> several, constructed, water; EU scope not established. This is a provisional connection, not an outcome finding.</w:t>
      </w:r>
    </w:p>
    <w:p>
      <w:pPr>
        <w:pStyle w:val="SourceNote"/>
      </w:pPr>
      <w:r>
        <w:rPr>
          <w:b/>
        </w:rPr>
        <w:t>Available abstract (not full text):</w:t>
      </w:r>
      <w:r>
        <w:t xml:space="preserve"> The Model for Urban Stormwater Improvement Conceptualization (MUSIC) serves as a key hydrological tool for simulating urban stormwater runoff pollution and evaluating the treatment performance in Water-Sensitive Urban Designs like constructed wetlands (CWs). However, a significant limitation exists in MUSIC’s current inability to model heavy metal contaminants, even though they are commonly found in urban stormwater and pose significant environmental risks. This eventually affects the model’s utility during critical planning phases for urban developments. Thus, there is a need to address this limitation. Field investigations were conducted across established CWs in residential and industrial catchments throughout Greater Melbourne, Australia. Through systematic monitoring and calibration, an approach was developed to extend MUSIC’s predictive capabilities to include several prevalent heavy metals. The results indicate that the enhanced model can generate plausible estimates for targeted metals while differentiating catchment-specific pollutant generation and treatment patterns. This advancement enhances MUSIC’s functionality as a planning support tool, enabling the preliminary assessment of heavy metal dynamics alongside conventional pollutants during both design and operational stages. The findings underscore the value of incorporating metal-specific parameters into stormwater</w:t>
      </w:r>
    </w:p>
    <w:p>
      <w:pPr/>
      <w:r>
        <w:rPr>
          <w:b/>
        </w:rPr>
        <w:t>POSSIBLE 2025:</w:t>
      </w:r>
      <w:r>
        <w:t xml:space="preserve"> From crisis to control : the framing of water in Italian climate discourse — https://doi.org/10.5817/bse2025-1-5</w:t>
      </w:r>
    </w:p>
    <w:p>
      <w:pPr/>
      <w:r>
        <w:rPr>
          <w:b/>
        </w:rPr>
        <w:t>Shared claim-specific concepts:</w:t>
      </w:r>
      <w:r>
        <w:t xml:space="preserve"> constructed, water; EU scope not established. This is a provisional connection, not an outcome finding.</w:t>
      </w:r>
    </w:p>
    <w:p>
      <w:pPr>
        <w:pStyle w:val="SourceNote"/>
      </w:pPr>
      <w:r>
        <w:rPr>
          <w:b/>
        </w:rPr>
        <w:t>Available abstract (not full text):</w:t>
      </w:r>
      <w:r>
        <w:t xml:space="preserve"> This research aims to examine how hydro-climatic phenomena – specifically glacial melting and sea level rise – are discursively framed in contemporary Italian media. To address the thematic and lexical limitations of general-purpose corpora, a dedicated dataset was compiled, consisting of 3,040 articles published between 2022 and 2024 in The Post Internazionale. The analysis focuses on two editorial sections, Politica (Politics) and Ambiente (Environment), combining methods from corpus linguistics and Critical Discourse Analysis to explore lexical patterns, rhetorical strategies, and discursive positioning. The study investigates how environmental meanings are constructed across these journalistic contexts, and how such representations reflect or resist dominant ideological frameworks. In doing so, it highlights the role of media language in shaping public understandings of climate change, and considers how institutional discourse may contribute to – or constrain – more critical engagement with ecological issues.</w:t>
      </w:r>
    </w:p>
    <w:p>
      <w:pPr/>
      <w:r>
        <w:rPr>
          <w:b/>
        </w:rPr>
        <w:t>POSSIBLE 2025:</w:t>
      </w:r>
      <w:r>
        <w:t xml:space="preserve"> Analysis of water saving investment of agricultural sector in Tunisia — https://doi.org/10.56027/joasd.172025</w:t>
      </w:r>
    </w:p>
    <w:p>
      <w:pPr/>
      <w:r>
        <w:rPr>
          <w:b/>
        </w:rPr>
        <w:t>Shared claim-specific concepts:</w:t>
      </w:r>
      <w:r>
        <w:t xml:space="preserve"> several, evaluate, water; EU scope not established. This is a provisional connection, not an outcome finding.</w:t>
      </w:r>
    </w:p>
    <w:p>
      <w:pPr>
        <w:pStyle w:val="SourceNote"/>
      </w:pPr>
      <w:r>
        <w:rPr>
          <w:b/>
        </w:rPr>
        <w:t>Available abstract (not full text):</w:t>
      </w:r>
      <w:r>
        <w:t xml:space="preserve"> This study aims to evaluate the performance of the National Program for Water Economy in Irrigation (NPWEI), which has been implemented in Tunisia since 1995, and to assess the impact of water-saving investments on agricultural water productivity. To achieve these objectives, two approaches were adopted. First, descriptive analysis was used to estimate the differences in water consumption, crop yields, and gross margins between traditional and modern irrigation systems. Second, an econometric model was used to assess the impact of investments in water-saving technologies on water productivity. Drip irrigation systems were found to lower the average water consumption of the crops studied by approximately 5.200 cubic meters per hectare annually. In addition, agricultural yields increased significantly by 30% in arboriculture and about 60% in vegetable and cereal crops. The productivity gains resulted in an average additional gross margin of nearly 2.000 TND/ ha, across various crops. Econometric analysis shows that water-saving investments have a positive impact on water productivity that is statistically significant at the 5% level. Based on these findings, several policy recommendations are proposed. These include enhancing farmer training and extension services, improving access to high-quality irrigation equipment, and adjusting financial support mechanisms such as microcredi</w:t>
      </w:r>
    </w:p>
    <w:p>
      <w:pPr/>
      <w:r>
        <w:rPr>
          <w:b/>
        </w:rPr>
        <w:t>POSSIBLE 2024:</w:t>
      </w:r>
      <w:r>
        <w:t xml:space="preserve"> Understanding and addressing the water footprint in the textile sector: A review — https://doi.org/10.1515/aut-2024-0004</w:t>
      </w:r>
    </w:p>
    <w:p>
      <w:pPr/>
      <w:r>
        <w:rPr>
          <w:b/>
        </w:rPr>
        <w:t>Shared claim-specific concepts:</w:t>
      </w:r>
      <w:r>
        <w:t xml:space="preserve"> several, different, water, policies, scarcity;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r>
        <w:rPr>
          <w:b/>
        </w:rPr>
        <w:t>POSSIBLE 2024:</w:t>
      </w:r>
      <w:r>
        <w:t xml:space="preserve"> Solubility of Amoxicillin Trihydrate Hydrochloride in Water — https://doi.org/10.24857/rgsa.v18n10-144</w:t>
      </w:r>
    </w:p>
    <w:p>
      <w:pPr/>
      <w:r>
        <w:rPr>
          <w:b/>
        </w:rPr>
        <w:t>Shared claim-specific concepts:</w:t>
      </w:r>
      <w:r>
        <w:t xml:space="preserve"> different, water, scarcity; EU scope not established. This is a provisional connection, not an outcome finding.</w:t>
      </w:r>
    </w:p>
    <w:p>
      <w:pPr>
        <w:pStyle w:val="SourceNote"/>
      </w:pPr>
      <w:r>
        <w:rPr>
          <w:b/>
        </w:rPr>
        <w:t>Available abstract (not full text):</w:t>
      </w:r>
      <w:r>
        <w:t xml:space="preserve"> Objectives: This study aims to determine the solubility of amoxicillin trihydrate hydrochloride in water at different temperatures, addressing the scarcity of solubility data for this substance in the literature. The research focuses on the solubility behavior of the semi-synthetic antibiotic, part of the β-lactam group, widely used orally. Theoretical Framework: Amoxicillin is a β-lactam antibiotic of great therapeutic importance. Its solubility is relevant to the effectiveness of oral formulations and varies according to temperature. The literature on the solubility equilibrium of this compound is limited, motivating new studies that assist in the development of pharmaceutical solutions and the understanding of its physicochemical properties. Method: The solubility of amoxicillin trihydrate hydrochloride was determined at three temperatures: 298.15 K, 309.15 K, and 318.15 K, using the UV spectrophotometry method. The experiment involved 3 hours of stirring and 2 hours of decantation, with a 1 mL aliquot taken for analysis. The samples were diluted in 100 mL volumetric flasks and analyzed by spectrophotometer. Results and Discussion: The experimental results allowed correlating the solubility of amoxicillin trihydrate hydrochloride with empirical equations from the literature. The solubilities obtained demonstrated precision, with low relative deviation between the experimenta</w:t>
      </w:r>
    </w:p>
    <w:p>
      <w:pPr/>
      <w:r>
        <w:rPr>
          <w:b/>
        </w:rPr>
        <w:t>POSSIBLE 2024:</w:t>
      </w:r>
      <w:r>
        <w:t xml:space="preserve"> GCAM–GLORY v1.0: representing global reservoir water storage in a multi-sector human–Earth system model — https://doi.org/10.5194/gmd-17-5587-2024</w:t>
      </w:r>
    </w:p>
    <w:p>
      <w:pPr/>
      <w:r>
        <w:rPr>
          <w:b/>
        </w:rPr>
        <w:t>Shared claim-specific concepts:</w:t>
      </w:r>
      <w:r>
        <w:t xml:space="preserve"> several, water; EU scope not established. This is a provisional connection, not an outcome finding.</w:t>
      </w:r>
    </w:p>
    <w:p>
      <w:pPr>
        <w:pStyle w:val="SourceNote"/>
      </w:pPr>
      <w:r>
        <w:rPr>
          <w:b/>
        </w:rPr>
        <w:t>Available abstract (not full text):</w:t>
      </w:r>
      <w:r>
        <w:t xml:space="preserve"> Abstract. Reservoirs play a significant role in modifying the spatiotemporal availability of surface water to meet multi-sector human demands, despite representing a relatively small fraction of the global water budget. Yet the integrated modeling frameworks that explore the interactions among climate, land, energy, water, and socioeconomic systems at a global scale often contain limited representations of water storage dynamics that incorporate feedbacks from other systems. In this study, we implement a representation of water storage in the Global Change Analysis Model (GCAM) to enable exploration of the future role (e.g., expansion) of reservoir water storage globally in meeting demands for, and evolving in response to interactions with, the climate, land, and energy systems. GCAM represents 235 global water basins, operates at 5-year time steps, and uses supply curves to capture economic competition among renewable water (now including reservoirs), non-renewable groundwater, and desalination. Our approach consists of developing the GLObal Reservoir Yield (GLORY) model, which uses a Linear Programming (LP)-based optimization algorithm, and dynamically linking GLORY with GCAM. The new coupled GCAM-GLORY approach improves the representation of reservoir water storage in GCAM in several ways. First, the GLORY model identifies the cost to supply increasing levels of water supply</w:t>
      </w:r>
    </w:p>
    <w:p>
      <w:pPr/>
      <w:r>
        <w:rPr>
          <w:b/>
        </w:rPr>
        <w:t>POSSIBLE 2023:</w:t>
      </w:r>
      <w:r>
        <w:t xml:space="preserve"> Water management dilemma in the agricultural sector of Iran: A review focusing on water governance — https://doi.org/10.1016/j.agwat.2023.108480</w:t>
      </w:r>
    </w:p>
    <w:p>
      <w:pPr/>
      <w:r>
        <w:rPr>
          <w:b/>
        </w:rPr>
        <w:t>Shared claim-specific concepts:</w:t>
      </w:r>
      <w:r>
        <w:t xml:space="preserve"> several, water, scarcity; EU scope not established. This is a provisional connection, not an outcome finding.</w:t>
      </w:r>
    </w:p>
    <w:p>
      <w:pPr>
        <w:pStyle w:val="SourceNote"/>
      </w:pPr>
      <w:r>
        <w:rPr>
          <w:b/>
        </w:rPr>
        <w:t>Available abstract (not full text):</w:t>
      </w:r>
      <w:r>
        <w:t xml:space="preserve"> Around 90% of fresh renewable water is being used in Iran, indicating high water stress conditions across the country. Given that agricultural irrigation accounts for the majority of water use and consumption, any efforts to alleviate water stress must focus on enhancing agricultural water management. This paper aims to exhaustively compile the existing literature on the consequences and drivers of water insecurity, and to discuss the strategies balancing food and water security in the context of agricultural water management. Severe water scarcity can be largely attributed to governance gaps in Iran. In addition, inefficient water use, population growth, and warming/drying trends in the recent half a century are other major causes of the water scarcity. Groundwater over-depletion, quality deterioration of aquatic resources, decreased environmental flows and habitat destruction, and water conflicts are the significant consequences of improper water management in Iran. Several water productivity and conservation interventions, drawn from a rich literature, were suggested to improve agricultural water management in Iran. Furthermore, some water-food-energy nexus optimization methods, including changing cropping patterns, modifying energy tariffs, manipulating food diet, and reducing food waste, were discussed. Nexus-based strategies, which aim to achieve a balance between food pr</w:t>
      </w:r>
    </w:p>
    <w:p>
      <w:pPr/>
      <w:r>
        <w:rPr>
          <w:b/>
        </w:rPr>
        <w:t>POSSIBLE 2023:</w:t>
      </w:r>
      <w:r>
        <w:t xml:space="preserve"> Water treatment and reclamation by implementing electrochemical systems with constructed wetlands — https://doi.org/10.1016/j.ese.2023.100265</w:t>
      </w:r>
    </w:p>
    <w:p>
      <w:pPr/>
      <w:r>
        <w:rPr>
          <w:b/>
        </w:rPr>
        <w:t>Shared claim-specific concepts:</w:t>
      </w:r>
      <w:r>
        <w:t xml:space="preserve"> constructed, different, water, scarcity; EU scope not established. This is a provisional connection, not an outcome finding.</w:t>
      </w:r>
    </w:p>
    <w:p>
      <w:pPr>
        <w:pStyle w:val="SourceNote"/>
      </w:pPr>
      <w:r>
        <w:rPr>
          <w:b/>
        </w:rPr>
        <w:t>Available abstract (not full text):</w:t>
      </w:r>
      <w:r>
        <w:t xml:space="preserve"> Seasonal or permanent water scarcity in off-grid communities can be alleviated by recycling water in decentralized wastewater treatment systems. Nature-based solutions, such as constructed wetlands (CWs), have become popular solutions for sanitation in remote locations. Although typical CWs can efficiently remove solids and organics to meet water reuse standards, polishing remains necessary for other parameters, such as pathogens, nutrients, and recalcitrant pollutants. Different CW designs and CWs coupled with electrochemical technologies have been proposed to improve treatment efficiency. Electrochemical systems (ECs) have been either implemented within the CW bed (ECin-CW) or as a stage in a sequential treatment (CW + EC). A large body of literature has focused on ECin-CW, and multiple scaled-up systems have recently been successfully implemented, primarily to remove recalcitrant organics. Conversely, only a few reports have explored the opportunity to polish CW effluents in a downstream electrochemical module for the electro-oxidation of micropollutants or electro-disinfection of pathogens to meet more stringent water reuse standards. This paper aims to critically review the opportunities, challenges, and future research directions of the different couplings of CW with EC as a decentralized technology for water treatment and recovery.</w:t>
      </w:r>
    </w:p>
    <w:p>
      <w:pPr/>
      <w:r>
        <w:rPr>
          <w:b/>
        </w:rPr>
        <w:t>POSSIBLE 2022:</w:t>
      </w:r>
      <w:r>
        <w:t xml:space="preserve"> Performance evaluation of constructed wetland for removal of pharmaceutical compounds from hospital wastewater: Seasonal perspective — https://doi.org/10.1016/j.arabjc.2022.104344</w:t>
      </w:r>
    </w:p>
    <w:p>
      <w:pPr/>
      <w:r>
        <w:rPr>
          <w:b/>
        </w:rPr>
        <w:t>Shared claim-specific concepts:</w:t>
      </w:r>
      <w:r>
        <w:t xml:space="preserve"> several, constructed, evaluate, different; EU scope not established. This is a provisional connection, not an outcome finding.</w:t>
      </w:r>
    </w:p>
    <w:p>
      <w:pPr>
        <w:pStyle w:val="SourceNote"/>
      </w:pPr>
      <w:r>
        <w:rPr>
          <w:b/>
        </w:rPr>
        <w:t>Available abstract (not full text):</w:t>
      </w:r>
      <w:r>
        <w:t xml:space="preserve"> Constructed wetland employs vegetation as a natural medium to remove pollutants from wastewater for this treatment. It is eco-friendly, sustainable, economical, low maintenance, low running cost, and easy to use. This has prompted several studies to investigate its performance in treating pollutants from the conventional to emerging contaminants category, including pharmaceutical compounds. However, there is still a lack of work on the impact of monsoons on the removal efficiency of pharmaceutically active compounds from wastewater. This study evaluated constructed wetland performance during the premonsoon, monsoon, and post-monsoon seasons. A pilot-scale constructed wetland setup was established to conduct this study. The target compound included paracetamol, ibuprofen, carbamazepine, lorazepam, ciprofloxacin, sulfamethoxazole, and Fluvastatin. In the constructed wetland, for paracetamol and ibuprofen, NSAIDs concentration was observed to be 1503–6307 ngL −1 and 564–808 ngL −1 . The concentrations of antibiotics, sulfamethoxazole, and ciprofloxacin were 16532–21635 ngL −1 and 734–1178 ngL −1, respectively. The carbamazepine, lorazepam, and Lutvastatin concentration range was 616–906 ngL −1 , 2742–3775 ngL −1 , and 694–2068 ngL −1, respectively. The hazard quotient approach was adopted to evaluate potential environmental risk from target compounds. The increase of paracetamol 3</w:t>
      </w:r>
    </w:p>
    <w:p>
      <w:pPr/>
      <w:r>
        <w:rPr>
          <w:b/>
        </w:rPr>
        <w:t>POSSIBLE 2022:</w:t>
      </w:r>
      <w:r>
        <w:t xml:space="preserve"> Evaluating the potential of MeteoSwiss forecast strategies when constructing weather warnings — https://doi.org/10.5194/ems2022-458</w:t>
      </w:r>
    </w:p>
    <w:p>
      <w:pPr/>
      <w:r>
        <w:rPr>
          <w:b/>
        </w:rPr>
        <w:t>Shared claim-specific concepts:</w:t>
      </w:r>
      <w:r>
        <w:t xml:space="preserve"> several, evaluate, different, mitigate; EU scope not established. This is a provisional connection, not an outcome finding.</w:t>
      </w:r>
    </w:p>
    <w:p>
      <w:pPr>
        <w:pStyle w:val="SourceNote"/>
      </w:pPr>
      <w:r>
        <w:rPr>
          <w:b/>
        </w:rPr>
        <w:t>Available abstract (not full text):</w:t>
      </w:r>
      <w:r>
        <w:t xml:space="preserve"> To mitigate the impacts associated with adverse weather conditions, meteorological services issue weather warnings to the general public. These warning systems rely heavily on forecasts issued by underlying prediction systems. When deciding which prediction system(s) to utilise when constructing warnings, it is important to compare systems in their ability to forecast the occurrence and severity of extreme weather events: if a warning system has access to more accurate forecasts for extreme weather, then it has the potential to generate more useful warnings. However, evaluating forecasts for extreme events is known to be a challenging task. This is exacerbated further by the fact that high-impact weather often manifests as a result of several confounding features, a realisation that has led to considerable recent research on so-called compound weather events. Both univariate and multivariate methods are therefore required to evaluate forecasts for high-impact weather. In this work, we review weighted verification tools, which allow particular outcomes to be emphasised during forecast evaluation, and demonstrate how these can be used to verify forecasts for compound weather events. We compare different approaches to construct weighted scoring rules, and exploit recent developments to apply these scores in a multivariate setting. Additionally, we leverage existing results on weig</w:t>
      </w:r>
    </w:p>
    <w:p>
      <w:pPr>
        <w:pStyle w:val="Heading2"/>
      </w:pPr>
      <w:r>
        <w:t>880. A strategic policy scenario analysis framework for the sustainable tourist development of peripheral small island areas – the case of Lefkada-Greece Island</w:t>
      </w:r>
    </w:p>
    <w:p>
      <w:pPr>
        <w:pStyle w:val="SourceNote"/>
      </w:pPr>
      <w:r>
        <w:rPr>
          <w:b/>
        </w:rPr>
        <w:t>Original source (2015):</w:t>
      </w:r>
      <w:r>
        <w:t xml:space="preserve"> https://doi.org/10.1007/s40309-015-0063-z</w:t>
      </w:r>
    </w:p>
    <w:p>
      <w:pPr/>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POSSIBLE 2026:</w:t>
      </w:r>
      <w:r>
        <w:t xml:space="preserve"> Servitising rural heritage: Social innovation and the social economy in peripheral Europe — https://doi.org/10.24136/eq.4292</w:t>
      </w:r>
    </w:p>
    <w:p>
      <w:pPr/>
      <w:r>
        <w:rPr>
          <w:b/>
        </w:rPr>
        <w:t>Shared claim-specific concepts:</w:t>
      </w:r>
      <w:r>
        <w:t xml:space="preserve"> peripheral, local, assets, used; EU scope visible. This is a provisional connection, not an outcome finding.</w:t>
      </w:r>
    </w:p>
    <w:p>
      <w:pPr>
        <w:pStyle w:val="SourceNote"/>
      </w:pPr>
      <w:r>
        <w:rPr>
          <w:b/>
        </w:rPr>
        <w:t>Available abstract (not full text):</w:t>
      </w:r>
      <w:r>
        <w:t xml:space="preserve">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pPr/>
      <w:r>
        <w:rPr>
          <w:b/>
        </w:rPr>
        <w:t>POSSIBLE 2026:</w:t>
      </w:r>
      <w:r>
        <w:t xml:space="preserve"> Expert perspectives on the requirements for implementing prehospital peripheral nerve blocks: a survey among members of the European Society of Regional Anaesthesia (ESRA) — https://doi.org/10.1186/s12871-026-04093-3</w:t>
      </w:r>
    </w:p>
    <w:p>
      <w:pPr/>
      <w:r>
        <w:rPr>
          <w:b/>
        </w:rPr>
        <w:t>Shared claim-specific concepts:</w:t>
      </w:r>
      <w:r>
        <w:t xml:space="preserve"> implemented, specific, peripheral, local, information, used; EU scope visible. This is a provisional connection, not an outcome finding.</w:t>
      </w:r>
    </w:p>
    <w:p>
      <w:pPr>
        <w:pStyle w:val="SourceNote"/>
      </w:pPr>
      <w:r>
        <w:rPr>
          <w:b/>
        </w:rPr>
        <w:t>Available abstract (not full text):</w:t>
      </w:r>
      <w:r>
        <w:t xml:space="preserve">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pPr/>
      <w:r>
        <w:rPr>
          <w:b/>
        </w:rPr>
        <w:t>POSSIBLE 2026:</w:t>
      </w:r>
      <w:r>
        <w:t xml:space="preserve"> Agrarian Structure in a Small Island Region: A Typological and Spatial Analysis of Agricultural Systems in Madeira Island — https://doi.org/10.3390/su18073545</w:t>
      </w:r>
    </w:p>
    <w:p>
      <w:pPr/>
      <w:r>
        <w:rPr>
          <w:b/>
        </w:rPr>
        <w:t>Shared claim-specific concepts:</w:t>
      </w:r>
      <w:r>
        <w:t xml:space="preserve"> small, island, region, integrated; EU scope visible. This is a provisional connection, not an outcome finding.</w:t>
      </w:r>
    </w:p>
    <w:p>
      <w:pPr>
        <w:pStyle w:val="SourceNote"/>
      </w:pPr>
      <w:r>
        <w:rPr>
          <w:b/>
        </w:rPr>
        <w:t>Available abstract (not full text):</w:t>
      </w:r>
      <w:r>
        <w:t xml:space="preserve"> Madeira’s agricultural sector is characterised by pronounced structural heterogeneity, land fragmentation, and increasing socio-economic and environmental pressures. However, comprehensive typological and spatial analyses remain limited, particularly in small island contexts. This study addresses this gap by providing a typological and spatial analysis of the agrarian structure in the Autonomous Region of Madeira, Portugal, using 2019 Agricultural Census data. An integrated framework combining Principal Component Analysis (PCA), Partitioning Around Medoids (PAM) clustering, and Random Forest validation—representing a novel approach in agrarian typology studies—is employed to identify three agricultural models: Intensive Subtropical Agriculture (24.1% of parishes), characterised by small holdings and high labour intensity; Extensive Traditional Agriculture (64.8%), featuring moderate farm size and diversified cropping; and Pasture-based Agriculture (11.1%), dominated by larger farms and low labour input. The results confirm significant structural trade-offs, including a strong inverse relationship between farm size and labour intensity (r = −0.653) and a negative correlation between specialisation and crop diversity (r = −0.673). Spatially, the models exhibit clear territorial differentiation, with subtropical systems concentrated in southern coastal areas and traditional system</w:t>
      </w:r>
    </w:p>
    <w:p>
      <w:pPr/>
      <w:r>
        <w:rPr>
          <w:b/>
        </w:rPr>
        <w:t>POSSIBLE 2026:</w:t>
      </w:r>
      <w:r>
        <w:t xml:space="preserve"> Cost competitiveness of green ammonia via solid oxide electrolysis in Europe: A region-specific analysis — https://doi.org/10.1016/j.jclepro.2026.148079</w:t>
      </w:r>
    </w:p>
    <w:p>
      <w:pPr/>
      <w:r>
        <w:rPr>
          <w:b/>
        </w:rPr>
        <w:t>Shared claim-specific concepts:</w:t>
      </w:r>
      <w:r>
        <w:t xml:space="preserve"> specific, integrated, sustainable, local, potential; EU scope visible. This is a provisional connection, not an outcome finding.</w:t>
      </w:r>
    </w:p>
    <w:p>
      <w:pPr>
        <w:pStyle w:val="SourceNote"/>
      </w:pPr>
      <w:r>
        <w:rPr>
          <w:b/>
        </w:rPr>
        <w:t>Available abstract (not full text):</w:t>
      </w:r>
      <w:r>
        <w:t xml:space="preserve"> Ammonia is a vital commodity for both agriculture and industry, with global demand projected to exceed 680 million tonnes annually by 2050. However, conventional ammonia production via the Haber-Bosch process, which relies on fossil-derived hydrogen, is highly carbon intensive. Decarbonising ammonia production is therefore essential to achieve net-zero targets and reduce fossil fuel dependency. This study develops a comprehensive Mixed Integer Linear Programming model to optimise green ammonia production across Europe based on high-efficiency solid oxide electrolysis. The model incorporates a detailed efficiency curve of the electrolyser together with its specific thermal requirements, effectively capturing operational synergies between the electrolysis system and the Haber-Bosch reactor through integrated heat management. The analysis evaluates the optimal Levelised Cost Of Ammonia (LCOA) under different configurations – islanded and grid-connected – highlighting the implications of the revised EU Renewable Energy Directive (RED III) on renewable energy use, system design and costs. The results identify regions with high wind potential (e.g., northern France, Denmark, England) as the most cost-competitive for ammonia production, achieving LCOA values of around 1000 €/tNH 3 . These regions benefit from higher average capacity factors and better temporal alignment between renewa</w:t>
      </w:r>
    </w:p>
    <w:p>
      <w:pPr/>
      <w:r>
        <w:rPr>
          <w:b/>
        </w:rPr>
        <w:t>POSSIBLE 2026:</w:t>
      </w:r>
      <w:r>
        <w:t xml:space="preserve"> STAKEHOLDER PERCEPTIONS AND SUSTAINABLE ISLAND DEVELOPMENT: A STRUCTURAL EQUATION MODELLING APPROACH IN ADRIATIC ISLAND REGIONS — https://doi.org/10.62598/10thicva.031</w:t>
      </w:r>
    </w:p>
    <w:p>
      <w:pPr/>
      <w:r>
        <w:rPr>
          <w:b/>
        </w:rPr>
        <w:t>Shared claim-specific concepts:</w:t>
      </w:r>
      <w:r>
        <w:t xml:space="preserve"> island, integrated, sustainable, local; EU scope not established. This is a provisional connection, not an outcome finding.</w:t>
      </w:r>
    </w:p>
    <w:p>
      <w:pPr>
        <w:pStyle w:val="SourceNote"/>
      </w:pPr>
      <w:r>
        <w:rPr>
          <w:b/>
        </w:rPr>
        <w:t>Available abstract (not full text):</w:t>
      </w:r>
      <w:r>
        <w:t xml:space="preserve"> The paper explores the perceptions of key stakeholders regarding the sustainable development of island regions in the Adriatic Sea to identify key determinants shaping sustainable development processes.The research is based on a quantitative approach, in which a survey was conducted among relevant stakeholder groups, including residents, representatives of public administration, the tourism sector, and entrepreneurs, farmers and local producers, hoteliers, investors, and non-governmental organisations.Structural equation modelling (SEM) was applied to analyse the relationships between latent constructs, with an assessment of the reliability and convergent validity of the measurement model (Cronbach α, composite reliability, AVE) and an evaluation of the structural model using standard goodness-of-fit indicators.The research results indicate that the perception of sustainable development depends to a significant extent on the level of integration of tourism development, the quality of institutional support and the degree of stakeholder involvement in decision-making processes.In particular, the strong positive impact of participatory governance and perceived benefits of tourism on the overall assessment of sustainability is highlighted, while environmental pressures and the perception of overtourism act as limiting factors.In conclusion, the results confirm the importance of an </w:t>
      </w:r>
    </w:p>
    <w:p>
      <w:pPr/>
      <w:r>
        <w:rPr>
          <w:b/>
        </w:rPr>
        <w:t>POSSIBLE 2025:</w:t>
      </w:r>
      <w:r>
        <w:t xml:space="preserve"> Implementation of heutagogy based learning on Bawean Island — https://doi.org/10.55210/attalim.v11i1.1959</w:t>
      </w:r>
    </w:p>
    <w:p>
      <w:pPr/>
      <w:r>
        <w:rPr>
          <w:b/>
        </w:rPr>
        <w:t>Shared claim-specific concepts:</w:t>
      </w:r>
      <w:r>
        <w:t xml:space="preserve"> implemented, island, potential; EU scope not established. This is a provisional connection, not an outcome finding.</w:t>
      </w:r>
    </w:p>
    <w:p>
      <w:pPr>
        <w:pStyle w:val="SourceNote"/>
      </w:pPr>
      <w:r>
        <w:rPr>
          <w:b/>
        </w:rPr>
        <w:t>Available abstract (not full text):</w:t>
      </w:r>
      <w:r>
        <w:t xml:space="preserve"> Heutagogy-based learning can be a learning design solution that can accommodate the diverse potential of learners. By understanding and applying heutagogy, educators can develop learning designs that maximise the potential of each learner. This heutagogy approach is more flexible with a classroom management style that gives full rights to learners. However, the application of a theory definitely requires proof in order to be implemented globally. Therefore, this research was conducted to explore and observe the implementation of heutagogy-based learning in Merdeka Curriculum. This research uses descriptive qualitative research with the research subject of 3rd grade students of UPT SDN 347 Gresik on Bawean Island. Based on the observation results, it shows positive results and very good categories. In addition, students look very active during learning. However, despite the positive observation results, there are several challenges in implementing this heutagogy-based learning, such as the uneven ability of reflection and self-evaluation among students, which leads to the recommendation that it takes adjustments to implement heutagogy learning, especially in low grades (A Phase).</w:t>
      </w:r>
    </w:p>
    <w:p>
      <w:pPr/>
      <w:r>
        <w:rPr>
          <w:b/>
        </w:rPr>
        <w:t>POSSIBLE 2025:</w:t>
      </w:r>
      <w:r>
        <w:t xml:space="preserve"> Vessel Day Scheme and Tuna Catch in the Pacific Island Region — https://doi.org/10.1002/app5.70042</w:t>
      </w:r>
    </w:p>
    <w:p>
      <w:pPr/>
      <w:r>
        <w:rPr>
          <w:b/>
        </w:rPr>
        <w:t>Shared claim-specific concepts:</w:t>
      </w:r>
      <w:r>
        <w:t xml:space="preserve"> island, region, sustainable; EU scope not established. This is a provisional connection, not an outcome finding.</w:t>
      </w:r>
    </w:p>
    <w:p>
      <w:pPr>
        <w:pStyle w:val="SourceNote"/>
      </w:pPr>
      <w:r>
        <w:rPr>
          <w:b/>
        </w:rPr>
        <w:t>Available abstract (not full text):</w:t>
      </w:r>
      <w:r>
        <w:t xml:space="preserve"> ABSTRACT Tuna fishing is a major source of government revenue and economic growth in the Pacific Island countries. In 2007, a group of these countries introduced the Vessel Day Scheme (VDS), marking a shift from older access agreements to a more structured effort‐based management system. The VDS introduced tradeable fishing days as a mechanism to control effort and generate higher economic returns. Since its implementation, domestic tuna catches in VDS‐participating countries have shown notable increase. This study examines how the VDS affected tuna catches in 17 Pacific countries from 2000 to 2020. Using a Difference‐in‐Differences method, the results show that countries participating in the VDS increased their tuna catches by more than 200% compared to non‐VDS countries. These findings suggest that while the VDS has economic benefits, stronger conservation efforts are also needed to make sure tuna fishing remains sustainable in the future.</w:t>
      </w:r>
    </w:p>
    <w:p>
      <w:pPr/>
      <w:r>
        <w:rPr>
          <w:b/>
        </w:rPr>
        <w:t>POSSIBLE 2025:</w:t>
      </w:r>
      <w:r>
        <w:t xml:space="preserve"> The Nordic region and the European Union — https://doi.org/10.4337/9781035319725.00033</w:t>
      </w:r>
    </w:p>
    <w:p>
      <w:pPr/>
      <w:r>
        <w:rPr>
          <w:b/>
        </w:rPr>
        <w:t>Shared claim-specific concepts:</w:t>
      </w:r>
      <w:r>
        <w:t xml:space="preserve"> region, information, environment; EU scope visible. This is a provisional connection, not an outcome finding.</w:t>
      </w:r>
    </w:p>
    <w:p>
      <w:pPr>
        <w:pStyle w:val="SourceNote"/>
      </w:pPr>
      <w:r>
        <w:rPr>
          <w:b/>
        </w:rPr>
        <w:t>Available abstract (not full text):</w:t>
      </w:r>
      <w:r>
        <w:t xml:space="preserve"> This chapter provides an overview and discussion of Nordic cooperation and the Nordic region in the EU. It discusses when the Nordic countries cooperate in the EU, why Nordic cooperation in the EU is relatively limited, and the characteristics of Nordic cooperation to the extent it takes place. The chapter argues that Nordic cooperation in the EU is limited, informal, technical, and focused on exchange of information and participation in larger clusters of like-minded states rather than joint policy initiatives. It illustrates how the Nordic countries aim to create bastions to defend the Nordic welfare states and their national autonomy, but that the Nordic countries pursue this shared aim with very different, sometimes contrasting interpretations of what constitutes the national interest in EU politics. While this continues to inhibit Nordic cooperation in the EU, a less distinctive Nordic welfare state in combination with an increasingly tumultuous international environment are likely to increase the incentives for Nordic EU cooperation in the future.</w:t>
      </w:r>
    </w:p>
    <w:p>
      <w:pPr/>
      <w:r>
        <w:rPr>
          <w:b/>
        </w:rPr>
        <w:t>POSSIBLE 2025:</w:t>
      </w:r>
      <w:r>
        <w:t xml:space="preserve"> Planning the natural development of a peripheral vertex on the example of a regional airport in Central Europe — https://doi.org/10.12913/22998624/204142</w:t>
      </w:r>
    </w:p>
    <w:p>
      <w:pPr/>
      <w:r>
        <w:rPr>
          <w:b/>
        </w:rPr>
        <w:t>Shared claim-specific concepts:</w:t>
      </w:r>
      <w:r>
        <w:t xml:space="preserve"> peripheral, used; EU scope visible. This is a provisional connection, not an outcome finding.</w:t>
      </w:r>
    </w:p>
    <w:p>
      <w:pPr>
        <w:pStyle w:val="SourceNote"/>
      </w:pPr>
      <w:r>
        <w:rPr>
          <w:b/>
        </w:rPr>
        <w:t>Available abstract (not full text):</w:t>
      </w:r>
      <w:r>
        <w:t xml:space="preserve"> In this paper, a young airport in Central Europe is presented as a peripheral node of a complex network, subject to Luce's natural laws of development.Research conducted since the late 1990s has focused on creating models that apply to the entire network.Even the development of the most important nodes of a complex network, the socalled hubs, is considered as a consequence of the topology of the entire network.The paper considers what laws and models can be applied to a single, peripheral network node, compared to the widely used exponential models.The presented analysis of the dynamics of the scheduled traffic at the Lublin Airport allows for forecasting its further development.Thus, the methods proposed here for the case study of a regional airport enable us to specify a forecast for the further development of any peripheral vertex of a complex network of a transportation system.On the basis of this analysis, it was pointed out, among others, that seasonality expressing the dynamics of a complex network, so far expressed in statistics using the time series method can also be approached in the Elliot waves terminology and used to predict the profitability of a regional airport.It was also established, that since 2015 the regional demand for civil aviation operations in the General Aviation category has been saturated at the Lublin Airport, reaching the level of 1750 operations</w:t>
      </w:r>
    </w:p>
    <w:p>
      <w:pPr/>
      <w:r>
        <w:rPr>
          <w:b/>
        </w:rPr>
        <w:t>POSSIBLE 2025:</w:t>
      </w:r>
      <w:r>
        <w:t xml:space="preserve"> Local Implementation of the 2030 Agenda in Europe — https://doi.org/10.17645/up.9873</w:t>
      </w:r>
    </w:p>
    <w:p>
      <w:pPr/>
      <w:r>
        <w:rPr>
          <w:b/>
        </w:rPr>
        <w:t>Shared claim-specific concepts:</w:t>
      </w:r>
      <w:r>
        <w:t xml:space="preserve"> specific, sustainable, local, environment; EU scope visible. This is a provisional connection, not an outcome finding.</w:t>
      </w:r>
    </w:p>
    <w:p>
      <w:pPr>
        <w:pStyle w:val="SourceNote"/>
      </w:pPr>
      <w:r>
        <w:rPr>
          <w:b/>
        </w:rPr>
        <w:t>Available abstract (not full text):</w:t>
      </w:r>
      <w:r>
        <w:t xml:space="preserve"> While some scholars see the Sustainable Development Goals (SDGs) as an example of environmentally friendly development approaches that reconnect development with biospheric preconditions, others argue that they mask ongoing contestation. This article begins with a multi‐level governance perspective on the “green goals” of the 2030 Agenda and the importance of local action for their implementation. The focus is on Europe, where municipal sustainability governance was found to be concentrated and where the environment is most likely prioritized. Against this backdrop, I analyze which policy measures the European Union, nation states, regions, and municipalities in Europe name in the reviews submitted to the UN High‐Level Political Forum to achieve environmental targets. I show that although the environment is not a priority of SDG implementation at any policy level, municipalities are occasionally leading the way in environmental action both horizontally, with site‐specific measures, and vertically, with multi‐level measures.</w:t>
      </w:r>
    </w:p>
    <w:p>
      <w:pPr/>
      <w:r>
        <w:rPr>
          <w:b/>
        </w:rPr>
        <w:t>POSSIBLE 2025:</w:t>
      </w:r>
      <w:r>
        <w:t xml:space="preserve"> Enhancing “4 per 1000” initiative implementation through region-specific agricultural and forestry practices — https://doi.org/10.1016/j.soilad.2025.100057</w:t>
      </w:r>
    </w:p>
    <w:p>
      <w:pPr/>
      <w:r>
        <w:rPr>
          <w:b/>
        </w:rPr>
        <w:t>Shared claim-specific concepts:</w:t>
      </w:r>
      <w:r>
        <w:t xml:space="preserve"> specific, region, sustainable; EU scope not established. This is a provisional connection, not an outcome finding.</w:t>
      </w:r>
    </w:p>
    <w:p>
      <w:pPr>
        <w:pStyle w:val="SourceNote"/>
      </w:pPr>
      <w:r>
        <w:rPr>
          <w:b/>
        </w:rPr>
        <w:t>Available abstract (not full text):</w:t>
      </w:r>
      <w:r>
        <w:t xml:space="preserve"> The critical importance of enhancing and maintaining the organic carbon (C) content in agricultural and forest soils has been emphasized for a decade within the objectives of the International "4 per 1000" Initiative. The multiple benefits of soil organic C (SOC) sequestration in addressing global challenges—such as food security, climate change mitigation and adaptation, and biodiversity conservation—are now well-recognized. However, less well understood is how the capacity for SOC sequestration varies across regions and what specific management practices are most suitable for promoting soil health and SOC sequestration regarding different regional contexts and initial conditions. In this paper, we review data and research from three major global regions—Africa, Asia, and Oceania—each with distinct cultural, socio-economic, and environmental challenges and opportunities. To provide insights from forest and agricultural management approaches in each region, we discuss practices that have proven effective and propose that a deeper exploration of region-specific management could lead to the identification of additional viable practices that enhance SOC sequestration. This approach would support the objectives of the "4 per 1000" Initiative and contribute to achieving global climate change and sustainable development goals.</w:t>
      </w:r>
    </w:p>
    <w:p>
      <w:pPr/>
      <w:r>
        <w:rPr>
          <w:b/>
        </w:rPr>
        <w:t>POSSIBLE 2025:</w:t>
      </w:r>
      <w:r>
        <w:t xml:space="preserve"> NAVIGATING SMART HOTEL IMPLEMENTATION IN BATAM ISLAND, INDONESIA: STAKEHOLDER PERSPECTIVES — https://doi.org/10.35631/aijbes.725039</w:t>
      </w:r>
    </w:p>
    <w:p>
      <w:pPr/>
      <w:r>
        <w:rPr>
          <w:b/>
        </w:rPr>
        <w:t>Shared claim-specific concepts:</w:t>
      </w:r>
      <w:r>
        <w:t xml:space="preserve"> implemented, specific, island, seeking, integrated, sustainable; EU scope not established. This is a provisional connection, not an outcome finding.</w:t>
      </w:r>
    </w:p>
    <w:p>
      <w:pPr>
        <w:pStyle w:val="SourceNote"/>
      </w:pPr>
      <w:r>
        <w:rPr>
          <w:b/>
        </w:rPr>
        <w:t>Available abstract (not full text):</w:t>
      </w:r>
      <w:r>
        <w:t xml:space="preserve"> The hospitality industry is undergoing a significant transformation driven by rapid technological advancements, resulting in the emergence of smart hotels as a new paradigm in accommodation services. These hotels integrate a range of cutting-edge technologies, including Artificial Intelligence (AI), the Internet of Things (IoT), big data analytics, and mobile applications, to enhance guest experiences through personalization and convenience, optimize operational efficiency, and promote sustainable and environmentally responsible practices. This shift is reshaping guest expectations and industry standards globally, creating opportunities for competitive advantage. Batam Island, Indonesia, as a rapidly developing tourist destination and a critical gateway for international visitors, presents a relevant and strategically significant setting to explore the adoption and implementation of smart hotel technologies. The island’s evolving tourism landscape, coupled with its socio-economic and infrastructural characteristics, underscores the importance of understanding how these innovations are integrated within emerging market settings. This study aims to investigate the implementation of smart hotels in Batam by focusing on the socio-technical challenges inherent in this process, including infrastructural constraints, cultural considerations, and stakeholder readiness. Although extensi</w:t>
      </w:r>
    </w:p>
    <w:p>
      <w:pPr>
        <w:pStyle w:val="Heading2"/>
      </w:pPr>
      <w:r>
        <w:t>881. After crisis scenarios for Europe: alternative evolutions of structural adjustments</w:t>
      </w:r>
    </w:p>
    <w:p>
      <w:pPr>
        <w:pStyle w:val="SourceNote"/>
      </w:pPr>
      <w:r>
        <w:rPr>
          <w:b/>
        </w:rPr>
        <w:t>Original source (2015):</w:t>
      </w:r>
      <w:r>
        <w:t xml:space="preserve"> https://doi.org/10.1093/cjres/rsv023</w:t>
      </w:r>
    </w:p>
    <w:p>
      <w:pPr/>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Enabling 1.5 °C lifestyles in Europe: lifestyle options and structural change for transformation — https://doi.org/10.6084/m9.figshare.32180302</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2025:</w:t>
      </w:r>
      <w:r>
        <w:t xml:space="preserve"> Health Effects of Interpersonal and Structural Discrimination on Minority Groups in Europe — https://doi.org/10.1111/1467-9566.70054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This article analyses the health effects of discrimination experiences across several minority groups in Europe. Despite a broad literature advancing the idea that discrimination is a focal point for the social determinants of health among minority groups, research attempting to disentangle the health effects of interpersonal forms of discrimination and harassment from structural forms of discrimination is underexamined. Furthermore, these experiences may impact different minority groups to a greater or lesser extent due to that group's position in the social hierarchy. We address this gap in the literature by analysing the Second European Union Minorities and Discrimination Survey (EU-MIDIS II), including 19,179 respondents in six minority groups across 25 countries. We show that experiencing interpersonal discrimination and harassment has a large and consistent negative effect on the health of respondents across all groups, with some variation across different minority groups. This finding is concerning given how common these experiences are in the European context. We also show a small but consistent relationship across groups between living in segregated neighbourhoods and poorer health, whereas a negative relationship between health and living in overcrowded housing exists only for the Russian minority.</w:t>
      </w:r>
    </w:p>
    <w:p>
      <w:pPr/>
      <w:r>
        <w:rPr>
          <w:b/>
        </w:rPr>
        <w:t>POSSIBLE 2025:</w:t>
      </w:r>
      <w:r>
        <w:t xml:space="preserve"> Aid, Structural Change, and Productivity Growth in Developing Countries — https://doi.org/10.33612/diss.1302004539</w:t>
      </w:r>
    </w:p>
    <w:p>
      <w:pPr/>
      <w:r>
        <w:rPr>
          <w:b/>
        </w:rPr>
        <w:t>Shared claim-specific concepts:</w:t>
      </w:r>
      <w:r>
        <w:t xml:space="preserve"> structural, alternative; EU scope visible. This is a provisional connection, not an outcome finding.</w:t>
      </w:r>
    </w:p>
    <w:p>
      <w:pPr>
        <w:pStyle w:val="SourceNote"/>
      </w:pPr>
      <w:r>
        <w:rPr>
          <w:b/>
        </w:rPr>
        <w:t>Available abstract (not full text):</w:t>
      </w:r>
      <w:r>
        <w:t xml:space="preserve"> This thesis investigates structural change in developing countries, with a focus on sub-Saharan Africa and the former Soviet Union. Virtually all cases of sustained economic growth have involved large-scale reallocation of labour and resources from low- to high-productivity sectors, often to manufacturing, and often alongside rapid urbanization. Yet many developing regions have not undergone such structural transformation, or have done so under significant distortion. This thesis shows that, with the exception of a small number of atypical countries, Sub-Saharan Africa has neither industrialized nor deindustrialized. A major feature of its post-independence landscape has been the prevalence of foreign aid. Whilst widely analyzed, the effects of aid remain ambiguous. This thesis presents new evidence showing that, on average, aid has impeded industrialization and reduced urbanization across the region. By contrast, the countries of the former Soviet Union and Eastern Europe experienced structural change in reverse. Overindustrialized at the end of the Cold War, many underwent rapid deindustrialization, often without expanding alternative high-productivity sectors for excess manufacturing labour to relocate to. In the Soviet successor states, this shift has contributed negatively to aggregate productivity since 1990, in contrast with the former centrally planned economies which w</w:t>
      </w:r>
    </w:p>
    <w:p>
      <w:pPr/>
      <w:r>
        <w:rPr>
          <w:b/>
        </w:rPr>
        <w:t>POSSIBLE 2024:</w:t>
      </w:r>
      <w:r>
        <w:t xml:space="preserve"> A review of structural and functional connectivity studies in European forests — https://doi.org/10.1007/s10980-024-02028-2</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Abstract Context Ecological connectivity is key to mitigating global change impacts such as isolation and climate change effects on populations, especially in historically modified biomes such as European forests. The term connectivity is widely used in conservation, but the multiple methods for measuring it, as well as the scales and objects of study to which it can be applied, make it difficult to understand and compare research results. Objectives Our aim was to enhance the understanding of connectivity studies in European forests to inform conservation efforts, guide future research, and identify potential knowledge gaps, through a systematic review of connectivity studies in European forests. Methods We did a systematic review on the literature of connectivity studies in European forests. We classified the studies according to the methods used. Then, we extracted information on study characteristics and context relevant for our purpose. Results Our literature search identified 142 relevant articles, more than half of these studied connectivity through structural measures (based only on landscape attributes). The three most used measures were area-based methods, Euclidean distances, and spatial indices (structural), followed by species and graph theory-based models (functional measures, including species data). Most studies focused on large Western European countries, and b</w:t>
      </w:r>
    </w:p>
    <w:p>
      <w:pPr/>
      <w:r>
        <w:rPr>
          <w:b/>
        </w:rPr>
        <w:t>POSSIBLE 2022:</w:t>
      </w:r>
      <w:r>
        <w:t xml:space="preserve"> Thinking outside the box, improvisation, and fast learning: Designing policy robustness to deal with what cannot be foreseen — https://doi.org/10.1111/padm.12861</w:t>
      </w:r>
    </w:p>
    <w:p>
      <w:pPr/>
      <w:r>
        <w:rPr>
          <w:b/>
        </w:rPr>
        <w:t>Shared claim-specific concepts:</w:t>
      </w:r>
      <w:r>
        <w:t xml:space="preserve"> foreseen, article, builds; EU scope not established. This is a provisional connection, not an outcome finding.</w:t>
      </w:r>
    </w:p>
    <w:p>
      <w:pPr>
        <w:pStyle w:val="SourceNote"/>
      </w:pPr>
      <w:r>
        <w:rPr>
          <w:b/>
        </w:rPr>
        <w:t>Available abstract (not full text):</w:t>
      </w:r>
      <w:r>
        <w:t xml:space="preserve"> Abstract Policies are continually subjected to turbulence and crises. Interest in policy robustness as a fundamental way to deal with what cannot be foreseen is increasing. Thus, there is a flourishing stream of literature suggesting that policies need to be designed to be agile and flexible. However, the associated characteristics remain undeveloped. This article fills this gap by drawing on lessons obtained from the unplanned behaviors that were adopted in the management of the COVID‐19 pandemic. Individual and organizational behaviors characterized by outside the box thinking, improvisation, and fast learning yielded solutions to unexpected problems. In this article, some of these emblematic unplanned behaviors are assessed, and the research builds on the literature on policy robustness, crisis management, and organizational theory to identify three enabling conditions to design more robust policies: coordinated autonomy, training for unplanned responses, and political institutional capacity.</w:t>
      </w:r>
    </w:p>
    <w:p>
      <w:pPr/>
      <w:r>
        <w:rPr>
          <w:b/>
        </w:rPr>
        <w:t>POSSIBLE 2022:</w:t>
      </w:r>
      <w:r>
        <w:t xml:space="preserve"> Labor productivity in the agriculture, structural shifts and economic growth in the Central and Eastern European countries — https://doi.org/10.51599/are.2022.08.04.01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Purpose. In our article, we assess the scope and directions of changes in agricultural labor productivity compared to other sectors of the economy. Methodology / approach. For our survey we choose 15 countries: (і) EU countries – Bulgaria, Czech Republic, Estonia, Hungary, Latvia, Lithuania, Poland, Romania, Slovakia and Slovenia, as well (іі) post-Soviet European countries – Ukraine, Moldova, Belarus, russia and also (ііі) Albania for period 1996–2019. We use an empirical methodology designed to analyze structural decomposition of labor productivity into the growth effect within the sector and structural dynamic and static effects, often called ‘shift-share analysis’. We analyze process of convergence of sectoral labor productivity and its impact on economic growth. Results. Labor productivity grows in the agricultural sector of the economy at the fastest rate, on average by almost 12 % per year. The growth effects within the industry takes a dominant position in all sectors of the economy in the countries of Central and Eastern Europe and its share is on average 88.5 %, and the structural effects are as follows: the dynamic effect is almost 1%, the static effect is 10.4 %. We have confirmed that the agricultural sector is gaining weight in the economic growth of the countries of Central and Eastern Europe, the influence of the service sector is increasing, although together t</w:t>
      </w:r>
    </w:p>
    <w:p>
      <w:pPr/>
      <w:r>
        <w:rPr>
          <w:b/>
        </w:rPr>
        <w:t>POSSIBLE 2021:</w:t>
      </w:r>
      <w:r>
        <w:t xml:space="preserve"> Structural and Productivity Changes in the European Countries During COVID-19 Pandemic — https://doi.org/10.35808/ersj/2529</w:t>
      </w:r>
    </w:p>
    <w:p>
      <w:pPr/>
      <w:r>
        <w:rPr>
          <w:b/>
        </w:rPr>
        <w:t>Shared claim-specific concepts:</w:t>
      </w:r>
      <w:r>
        <w:t xml:space="preserve"> structural, difficult, article; EU scope visible. This is a provisional connection, not an outcome finding.</w:t>
      </w:r>
    </w:p>
    <w:p>
      <w:pPr>
        <w:pStyle w:val="SourceNote"/>
      </w:pPr>
      <w:r>
        <w:rPr>
          <w:b/>
        </w:rPr>
        <w:t>Available abstract (not full text):</w:t>
      </w:r>
      <w:r>
        <w:t xml:space="preserve"> Purpose: This article aims to analyze structural and productivity changes for EU-27 in the period 2018-2020, just before and at the beginning of the Covid-19 pandemic. Design/Methodology/Approach:The study is based on Eurostat data for EU-27 countries from 2018-2020, containing total employment and gross value added by sectors.The primary method used is Shift-Share analysis.Findings: Results of the analysis confirm that two-fold changes in productivity were noted in both within and structural components.Only a few countries obtained a 2020 increase in overall productivity.The highest percentage decrease in productivity was noted by sector Arts, entertainment, and recreation, other service activities, household activities and extraterritorial organizations and bodies, wholesale and retail trade, transport, accommodation, and food service activities.In terms of employment changes, the highest decrease was noted in wholesale and retail business, transportation, housing, and food service activities and the highest increase in public administration, defense, education, human health, and social work activities, which was strictly related to anti-Covid actions introduced by governments. Practical Implications:The article provides information about productivity and employment changes during a difficult period of economic performance caused by the Covid-19 pandemic, which is crucial for</w:t>
      </w:r>
    </w:p>
    <w:p>
      <w:pPr/>
      <w:r>
        <w:rPr>
          <w:b/>
        </w:rPr>
        <w:t>POSSIBLE 2020:</w:t>
      </w:r>
      <w:r>
        <w:t xml:space="preserve"> Structural Changes in Agricultural Cooperatives Following Bulgaria’s European Union Integration — https://doi.org/10.37075/isa.2020.4.05</w:t>
      </w:r>
    </w:p>
    <w:p>
      <w:pPr/>
      <w:r>
        <w:rPr>
          <w:b/>
        </w:rPr>
        <w:t>Shared claim-specific concepts:</w:t>
      </w:r>
      <w:r>
        <w:t xml:space="preserve"> structural, article, basis; EU scope visible. This is a provisional connection, not an outcome finding.</w:t>
      </w:r>
    </w:p>
    <w:p>
      <w:pPr>
        <w:pStyle w:val="SourceNote"/>
      </w:pPr>
      <w:r>
        <w:rPr>
          <w:b/>
        </w:rPr>
        <w:t>Available abstract (not full text):</w:t>
      </w:r>
      <w:r>
        <w:t xml:space="preserve">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pPr/>
      <w:r>
        <w:rPr>
          <w:b/>
        </w:rPr>
        <w:t>POSSIBLE 2020:</w:t>
      </w:r>
      <w:r>
        <w:t xml:space="preserve"> LEVERS OF STATE REGULATION OF STRUCTURAL CHANGES IN THE NATIONAL ECONOMY — https://doi.org/10.26661/2414-0287-2020-3-47-16</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The article is devoted to the research of problems of formation and implementation of mechanisms, methods and measures of state regulation of structural transformations of the national economy. The interpretation of mechanisms, methods, tools and means of state regulation of the economy in domestic economics is studied. It is substantiated that the main shortcomings of the application of the program-target method of national economy management are chronic underfunding of state and local target programs, weak involvement of stakeholders and ineffective control over the implementation of programs and projects. It has been analyzed the European experience of the state practice of coordinating structural changes in accordance with the priorities of socio-economic development, in particular the application of such a regulatory tool as tax benefits. It is proved the expediency of using a reactive and proactive system of public administration in achieving the strategic goals of the national economy, which will more optimally determine the necessary means for their implementation, as well as prevent and respond to negative socio-economic effects. The measures of public administration within the mechanism of state regulation of structural changes in national economy are systematized. The basic tools of state regulation of structural reform of the national economy with grouping by mechan</w:t>
      </w:r>
    </w:p>
    <w:p>
      <w:pPr/>
      <w:r>
        <w:rPr>
          <w:b/>
        </w:rPr>
        <w:t>POSSIBLE 2020:</w:t>
      </w:r>
      <w:r>
        <w:t xml:space="preserve"> The Concept of Structural Human Rights in the European Convention on Human Rights — https://doi.org/10.1093/hrlr/ngaa024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ABSTRACT This article introduces the concept of structural human rights in the context of the European Convention on Human Rights. It starts from the observation that the current understanding of human rights obligations does not account for all the effects that the judgments of the European Court of Human Rights have in practice. To comply with their obligations under the Convention, States Parties may be required to modify their very institutional architecture. The article argues that this is a consequence of structural human rights. These are fundamental rights that, when enforced, may impose structural obligations, requiring changes to a State's governmental structure. The article offers a theoretical underpinning of the concept and indicates the benefits of understanding Convention rights also in a structural way. Furthermore, the notion is conceptualised further by way of an overview of several strands of case law, demonstrating the way in which Convention rights can develop their structural nature and what kind of structural effects they may have.</w:t>
      </w:r>
    </w:p>
    <w:p>
      <w:pPr/>
      <w:r>
        <w:rPr>
          <w:b/>
        </w:rPr>
        <w:t>POSSIBLE 2019:</w:t>
      </w:r>
      <w:r>
        <w:t xml:space="preserve"> Is decoupling a red herring? The role of structural effects and energy policies in Europe — https://doi.org/10.1016/j.enpol.2018.12.028</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pPr>
        <w:pStyle w:val="Heading2"/>
      </w:pPr>
      <w:r>
        <w:t>882. Analyst earnings forecast revision activity around profit warnings across four European countries</w:t>
      </w:r>
    </w:p>
    <w:p>
      <w:pPr>
        <w:pStyle w:val="SourceNote"/>
      </w:pPr>
      <w:r>
        <w:rPr>
          <w:b/>
        </w:rPr>
        <w:t>Original source (2015):</w:t>
      </w:r>
      <w:r>
        <w:t xml:space="preserve"> https://doi.org/10.1108/jaar-01-2013-0005</w:t>
      </w:r>
    </w:p>
    <w:p>
      <w:pPr/>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implications, only, firms;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2026:</w:t>
      </w:r>
      <w:r>
        <w:t xml:space="preserve"> Circulation Patterns, Genetic Diversity, and Public Health Implications of Enterovirus D68, Europe, 2014–2024 — https://doi.org/10.3201/eid3204.251022</w:t>
      </w:r>
    </w:p>
    <w:p>
      <w:pPr/>
      <w:r>
        <w:rPr>
          <w:b/>
        </w:rPr>
        <w:t>Shared claim-specific concepts:</w:t>
      </w:r>
      <w:r>
        <w:t xml:space="preserve"> implications, countries, during; EU scope visible. This is a provisional connection, not an outcome finding.</w:t>
      </w:r>
    </w:p>
    <w:p>
      <w:pPr>
        <w:pStyle w:val="SourceNote"/>
      </w:pPr>
      <w:r>
        <w:rPr>
          <w:b/>
        </w:rPr>
        <w:t>Available abstract (not full text):</w:t>
      </w:r>
      <w:r>
        <w:t xml:space="preserve"> Enterovirus D68 (EV-D68) represents a continuing public health concern, given its association with severe respiratory illness and neurologic complications. In this study, we analyzed EV-D68 circulation and genetic evolution during 2014-2024 using data from 18 countries in Europe. Of 61,297 enterovirus-positive specimens, molecular detection and viral protein 1 sequencing identified 3,541 (6%) EV-D68 cases. A biennial circulation pattern was observed; detection rates ranged from 9% in 2014 to 0.9% in 2019. The pattern was disrupted in 2020 because of measures implemented in response to the COVID-19 pandemic, but then notable increases occurred in 2021 (14%), 2022 (10.7%), and 2024 (20.6%). Subgenogroups B3 (59.8%) and A2/D (28.0%) were predominant; A2/D reemerged as dominant in 2024. Mutation analyses revealed changes in antigenic regions. Our findings underscore the persistent adaptation and resurgence of EV-D68 after COVID-19. Continued genomic surveillance is essential to monitor transmission patterns caused by antigenic changes.</w:t>
      </w:r>
    </w:p>
    <w:p>
      <w:pPr/>
      <w:r>
        <w:rPr>
          <w:b/>
        </w:rPr>
        <w:t>POSSIBLE 2025:</w:t>
      </w:r>
      <w:r>
        <w:t xml:space="preserve"> Artificial Intelligence (AI): Educational Implications, Limitations and Future of Learning in Higher Education in Oyo State — https://doi.org/10.52589/bjeldp-vjwdllek</w:t>
      </w:r>
    </w:p>
    <w:p>
      <w:pPr/>
      <w:r>
        <w:rPr>
          <w:b/>
        </w:rPr>
        <w:t>Shared claim-specific concepts:</w:t>
      </w:r>
      <w:r>
        <w:t xml:space="preserve"> limitations, implications, lack; EU scope visible. This is a provisional connection, not an outcome finding.</w:t>
      </w:r>
    </w:p>
    <w:p>
      <w:pPr>
        <w:pStyle w:val="SourceNote"/>
      </w:pPr>
      <w:r>
        <w:rPr>
          <w:b/>
        </w:rPr>
        <w:t>Available abstract (not full text):</w:t>
      </w:r>
      <w:r>
        <w:t xml:space="preserve">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pPr/>
      <w:r>
        <w:rPr>
          <w:b/>
        </w:rPr>
        <w:t>POSSIBLE 2025:</w:t>
      </w:r>
      <w:r>
        <w:t xml:space="preserve"> The effect of ESG disclosure on firm value in the European context — https://doi.org/10.1108/md-10-2024-2480</w:t>
      </w:r>
    </w:p>
    <w:p>
      <w:pPr/>
      <w:r>
        <w:rPr>
          <w:b/>
        </w:rPr>
        <w:t>Shared claim-specific concepts:</w:t>
      </w:r>
      <w:r>
        <w:t xml:space="preserve"> implications, sample, firms, period;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2025:</w:t>
      </w:r>
      <w:r>
        <w:t xml:space="preserve"> Prediction and Ranking of Corporate Diversity in European and American Firms — https://doi.org/10.3390/admsci15110406</w:t>
      </w:r>
    </w:p>
    <w:p>
      <w:pPr/>
      <w:r>
        <w:rPr>
          <w:b/>
        </w:rPr>
        <w:t>Shared claim-specific concepts:</w:t>
      </w:r>
      <w:r>
        <w:t xml:space="preserve"> sample, firms, other, different; EU scope visible. This is a provisional connection, not an outcome finding.</w:t>
      </w:r>
    </w:p>
    <w:p>
      <w:pPr>
        <w:pStyle w:val="SourceNote"/>
      </w:pPr>
      <w:r>
        <w:rPr>
          <w:b/>
        </w:rPr>
        <w:t>Available abstract (not full text):</w:t>
      </w:r>
      <w:r>
        <w:t xml:space="preserve"> Abstract Currently, Corporate Social Responsibility and Environmental/Social/Governancetopics are gaining relevance in Business and Finance. Attention to corporate diversityis included in this trend, although most studies ignore the perception of diversity byemployees and its rankability. In this paper, we analyze corporate diversity rankingsfrom the perspective of predictive and prescriptive analytics. Inside predictive analyt-ics, the perceived diversity of a sample of 350 European diversity leader companies ispredicted by using three different feature sets and three Machine Learning algorithms.Inside prescriptive analytics, several rankings involving American companies are in-tersected and compared in three exercises (studying diversity categorization, ethnicorigin and comparing diversity with other unrelated metrics). From these, global rank-ings were built to search for the best possible agreement among the rankings. Theseresults with both predictive and prescriptive analytics encourage managers to strate-gize and include diversity in management, as well as employ new technologies in theirdecision-making processes.</w:t>
      </w:r>
    </w:p>
    <w:p>
      <w:pPr/>
      <w:r>
        <w:rPr>
          <w:b/>
        </w:rPr>
        <w:t>POSSIBLE 2025:</w:t>
      </w:r>
      <w:r>
        <w:t xml:space="preserve"> Addressing the Underestimated Burden of RSV in Older Adults in Europe: Epidemiology, Surveillance Gaps, and Public Health Implications — https://doi.org/10.3390/vaccines13050510</w:t>
      </w:r>
    </w:p>
    <w:p>
      <w:pPr/>
      <w:r>
        <w:rPr>
          <w:b/>
        </w:rPr>
        <w:t>Shared claim-specific concepts:</w:t>
      </w:r>
      <w:r>
        <w:t xml:space="preserve"> implications, only, countries; EU scope visible. This is a provisional connection, not an outcome finding.</w:t>
      </w:r>
    </w:p>
    <w:p>
      <w:pPr>
        <w:pStyle w:val="SourceNote"/>
      </w:pPr>
      <w:r>
        <w:rPr>
          <w:b/>
        </w:rPr>
        <w:t>Available abstract (not full text):</w:t>
      </w:r>
      <w:r>
        <w:t xml:space="preserve"> BACKGROUND/OBJECTIVES: Respiratory Syncytial Virus (RSV) is a leading cause of Lower Respiratory Tract Infections (LRTIs), posing a serious threat to vulnerable populations. Although growing evidence highlights its significant impact on older adults, RSV surveillance and data collection remain largely focused on children, underestimating the burden in older and high-risk adults. This review aims to synthesize current evidence on the epidemiological and clinical impact of RSV in older adults in Europe, assess existing surveillance strategies, and identify gaps to guide targeted public health responses. METHODS: A two-phase research strategy was adopted. First, a comprehensive review of studies published between 2015-2025 was conducted via PubMed, focusing on the RSV burden in high-risk and elderly populations in Europe. Second, a structured web screening was performed to assess the status of existing RSV surveillance systems, focusing on eight selected European countries. RESULTS: The review reported RSV prevalence rates ranging from 1% to 64.7% among older adults, with a high prevalence of comorbidities that exacerbate disease severity. Hospitalization rates varied between 12.6-55.9%, while mortality ranged from 2.15% to 13%, reaching up to 36% in intensive care settings. Surveillance systems for adult RSV infections across Europe remain limited and fragmented, with only 37.5% </w:t>
      </w:r>
    </w:p>
    <w:p>
      <w:pPr/>
      <w:r>
        <w:rPr>
          <w:b/>
        </w:rPr>
        <w:t>POSSIBLE 2025:</w:t>
      </w:r>
      <w:r>
        <w:t xml:space="preserve"> Charting Resource Efficiency Practices Across European Firms: A Multilevel Analysis — https://doi.org/10.1002/csr.70272</w:t>
      </w:r>
    </w:p>
    <w:p>
      <w:pPr/>
      <w:r>
        <w:rPr>
          <w:b/>
        </w:rPr>
        <w:t>Shared claim-specific concepts:</w:t>
      </w:r>
      <w:r>
        <w:t xml:space="preserve"> sample, firms, countries; EU scope visible. This is a provisional connection, not an outcome finding.</w:t>
      </w:r>
    </w:p>
    <w:p>
      <w:pPr>
        <w:pStyle w:val="SourceNote"/>
      </w:pPr>
      <w:r>
        <w:rPr>
          <w:b/>
        </w:rPr>
        <w:t>Available abstract (not full text):</w:t>
      </w:r>
      <w:r>
        <w:t xml:space="preserve"> ABSTRACT The circular economy (CE) is a key sustainability paradigm, prompting European Union (EU) organizations and policymakers to move beyond linear production and consumption models. The study aimed to assess the implementation patterns of nine CE activities among EU companies and to explore how the implementation of these CE activities relates to certain firm‐level characteristics. A multilevel latent class model was employed in a sample of 13,084 companies across the 27 EU Member States. The study reveals significant variation in the implementation of CE activities across countries and companies, identifying five distinct company classes ranging from those with no CE adoption to those that are advanced adopters, with all nine activities. It also identifies six geographically dispersed country groups, each with a unique composition of companies based on their CE engagement. Furthermore, companies with higher CE implementation are typically larger, despite the sample being predominantly comprised of micro and small enterprises, older (having been established for over 7 years), and reporting higher annual turnover. These firms also tend to invest a smaller proportion of their turnover in resource efficiency measures. This study advances circular economy research by integrating the resource‐based view and dynamic capabilities theory, demonstrating that sustained CE implementa</w:t>
      </w:r>
    </w:p>
    <w:p>
      <w:pPr/>
      <w:r>
        <w:rPr>
          <w:b/>
        </w:rPr>
        <w:t>POSSIBLE 2025:</w:t>
      </w:r>
      <w:r>
        <w:t xml:space="preserve"> Female Directors, Family Firms, Climate Talk and Climate Walk: European Evidence — https://doi.org/10.1002/bse.4348</w:t>
      </w:r>
    </w:p>
    <w:p>
      <w:pPr/>
      <w:r>
        <w:rPr>
          <w:b/>
        </w:rPr>
        <w:t>Shared claim-specific concepts:</w:t>
      </w:r>
      <w:r>
        <w:t xml:space="preserve"> firms, conduct, international, different; EU scope visible. This is a provisional connection, not an outcome finding.</w:t>
      </w:r>
    </w:p>
    <w:p>
      <w:pPr>
        <w:pStyle w:val="SourceNote"/>
      </w:pPr>
      <w:r>
        <w:rPr>
          <w:b/>
        </w:rPr>
        <w:t>Available abstract (not full text):</w:t>
      </w:r>
      <w:r>
        <w:t xml:space="preserve"> ABSTRACT Growing attention is attributed to symbolic and substantive climate efforts, labelled as climate talk and walk. Focusing on the European capital market, we study the relationship between board gender diversity, family ownership and different levels of corporate climate activities along the continuum from climate talk to climate walk. Using emission reduction target data from the Carbon Disclosure Project (CDP), we conduct various panel regression analyses and propose several additional robustness tests. Our results extend prior research on carbon performance and reporting by providing novel insights into how firms translate their climate ambitions into actionable targets and how they subsequently deliver on those targets. This study stresses that firms with gender‐diverse boards engage more in symbolic climate talk but not in substantive climate walk. Empirical evidence on the family ownership impact is mixed. Overall, family ownership tends to exhibit a negative association with climate actions, although the effect depends on the ownership concentration threshold and varies with family management. Our results also indicate that female directors mitigate the negative direct consequences of family ownership for climate actions. Our study contributes to the ongoing discourse regarding symbolic and substantive climate efforts among European businesses and sheds light on t</w:t>
      </w:r>
    </w:p>
    <w:p>
      <w:pPr/>
      <w:r>
        <w:rPr>
          <w:b/>
        </w:rPr>
        <w:t>POSSIBLE 2025:</w:t>
      </w:r>
      <w:r>
        <w:t xml:space="preserve"> Access to insurance for European SMEs: Patterns, clusters, and policy implications — https://doi.org/10.21511/ins.16(2).2025.08</w:t>
      </w:r>
    </w:p>
    <w:p>
      <w:pPr/>
      <w:r>
        <w:rPr>
          <w:b/>
        </w:rPr>
        <w:t>Shared claim-specific concepts:</w:t>
      </w:r>
      <w:r>
        <w:t xml:space="preserve"> implications, other, different; EU scope visible. This is a provisional connection, not an outcome finding.</w:t>
      </w:r>
    </w:p>
    <w:p>
      <w:pPr>
        <w:pStyle w:val="SourceNote"/>
      </w:pPr>
      <w:r>
        <w:rPr>
          <w:b/>
        </w:rPr>
        <w:t>Available abstract (not full text):</w:t>
      </w:r>
      <w:r>
        <w:t xml:space="preserve"> Type of the article: Research ArticleAbstractThe study aims to explore the insurance profiles of SMEs and to identify access gaps across different firm categories, using the Ipsos European Public Affairs survey dataset, which consists of 8,187 SMEs from Europe. This dataset was analyzed using multiple correspondence analysis, cluster analysis, and discriminant analysis. Results show clear evidence of ownership concentration in a few insurance products: commercial motor (64.3% of SMEs own such an insurance), general liability (54.4%), and workers’ compensation (46.1%). On the other hand, uptake is lowest for cyber insurance (15.3%), non-damage business interruption (14.5%), and commercial insurance with business interruption (20.3%); notably, 8.2% report no insurance product ownership. Furthermore, three behavioral clusters were identified: minimally insured (n = 3,604; mean 1.58 policies), moderately insured (n = 2,603; mean 5.22), and broadly insured (n = 1,980; mean 6.73). Also, portfolios exhibit structured “baskets” with frequent co-ownership of general liability and motor (40%). Findings document systematic, demography-linked disparities and actionable access gaps. The study concludes that persistent disparities in access are linked to firm size, age, and turnover, underscoring the need for tailored policy measures and market solutions to address inclusion gaps. The practi</w:t>
      </w:r>
    </w:p>
    <w:p>
      <w:pPr/>
      <w:r>
        <w:rPr>
          <w:b/>
        </w:rPr>
        <w:t>POSSIBLE 2025:</w:t>
      </w:r>
      <w:r>
        <w:t xml:space="preserve"> A New Piece in the Puzzle: Corruption and Financial Constraints—Evidence From European Firms — https://doi.org/10.1111/beer.12815</w:t>
      </w:r>
    </w:p>
    <w:p>
      <w:pPr/>
      <w:r>
        <w:rPr>
          <w:b/>
        </w:rPr>
        <w:t>Shared claim-specific concepts:</w:t>
      </w:r>
      <w:r>
        <w:t xml:space="preserve"> sample, only, firms, countries, other, different; EU scope visible. This is a provisional connection, not an outcome finding.</w:t>
      </w:r>
    </w:p>
    <w:p>
      <w:pPr>
        <w:pStyle w:val="SourceNote"/>
      </w:pPr>
      <w:r>
        <w:rPr>
          <w:b/>
        </w:rPr>
        <w:t>Available abstract (not full text):</w:t>
      </w:r>
      <w:r>
        <w:t xml:space="preserve"> ABSTRACT This study explores how country‐level corruption affects firm‐level financial constraints. We use a sample of 21 European countries from 2002 to 2022 comprising 22,974 firm‐year observations. We find that corruption increases financial constraints. In other words, as countries become more transparent, firms face fewer financial constraints. Our findings are robust when we employ alternative definitions of corruption, financial constraints, alternative subsamples, additional firm‐level control variables, and different econometric methodologies. As a further analysis, we provide novel evidence that an increase in country‐level transparency decreases financial constraints only for firms with lower information asymmetry, higher institutional ownership, or higher foreign ownership. Finally, this effect is stronger for firms with lower ESG performance and firms without bribery corruption or fraud controversies. Our paper contributes to the literature by employing country‐level corruption indices as a macroeconomic determinant of firm‐level financial constraints for firms in developed countries and by investigating how different firm‐level factors moderate the association between country‐level corruption and firm‐level financial constraints.</w:t>
      </w:r>
    </w:p>
    <w:p>
      <w:pPr/>
      <w:r>
        <w:rPr>
          <w:b/>
        </w:rPr>
        <w:t>POSSIBLE 2025:</w:t>
      </w:r>
      <w:r>
        <w:t xml:space="preserve"> Oropouche Virus: An Emerging Arboviral Threat and Its Implications for Europe — https://doi.org/10.3390/life15111674</w:t>
      </w:r>
    </w:p>
    <w:p>
      <w:pPr/>
      <w:r>
        <w:rPr>
          <w:b/>
        </w:rPr>
        <w:t>Shared claim-specific concepts:</w:t>
      </w:r>
      <w:r>
        <w:t xml:space="preserve"> limitations, implications, other, during; EU scope visible. This is a provisional connection, not an outcome finding.</w:t>
      </w:r>
    </w:p>
    <w:p>
      <w:pPr>
        <w:pStyle w:val="SourceNote"/>
      </w:pPr>
      <w:r>
        <w:rPr>
          <w:b/>
        </w:rPr>
        <w:t>Available abstract (not full text):</w:t>
      </w:r>
      <w:r>
        <w:t xml:space="preserve"> Oropouche virus (OROV), an emerging arbovirus of the Peribunyaviridae family, is responsible for acute febrile illness and, in some cases, neurological or hemorrhagic complications. Although traditionally confined to tropical areas of Central and South America, the 2024–2025 epidemic has signaled a major shift in its geographic and clinical profile, with sustained transmission in the Caribbean, over 15,000 confirmed cases, and the first imported infections reported in Europe and the United States. New clinical observations include fatalities in previously healthy adults, suspected vertical transmission with adverse fetal outcomes, and potential sexual transmission. Despite entomological data indicating low competence of European mosquito species and the absence of the main vector Culicoides paraensis, the increasing frequency of imported cases underscores the need for continued vigilance. Diagnostic limitations and clinical overlap with other arboviruses further complicate early detection. This review summarizes current knowledge on OROV’s epidemiology, transmission dynamics, and clinical features, and highlights the urgent need for integrated surveillance, diagnostic readiness, and coordinated research efforts. Emphasis is placed on Europe’s preparedness strategies, with Italy’s Jubilee 2025 offering a real-world case study for managing arboviral threats during mass gatherings</w:t>
      </w:r>
    </w:p>
    <w:p>
      <w:pPr/>
      <w:r>
        <w:rPr>
          <w:b/>
        </w:rPr>
        <w:t>POSSIBLE 2024:</w:t>
      </w:r>
      <w:r>
        <w:t xml:space="preserve"> The link of ESG performance and board gender diversity in European firms — https://doi.org/10.1002/csr.2881</w:t>
      </w:r>
    </w:p>
    <w:p>
      <w:pPr/>
      <w:r>
        <w:rPr>
          <w:b/>
        </w:rPr>
        <w:t>Shared claim-specific concepts:</w:t>
      </w:r>
      <w:r>
        <w:t xml:space="preserve"> sample, only, firms, countries, period, different; EU scope visible. This is a provisional connection, not an outcome finding.</w:t>
      </w:r>
    </w:p>
    <w:p>
      <w:pPr>
        <w:pStyle w:val="SourceNote"/>
      </w:pPr>
      <w:r>
        <w:rPr>
          <w:b/>
        </w:rPr>
        <w:t>Available abstract (not full text):</w:t>
      </w:r>
      <w:r>
        <w:t xml:space="preserve"> Abstract This study analyses the relationship between board gender diversity and the ESG scores for Spanish, French, German, and English listed companies. Previous academic literature shows controversial results regarding the benefits of female participation in boards of directors, however many studies have only used an aggregated indicator to measure performance or they do not have compared the results among countries. The empirical section of this research uses a sample formed by 205 companies from France, Germany, Spain, and the United Kingdom for a period of 19 years (from 2002 to 2020). The results obtained through a panel data estimation confirm a positive and significant relationship between board gender diversity (BGD) and the social and the corporate governance score in all cases. However, the relationship between BGD and the environmental score is only confirmed in the case of Spain, France, and Germany. Therefore, even though in these countries, the actions to promote gender equality have been different and at different times, the results are mostly homogeneous.</w:t>
      </w:r>
    </w:p>
    <w:p>
      <w:pPr>
        <w:pStyle w:val="Heading2"/>
      </w:pPr>
      <w:r>
        <w:t>883. Assessing the impact of the 2011 EU Transport White Paper - a rail freight demand forecast up to 2050 for the EU27</w:t>
      </w:r>
    </w:p>
    <w:p>
      <w:pPr>
        <w:pStyle w:val="SourceNote"/>
      </w:pPr>
      <w:r>
        <w:rPr>
          <w:b/>
        </w:rPr>
        <w:t>Original source (2015):</w:t>
      </w:r>
      <w:r>
        <w:t xml:space="preserve"> https://doi.org/10.1007/s12544-015-0171-7</w:t>
      </w:r>
    </w:p>
    <w:p>
      <w:pPr/>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POSSIBLE 2025:</w:t>
      </w:r>
      <w:r>
        <w:t xml:space="preserve"> Nonlinearity-enhanced quantum sensing in Stark probes — https://doi.org/10.1103/physrevapplied.23.014019</w:t>
      </w:r>
    </w:p>
    <w:p>
      <w:pPr/>
      <w:r>
        <w:rPr>
          <w:b/>
        </w:rPr>
        <w:t>Shared claim-specific concepts:</w:t>
      </w:r>
      <w:r>
        <w:t xml:space="preserve"> stark, show, specifically; EU scope not established. This is a provisional connection, not an outcome finding.</w:t>
      </w:r>
    </w:p>
    <w:p>
      <w:pPr>
        <w:pStyle w:val="SourceNote"/>
      </w:pPr>
      <w:r>
        <w:rPr>
          <w:b/>
        </w:rPr>
        <w:t>Available abstract (not full text):</w:t>
      </w:r>
      <w:r>
        <w:t xml:space="preserve"> Stark systems in which a linear gradient field is applied across a many-body system have recently been proposed for quantum sensing. Here, we explore sensing capacity of Stark probes, in both single-particle and many-body interacting systems, for estimating nonlinear forms of the gradient fields. Our analysis reveals that, this estimation can achieve super-Heisenberg scaling precision that grows linearly by increasing the nonlinearity. Specifically, we find a universal algebraic relation between the scaling of the precision and the degree of the nonlinearity. This universal behavior remains valid in both single-particle and many-body interacting probes and reflects itself in the properties of the phase transition from an extended to a localized phase, obtained through establishing a comprehensive finite-size scaling analysis. Considering a parabolic gradient potential composed of both linear and nonlinear fields, we used multiparameter estimation methodology to estimate the components of the gradient potential. The phase diagram of the system is determined in terms of both linear and nonlinear gradient fields showing how the nonlocalized phase turns into a localized one as the Stark fields increase. The sensing precision of both linear and nonlinear Stark fields follows the same universal algebraic relation that was found for the case of single parameter sensing. We demonstrate</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contrast, high, compared;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Comparative Analysis of the Views of Rodney Stark and Bryan Wilson in the Context of Secularisation Paradigms — https://doi.org/10.35415/sirnakifd.1538315</w:t>
      </w:r>
    </w:p>
    <w:p>
      <w:pPr/>
      <w:r>
        <w:rPr>
          <w:b/>
        </w:rPr>
        <w:t>Shared claim-specific concepts:</w:t>
      </w:r>
      <w:r>
        <w:t xml:space="preserve"> stark, high, show, specifically; EU scope visible. This is a provisional connection, not an outcome finding.</w:t>
      </w:r>
    </w:p>
    <w:p>
      <w:pPr>
        <w:pStyle w:val="SourceNote"/>
      </w:pPr>
      <w:r>
        <w:rPr>
          <w:b/>
        </w:rPr>
        <w:t>Available abstract (not full text):</w:t>
      </w:r>
      <w:r>
        <w:t xml:space="preserve"> The phenomenon of secularisation has long been a subject of considerable interest among sociologists of religion. This process is intricately linked with modernization, which represents a fundamental dynamic driving societal change and reshaping various social institutions. According to some sociologists, religion, once a central institution, has begun to lose its influence and prominence as societies modernize. Numerous scholars, particularly sociologists have articulated this observation. Western sociologists have approached the study of secularisation through different paradigms, including “the old secularisation paradigm,” “the new secularisation paradigm,” and “the alternative (eclectic) secularisation paradigm,” the latter of which often focuses on non-Western contexts. For instance, Bryan Ronald Wilson (1926-2004), a prominent representative of the classical paradigm, has authored several influential works on new religious movements, such as Sects and Society: Magic and the Millennium (1973) and The Social Dimensions of Sectarianism (1990). From a different perspective, Rodney Stark (1934-2022), a key figure in the new paradigm, has contributed extensively to the discourse on religion and secularisation through publications such as The Triumph of Faith (2015), A Theory of Religion (1987), The Future of Religion (1985), and various articles including “Secularization, R.I.</w:t>
      </w:r>
    </w:p>
    <w:p>
      <w:pPr/>
      <w:r>
        <w:rPr>
          <w:b/>
        </w:rPr>
        <w:t>POSSIBLE 2023:</w:t>
      </w:r>
      <w:r>
        <w:t xml:space="preserve"> Preservation and enhancement of quantum correlations under Stark effect — https://doi.org/10.1080/09500340.2023.2219779</w:t>
      </w:r>
    </w:p>
    <w:p>
      <w:pPr/>
      <w:r>
        <w:rPr>
          <w:b/>
        </w:rPr>
        <w:t>Shared claim-specific concepts:</w:t>
      </w:r>
      <w:r>
        <w:t xml:space="preserve"> stark, contrast, shift; EU scope not established. This is a provisional connection, not an outcome finding.</w:t>
      </w:r>
    </w:p>
    <w:p>
      <w:pPr>
        <w:pStyle w:val="SourceNote"/>
      </w:pPr>
      <w:r>
        <w:rPr>
          <w:b/>
        </w:rPr>
        <w:t>Available abstract (not full text):</w:t>
      </w:r>
      <w:r>
        <w:t xml:space="preserve"> We analyse the dynamics of quantum correlations by obtaining the exact expression of Bures distance entanglement, trace distance discord, and local quantum uncertainty of two two-level atoms. Here, the atoms undergo two-photon transitions mediated through an intermediate virtual state where each atom is separately coupled to a dissipative reservoir at zero temperature in the presence of the Stark shift effect. We have investigated the dynamics of this atomic system for two different initial conditions of the environment. In the first case, we have assumed the environment's state to be in ground state and in the other case, we have assumed the state to be in the first excited state. The second initial condition is significant as it shows the role played by both the Stark shift parameters in contrast to only one of the Stark shift parameters for the first initial condition. Our results demonstrate that quantum correlations can be sustained for an extended period in the presence of Stark shift effect in the case of both Markovian and non-Markovian reservoirs. The effect in the non-Markovian reservoir is more prominent than the Markovian reservoir, even for a very small value of the Stark shift parameter. We observe that among the correlation measures considered, only local quantum uncertainty is accompanied by a sudden change phenomenon, i.e. an abrupt change in the decay rate of </w:t>
      </w:r>
    </w:p>
    <w:p>
      <w:pPr/>
      <w:r>
        <w:rPr>
          <w:b/>
        </w:rPr>
        <w:t>POSSIBLE 2023:</w:t>
      </w:r>
      <w:r>
        <w:t xml:space="preserve"> Differences in spore size and atmospheric survival shape stark contrasts in the dispersal dynamics of two closely related fungal pathogens — https://doi.org/10.1101/2023.02.08.527725</w:t>
      </w:r>
    </w:p>
    <w:p>
      <w:pPr/>
      <w:r>
        <w:rPr>
          <w:b/>
        </w:rPr>
        <w:t>Shared claim-specific concepts:</w:t>
      </w:r>
      <w:r>
        <w:t xml:space="preserve"> stark, contrast, compared, distances, greater; EU scope not established. This is a provisional connection, not an outcome finding.</w:t>
      </w:r>
    </w:p>
    <w:p>
      <w:pPr>
        <w:pStyle w:val="SourceNote"/>
      </w:pPr>
      <w:r>
        <w:rPr>
          <w:b/>
        </w:rPr>
        <w:t>Available abstract (not full text):</w:t>
      </w:r>
      <w:r>
        <w:t xml:space="preserve"> Abstract A frequently ignored but critical aspect of microbial dispersal is survival in the atmosphere. We exposed spores of two closely related, morphologically dissimilar, and economically important fungal pathogens to typical atmospheric environments and modeled their movement in the troposphere. We first measured the mortality of Alternaria solani and A. alternata conidia exposed to ranges of solar radiation, relative humidity, and temperature. We then measured survival in an advantageous environment over 12 days. A. solani conidia are nearly 10 times larger than A. alternata conidia and most die after 24 hours. By contrast, over half of A. alternata conidia remained viable at 12 days. The greater viability of the smaller spores is counterintuitive as larger spores are assumed to be more durable. To elucidate the consequences of survival rates for dispersal, we deployed models of atmospheric spore movement across North American. We predict 99% of the larger A. solani conidia settle within 24 hours, with a maximum dispersal distance of 100 km. By contrast, most A. alternata conidia remain airborne for more than 12 days and long-distance dispersal is possible, e.g., from Wisconsin to the Atlantic Ocean. We observe that the larger conidia of A. solani survive poorly but also land sooner and move over shorter distances as compared to the smaller conidia of A. alternata . Our da</w:t>
      </w:r>
    </w:p>
    <w:p>
      <w:pPr/>
      <w:r>
        <w:rPr>
          <w:b/>
        </w:rPr>
        <w:t>POSSIBLE 2023:</w:t>
      </w:r>
      <w:r>
        <w:t xml:space="preserve"> Demand, Services and Social Aspects of Mitigation — https://doi.org/10.1017/9781009157926.007</w:t>
      </w:r>
    </w:p>
    <w:p>
      <w:pPr/>
      <w:r>
        <w:rPr>
          <w:b/>
        </w:rPr>
        <w:t>Shared claim-specific concepts:</w:t>
      </w:r>
      <w:r>
        <w:t xml:space="preserve"> high, services, compared, shift, transport, greater; EU scope not established. This is a provisional connection, not an outcome finding.</w:t>
      </w:r>
    </w:p>
    <w:p>
      <w:pPr>
        <w:pStyle w:val="SourceNote"/>
      </w:pPr>
      <w:r>
        <w:rPr>
          <w:b/>
        </w:rPr>
        <w:t>Available abstract (not full text):</w:t>
      </w:r>
      <w:r>
        <w:t xml:space="preserve"> Potential of Demand-side Actions and Service Provisioning Systems ���������������������������������������������������� 505 Social Aspects of Demand-side Mitigation Actions ���� 505 Preconditions and Instruments to EnableDemand-side Transformation ���������������������������������� 506Demand, Services and Social Aspects of Mitigation Chapter 55 Executive SummaryAssessment of the social science literature and regional case studies reveals how social norms, culture, and individual choices interact with infrastructure and other structural changes over time.This provides new insight into climate change mitigation strategies, and how economic and social activity might be organised across sectors to support emission reductions.To enhance well-being, people demand services and not primary energy and physical resources per se.Focusing on demand for services and the different social and political roles people play broadens the participation in climate action. Potential of Demand-side Actions and Service Provisioning SystemsDemand-side mitigation and new ways of providing services can help avoid, shift, and improve final service demand.Rapid and deep changes in demand make it easier for every sector to reduce greenhouse gas (GHG) emissions in the short and medium term (high confidence).{5.2, 5.3} The indicative potential of demand-side strategies to reduce emissions of direct and indirect</w:t>
      </w:r>
    </w:p>
    <w:p>
      <w:pPr/>
      <w:r>
        <w:rPr>
          <w:b/>
        </w:rPr>
        <w:t>POSSIBLE 2022:</w:t>
      </w:r>
      <w:r>
        <w:t xml:space="preserve"> Vibrational Stark Effects: Ionic Influence on Local Fields — https://doi.org/10.1021/acs.jpclett.2c01048</w:t>
      </w:r>
    </w:p>
    <w:p>
      <w:pPr/>
      <w:r>
        <w:rPr>
          <w:b/>
        </w:rPr>
        <w:t>Shared claim-specific concepts:</w:t>
      </w:r>
      <w:r>
        <w:t xml:space="preserve"> stark, high, show, shift; EU scope not established. This is a provisional connection, not an outcome finding.</w:t>
      </w:r>
    </w:p>
    <w:p>
      <w:pPr>
        <w:pStyle w:val="SourceNote"/>
      </w:pPr>
      <w:r>
        <w:rPr>
          <w:b/>
        </w:rPr>
        <w:t>Available abstract (not full text):</w:t>
      </w:r>
      <w:r>
        <w:t xml:space="preserve">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pPr/>
      <w:r>
        <w:rPr>
          <w:b/>
        </w:rPr>
        <w:t>POSSIBLE 2022:</w:t>
      </w:r>
      <w:r>
        <w:t xml:space="preserve"> Multistable excitonic Stark effect — https://doi.org/10.1103/physrevresearch.4.023168</w:t>
      </w:r>
    </w:p>
    <w:p>
      <w:pPr/>
      <w:r>
        <w:rPr>
          <w:b/>
        </w:rPr>
        <w:t>Shared claim-specific concepts:</w:t>
      </w:r>
      <w:r>
        <w:t xml:space="preserve"> stark, show, shift; EU scope not established. This is a provisional connection, not an outcome finding.</w:t>
      </w:r>
    </w:p>
    <w:p>
      <w:pPr>
        <w:pStyle w:val="SourceNote"/>
      </w:pPr>
      <w:r>
        <w:rPr>
          <w:b/>
        </w:rPr>
        <w:t>Available abstract (not full text):</w:t>
      </w:r>
      <w:r>
        <w:t xml:space="preserve"> The optical Stark effect is a tell-tale signature of coherent light--matter interaction in excitonic systems, wherein an irradiating light beam tunes exciton transition frequencies. Here we show that, when excitons are placed in a nanophotonic cavity, the excitonic Stark effect can become highly nonlinear, exhibiting multivalued and hysteretic Stark shifts that depend on the history of the irradiating light. This multistable Stark effect (MSE) arises from feedback between the cavity mode occupation and excitonic population mediated by the Stark-induced mutual tuning of the cavity and excitonic resonances. Strikingly, the MSE manifests even for very dilute exciton concentrations and can yield discontinuous Stark shift jumps of order meV. We expect that the MSE can be realized in readily available transition metal dichalcogenide excitonic systems placed in planar photonic cavities at modest pump intensities. This phenomenon can provide new means to engineer coupled states of light and matter that can persist even in the single exciton limit.</w:t>
      </w:r>
    </w:p>
    <w:p>
      <w:pPr/>
      <w:r>
        <w:rPr>
          <w:b/>
        </w:rPr>
        <w:t>POSSIBLE 2022:</w:t>
      </w:r>
      <w:r>
        <w:t xml:space="preserve"> A Review of Chandran Nair's Dismantling Global White Privilege: Equity for a Post-Western World — https://doi.org/10.1353/gia.2022.0041</w:t>
      </w:r>
    </w:p>
    <w:p>
      <w:pPr/>
      <w:r>
        <w:rPr>
          <w:b/>
        </w:rPr>
        <w:t>Shared claim-specific concepts:</w:t>
      </w:r>
      <w:r>
        <w:t xml:space="preserve"> stark, contrast, white, reference, specifically; EU scope visible. This is a provisional connection, not an outcome finding.</w:t>
      </w:r>
    </w:p>
    <w:p>
      <w:pPr>
        <w:pStyle w:val="SourceNote"/>
      </w:pPr>
      <w:r>
        <w:rPr>
          <w:b/>
        </w:rPr>
        <w:t>Available abstract (not full text):</w:t>
      </w:r>
      <w:r>
        <w:t xml:space="preserve"> A Review of Chandran Nair's Dismantling Global White Privilege: Equity for a Post-Western World Rachel Li (bio) The contemporary has experienced humanity's increased capacity for connection across geographical boundaries. For many, the potential for instantaneous proliferation of ideas around the globe was exemplified by the U.S. Black Lives Matter protests of 2020, which were followed by numerous protests in other countries that called into questioned the systems perpetuating racism and discrimination against marginalized groups.1 However, fully understanding the universal effects of White privilege also requires understanding the interconnections between White privilege and conceptions of Western superiority on a global scale. In his book Dismantling Global White Privilege: Equity for a Post-Western World, author Chandran Nair aims to explain the perpetuation of hegemonic Western culture that imposes economic supremacy through the lens of white privilege. Nair details four main patterns that reinforce white privilege: (1) The "ideal" form of different spheres of life (including politics, economics, and aspects of culture) follows a Western model; (2) White and Western entities give legitimacy to certain expressions or actions through a reliance on Western terms of reference; (3) Institutions that judge how closely others follow such standards are largely Western and white-led</w:t>
      </w:r>
    </w:p>
    <w:p>
      <w:pPr/>
      <w:r>
        <w:rPr>
          <w:b/>
        </w:rPr>
        <w:t>POSSIBLE 2022:</w:t>
      </w:r>
      <w:r>
        <w:t xml:space="preserve"> Record summers in Europe: Variations in drought and heavy precipitation during 1901–2018 — https://doi.org/10.1002/joc.7587</w:t>
      </w:r>
    </w:p>
    <w:p>
      <w:pPr/>
      <w:r>
        <w:rPr>
          <w:b/>
        </w:rPr>
        <w:t>Shared claim-specific concepts:</w:t>
      </w:r>
      <w:r>
        <w:t xml:space="preserve"> high, show, values; EU scope visible. This is a provisional connection, not an outcome finding.</w:t>
      </w:r>
    </w:p>
    <w:p>
      <w:pPr>
        <w:pStyle w:val="SourceNote"/>
      </w:pPr>
      <w:r>
        <w:rPr>
          <w:b/>
        </w:rPr>
        <w:t>Available abstract (not full text):</w:t>
      </w:r>
      <w:r>
        <w:t xml:space="preserve"> Abstract During the last 20 years some very hot and dry summers affected Europe, resulting in regionally record‐breaking high temperature or low precipitation values. Long‐term changes of such extremely hot and dry summers are of great relevance for our society, as they are connected with manifold negative impacts on human society, natural ecosystems, and diverse economic sectors. Long‐term variations in drought and five record drought summer half years are studied based on 63 stations across Europe with high‐quality precipitation and temperature time series spanning the period 1901–2018. Eight drought indices are deployed to analyse drought intensity, frequency, and duration; four of them purely precipitation‐based and four integrating potential evapotranspiration in the computation. Additionally, three heavy precipitation indices and simultaneous increases in drought and heavy precipitation are studied. The five driest summer half years over Europe are identified (1947, 2018, 2003, 1921, and 1911). They are analysed by aggregating eight drought indices into the aggregated drought evaluation index (ADE) for five subregions. The ADE shows increasing summer drought conditions over most of Europe, except for some stations in northern Europe. The increase in drought conditions during the warm part of the year is particularly pronounced for indices integrating evapotranspiration in</w:t>
      </w:r>
    </w:p>
    <w:p>
      <w:pPr/>
      <w:r>
        <w:rPr>
          <w:b/>
        </w:rPr>
        <w:t>POSSIBLE 2022:</w:t>
      </w:r>
      <w:r>
        <w:t xml:space="preserve"> SARS-CoV-2 has not emerged in roe, red or fallow deer in Germany or Austria during the COVID 19 pandemic — https://doi.org/10.1101/2022.02.18.480872</w:t>
      </w:r>
    </w:p>
    <w:p>
      <w:pPr/>
      <w:r>
        <w:rPr>
          <w:b/>
        </w:rPr>
        <w:t>Shared claim-specific concepts:</w:t>
      </w:r>
      <w:r>
        <w:t xml:space="preserve"> stark, contrast, white; EU scope visible. This is a provisional connection, not an outcome finding.</w:t>
      </w:r>
    </w:p>
    <w:p>
      <w:pPr>
        <w:pStyle w:val="SourceNote"/>
      </w:pPr>
      <w:r>
        <w:rPr>
          <w:b/>
        </w:rPr>
        <w:t>Available abstract (not full text):</w:t>
      </w:r>
      <w:r>
        <w:t xml:space="preserve"> Abstract Spillover of SARS-CoV-2 to North American white tailed deer ( Odocoileus virginianus) has been documented. We evaluated pre and pandemic exposure of German and Austrian deer species using a SARS-CoV-2 pseudoneutralization assay. In stark contrast to North American white tailed deer, we found no evidence of SARS-CoV-2 exposure. Article Summary Line Using a sensitive serological assay, 433 pre and pandemic deer samples from Germany and Austria tested negative for SARS-CoV-2-specific antibodies highlighting a major difference between central European and North American deer exposure and in their epidemiologic roles.</w:t>
      </w:r>
    </w:p>
    <w:p>
      <w:pPr/>
      <w:r>
        <w:rPr>
          <w:b/>
        </w:rPr>
        <w:t>POSSIBLE 2021:</w:t>
      </w:r>
      <w:r>
        <w:t xml:space="preserve"> Effect of pretreatments on refractance window drying, color kinetics and bioactive properties of white sweet cherries ( Prunus avium L. stark gold) — https://doi.org/10.1111/jfpp.15895</w:t>
      </w:r>
    </w:p>
    <w:p>
      <w:pPr/>
      <w:r>
        <w:rPr>
          <w:b/>
        </w:rPr>
        <w:t>Shared claim-specific concepts:</w:t>
      </w:r>
      <w:r>
        <w:t xml:space="preserve"> stark, white, compared; EU scope not established. This is a provisional connection, not an outcome finding.</w:t>
      </w:r>
    </w:p>
    <w:p>
      <w:pPr>
        <w:pStyle w:val="SourceNote"/>
      </w:pPr>
      <w:r>
        <w:rPr>
          <w:b/>
        </w:rPr>
        <w:t>Available abstract (not full text):</w:t>
      </w:r>
      <w:r>
        <w:t xml:space="preserve">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pPr>
        <w:pStyle w:val="Heading2"/>
      </w:pPr>
      <w:r>
        <w:t>884. Assessing the impacts of technology improvements on the deployment of marine energy in Europe with an energy system perspective</w:t>
      </w:r>
    </w:p>
    <w:p>
      <w:pPr>
        <w:pStyle w:val="SourceNote"/>
      </w:pPr>
      <w:r>
        <w:rPr>
          <w:b/>
        </w:rPr>
        <w:t>Original source (2015):</w:t>
      </w:r>
      <w:r>
        <w:t xml:space="preserve"> https://doi.org/10.1016/j.renene.2015.11.076</w:t>
      </w:r>
    </w:p>
    <w:p>
      <w:pPr/>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POSSIBLE 2026:</w:t>
      </w:r>
      <w:r>
        <w:t xml:space="preserve"> Marine Protected Areas for Europe (MPA Europe) — https://doi.org/10.3897/rio.12.e218514</w:t>
      </w:r>
    </w:p>
    <w:p>
      <w:pPr/>
      <w:r>
        <w:rPr>
          <w:b/>
        </w:rPr>
        <w:t>Shared claim-specific concepts:</w:t>
      </w:r>
      <w:r>
        <w:t xml:space="preserve"> marine, system, current;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Exploring heterogeneity in marine energy preferences: insights from Chile — https://doi.org/10.3389/fmars.2026.1872327</w:t>
      </w:r>
    </w:p>
    <w:p>
      <w:pPr/>
      <w:r>
        <w:rPr>
          <w:b/>
        </w:rPr>
        <w:t>Shared claim-specific concepts:</w:t>
      </w:r>
      <w:r>
        <w:t xml:space="preserve"> marine, energy, two, different; EU scope not established. This is a provisional connection, not an outcome finding.</w:t>
      </w:r>
    </w:p>
    <w:p>
      <w:pPr>
        <w:pStyle w:val="SourceNote"/>
      </w:pPr>
      <w:r>
        <w:rPr>
          <w:b/>
        </w:rPr>
        <w:t>Available abstract (not full text):</w:t>
      </w:r>
      <w:r>
        <w:t xml:space="preserve"> Marine energies can reduce carbon emissions, diversify energy supply, and improve energy security worldwide. However, no form of energy generation is without a social and environmental impact, and these impacts can lead to tension and conflict between governments, energy providers, and communities. Understanding heterogeneity in public preferences towards marine energy is critical to formulating appropriate policies and targeted development strategies. This study used a choice experiment with the Chilean public to elicit preferences and evaluate critical attributes of marine energy projects. Through a best-worst scaling (BWS) methodology, respondents indicated which aspect of marine energy installations they considered most and least important. Data were analyzed using a scale adjusted latent class model. Using data from 1,200 respondents, five preference classes and two scale classes were identified. The two largest preference groups have markedly different preferences. The first preference class is mainly concerned about impacts on marine fauna. Individuals in this group are more likely to be younger, have higher incomes and higher education levels compared to the sample average. The second preference class is most concerned about the cost of energy supply. Individuals in this group are older, less wealthy, and have lower education levels compared to the sample average. Resul</w:t>
      </w:r>
    </w:p>
    <w:p>
      <w:pPr/>
      <w:r>
        <w:rPr>
          <w:b/>
        </w:rPr>
        <w:t>POSSIBLE 2026:</w:t>
      </w:r>
      <w:r>
        <w:t xml:space="preserve"> Projecting Impacts of Marine Heatwaves and Their Effects on Long‐Term Changes in Marine Ecosystems Over the 21st Century — https://doi.org/10.1111/gcb.71123</w:t>
      </w:r>
    </w:p>
    <w:p>
      <w:pPr/>
      <w:r>
        <w:rPr>
          <w:b/>
        </w:rPr>
        <w:t>Shared claim-specific concepts:</w:t>
      </w:r>
      <w:r>
        <w:t xml:space="preserve"> marine, role, system, two, current; EU scope not established. This is a provisional connection, not an outcome finding.</w:t>
      </w:r>
    </w:p>
    <w:p>
      <w:pPr>
        <w:pStyle w:val="SourceNote"/>
      </w:pPr>
      <w:r>
        <w:rPr>
          <w:b/>
        </w:rPr>
        <w:t>Available abstract (not full text):</w:t>
      </w:r>
      <w:r>
        <w:t xml:space="preserve"> Marine heatwaves (MHWs) are increasing in frequency, duration and intensity under climate change. Although current MHWs trigger broad ecological impacts, such as coral bleaching, mass mortality of seagrass meadows, and declines in important fish stocks, the cascading effects of MHWs on ecosystem structure and functions in the 21st century remain unclear. In this study, we utilise a global biomass flow modelling framework to analyse these impacts. Leveraging climate projections from two Earth system models (ESMs), we project marine food webs dynamics at a spatial resolution of 1° latitude and longitude for the global ocean under a high-emission 'no mitigation' scenario, two MHW baseline definitions (fixed vs. moving baseline), and five organismal acclimation capacity scenarios to MHWs. We project that MHWs exacerbate declines in total consumer biomass under intensifying Global Warming Level (GWL), with spatial variations. Globally, under a scenario assuming a fixed baseline, MHWs' additional biomass decline increases with GWL at a rate ranging from 1.3% to 6.7% biomass loss per Celsius degree of warming, according to best-to-worst acclimation capacity scenarios to MHWs. Furthermore, the projected impacts of MHWs on marine biomass vary across the food web, with higher trophic levels being impacted by 0.8% more than lower trophic level compartments. Moreover, under a scenario that</w:t>
      </w:r>
    </w:p>
    <w:p>
      <w:pPr/>
      <w:r>
        <w:rPr>
          <w:b/>
        </w:rPr>
        <w:t>POSSIBLE 2024:</w:t>
      </w:r>
      <w:r>
        <w:t xml:space="preserve"> Long‐term changes in taxonomic and functional composition of European marine fish communities — https://doi.org/10.1111/ecog.07234</w:t>
      </w:r>
    </w:p>
    <w:p>
      <w:pPr/>
      <w:r>
        <w:rPr>
          <w:b/>
        </w:rPr>
        <w:t>Shared claim-specific concepts:</w:t>
      </w:r>
      <w:r>
        <w:t xml:space="preserve"> marine, two, different; EU scope visible. This is a provisional connection, not an outcome finding.</w:t>
      </w:r>
    </w:p>
    <w:p>
      <w:pPr>
        <w:pStyle w:val="SourceNote"/>
      </w:pPr>
      <w:r>
        <w:rPr>
          <w:b/>
        </w:rPr>
        <w:t>Available abstract (not full text):</w:t>
      </w:r>
      <w:r>
        <w:t xml:space="preserve"> Evidence of large‐scale biodiversity degradation in marine ecosystems has been reported worldwide, yet most research has focused on few species of interest or on limited spatiotemporal scales. Here we assessed the spatial and temporal changes in the taxonomic and functional composition of fish communities in European seas over the last 25 years (1994–2019). We then explored how these community changes were linked to environmental gradients and fishing pressure. We show that the spatial variation in fish species composition is more than two times higher than the temporal variation, with a marked spatial continuum in taxonomic composition and a more homogenous pattern in functional composition. The regions warming the fastest are experiencing an increasing dominance and total abundance of r‐strategy fish species (lower age of maturity). Conversely, regions warming more slowly show an increasing dominance and total abundance of K‐strategy species (high trophic level and late reproduction). Among the considered environmental variables, sea surface temperature, surface salinity and chlorophyll‐a most consistently influenced communities' spatial patterns, while bottom temperature and oxygen had the most consistent influence on temporal patterns. Changes in communities' functional composition were more closely related to environmental conditions than taxonomic changes. Our study demon</w:t>
      </w:r>
    </w:p>
    <w:p>
      <w:pPr/>
      <w:r>
        <w:rPr>
          <w:b/>
        </w:rPr>
        <w:t>POSSIBLE 2024:</w:t>
      </w:r>
      <w:r>
        <w:t xml:space="preserve"> Characteristics and trends of marine heatwaves in the northwest European Shelf and the impacts on density stratification — https://doi.org/10.5194/sp-4-osr8-7-2024</w:t>
      </w:r>
    </w:p>
    <w:p>
      <w:pPr/>
      <w:r>
        <w:rPr>
          <w:b/>
        </w:rPr>
        <w:t>Shared claim-specific concepts:</w:t>
      </w:r>
      <w:r>
        <w:t xml:space="preserve"> marine, energy, significant, role; EU scope visible. This is a provisional connection, not an outcome finding.</w:t>
      </w:r>
    </w:p>
    <w:p>
      <w:pPr>
        <w:pStyle w:val="SourceNote"/>
      </w:pPr>
      <w:r>
        <w:rPr>
          <w:b/>
        </w:rPr>
        <w:t>Available abstract (not full text):</w:t>
      </w:r>
      <w:r>
        <w:t xml:space="preserve"> Abstract. Marine heatwaves (MHWs) are characterized by anomalous and prolonged increases in sea surface temperatures, driven by atmospheric and oceanic factors. The intensification of MHWs is an evident consequence of ongoing global climate change. The question of whether the North West European Shelf (NWES) is experiencing increased stratification in recent decades is of significant interest in understanding the impacts of these extreme events. In this study, we leverage ocean physics reanalysis data obtained from Copernicus Marine covering the temporal span from 1993 to 2023 to conduct a rigorous examination of the NWES domain. The focus centers on the assessment of potential energy anomaly (PEA) and its role in shaping stratification dynamics. Our findings reveal an increase in both the frequency and duration of MHWs in the NWES area, especially in coastal areas where the duration of MHWs is increasing the fastest, generally by more than 2 days per year over the study period. However, despite the intensified MHWs, thermal stratification in the NWES is weakening, particularly in the middle and northern North Sea. This suggests that the warming effect due to MHWs is insufficient to counteract the overall decline in thermal stratification caused by global warming. Additionally, our study highlights the significance of seawater salinity in driving the trend of density stratifica</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role, substantial;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Dashboard for Marine Energy Site Assessment and Monitoring — https://doi.org/10.2172/2375860</w:t>
      </w:r>
    </w:p>
    <w:p>
      <w:pPr/>
      <w:r>
        <w:rPr>
          <w:b/>
        </w:rPr>
        <w:t>Shared claim-specific concepts:</w:t>
      </w:r>
      <w:r>
        <w:t xml:space="preserve"> marine, energy, resources, conversion; EU scope not established. This is a provisional connection, not an outcome finding.</w:t>
      </w:r>
    </w:p>
    <w:p>
      <w:pPr>
        <w:pStyle w:val="SourceNote"/>
      </w:pPr>
      <w:r>
        <w:rPr>
          <w:b/>
        </w:rPr>
        <w:t>Available abstract (not full text):</w:t>
      </w:r>
      <w:r>
        <w:t xml:space="preserve"> The marine energy (ME) industry presently relies upon fragmented site assessment solutions that require high resource expenditure for deployment at each site and do not leverage the wealth of readily available tools and information. A wave energy resource assessment dashboard, currently in development, will substantially improve siting, permitting, operations, and maintenance of ME projects by providing an integrated solution that is a one-stop-shop for a developer’s needs. The Site Energy Assessment and MOnitoring Dashboard (SEAMOD) will be of commercial interest to anyone seeking to deploy an ME project and is easily expandable to include tidal and wind energy site assessments. The integrated dashboard is being developed using state-of-the-art database and cloud computing methods and data-assimilative modeling tools that can be coupled with low-cost, rapidly deployable wave buoys and environmental sensing hardware. The combined software and hardware dashboard will reduce wave energy site characterization and wave climate monitoring costs by more than 60 percent and provide assessments that meet international industry standards. To realize a thriving global ME industry, the physical environment at a potential deployment site must be understood, not only for resource characterization, but also for optimization of device and power conversion performance. SEAMOD directly addresse</w:t>
      </w:r>
    </w:p>
    <w:p>
      <w:pPr/>
      <w:r>
        <w:rPr>
          <w:b/>
        </w:rPr>
        <w:t>POSSIBLE 2024:</w:t>
      </w:r>
      <w:r>
        <w:t xml:space="preserve"> Evaluation of New Opportunities for Marine Energy To Power the Blue Economy: Green Hydrogen and Marine Carbon Dioxide Removal — https://doi.org/10.2172/2349050</w:t>
      </w:r>
    </w:p>
    <w:p>
      <w:pPr/>
      <w:r>
        <w:rPr>
          <w:b/>
        </w:rPr>
        <w:t>Shared claim-specific concepts:</w:t>
      </w:r>
      <w:r>
        <w:t xml:space="preserve"> marine, energy; EU scope not established. This is a provisional connection, not an outcome finding.</w:t>
      </w:r>
    </w:p>
    <w:p>
      <w:pPr>
        <w:pStyle w:val="SourceNote"/>
      </w:pPr>
      <w:r>
        <w:rPr>
          <w:b/>
        </w:rPr>
        <w:t>Available abstract (not full text):</w:t>
      </w:r>
      <w:r>
        <w:t xml:space="preserve"> This report examines the intersection of marine energy and the sectors of green hydrogen and marine Carbon Dioxide Removal, taking into account potential synergies, market maturity, barriers, policy enablers, and sustainability perspectives. Through desk research and interviews with a diverse range of subject matter experts from academia, government, industry, venture capital, and non-profit sectors, these emergent sectors were identified as the most promising new opportunities for marine energy integration beyond those explored in the 2019 Powering the Blue Economy Report. The findings presented are the combined result of desk research and information gathered through these interviews.</w:t>
      </w:r>
    </w:p>
    <w:p>
      <w:pPr/>
      <w:r>
        <w:rPr>
          <w:b/>
        </w:rPr>
        <w:t>POSSIBLE 2024:</w:t>
      </w:r>
      <w:r>
        <w:t xml:space="preserve"> ULOTrack: Underwater Long-Term Object Tracker for Marine Organism Capture — https://doi.org/10.3390/jmse12112092</w:t>
      </w:r>
    </w:p>
    <w:p>
      <w:pPr/>
      <w:r>
        <w:rPr>
          <w:b/>
        </w:rPr>
        <w:t>Shared claim-specific concepts:</w:t>
      </w:r>
      <w:r>
        <w:t xml:space="preserve"> marine, significant, long-term, field, current; EU scope not established. This is a provisional connection, not an outcome finding.</w:t>
      </w:r>
    </w:p>
    <w:p>
      <w:pPr>
        <w:pStyle w:val="SourceNote"/>
      </w:pPr>
      <w:r>
        <w:rPr>
          <w:b/>
        </w:rPr>
        <w:t>Available abstract (not full text):</w:t>
      </w:r>
      <w:r>
        <w:t xml:space="preserve"> Underwater object tracking holds considerable significance in the field of ocean engineering. Additionally, it serves as a crucial component in the operations of autonomous underwater vehicles (AUVs), particularly during tasks associated with capturing marine organisms. However, the attenuation and scattering of light result in shortcomings such as poor contrast in underwater images. Additionally, the motion deformation of marine organisms poses a significant challenge. Therefore, existing tracking algorithms face difficulty in direct application to underwater object tracking. To overcome this challenge, we propose a novel tracking architecture for the marine organism capturing of AUVs called ULOTrack. ULOTrack is based on a performance discrimination and re-detection framework and constitutes three modules: (1) an object tracker, which can extract multi-feature information of the underwater target; (2) a multi-layer tracking performance discriminator, which serves the purpose of evaluating the stability of the current tracking state, thereby reducing potential model drift; and (3) lightweight detection, which can predict the candidate boxes to relocate the lost tracked underwater object. We conduct comprehensive experiments to validate the efficacy of the designed modules. Finally, the results of the experimentation demonstrate that ULOTrack significantly outperforms existing </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role, system, technology;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2024:</w:t>
      </w:r>
      <w:r>
        <w:t xml:space="preserve"> Marine Energy Commercialization Review: Evaluation of the Transition From Public to Private Capital — https://doi.org/10.2172/2483818</w:t>
      </w:r>
    </w:p>
    <w:p>
      <w:pPr/>
      <w:r>
        <w:rPr>
          <w:b/>
        </w:rPr>
        <w:t>Shared claim-specific concepts:</w:t>
      </w:r>
      <w:r>
        <w:t xml:space="preserve"> marine, energy, technology; EU scope not established. This is a provisional connection, not an outcome finding.</w:t>
      </w:r>
    </w:p>
    <w:p>
      <w:pPr>
        <w:pStyle w:val="SourceNote"/>
      </w:pPr>
      <w:r>
        <w:rPr>
          <w:b/>
        </w:rPr>
        <w:t>Available abstract (not full text):</w:t>
      </w:r>
      <w:r>
        <w:t xml:space="preserve"> The mission of the U.S. Department of Energy's Water Power Technologies Office (WPTO) is to advance marine energy technologies through research, testing, and commercialization. This paper explores the barriers and potential solutions for marine energy commercialization by evaluating publicly available literature, feedback from public and private actors, and historical WPTO actions. A key finding is the absence of standardized metrics to measure marine energy commercialization progress and the lack of targeted success goals. This paper aims to define those metrics, informed by public and private goals and the challenges developers experience, and to further evaluate targets offered by public funders and private capital providers. Recommendations to address barriers in marine energy commercialization include enhancing public-private communication, refining commercialization requirements, leveraging technology transfer programs, and exploring novel funding mechanisms like green bonds and contracts for difference. Addressing these challenges through proposed adjustments could facilitate the transition of marine energy technologies from public funding to sustainable private investment, ultimately advancing their commercialization.</w:t>
      </w:r>
    </w:p>
    <w:p>
      <w:pPr/>
      <w:r>
        <w:rPr>
          <w:b/>
        </w:rPr>
        <w:t>POSSIBLE 2023:</w:t>
      </w:r>
      <w:r>
        <w:t xml:space="preserve"> Marine energy digitalization digital twin's approaches — https://doi.org/10.1016/j.rser.2023.114065</w:t>
      </w:r>
    </w:p>
    <w:p>
      <w:pPr/>
      <w:r>
        <w:rPr>
          <w:b/>
        </w:rPr>
        <w:t>Shared claim-specific concepts:</w:t>
      </w:r>
      <w:r>
        <w:t xml:space="preserve"> marine, energy; EU scope visible. This is a provisional connection, not an outcome finding.</w:t>
      </w:r>
    </w:p>
    <w:p>
      <w:pPr>
        <w:pStyle w:val="SourceNote"/>
      </w:pPr>
      <w:r>
        <w:rPr>
          <w:b/>
        </w:rPr>
        <w:t>Available abstract (not full text):</w:t>
      </w:r>
      <w:r>
        <w:t xml:space="preserve">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pPr>
        <w:pStyle w:val="Heading2"/>
      </w:pPr>
      <w:r>
        <w:t>885. Biotechnology versus agroecology: Entrenchments and surprise at a 2030 forecast scenario workshop</w:t>
      </w:r>
    </w:p>
    <w:p>
      <w:pPr>
        <w:pStyle w:val="SourceNote"/>
      </w:pPr>
      <w:r>
        <w:rPr>
          <w:b/>
        </w:rPr>
        <w:t>Original source (2015):</w:t>
      </w:r>
      <w:r>
        <w:t xml:space="preserve"> https://doi.org/10.1093/scipol/scv021</w:t>
      </w:r>
    </w:p>
    <w:p>
      <w:pPr/>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POSSIBLE 2026:</w:t>
      </w:r>
      <w:r>
        <w:t xml:space="preserve"> Improving the methodology for the comprehensive assessment of the working conditions of workers in the foundry — https://doi.org/10.21122/1683-6065-2026-2-143-150</w:t>
      </w:r>
    </w:p>
    <w:p>
      <w:pPr/>
      <w:r>
        <w:rPr>
          <w:b/>
        </w:rPr>
        <w:t>Shared claim-specific concepts:</w:t>
      </w:r>
      <w:r>
        <w:t xml:space="preserve"> methodology, various, showed; EU scope not established. This is a provisional connection, not an outcome finding.</w:t>
      </w:r>
    </w:p>
    <w:p>
      <w:pPr>
        <w:pStyle w:val="SourceNote"/>
      </w:pPr>
      <w:r>
        <w:rPr>
          <w:b/>
        </w:rPr>
        <w:t>Available abstract (not full text):</w:t>
      </w:r>
      <w:r>
        <w:t xml:space="preserve"> An improved methodology for the comprehensive assessment of the working conditions of workers in foundries is considered. Additional working conditions to the main production factors have been identified. Correction factors for additional production factors have been determined, taking into account their effects on the human body. The data obtained on the calculation of a complex indicator for individual professions of various sections of steel workshops with a mass production nature showed the need to introduce additional production factors into the calculation equation. Changes have also been made to the classification of foundries (sites) by working conditions.</w:t>
      </w:r>
    </w:p>
    <w:p>
      <w:pPr/>
      <w:r>
        <w:rPr>
          <w:b/>
        </w:rPr>
        <w:t>POSSIBLE 2026:</w:t>
      </w:r>
      <w:r>
        <w:t xml:space="preserve"> Workshop as research methodology — https://doi.org/10.48321/d1c3ef3d7c</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The project is utilizing discussions in a workshop session as data to conduct research. The session is part of the Local Government Association of the Northern Territory (LGANT) Circular Economy Symposium. The session is interactive and focused on exploring how product stewardship schemes and NT councils can work together to improve resource recovery outcomes. Participants will take part in roundtable discussions where the conversations will be guided by a small number of themes. these are: • Existing Waste: What Can We Do About the Waste We Already Have? • Ongoing Recovery: How Can We Improve Collection and Resource Recovery? • Freight and Logistics: What Role Can Stewardship Schemes Play? • Future Solutions: Designing Products, Programs and Supply Chains to Better Meet NT Needs. The discussions on various tables will be recorded and later analyzed thematically. While the practical opportunity of this session is a report for the local councils and the Product Stewardship council, it provides an opportunity to use the active and genuine participation to showcase an example of using workshop as a research methodology for carrying out participatory action research. The paper from this research will explore how workshops can be designed and utilized as research methodology as well as providing in depth knowledge on barriers faced by NT local councils when participating in PS schem</w:t>
      </w:r>
    </w:p>
    <w:p>
      <w:pPr/>
      <w:r>
        <w:rPr>
          <w:b/>
        </w:rPr>
        <w:t>POSSIBLE 2026:</w:t>
      </w:r>
      <w:r>
        <w:t xml:space="preserve"> Impact of Qualitative Research Methodology Workshop on Researchers’ Learning and Skill Development — https://doi.org/10.36948/ijfmr.2026.v08i01.66909</w:t>
      </w:r>
    </w:p>
    <w:p>
      <w:pPr/>
      <w:r>
        <w:rPr>
          <w:b/>
        </w:rPr>
        <w:t>Shared claim-specific concepts:</w:t>
      </w:r>
      <w:r>
        <w:t xml:space="preserve"> workshop, methodology, used, various; EU scope not established. This is a provisional connection, not an outcome finding.</w:t>
      </w:r>
    </w:p>
    <w:p>
      <w:pPr>
        <w:pStyle w:val="SourceNote"/>
      </w:pPr>
      <w:r>
        <w:rPr>
          <w:b/>
        </w:rPr>
        <w:t>Available abstract (not full text):</w:t>
      </w:r>
      <w:r>
        <w:t xml:space="preserve"> Qualitative research gained prominence in all research areas. It provides a lens for what happens naturally in our surroundings. How do the researchers observe, understand, and interpret situations? The workshops provide in identifying and exploring relevant factors in understanding complex and knowledge-based aspect of qualitative research methodology, which is also supported by technology. The workshops on specific themes are designed to fulfil research purposes. The present study was designed to study the impact of a qualitative research methodology workshop on the researcher’s learning and skill development. This study was based on pre and post-surveys and interviews of the research scholars engaged in a 10-day qualitative research training workshop. The participants were those research scholars who are currently enrolled in Ph.D. Programme across India and are doing qualitative research in the field of social sciences. 15 research scholars were selected for this study out of 30 population sizes. The findings suggest that different methods like hands-on activities, practical experiences, field trips, group discussions, use of ICT, and participant engagement were used to enhance the researcher’s learning in the workshop for skill development. There is a significant difference between the researcher’s skills possessed before and those acquired after attending the workshop. It</w:t>
      </w:r>
    </w:p>
    <w:p>
      <w:pPr/>
      <w:r>
        <w:rPr>
          <w:b/>
        </w:rPr>
        <w:t>POSSIBLE 2026:</w:t>
      </w:r>
      <w:r>
        <w:t xml:space="preserve"> Evaluation of Research Methodology workshop for first year postgraduates by Kirkpatrick’s Model — https://doi.org/10.65048/ijbmr.2026.17.3.8582.1047</w:t>
      </w:r>
    </w:p>
    <w:p>
      <w:pPr/>
      <w:r>
        <w:rPr>
          <w:b/>
        </w:rPr>
        <w:t>Shared claim-specific concepts:</w:t>
      </w:r>
      <w:r>
        <w:t xml:space="preserve"> workshop, methodology, method; EU scope not established. This is a provisional connection, not an outcome finding.</w:t>
      </w:r>
    </w:p>
    <w:p>
      <w:pPr>
        <w:pStyle w:val="SourceNote"/>
      </w:pPr>
      <w:r>
        <w:rPr>
          <w:b/>
        </w:rPr>
        <w:t>Available abstract (not full text):</w:t>
      </w:r>
      <w:r>
        <w:t xml:space="preserve"> Background: Learning Research Methodology is a basic requirement for the postgraduates before they embark to carry out their dissertation work which is mandatory for obtaining their postgraduate degree. Workshop is one of the teachings – learning activities to achieve the goal and its effectiveness needs to be assessed for improving the process. Objectives: 1. To evaluate the student’s perception and learning regarding T-L methods of Research methodology workshop and modify the programme later as per the results of Pre-test and Post Questionnaire and feedback for the students. To evaluate the effectiveness of the research methodology workshop by applying the Kirkpatrick's evaluation model. Material and Methods: A 2- day Research methodology workshop programme approved by the Research and Medical education departments was circulated to the first year post-graduate students 15 days ahead along with the study material involving Scientific research committee and Ethical committee protocols and ICMR Ethical Guidelines A pretest and posttest was obtained by Questionnaire method on each day and Feedback form at the end of the programme through google forms. Satistical analysis: Pre-test and post-test scores were compared by using paired t-test. Feedback results were analysed by 5 point Likert scale. The programme outcome was evaluated by applying the 4 levels of Kirk patricks model. R</w:t>
      </w:r>
    </w:p>
    <w:p>
      <w:pPr/>
      <w:r>
        <w:rPr>
          <w:b/>
        </w:rPr>
        <w:t>POSSIBLE 2026:</w:t>
      </w:r>
      <w:r>
        <w:t xml:space="preserve"> Report on Scenario Development Workshop — https://doi.org/10.5281/zenodo.21298583</w:t>
      </w:r>
    </w:p>
    <w:p>
      <w:pPr/>
      <w:r>
        <w:rPr>
          <w:b/>
        </w:rPr>
        <w:t>Shared claim-specific concepts:</w:t>
      </w:r>
      <w:r>
        <w:t xml:space="preserve"> workshop, various, structures; EU scope visible. This is a provisional connection, not an outcome finding.</w:t>
      </w:r>
    </w:p>
    <w:p>
      <w:pPr>
        <w:pStyle w:val="SourceNote"/>
      </w:pPr>
      <w:r>
        <w:rPr>
          <w:b/>
        </w:rPr>
        <w:t>Available abstract (not full text):</w:t>
      </w:r>
      <w:r>
        <w:t xml:space="preserve"> The Scenario Development Workshop represents a key step within the broader architecture of the SWINS project, supporting the development of a coherent analytical framework for the ex-ante assessment of investment in social policies and services. More specifically, the workshop contributed to establishing a shared conceptual and methodological basis for constructing policy-relevant scenarios, which will be put into practice in the project's empirical work. The overall objective of SWINS is to elaborate an effective framework for measuring the economic, social and environmental returns generated by investments in social policies and services. In doing so, the project addresses a number of interconnected methodological and analytical challenges. On the one hand, social investments may produce heterogeneous forms of returns, ranging from income and employment outcomes to broader dimensions such as sustainability, inequality reduction and wellbeing. On the other hand, these effects emerge through complex interactions between macro-level institutional changes and micro-level behavioural responses (Ciani &amp; Fattacciu, 2025). The analytical perspective adopted in SWINS is grounded in the Social Investment approach (Hemerijck, Ronchi, &amp; Plavgo, 2022). According to this approach, providing social policies and services can generate changes in individuals’ opportunity structures and behavio</w:t>
      </w:r>
    </w:p>
    <w:p>
      <w:pPr/>
      <w:r>
        <w:rPr>
          <w:b/>
        </w:rPr>
        <w:t>POSSIBLE 2025:</w:t>
      </w:r>
      <w:r>
        <w:t xml:space="preserve"> Building Participatory Instant Messaging: Developing a Methodology for Online Workshops Using WhatsApp — https://doi.org/10.35844/001c.141333</w:t>
      </w:r>
    </w:p>
    <w:p>
      <w:pPr/>
      <w:r>
        <w:rPr>
          <w:b/>
        </w:rPr>
        <w:t>Shared claim-specific concepts:</w:t>
      </w:r>
      <w:r>
        <w:t xml:space="preserve"> workshop, methodology, used, method; EU scope visible. This is a provisional connection, not an outcome finding.</w:t>
      </w:r>
    </w:p>
    <w:p>
      <w:pPr>
        <w:pStyle w:val="SourceNote"/>
      </w:pPr>
      <w:r>
        <w:rPr>
          <w:b/>
        </w:rPr>
        <w:t>Available abstract (not full text):</w:t>
      </w:r>
      <w:r>
        <w:t xml:space="preserve">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pPr/>
      <w:r>
        <w:rPr>
          <w:b/>
        </w:rPr>
        <w:t>POSSIBLE 2025:</w:t>
      </w:r>
      <w:r>
        <w:t xml:space="preserve"> Workshop on Cumulative Impacts Assessment (WKCIA) — https://doi.org/10.17895/ices.pub.30531236</w:t>
      </w:r>
    </w:p>
    <w:p>
      <w:pPr/>
      <w:r>
        <w:rPr>
          <w:b/>
        </w:rPr>
        <w:t>Shared claim-specific concepts:</w:t>
      </w:r>
      <w:r>
        <w:t xml:space="preserve"> workshop, methodology, various, assessments, method; EU scope not established. This is a provisional connection, not an outcome finding.</w:t>
      </w:r>
    </w:p>
    <w:p>
      <w:pPr>
        <w:pStyle w:val="SourceNote"/>
      </w:pPr>
      <w:r>
        <w:rPr>
          <w:b/>
        </w:rPr>
        <w:t>Available abstract (not full text):</w:t>
      </w:r>
      <w:r>
        <w:t xml:space="preserve"> 04/06/26 (erratum): Please note that corrections have been made to the participant list. Earlier published versions of the report are no longer accessible due to privacy concerns.The remit of the Workshop on Cumulative Impact Assessments (WKCIA) was to provide the basis of advice requested by the Netherland Ministry of Infrastructure and Water Management on behalf of the Greater North Sea Basin Initiative (GNSBI). The tasks included reviewing relevant CIA methods and tools, defining common principles for CIAs in relation to the expected applications, identifying the criteria for the evaluation of CIAs, and providing recommendations for the application of the most suitable CIA methods.In terms of their main components, output and capacity to inform an Ecosystem Approach to Management, the available CIA methods-types were characterized as: 1. Response, 2. Spatial, Flexible, and 4. Synthesis. This characterization was based on key literature and examples from the application of various tools that apply these method-types. Several of these examples were presented and discussed at the WKCIA.The following premises guided the selection of common principles: i) The requirement of a timely delivery of a CIA methodology and knowledge base; ii) Maximise adherence to existing principles (and not re-invent the wheel); and iii) Allow a process towards harmonization of the CIA approaches and </w:t>
      </w:r>
    </w:p>
    <w:p>
      <w:pPr/>
      <w:r>
        <w:rPr>
          <w:b/>
        </w:rPr>
        <w:t>POSSIBLE 2025:</w:t>
      </w:r>
      <w:r>
        <w:t xml:space="preserve"> Workshop on Risk Assessment of Nanomaterials and Materials Containing Small/Nanoparticles in the Food and Feed Chain — https://doi.org/10.2903/sp.efsa.2025.en-9625</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This workshop represented a milestone of the engagement plan that aimed in updating EFSA's guidance on nanomaterials and small/nano particles risk assessment within the food and feed chain. In response to the identified challenges in implementing the 2021 EFSA guidance documents, the event provided a space for discussing key scientific aspects, enhancing harmonization across scientific and regulatory frameworks, and exchanging views among various stakeholders. Attended by over 50 in‐person and more than 250 online participants, the event featured two sessions. Session 1 provided an overview of existing frameworks, including insights from EU agencies and international bodies, highlighting the need for alignment and updated guidance to reflect scientific advancements. Session 2 facilitated discussions on technical aspects, such as physico‐chemical characterization, toxicological testing, and risk assessment methodologies. Major topics included the integration of New Approach Methodologies (NAMs), addressing challenges in sample preparation, and the acceptance of historical data. Emphasizing the importance of cooperation, the workshop called for flexible yet adapted approaches to ensure industry compliance and effective risk assessments. Concluding the event, EFSA committed to refining guidance to align with scientific progress and stakeholder feedback, fostering collabor</w:t>
      </w:r>
    </w:p>
    <w:p>
      <w:pPr/>
      <w:r>
        <w:rPr>
          <w:b/>
        </w:rPr>
        <w:t>POSSIBLE 2025:</w:t>
      </w:r>
      <w:r>
        <w:t xml:space="preserve"> Experience on Training among the Participants of Teaching Methodology and Assessment — https://doi.org/10.3329/cmoshmcj.v23i1.78514</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Background: Recent development in medical education have created increasing challenges for medical teachers. Teachers are not born, they are made. Some special initiatives can make one able to be a good teacher. Teaching is not an inborn quality. A professional training is needed to be a teacher. In Bangladesh medical professionals become teachers without any sorts of formal training of teaching methodology and assessment. A Medical Degree is not the only qualification of a medical teacher. Our medical professional become teacher without any sort of formal training of “Teaching Methodology and Assessment”. To improve the quality of medical education in Bangladesh, training on teaching methodology and assessment for medical teachers is essential. This study was done to describe experience on training by trainers on teaching methodology and assessment. Materials and methods: This Experiental study (Before and after trial study) was conducted in the teachers of various Department of Chattagram Maa-O-Shishu Hospital Medical College, Chattogram (CMOSHMC) from July 2022 to December 2022. Sample size: 63 (24 Male, 39 Female) Results: 63 Participants were grouped into 3 groups ,21 participants were in each group. Each group participated in workshop for 4 days.They are trained with 12 modules supplied by CME. Pre-test and Post-test were conducted. Test results were analyzed for any sign</w:t>
      </w:r>
    </w:p>
    <w:p>
      <w:pPr/>
      <w:r>
        <w:rPr>
          <w:b/>
        </w:rPr>
        <w:t>POSSIBLE 2025:</w:t>
      </w:r>
      <w:r>
        <w:t xml:space="preserve"> Expanding the Fine-Kinney Methodology Using Fuzzy Logic: A Case Study in an Energy Linemen Workshop — https://doi.org/10.3390/safety11040094</w:t>
      </w:r>
    </w:p>
    <w:p>
      <w:pPr/>
      <w:r>
        <w:rPr>
          <w:b/>
        </w:rPr>
        <w:t>Shared claim-specific concepts:</w:t>
      </w:r>
      <w:r>
        <w:t xml:space="preserve"> workshop, methodology, various, method; EU scope not established. This is a provisional connection, not an outcome finding.</w:t>
      </w:r>
    </w:p>
    <w:p>
      <w:pPr>
        <w:pStyle w:val="SourceNote"/>
      </w:pPr>
      <w:r>
        <w:rPr>
          <w:b/>
        </w:rPr>
        <w:t>Available abstract (not full text):</w:t>
      </w:r>
      <w:r>
        <w:t xml:space="preserve"> This paper investigates the effectiveness and limitations of the traditional Fine-Kinney method for occupational risk assessment, emphasizing its shortcomings in addressing complex and dynamic work environments. To overcome these challenges, two advanced methodologies, Fine-Kinney10 (FK10) and Fuzzy Fine-Kinney10 (FFK10), are introduced. The FK10 employs a symmetric scaling system (1–10) for probability, frequency, and severity indicators, providing a more balanced quantification of risks. Meanwhile, FFK10 incorporates fuzzy logic to handle uncertainty and subjectivity in risk assessment, significantly enhancing the sensitivity and accuracy of risk evaluation. These methodologies were applied to a linemen workshop in an energy production and distribution company, analyzing various types of accidents such as falls from heights, exposure to electric currents, slips on surfaces, and more. The applications highlighted the practical benefits of these methods in effectively assessing and mitigating risks. A significant finding includes the identification of risks related to falls from heights of &lt;2.5 m (SH1) and road traffic accidents (SH6), where all three methods yielded different verbal outcomes. Compared to the traditional Fine-Kinney method, FK10 and FFK10 demonstrated superior ability in distinguishing risk levels and guiding targeted safety measures. The study underscores that</w:t>
      </w:r>
    </w:p>
    <w:p>
      <w:pPr/>
      <w:r>
        <w:rPr>
          <w:b/>
        </w:rPr>
        <w:t>POSSIBLE 2025:</w:t>
      </w:r>
      <w:r>
        <w:t xml:space="preserve"> The methodology of organizing the vocabulary of the English language from fiction using a project approach in the context of the academic discipline "Workshop on the culture of speech communication of the English language" — https://doi.org/10.31483/r-149342</w:t>
      </w:r>
    </w:p>
    <w:p>
      <w:pPr/>
      <w:r>
        <w:rPr>
          <w:b/>
        </w:rPr>
        <w:t>Shared claim-specific concepts:</w:t>
      </w:r>
      <w:r>
        <w:t xml:space="preserve"> workshop, methodology, communication; EU scope not established. This is a provisional connection, not an outcome finding.</w:t>
      </w:r>
    </w:p>
    <w:p>
      <w:pPr>
        <w:pStyle w:val="SourceNote"/>
      </w:pPr>
      <w:r>
        <w:rPr>
          <w:b/>
        </w:rPr>
        <w:t>Available abstract (not full text):</w:t>
      </w:r>
      <w:r>
        <w:t xml:space="preserve"> в статье рассматривается методика организации лексики английского языка на основе художественной литературы с интеграцией проектного подхода в рамках дисциплины «Практикум по культуре речевого общения английского языка». В фокусе – использование чтения англоязычных произведений для освоения лексики, развития социокультурной осведомленности и формирования универсальных учебных действий. Автором описываются практические задания, такие как разработка презентаций, создание структурированных лексических словарей с элементами креативного оформления (на примерах книг «Блондинка в законе» Аманды Браун и «Унесенные ветром» Маргарет Митчелл), а также запоминание слов с последующей проверкой. Проектный подход подчеркивается как инструмент для самостоятельного планирования задач, стимулирующий аналитическое мышление, творчество и мотивацию студентов. Методика способствует не только расширению словарного запаса и улучшению навыков чтения, но и развитию личностных качеств, таких как инициатива, психологическая саморегуляция и эстетический вкус. В итоге она укрепляет связь между теорией и практикой в высшем образовании, повышая готовность выпускников к профессиональной деятельности. Перспективы включают адаптацию подхода для других языков и оценку его эффективности в цифровом формате.</w:t>
      </w:r>
    </w:p>
    <w:p>
      <w:pPr/>
      <w:r>
        <w:rPr>
          <w:b/>
        </w:rPr>
        <w:t>POSSIBLE 2025:</w:t>
      </w:r>
      <w:r>
        <w:t xml:space="preserve"> Workshop on read‐across: role and guidance in chemical risk assessment — https://doi.org/10.2903/sp.efsa.2025.en-9521</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The workshop on read‐across, held on 27–28 March 2025 in Brussels, Belgium, brought together experts from various organisations to explore the application of read‐across in chemical risk assessments. The event aimed to strengthen the use of read‐across in chemical risk assessments across organisations, with a focus on regulatory approaches, the technical aspects and EFSA's draft guidance. It provided a platform to share experiences and insights on the role of read‐across in chemical risk assessment, its importance in screening, classification and hazard assessment, and the challenges and opportunities associated with its implementation. The insights gained from this meeting will be taken into consideration during finalisation of draft guidance before possible adoption by EFSA's Scientific Committee, as well as to inform the needs and content of post‐publication activities.</w:t>
      </w:r>
    </w:p>
    <w:p>
      <w:pPr>
        <w:pStyle w:val="Heading2"/>
      </w:pPr>
      <w:r>
        <w:t>886. CORPORATE FORESIGHT AND ASSESSMENT OF INNOVATIVE ACTIVITY OF INDUSTRIAL ENTERPRISES</w:t>
      </w:r>
    </w:p>
    <w:p>
      <w:pPr>
        <w:pStyle w:val="SourceNote"/>
      </w:pPr>
      <w:r>
        <w:rPr>
          <w:b/>
        </w:rPr>
        <w:t>Original source (2015):</w:t>
      </w:r>
      <w:r>
        <w:t xml:space="preserve"> https://doi.org/10.14529/em090308</w:t>
      </w:r>
    </w:p>
    <w:p>
      <w:pPr/>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POSSIBLE 2026:</w:t>
      </w:r>
      <w:r>
        <w:t xml:space="preserve"> FORESIGHT METHODS TOOLS FOR INNOVATIVE MARKETING AND DIGITAL MARKET FORESIGHT — https://doi.org/10.20998/2313-8890.2025.12.08</w:t>
      </w:r>
    </w:p>
    <w:p>
      <w:pPr/>
      <w:r>
        <w:rPr>
          <w:b/>
        </w:rPr>
        <w:t>Shared claim-specific concepts:</w:t>
      </w:r>
      <w:r>
        <w:t xml:space="preserve"> foresight, system, expert, evaluation, strategic, innovative; EU scope not established. This is a provisional connection, not an outcome finding.</w:t>
      </w:r>
    </w:p>
    <w:p>
      <w:pPr>
        <w:pStyle w:val="SourceNote"/>
      </w:pPr>
      <w:r>
        <w:rPr>
          <w:b/>
        </w:rPr>
        <w:t>Available abstract (not full text):</w:t>
      </w:r>
      <w:r>
        <w:t xml:space="preserve">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pPr/>
      <w:r>
        <w:rPr>
          <w:b/>
        </w:rPr>
        <w:t>POSSIBLE 2026:</w:t>
      </w:r>
      <w:r>
        <w:t xml:space="preserve"> Strategic foresight and management of energy security in Jordan : The mediating role of strategic agility — https://openalex.org/W7166258236</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Energy security is a critical national priority that underpins economic and social stability, yet it remains a persistent challenge in Jordan due to limited energy resources and political instability in the Middle East and North Africa (MENA) region. Despite its strategic importance, the role of organizational foresight in managing energy crisis has received limited scholarly attention, particularly in non-Western, regulated contexts. Grounded in the Resource-Based View (RBV) and Dynamic Capabilities Theory (DCT), this study investigates how strategic foresight and agility enhance crisis management in Jordan’s energy sector. Specifically, it examines the effects of four dimensions of strategic foresight technology foresight, competitive intelligence, political environment foresight, and consumer foresight on key aspects of crisis management, including early warning, preparedness, damage containment, restoration, and organizational learning. Strategic agility is further analyzed as a mediating capability, encompassing strategic insight, internal and external response orientation, human resource capability, and information technology capability, which translates foresight into actionable responses. A quantitative survey was conducted with 200 managerial respondents in Jordan’s energy sector, and data were analyzed using Partial Least Squares Structural Equation Modeling (PLS-SEM)</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foresight, system, expert, strategic, perspective;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Expert Foresight for Enhancing European Forests' Climate Mitigation Potential up to 2 — https://doi.org/10.5194/egusphere-egu26-16467</w:t>
      </w:r>
    </w:p>
    <w:p>
      <w:pPr/>
      <w:r>
        <w:rPr>
          <w:b/>
        </w:rPr>
        <w:t>Shared claim-specific concepts:</w:t>
      </w:r>
      <w:r>
        <w:t xml:space="preserve"> foresight, expert, innovative, society; EU scope visible. This is a provisional connection, not an outcome finding.</w:t>
      </w:r>
    </w:p>
    <w:p>
      <w:pPr>
        <w:pStyle w:val="SourceNote"/>
      </w:pPr>
      <w:r>
        <w:rPr>
          <w:b/>
        </w:rPr>
        <w:t>Available abstract (not full text):</w:t>
      </w:r>
      <w:r>
        <w:t xml:space="preserve"> Forest transformations extend beyond ecology to institutional shifts driven by evolving values, actor networks, and policy frameworks. This impacts carbon sequestration and mitigation capacities. Past research on shifts from deforestation to net gains or state to community management relies on ex-post case studies (Meyfroidt &amp; Lambin, 2011; Rudel et al., 2010; Charmakar et al., 2024). However, forward-looking approaches are essential for guiding sustainable management amid uncertainties like climate change and bioeconomy demands. This study employs a three-round Delphi survey with high-level experts from policy, industry, and bioeconomy sectors to project wood production trajectories and management transformations across 2021-2030, 2031-2050, and 2051-2100, aligning with the role of forests and wood production for reaching climate targets.Responses distinguish likelihood from desirability of developments, revealing on the one hand the points of consensus on institutional innovations such as reconfigured governance, property rights, and stakeholder participation. On the other, they reveal how experts value the role of forest carbon sinks while sustaining wood supply for bioeconomy mitigation (Weiss et al., 2021; Ludvig &amp; Buzogány, under review). The advantage of a Delphi survey in this study is that it reveals the points of departure for consensus in complex and debated policy m</w:t>
      </w:r>
    </w:p>
    <w:p>
      <w:pPr/>
      <w:r>
        <w:rPr>
          <w:b/>
        </w:rPr>
        <w:t>POSSIBLE 2026:</w:t>
      </w:r>
      <w:r>
        <w:t xml:space="preserve"> Foresight or failure: The cost of short-termism in Philippine research and innovation systems — https://doi.org/10.54645/2026191awh-86</w:t>
      </w:r>
    </w:p>
    <w:p>
      <w:pPr/>
      <w:r>
        <w:rPr>
          <w:b/>
        </w:rPr>
        <w:t>Shared claim-specific concepts:</w:t>
      </w:r>
      <w:r>
        <w:t xml:space="preserve"> foresight, strategic, directions, technological, long-term; EU scope not established. This is a provisional connection, not an outcome finding.</w:t>
      </w:r>
    </w:p>
    <w:p>
      <w:pPr>
        <w:pStyle w:val="SourceNote"/>
      </w:pPr>
      <w:r>
        <w:rPr>
          <w:b/>
        </w:rPr>
        <w:t>Available abstract (not full text):</w:t>
      </w:r>
      <w:r>
        <w:t xml:space="preserve"> The Philippines faces a critical challenge in aligning research and development (R&amp;D) governance with an increasingly complex and uncertain global environment. Despite gains in research productivity and investment, current systems remain constrained by short-term planning cycles, fragmented agenda-setting, and output-driven performance metrics that limit their capacity to address long-term and systemic challenges. This commentary argues that such structural short-termism undermines innovation outcomes and impact and weakens national resilience, particularly in the context of climate vulnerability and accelerating technological change. Drawing on the concept of anticipatory governance, the paper highlights the need to shift from reactive, project-based approaches toward integrated, portfolio-driven investment systems that are programmatic, strategically coordinated, and impact-oriented. It outlines key governance transformations and proposes policy directions for embedding strategic foresight within national institutions. Strengthening foresight capabilities is presented as a pathway to enhance coordination, improve policy relevance, and improve future-readiness of innovation systems. The paper concludes that the transition from short-termism to anticipatory governance is essential for sustaining the long-term competitiveness and resilience in the Philippines.</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foresight, strategic, society, long-term;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Convergence 2042: Engineering the Integration Layer for an Era of Technological Co-Acceleration - A Strategic Foresight and Systems Engineering White Paper — https://doi.org/10.5281/zenodo.22252685</w:t>
      </w:r>
    </w:p>
    <w:p>
      <w:pPr/>
      <w:r>
        <w:rPr>
          <w:b/>
        </w:rPr>
        <w:t>Shared claim-specific concepts:</w:t>
      </w:r>
      <w:r>
        <w:t xml:space="preserve"> foresight, strategic, directions, technological; EU scope not established. This is a provisional connection, not an outcome finding.</w:t>
      </w:r>
    </w:p>
    <w:p>
      <w:pPr>
        <w:pStyle w:val="SourceNote"/>
      </w:pPr>
      <w:r>
        <w:rPr>
          <w:b/>
        </w:rPr>
        <w:t>Available abstract (not full text):</w:t>
      </w:r>
      <w:r>
        <w:t xml:space="preserve"> Convergence 2042 is a strategic foresight and systems-engineering white paper developed by Sustainable Future Tech (SFT) examining the implications of technological co-acceleration across artificial intelligence, autonomous systems, advanced and quantum computing, cybersecurity, digital twins, communications, energy, physical infrastructure, climate and environmental intelligence, robotics, and related technology domains. The paper identifies 2042 as a strategic planning horizon rather than a point forecast. SFT derives the horizon from an analytical synthesis of published technology roadmaps and scaled-adoption trajectories, with the late 2030s through mid-2040s representing the densest overlap of projected maturity windows. The central thesis is that the most consequential architecture of the next technological era may increasingly reside between technologies—in the integration, orchestration, governance, security, evidence, resilience, and institutional mechanisms that allow heterogeneous systems to operate together safely and effectively. The paper develops a systems-level framework for analyzing technological convergence, including a taxonomy of convergence failure modes; engineering principles for coupled systems; governance of the governance layer; institutional interoperability without institutional uniformity; and the societal value of managed convergence. It incorpora</w:t>
      </w:r>
    </w:p>
    <w:p>
      <w:pPr/>
      <w:r>
        <w:rPr>
          <w:b/>
        </w:rPr>
        <w:t>POSSIBLE 2026:</w:t>
      </w:r>
      <w:r>
        <w:t xml:space="preserve"> Hybrid foresight: integrating artificial intelligence and expert judgement to address strategic challenges in UK Forest resilience — https://doi.org/10.1093/forestry/cpag066</w:t>
      </w:r>
    </w:p>
    <w:p>
      <w:pPr/>
      <w:r>
        <w:rPr>
          <w:b/>
        </w:rPr>
        <w:t>Shared claim-specific concepts:</w:t>
      </w:r>
      <w:r>
        <w:t xml:space="preserve"> foresight, system, expert, strategic; EU scope visible. This is a provisional connection, not an outcome finding.</w:t>
      </w:r>
    </w:p>
    <w:p>
      <w:pPr>
        <w:pStyle w:val="SourceNote"/>
      </w:pPr>
      <w:r>
        <w:rPr>
          <w:b/>
        </w:rPr>
        <w:t>Available abstract (not full text):</w:t>
      </w:r>
      <w:r>
        <w:t xml:space="preserve"> Abstract Forests occupy a pivotal position in addressing the intertwined crises of climate change, biodiversity loss, and sustainable resource use. Yet, the United Kingdom, one of Europe’s least-wooded and most nature-depleted nations, faces persistent barriers to resilient forest management: low forest cover, narrow species diversity, dependence on timber imports, and fragmented ownership. Building on a national horizon scan conducted in 2022, which identified ‘catastrophic forest ecosystem collapse’ as the most pressing emerging issue, this paper explores how artificial intelligence (AI) can strengthen foresight and policy coherence. Although large language models and other AI tools were technically available during the 2022 horizon-scanning exercise, their use in environmental foresight was not yet methodologically normalized or institutionally validated. The absence of AI from that process should therefore be understood less as an omission than as evidence of a rapidly changing methodological context. We propose an AI-assisted horizon-scanning framework that combines AI-enabled signal detection and synthesis with expert interpretation, deliberation and judgement through six iterative stages: framing, signal discovery, expert engagement, synthesis, simulation, and reflexive learning. The framework operationalizes principles of Responsible Research and Innovation and Responsi</w:t>
      </w:r>
    </w:p>
    <w:p>
      <w:pPr/>
      <w:r>
        <w:rPr>
          <w:b/>
        </w:rPr>
        <w:t>POSSIBLE 2026:</w:t>
      </w:r>
      <w:r>
        <w:t xml:space="preserve"> India’s role in the Arctic: comparative scenarios and strategic foresight — https://doi.org/10.3389/fpos.2026.1758233</w:t>
      </w:r>
    </w:p>
    <w:p>
      <w:pPr/>
      <w:r>
        <w:rPr>
          <w:b/>
        </w:rPr>
        <w:t>Shared claim-specific concepts:</w:t>
      </w:r>
      <w:r>
        <w:t xml:space="preserve"> foresight, strategic, directions, long-term; EU scope not established. This is a provisional connection, not an outcome finding.</w:t>
      </w:r>
    </w:p>
    <w:p>
      <w:pPr>
        <w:pStyle w:val="SourceNote"/>
      </w:pPr>
      <w:r>
        <w:rPr>
          <w:b/>
        </w:rPr>
        <w:t>Available abstract (not full text):</w:t>
      </w:r>
      <w:r>
        <w:t xml:space="preserve"> Introduction The Arctic has become a space for global interaction, serving not only as an arena for rivalry but also as a target for environmental initiatives. The growing interest of extra-regional powers, including India, increases the importance of research on the strategies and policies of non-Arctic states in the Arctic region. Considering and analyzing India’s experience and policies is essential for understanding how countries in the Global South and Asia are shaping and implementing their models of participation in the management of global common resources. The purpose of this article is to analyze and identify forecast scenarios for India’s Arctic strategy and policy, as well as benchmarking scenarios and identifying constraints and opportunities. Methods The study uses scenario analysis to explore several potential directions for India’s Arctic policy and their broader strategic implications. Along with examining the climate agenda, strategic forecasting is applied, expressing the diversity and multidimensionality of the research approaches. Results Three scenarios were developed, among them deepening Arctic cooperation, which involves India acting as a climate partner inscribed in multilateral governance and scientific diplomacy; polar competition, in which India cautiously aligns with Russia to secure access to energy resources amid geopolitical fragmentation; and i</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expert, strategic, technological;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NEXUS-HC: A Framework for Technology Foresight in Strategic Communications — https://doi.org/10.34190/eccws.25.1.4709</w:t>
      </w:r>
    </w:p>
    <w:p>
      <w:pPr/>
      <w:r>
        <w:rPr>
          <w:b/>
        </w:rPr>
        <w:t>Shared claim-specific concepts:</w:t>
      </w:r>
      <w:r>
        <w:t xml:space="preserve"> foresight, system, evaluation, strategic; EU scope not established. This is a provisional connection, not an outcome finding.</w:t>
      </w:r>
    </w:p>
    <w:p>
      <w:pPr>
        <w:pStyle w:val="SourceNote"/>
      </w:pPr>
      <w:r>
        <w:rPr>
          <w:b/>
        </w:rPr>
        <w:t>Available abstract (not full text):</w:t>
      </w:r>
      <w:r>
        <w:t xml:space="preserve"> Strategic communications teams increasingly operate in an information environment shaped less by what people say to each other and more by what platforms choose to show, boost, or hide. Automation, synthetic media, and faster technology cycles mean influence activity can scale quickly, while decision-makers must still choose what to monitor, test, and prepare for. Many organisations track technology "hype" informally through news and vendor claims, but this often fails to produce clear priorities or explainable trade-offs. This paper introduces NEXUS-HC (Navigational Examination and Understanding System for Hype Cycle Analysis), a decision-oriented framework that adapts the familiar hype-cycle idea for contested, next-generation information environments. NEXUS-HC standardises technology assessment through a lightweight cross-impact rubric to compare likely effects, and links assessment to action through five portfolio postures: Monitor, Pilot, Adopt, Govern/Harden, or Counter. The framework separates (a) maturity and diffusion signals, (b) disruption mechanisms relevant to influence and integrity, and (c) adversarial leverage and governance readiness. We provide practical guidance for running the workflow in a small StratCom team, recording evidence notes and confidence, and setting reassessment triggers. A short three-technology illustration and light-touch retrospective valid</w:t>
      </w:r>
    </w:p>
    <w:p>
      <w:pPr/>
      <w:r>
        <w:rPr>
          <w:b/>
        </w:rPr>
        <w:t>POSSIBLE 2026:</w:t>
      </w:r>
      <w:r>
        <w:t xml:space="preserve"> Ukraine’s Electricity Sector Amidst “Creative Destruction”: A Foresight Analysis of Strategic Perspectives for Sustainable Entrepreneurship — https://doi.org/10.32983/2222-4459-2026-6-159-172</w:t>
      </w:r>
    </w:p>
    <w:p>
      <w:pPr/>
      <w:r>
        <w:rPr>
          <w:b/>
        </w:rPr>
        <w:t>Shared claim-specific concepts:</w:t>
      </w:r>
      <w:r>
        <w:t xml:space="preserve"> foresight, strategic, directions, technological; EU scope visible. This is a provisional connection, not an outcome finding.</w:t>
      </w:r>
    </w:p>
    <w:p>
      <w:pPr>
        <w:pStyle w:val="SourceNote"/>
      </w:pPr>
      <w:r>
        <w:rPr>
          <w:b/>
        </w:rPr>
        <w:t>Available abstract (not full text):</w:t>
      </w:r>
      <w:r>
        <w:t xml:space="preserve"> The article examines the transformational processes underway in Ukraine’s electricity sector through the lens of Schumpeter’s conception of «creative destruction». It is substantiated that the global energy transition, combined with the catastrophic consequences of the ongoing war, forms a unique configuration of factors that simultaneously destroys the sector’s established, largely Soviet-era structures and opens space for fundamentally new forms of entrepreneurial activity. The study reveals the paradoxical nature of the current energy transition, in which record investment in clean energy coexists with record fossil-fuel consumption, deepening strategic uncertainty for business actors. Methodologically, the research rests on a synthesis of foresight, oriented towards generating multiple alternative images of the future, and the theory of strategic entrepreneurship as the simultaneous pursuit of market opportunities and competitive advantage. On this basis, the authors propose an original set of sectoral development scenarios up to 2050, ranging from Ukraine’s transformation into a «green hub» of Europe to the inertial entrenchment of technological backwardness, and systematizes priority directions for sustainable entrepreneurship. The article contends that the scale of destruction caused by the war makes it economically rational not to restore obsolete infrastructure but to </w:t>
      </w:r>
    </w:p>
    <w:p>
      <w:pPr>
        <w:pStyle w:val="Heading2"/>
      </w:pPr>
      <w:r>
        <w:t>887. Centre-Periphery Relations in Europe: Demographic Aspect</w:t>
      </w:r>
    </w:p>
    <w:p>
      <w:pPr>
        <w:pStyle w:val="SourceNote"/>
      </w:pPr>
      <w:r>
        <w:rPr>
          <w:b/>
        </w:rPr>
        <w:t>Original source (2015):</w:t>
      </w:r>
      <w:r>
        <w:t xml:space="preserve"> https://doi.org/10.20542/0131-2227-2015-2-58-67</w:t>
      </w:r>
    </w:p>
    <w:p>
      <w:pPr/>
      <w:r>
        <w:t>Original wording (abstract; indexed_source_text_not_full_document_verified): So, the recent number of unemployed in Spain (5.7 millions) is four times more than the expected decrease in the number of people aged 20 to 64 between 2010 and 2030 (1.4 millions).</w:t>
      </w:r>
    </w:p>
    <w:p>
      <w:pPr/>
      <w:r>
        <w:rPr>
          <w:b/>
        </w:rPr>
        <w:t>POSSIBLE 2026:</w:t>
      </w:r>
      <w:r>
        <w:t xml:space="preserve"> 64 A paradox of supply and demand: unemployed doctors amid NHS waiting lists — https://doi.org/10.1136/bmjoq-2026-qsho.64</w:t>
      </w:r>
    </w:p>
    <w:p>
      <w:pPr/>
      <w:r>
        <w:rPr>
          <w:b/>
        </w:rPr>
        <w:t>Shared claim-specific concepts:</w:t>
      </w:r>
      <w:r>
        <w:t xml:space="preserve"> recent, number, unemployed, times; EU scope visible. This is a provisional connection, not an outcome finding.</w:t>
      </w:r>
    </w:p>
    <w:p>
      <w:pPr>
        <w:pStyle w:val="SourceNote"/>
      </w:pPr>
      <w:r>
        <w:rPr>
          <w:b/>
        </w:rPr>
        <w:t>Available abstract (not full text):</w:t>
      </w:r>
      <w:r>
        <w:t xml:space="preserve"> Introduction Despite the NHS facing record-high patient waiting times, an increasing number of UK doctors remain unemployed due to systemic training bottlenecks, underfunding, and workplace mismanagement (Cleland et al., 2019). The UK, being well known as a multicultural melting pot since the early 1900s, has garnered immense attention from the entire world for being one of the most diverse countries in Europe. This led to an influx of internationally qualified healthcare professionals (IMGs) into the UK, with IMGs accepted for 41% of specialty training posts in 2023 in mainland England, up from around 35% in 2021 (NHS England, 2021). While this has increased the number of doctors applying for work, there hasn’t been a corresponding rise in the number of doctors who have been employed under the NHS.An Oversupply of Graduates Without Matching Training Opportunities Compounding the issue, over the last few years, there has been an increase in medical students in the UK. The UK government is expanding the number of medical school places, with a recent increase of 350 additional places for the 2025/26 academic year alone (GOV.UK, n.d.). Although the overall rise has been proposed to meet the healthcare needs of the population, there hasn’t been a corresponding increase in specialty training places, as 11,757 doctors who completed Foundation Year 2 did not enter specialty training i</w:t>
      </w:r>
    </w:p>
    <w:p>
      <w:pPr/>
      <w:r>
        <w:rPr>
          <w:b/>
        </w:rPr>
        <w:t>POSSIBLE 2025:</w:t>
      </w:r>
      <w:r>
        <w:t xml:space="preserve"> Profiling and subjectification of unemployed people: exploring the case of Slovenian public employment services — https://doi.org/10.51952/9781447371892.ch014</w:t>
      </w:r>
    </w:p>
    <w:p>
      <w:pPr/>
      <w:r>
        <w:rPr>
          <w:b/>
        </w:rPr>
        <w:t>Shared claim-specific concepts:</w:t>
      </w:r>
      <w:r>
        <w:t xml:space="preserve"> recent, unemployed, people, between; EU scope visible. This is a provisional connection, not an outcome finding.</w:t>
      </w:r>
    </w:p>
    <w:p>
      <w:pPr>
        <w:pStyle w:val="SourceNote"/>
      </w:pPr>
      <w:r>
        <w:rPr>
          <w:b/>
        </w:rPr>
        <w:t>Available abstract (not full text):</w:t>
      </w:r>
      <w:r>
        <w:t xml:space="preserve"> In recent years digital services, and among these profiling tools, have been developed and employed in a broad range of public employment services (PES) across European countries. In this chapter I investigate the subjectification processes involved in profiling by asking: how are unemployed people governed through profiling and how do they govern themselves? I rely on the theoretical framework of governmentality studies to answer the research question. Based on recent theoretical developments I attend to the emotional and affective dimensions of these subjectification processes. I explore in which ways profiling is designed to encourage specific affective capacities and how these tools for some give rise to a sense of hope, or the opposite, producing fear and uncertainty. So far, we know very little about the intimate encounter between the individual and the digital service. This chapter aims to fill that void and expand our knowledge about the various ways profiling tools afford people to relate to and view themselves, and their futures. I explore the research question based on in-depth ethnographic fieldwork in two Slovenian PES offices, and interviews with 45 Slovenian unemployed people as well as interviews with counsellors and managers. I discuss implications for future public employment services and the link between digital governmental technologies such as profiling and</w:t>
      </w:r>
    </w:p>
    <w:p>
      <w:pPr/>
      <w:r>
        <w:rPr>
          <w:b/>
        </w:rPr>
        <w:t>POSSIBLE 2024:</w:t>
      </w:r>
      <w:r>
        <w:t xml:space="preserve"> Employability and career beliefs inventory: a brief version for unemployed persons — https://doi.org/10.1186/s41155-024-00309-y</w:t>
      </w:r>
    </w:p>
    <w:p>
      <w:pPr/>
      <w:r>
        <w:rPr>
          <w:b/>
        </w:rPr>
        <w:t>Shared claim-specific concepts:</w:t>
      </w:r>
      <w:r>
        <w:t xml:space="preserve"> unemployed, aged, between; EU scope visible. This is a provisional connection, not an outcome finding.</w:t>
      </w:r>
    </w:p>
    <w:p>
      <w:pPr>
        <w:pStyle w:val="SourceNote"/>
      </w:pPr>
      <w:r>
        <w:rPr>
          <w:b/>
        </w:rPr>
        <w:t>Available abstract (not full text):</w:t>
      </w:r>
      <w:r>
        <w:t xml:space="preserve"> BACKGROUND: Considering that beliefs may be assessed and changed, inventories measuring employability and career beliefs may be of utmost importance for career interventions. OBJECTIVE: This study introduces the psychometric properties of a brief version of the Employability and Career Beliefs Inventory (ECBI) in a sample of unemployed persons. METHODS AND RESULTS: Altogether, 2023 unemployed persons aged from 18 to 66 years old and living in Southern Portugal participated in an online survey. The ECBI's original internal structure was tested and did not fit the data. Exploratory and confirmatory factor analyses were implemented, and a three-factor solution was retained. The three factors discriminate three types of beliefs named growth, pessimism, and flexibility. Measurement invariance models identified scalar equivalence across gender and educational degree, and metric invariance across age. All items fit the graded response model's parameters. The growth and flexibility subscales were less effective in the assessment of low latent trait levels, whereas the opposite was observed with the pessimism subscale. Internal consistency is good yet discrimination between factors is questionable. Correlations to career decision-making self-efficacy evidence validity based on the relations to other constructs. CONCLUSION: Despite the limitations, the brief version of the ECBI proposed </w:t>
      </w:r>
    </w:p>
    <w:p>
      <w:pPr/>
      <w:r>
        <w:rPr>
          <w:b/>
        </w:rPr>
        <w:t>POSSIBLE 2024:</w:t>
      </w:r>
      <w:r>
        <w:t xml:space="preserve"> Recent trends in moisture conditions across European peatlands — https://doi.org/10.1016/j.rsase.2024.101385</w:t>
      </w:r>
    </w:p>
    <w:p>
      <w:pPr/>
      <w:r>
        <w:rPr>
          <w:b/>
        </w:rPr>
        <w:t>Shared claim-specific concepts:</w:t>
      </w:r>
      <w:r>
        <w:t xml:space="preserve"> recent, number, four, expected; EU scope visible. This is a provisional connection, not an outcome finding.</w:t>
      </w:r>
    </w:p>
    <w:p>
      <w:pPr>
        <w:pStyle w:val="SourceNote"/>
      </w:pPr>
      <w:r>
        <w:rPr>
          <w:b/>
        </w:rPr>
        <w:t>Available abstract (not full text):</w:t>
      </w:r>
      <w:r>
        <w:t xml:space="preserve"> Peatlands play a key role in climate change mitigation strategies and provide multiple ecosystem services, presuming near natural, waterlogged conditions. However, there is a lack of knowledge on how spatially heterogeneous changes in climate across Europe, such as the predicted increase in drought frequency in Central Europe, might affect these ecosystem services and peatland functioning. While analysis of peat cores and moisture sensors provide high-quality insights into past or present hydrological conditions, this information is usually only available for a limited number of locations. Satellite remote sensing is an effective method to overcome this limitation, providing spatially continuous and temporally highly resolved environmental information. This study proposes to use freely available data from the Landsat Mission to analyze trends in proxies of surface moisture of European peatlands over the last four decades. Based on a large random sample of peatland sites across Europe, we performed a pixel-wise trend analysis on monthly time-series dating back to 1984 using the Normalized Difference Water Index as a moisture indicator. The satellite-derived moisture changes indicated a pronounced shift towards wetter conditions in the boreal and oceanic region of Europe, whereas in the temperate, continental region, a high proportion of peatlands experienced drying. Small-scale </w:t>
      </w:r>
    </w:p>
    <w:p>
      <w:pPr/>
      <w:r>
        <w:rPr>
          <w:b/>
        </w:rPr>
        <w:t>POSSIBLE 2024:</w:t>
      </w:r>
      <w:r>
        <w:t xml:space="preserve"> Oral health and self-perceived job readiness among socially disadvantaged and unemployed citizens — https://doi.org/10.2340/aos.v83.42077</w:t>
      </w:r>
    </w:p>
    <w:p>
      <w:pPr/>
      <w:r>
        <w:rPr>
          <w:b/>
        </w:rPr>
        <w:t>Shared claim-specific concepts:</w:t>
      </w:r>
      <w:r>
        <w:t xml:space="preserve"> unemployed, people, between; EU scope visible. This is a provisional connection, not an outcome finding.</w:t>
      </w:r>
    </w:p>
    <w:p>
      <w:pPr>
        <w:pStyle w:val="SourceNote"/>
      </w:pPr>
      <w:r>
        <w:rPr>
          <w:b/>
        </w:rPr>
        <w:t>Available abstract (not full text):</w:t>
      </w:r>
      <w:r>
        <w:t xml:space="preserve"> OBJECTIVE: The aims of this article are (1) to evaluate the association between oral health-related quality of life (OHRQoL) and self-perceived job readiness and (2) to investigate changes in self-perceived job readiness following an oral health promotion intervention. MATERIALS AND METHODS: The first aim was elucidated in a cross-sectional design, and the second through a prospective intervention study. A survey was administered among 273 unemployed vulnerable people in Copenhagen, Denmark. Participants were randomised to either control or intervention in 2018, and follow-up was conducted 7-15 months later. The intervention entailed support for dental care. OHRQoL was measured by the Oral Health Impact Profile (OHIP-14), and self-perceived job readiness was measured using the Employability Indicator Project (BIP) questionnaire. RESULTS: The sample reported a high mean OHIP-14 score at baseline (26.9, SD 15.6) and poor OHRQoL was significantly associated with low self-perceived job readiness (rs = -0.15, p = 0.02). The control group reported better job readiness at follow-up compared to the intervention group. However, the effect sizes were small in both groups and no clear pattern was observed. CONCLUSIONS: The results indicate that OHRQoL is linked to self-perceived job readiness. However, the oral health promotion applied in this study did not lead to better self-perceived j</w:t>
      </w:r>
    </w:p>
    <w:p>
      <w:pPr/>
      <w:r>
        <w:rPr>
          <w:b/>
        </w:rPr>
        <w:t>POSSIBLE 2023:</w:t>
      </w:r>
      <w:r>
        <w:t xml:space="preserve"> Popular Radicalism and the Unemployed in Chicago during the Great Depression — https://doi.org/10.31219/osf.io/bj25h</w:t>
      </w:r>
    </w:p>
    <w:p>
      <w:pPr/>
      <w:r>
        <w:rPr>
          <w:b/>
        </w:rPr>
        <w:t>Shared claim-specific concepts:</w:t>
      </w:r>
      <w:r>
        <w:t xml:space="preserve"> unemployed, millions, people; EU scope not established. This is a provisional connection, not an outcome finding.</w:t>
      </w:r>
    </w:p>
    <w:p>
      <w:pPr>
        <w:pStyle w:val="SourceNote"/>
      </w:pPr>
      <w:r>
        <w:rPr>
          <w:b/>
        </w:rPr>
        <w:t>Available abstract (not full text):</w:t>
      </w:r>
      <w:r>
        <w:t xml:space="preserve"> In a time when mass joblessness and precarious employment have become issues of national concern, it is useful to reconsider the experiences of the unemployed in an earlier period of economic hardship, the Great Depression. How did they survive, and how did they fight against inhumane government policies? Americans are often thought to be a very conservative and individualistic people, but the collective struggles of the supposedly "meek" and "atomized" unemployed in the 1930s belie that stereotype. Focusing on the bellwether city of Chicago, this book reevaluates those struggles, revealing the kernel of political radicalism and class resistance in practices that are usually thought of as apolitical and un-ideological. From communal sharing to "eviction riots," from Unemployed Councils to the nationwide movement behind the remarkable Workers’ Unemployment Insurance Bill, millions of people fought to end the reign of capitalist values and usher in a new, more socialistic society. While they failed in their maximal goal of abolishing economic insecurity and the disproportionate power of the rich, they did wrest an incipient welfare state from the ruling class. Today, their legacy is their resilience, their resourcefulness, and their proof that the unemployed can organize themselves to renew the struggle for a more just world.</w:t>
      </w:r>
    </w:p>
    <w:p>
      <w:pPr/>
      <w:r>
        <w:rPr>
          <w:b/>
        </w:rPr>
        <w:t>POSSIBLE 2023:</w:t>
      </w:r>
      <w:r>
        <w:t xml:space="preserve"> Sustainability and Competition Policy in Europe: Recent Developments — https://doi.org/10.1093/jeclap/lpad032</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2023:</w:t>
      </w:r>
      <w:r>
        <w:t xml:space="preserve"> Glacial lake outburst floods threaten millions globally — https://doi.org/10.1038/s41467-023-36033-x</w:t>
      </w:r>
    </w:p>
    <w:p>
      <w:pPr/>
      <w:r>
        <w:rPr>
          <w:b/>
        </w:rPr>
        <w:t>Shared claim-specific concepts:</w:t>
      </w:r>
      <w:r>
        <w:t xml:space="preserve"> number, millions, four, people; EU scope not established. This is a provisional connection, not an outcome finding.</w:t>
      </w:r>
    </w:p>
    <w:p>
      <w:pPr>
        <w:pStyle w:val="SourceNote"/>
      </w:pPr>
      <w:r>
        <w:rPr>
          <w:b/>
        </w:rPr>
        <w:t>Available abstract (not full text):</w:t>
      </w:r>
      <w:r>
        <w:t xml:space="preserve"> Glacial lake outburst floods (GLOFs) represent a major hazard and can result in significant loss of life. Globally, since 1990, the number and size of glacial lakes has grown rapidly along with downstream population, while socio-economic vulnerability has decreased. Nevertheless, contemporary exposure and vulnerability to GLOFs at the global scale has never been quantified. Here we show that 15 million people globally are exposed to impacts from potential GLOFs. Populations in High Mountains Asia (HMA) are the most exposed and on average live closest to glacial lakes with ~1 million people living within 10 km of a glacial lake. More than half of the globally exposed population are found in just four countries: India, Pakistan, Peru, and China. While HMA has the highest potential for GLOF impacts, we highlight the Andes as a region of concern, with similar potential for GLOF impacts to HMA but comparatively few published research studies.</w:t>
      </w:r>
    </w:p>
    <w:p>
      <w:pPr/>
      <w:r>
        <w:rPr>
          <w:b/>
        </w:rPr>
        <w:t>POSSIBLE 2023:</w:t>
      </w:r>
      <w:r>
        <w:t xml:space="preserve"> Self-affirmation increases reemployment success for the unemployed — https://doi.org/10.1073/pnas.2301532120</w:t>
      </w:r>
    </w:p>
    <w:p>
      <w:pPr/>
      <w:r>
        <w:rPr>
          <w:b/>
        </w:rPr>
        <w:t>Shared claim-specific concepts:</w:t>
      </w:r>
      <w:r>
        <w:t xml:space="preserve"> number, unemployed, people, between; EU scope not established. This is a provisional connection, not an outcome finding.</w:t>
      </w:r>
    </w:p>
    <w:p>
      <w:pPr>
        <w:pStyle w:val="SourceNote"/>
      </w:pPr>
      <w:r>
        <w:rPr>
          <w:b/>
        </w:rPr>
        <w:t>Available abstract (not full text):</w:t>
      </w:r>
      <w:r>
        <w:t xml:space="preserve"> Losing a job is one of life's most stressful events. Furthermore, maladaptive reactions to unemployment can trap people in a vicious cycle that derails their reemployment efforts. The current research tested whether a brief values-based self-affirmation intervention increases the odds of reemployment after a job loss and during unemployment, which presumably breaks this vicious cycle. Two field experiments, including one with a governmental employment agency, found that a 15-min self-affirmation exercise-i.e., reflecting on one's most important values-increased key employment-related outcomes after 4 wk, including the probability and speed of reemployment and the number of job offers. Because the ordeal of job loss and the probability of reemployment may be particularly challenging for individuals above the age of 50 y, we also explored whether the intervention was equally effective for those above and below 50 y of age. Demonstrating the generality of this effect, the efficacy of the intervention did not differ between individuals below and above the age of 50, and it was also effective for both recently unemployed and chronically unemployed individuals. Because self-affirmations have more typically been tested in educational contexts, the current research demonstrates the wide-ranging value of this intervention. By diminishing the vicious cycle of unemployment, the present st</w:t>
      </w:r>
    </w:p>
    <w:p>
      <w:pPr/>
      <w:r>
        <w:rPr>
          <w:b/>
        </w:rPr>
        <w:t>POSSIBLE 2023:</w:t>
      </w:r>
      <w:r>
        <w:t xml:space="preserve"> SOCIO-ECONOMIC COMPONENT ANALYSIS OF THE EUROPEAN UNION HUMAN POTENTIAL — https://doi.org/10.32782/2413-2675/2023-57-3</w:t>
      </w:r>
    </w:p>
    <w:p>
      <w:pPr/>
      <w:r>
        <w:rPr>
          <w:b/>
        </w:rPr>
        <w:t>Shared claim-specific concepts:</w:t>
      </w:r>
      <w:r>
        <w:t xml:space="preserve"> recent, number, unemployed, decrease, people, aged; EU scope visible. This is a provisional connection, not an outcome finding.</w:t>
      </w:r>
    </w:p>
    <w:p>
      <w:pPr>
        <w:pStyle w:val="SourceNote"/>
      </w:pPr>
      <w:r>
        <w:rPr>
          <w:b/>
        </w:rPr>
        <w:t>Available abstract (not full text):</w:t>
      </w:r>
      <w:r>
        <w:t xml:space="preserve"> The article analyzes the main indicators of the functioning of the European Union's labor market, which characterize the socio-economic component of the EU's human potential. The study was conducted using such general scientific and special research methods as the method of abstraction, analysis and synthesis, induction and deduction, graphical and analytical method, and system analysis. The socio-economic component of the human potential of the European Union was considered through the following criteria: population dynamics, number of unemployed and unemployment rate (total and by gender), gender gap in unemployment, share of young people who do not work, study or acquire professional skills (NEET generation), employment rate (total, by gender and by age group), gender gap in employment, share of self-employed, temporarily employed and part-time workers. The analysis of these indicators made it possible to outline the state and trends in the development of the labor market and the socio-economic component of the human potential of the European Union. Based on the study, it was found that the labor market of the EU countries is slowly demonstrating positive dynamics of development and the following trends: a gradual decrease in the unemployment rate and the number of unemployed since 2013; excess of the unemployment rate of women over the unemployment rate of men – the gender </w:t>
      </w:r>
    </w:p>
    <w:p>
      <w:pPr/>
      <w:r>
        <w:rPr>
          <w:b/>
        </w:rPr>
        <w:t>POSSIBLE 2022:</w:t>
      </w:r>
      <w:r>
        <w:t xml:space="preserve"> Osteoporosis in Europe: a compendium of country-specific reports — https://doi.org/10.1007/s11657-021-00969-8</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2022:</w:t>
      </w:r>
      <w:r>
        <w:t xml:space="preserve"> COVID-19 in Europe: from outbreak to vaccination — https://doi.org/10.1186/s12889-022-14454-5</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pStyle w:val="Heading2"/>
      </w:pPr>
      <w:r>
        <w:t>888. Climate Change Effects on Heat- and Cold-Related Mortality in the Netherlands: A Scenario-Based Integrated Environmental Health Impact Assessment</w:t>
      </w:r>
    </w:p>
    <w:p>
      <w:pPr>
        <w:pStyle w:val="SourceNote"/>
      </w:pPr>
      <w:r>
        <w:rPr>
          <w:b/>
        </w:rPr>
        <w:t>Original source (2015):</w:t>
      </w:r>
      <w:r>
        <w:t xml:space="preserve"> https://doi.org/10.3390/ijerph121013295</w:t>
      </w:r>
    </w:p>
    <w:p>
      <w:pPr/>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POSSIBLE 2026:</w:t>
      </w:r>
      <w:r>
        <w:t xml:space="preserve"> Heat-related health impacts across national mitigation and urban adaptation scenarios in European cities - Data — https://doi.org/10.5281/zenodo.20666093</w:t>
      </w:r>
    </w:p>
    <w:p>
      <w:pPr/>
      <w:r>
        <w:rPr>
          <w:b/>
        </w:rPr>
        <w:t>Shared claim-specific concepts:</w:t>
      </w:r>
      <w:r>
        <w:t xml:space="preserve"> integrated, health, impacts, assessment, mortality, heat; EU scope visible. This is a provisional connection, not an outcome finding.</w:t>
      </w:r>
    </w:p>
    <w:p>
      <w:pPr>
        <w:pStyle w:val="SourceNote"/>
      </w:pPr>
      <w:r>
        <w:rPr>
          <w:b/>
        </w:rPr>
        <w:t>Available abstract (not full text):</w:t>
      </w:r>
      <w:r>
        <w:t xml:space="preserve">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pPr/>
      <w:r>
        <w:rPr>
          <w:b/>
        </w:rPr>
        <w:t>POSSIBLE 2026:</w:t>
      </w:r>
      <w:r>
        <w:t xml:space="preserve"> Exploring decarbonisation strategies in the Southern-European region of Catalonia through a multi-scenario assessment — https://doi.org/10.1016/j.esr.2026.102184</w:t>
      </w:r>
    </w:p>
    <w:p>
      <w:pPr/>
      <w:r>
        <w:rPr>
          <w:b/>
        </w:rPr>
        <w:t>Shared claim-specific concepts:</w:t>
      </w:r>
      <w:r>
        <w:t xml:space="preserve"> integrated, assessment, combining, climate; EU scope visible. This is a provisional connection, not an outcome finding.</w:t>
      </w:r>
    </w:p>
    <w:p>
      <w:pPr>
        <w:pStyle w:val="SourceNote"/>
      </w:pPr>
      <w:r>
        <w:rPr>
          <w:b/>
        </w:rPr>
        <w:t>Available abstract (not full text):</w:t>
      </w:r>
      <w:r>
        <w:t xml:space="preserve"> This study evaluates decarbonisation pathways for the southern European region of Catalonia, addressing the critical gap of downscaling biophysical system-dynamics models to regional contexts. We explore variations in economic growth, energy efficiency, and renewable energy deployment. Using pymedeas2 , a system dynamics-based integrated assessment model, we assess the implications of these pathways for climate change mitigation, land use, and energy demand. Scenarios that combine post-growth strategies with strong renewable expansion and efficiency gains achieve superior outcomes across these dimensions. In the reference scenario, GDP per capita stabilises by 2040 while ambitious renewable and efficiency targets are met. The most sustainable pathway reduces cumulative CO 2 emissions by 21.0% and renewable land use by 15.4% relative to the reference, remaining within Catalonia’s fair-share carbon budget of 495 MtCO 2 . In contrast, under a high-growth scenario with delayed efficiency gains, this limit is exceeded, reaching 793 MtCO 2 in cumulative emissions and increasing land-use requirements by 1.8%. These findings show that combining post-growth strategies with energy system decarbonisation can enable Catalonia to meet climate targets while reducing spatial and ecological pressures. The analysis highlights the urgency of a paradigm shift from purely supply-side technological</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integrated, impacts, assessment, heat, climate, three;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An Integrated IT Management Framework for Scenario-Based Enterprise Analytics and Strategic Decision Optimization — https://doi.org/10.63125/3wtc3z49</w:t>
      </w:r>
    </w:p>
    <w:p>
      <w:pPr/>
      <w:r>
        <w:rPr>
          <w:b/>
        </w:rPr>
        <w:t>Shared claim-specific concepts:</w:t>
      </w:r>
      <w:r>
        <w:t xml:space="preserve"> scenario-based, integrated, assessment; EU scope not established. This is a provisional connection, not an outcome finding.</w:t>
      </w:r>
    </w:p>
    <w:p>
      <w:pPr>
        <w:pStyle w:val="SourceNote"/>
      </w:pPr>
      <w:r>
        <w:rPr>
          <w:b/>
        </w:rPr>
        <w:t>Available abstract (not full text):</w:t>
      </w:r>
      <w:r>
        <w:t xml:space="preserve"> Enterprises increasingly invest in cloud platforms, enterprise systems, data warehouses, business intelligence applications, and analytical tools, yet strategic decisions often remain fragmented because governance, data, infrastructure, modeling, and user capabilities are insufficiently integrated. This study aimed to develop and quantitatively evaluate an integrated IT management framework for strengthening scenario-based enterprise analytics effectiveness and strategic decision optimiza_tion. A quantitative, cross-sectional, descriptive, explanatory, and case-based design was applied across selected enterprise cases using enterprise resource planning systems, cloud services, customer relationship management platforms, data warehouses, and decision-support technologies in financial services, manufacturing, logistics, telecommunications, retail, healthcare, and public-oriented institutions. From 360 distributed questionnaires, 312 valid responses were retained, producing an effective response rate of 86.67 percent. The model examined IT Governance and Strategic Alignment, Enterprise Data Integration and Information Quality, IT Infrastructure Flexibility and System Interoperability, Scenario-Modeling and Analytical Capability, Analytics-User Competency and Organizational Readiness, Scenario-Based Enterprise Analytics Effectiveness, and Strategic Decision Optimization. IBM SPSS w</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2026:</w:t>
      </w:r>
      <w:r>
        <w:t xml:space="preserve"> Developing Scenario‐Based Strategies for Health, Climate, and Environmental Preparedness: The One Health, One Earth Approach — https://doi.org/10.1029/2025gh001674</w:t>
      </w:r>
    </w:p>
    <w:p>
      <w:pPr/>
      <w:r>
        <w:rPr>
          <w:b/>
        </w:rPr>
        <w:t>Shared claim-specific concepts:</w:t>
      </w:r>
      <w:r>
        <w:t xml:space="preserve"> integrated, health, climate; EU scope not established. This is a provisional connection, not an outcome finding.</w:t>
      </w:r>
    </w:p>
    <w:p>
      <w:pPr>
        <w:pStyle w:val="SourceNote"/>
      </w:pPr>
      <w:r>
        <w:rPr>
          <w:b/>
        </w:rPr>
        <w:t>Available abstract (not full text):</w:t>
      </w:r>
      <w:r>
        <w:t xml:space="preserve"> workshop sought to explore this gap through human-centered design exercises involving interdisciplinary researchers from climate and Earth sciences, engineering, epidemiology, microbiology, and environmental health. Although participants did not co-develop solutions with affected communities, they used stakeholder role-playing to guide ideation and lay groundwork for actionable plans. Through these methods, participants identified community needs and proposed prototype solutions to alleviate health threats exacerbated by global environmental change. Prototypes were organized around infectious diseases, extreme weather, and air quality, as illustrative themes rather than an exhaustive set of risks. Key solutions included strategies for anticipatory systems and early warning (e.g., integrating environmental signals with health data), inclusive communication and infrastructure needs for responding to extreme weather events, and integrated platforms visualizing air quality trends to support tailored, context-aware guidance beyond one-size-fits-all alerts. The workshop highlighted opportunities such as leveraging machine learning, Earth observation, and real-time surveillance to protect communities, but also noted barriers including data quality, technological redundancy, privacy, and governance challenges. Additionally, participants emphasized the need for interdisciplinary teams c</w:t>
      </w:r>
    </w:p>
    <w:p>
      <w:pPr/>
      <w:r>
        <w:rPr>
          <w:b/>
        </w:rPr>
        <w:t>POSSIBLE 2026:</w:t>
      </w:r>
      <w:r>
        <w:t xml:space="preserve"> Extending integrated assessment model scenarios until 2150 using emulation approaches — https://doi.org/10.1088/2515-7620/ae661b</w:t>
      </w:r>
    </w:p>
    <w:p>
      <w:pPr/>
      <w:r>
        <w:rPr>
          <w:b/>
        </w:rPr>
        <w:t>Shared claim-specific concepts:</w:t>
      </w:r>
      <w:r>
        <w:t xml:space="preserve"> integrated, assessment, climate; EU scope not established. This is a provisional connection, not an outcome finding.</w:t>
      </w:r>
    </w:p>
    <w:p>
      <w:pPr>
        <w:pStyle w:val="SourceNote"/>
      </w:pPr>
      <w:r>
        <w:rPr>
          <w:b/>
        </w:rPr>
        <w:t>Available abstract (not full text):</w:t>
      </w:r>
      <w:r>
        <w:t xml:space="preserve"> Abstract Whereas there is growing interest in exploring very long-term climate with overshoot beyond 2100, most integrated assessment models (IAMs) generate emissions scenarios only through 2100. Here we propose approaches for extending scenarios until 2150 using an emulator of IAMs. Our approaches offer a potential interim solution for developing very long-term scenarios, such as the scenario model intercomparison project, circumventing the challenges of fully simulating IAMs beyond 2100.</w:t>
      </w:r>
    </w:p>
    <w:p>
      <w:pPr/>
      <w:r>
        <w:rPr>
          <w:b/>
        </w:rPr>
        <w:t>POSSIBLE 2026:</w:t>
      </w:r>
      <w:r>
        <w:t xml:space="preserve"> Integrating a pesticide risk indicator into a multi-criteria assessment tool for comparing crop protection scenarios — https://doi.org/10.1016/j.agsy.2026.104945</w:t>
      </w:r>
    </w:p>
    <w:p>
      <w:pPr/>
      <w:r>
        <w:rPr>
          <w:b/>
        </w:rPr>
        <w:t>Shared claim-specific concepts:</w:t>
      </w:r>
      <w:r>
        <w:t xml:space="preserve"> integrated, health, assessment, due, three; EU scope visible. This is a provisional connection, not an outcome finding.</w:t>
      </w:r>
    </w:p>
    <w:p>
      <w:pPr>
        <w:pStyle w:val="SourceNote"/>
      </w:pPr>
      <w:r>
        <w:rPr>
          <w:b/>
        </w:rPr>
        <w:t>Available abstract (not full text):</w:t>
      </w:r>
      <w:r>
        <w:t xml:space="preserve"> CONTEXT Chemical pesticides remain central to agricultural productivity but pose well documented risks to human health and ecosystems. While Integrated Pest Management (IPM) offers a more sustainable alternative, its adoption remains limited, partly due to the complex trade-offs that are not easily quantified and compared. OBJECTIVE This study presents the IPM Self-Assessment Tool (ISAT), a web-based application designed to enable transparent comparison of crop protection scenarios at the field level, integrating environmental, human health, agronomic, and economic indicators. METHODS A new harmonized pesticide risk indicator for Europe (PL EU – Pesticide Load Indicator for Europe) was developed. The PL EU covers 41 hazard metrics across three sub-indicators (Environmental Fate, Ecotoxicity, and Human Health). The PL EU was integrated into the ISAT alongside indicators for greenhouse gas (GHG) emissions and production costs, calculated using life cycle based methods. The tool was developed using data from ten European countries covering eight crops, with scenarios described by regional specialists and validated by farm advisors. RESULTS AND CONCLUSIONS The PL EU was calculated for 502 active ingredients (441 synthetic, 61 biopesticides) across eight pesticide groups. A case study on winter wheat in Germany showed that, relative to conventional practice, an IPM scenario replacin</w:t>
      </w:r>
    </w:p>
    <w:p>
      <w:pPr/>
      <w:r>
        <w:rPr>
          <w:b/>
        </w:rPr>
        <w:t>POSSIBLE 2026:</w:t>
      </w:r>
      <w:r>
        <w:t xml:space="preserve"> Independent and healthy ageing - Health promotion and monitoring of health, lifestyle and well-being of older people in Europe — https://doi.org/10.5281/zenodo.22093148</w:t>
      </w:r>
    </w:p>
    <w:p>
      <w:pPr/>
      <w:r>
        <w:rPr>
          <w:b/>
        </w:rPr>
        <w:t>Shared claim-specific concepts:</w:t>
      </w:r>
      <w:r>
        <w:t xml:space="preserve"> integrated, health, explores; EU scope visible. This is a provisional connection, not an outcome finding.</w:t>
      </w:r>
    </w:p>
    <w:p>
      <w:pPr>
        <w:pStyle w:val="SourceNote"/>
      </w:pPr>
      <w:r>
        <w:rPr>
          <w:b/>
        </w:rPr>
        <w:t>Available abstract (not full text):</w:t>
      </w:r>
      <w:r>
        <w:t xml:space="preserve"> How can we support people to stay healthy, independent, and engaged as they age? This PhD thesis explores factors that influence healthy ageing and evaluates innovative approaches to promote well-being among older adults. The research highlights the role of fear of falling, frailty, functional limitations, multimorbidity, and loneliness in shaping health-related quality of life. It also examines emerging technologies, such as the use of energy and water consumption data to support independent living, and evaluates two European self-management programs for people with chronic conditions: SEFAC and EFFICHRONIC. The findings show that self-management interventions can improve perceived health, psychosocial well-being, and quality of life, while potentially reducing healthcare utilization. Together, these studies provide new insights into healthy ageing and offer practical directions for strengthening prevention, self-management, and integrated care for older adults across Europe.</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health, assessment, population, attributable, mortality,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Evidence-based passenger transportation energy service demand scenarios for South Asia in integrated assessment models — https://doi.org/10.1088/2753-3751/ae22e3</w:t>
      </w:r>
    </w:p>
    <w:p>
      <w:pPr/>
      <w:r>
        <w:rPr>
          <w:b/>
        </w:rPr>
        <w:t>Shared claim-specific concepts:</w:t>
      </w:r>
      <w:r>
        <w:t xml:space="preserve"> integrated, assessment, population, climate; EU scope not established. This is a provisional connection, not an outcome finding.</w:t>
      </w:r>
    </w:p>
    <w:p>
      <w:pPr>
        <w:pStyle w:val="SourceNote"/>
      </w:pPr>
      <w:r>
        <w:rPr>
          <w:b/>
        </w:rPr>
        <w:t>Available abstract (not full text):</w:t>
      </w:r>
      <w:r>
        <w:t xml:space="preserve"> Abstract Integrated assessment models (IAMs) are instrumental in shaping climate change mitigation policies. However, these models typically lack direct measures of many socio-cultural, behavioral, and lifestyle phenomena. Further, detailed analysis of future transport needs for Global South countries is required, given the expected increase in population, economic activities and, therefore, mobility demand. This work seeks to address both shortcomings by improving the quantification of sustainable mobility scenarios in IAMs for the Global South, with a focus on South Asian countries. Utilizing transport data from South Asia, we develop a passenger mobility demand model. We develop scenario narratives based on alternate visions of mobility futures, consisting of various outcomes for sets of phenomena, and establish interactions to produce IAM parametrizations. This parameterization is done based on pre-exsisting literature, with priority given to evidence from Global South region. Through these methods, we link detailed transport data to IAM scenarios. The relative richness of the data set allows replacing top–down calculations often encountered in IAM scenarios. Since the developed scenarios are based on evidence and data specifically from South Asia, they better capture actual potential mitigation in the region. The results indicate a doubling of passenger mobility demand by </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pStyle w:val="Heading2"/>
      </w:pPr>
      <w:r>
        <w:t>889. Comparison of Water Flows in Four European Lagoon Catchments under a Set of Future Climate Scenarios</w:t>
      </w:r>
    </w:p>
    <w:p>
      <w:pPr>
        <w:pStyle w:val="SourceNote"/>
      </w:pPr>
      <w:r>
        <w:rPr>
          <w:b/>
        </w:rPr>
        <w:t>Original source (2015):</w:t>
      </w:r>
      <w:r>
        <w:t xml:space="preserve"> https://doi.org/10.3390/w7020716</w:t>
      </w:r>
    </w:p>
    <w:p>
      <w:pPr/>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POSSIBLE 2026:</w:t>
      </w:r>
      <w:r>
        <w:t xml:space="preserve"> Hydrochemical Resilience of Mountain Forest Catchments to Bark Beetle Disturbance: A Central European Study — https://doi.org/10.3390/f17010078</w:t>
      </w:r>
    </w:p>
    <w:p>
      <w:pPr/>
      <w:r>
        <w:rPr>
          <w:b/>
        </w:rPr>
        <w:t>Shared claim-specific concepts:</w:t>
      </w:r>
      <w:r>
        <w:t xml:space="preserve"> catchment, input, areas; EU scope visible. This is a provisional connection, not an outcome finding.</w:t>
      </w:r>
    </w:p>
    <w:p>
      <w:pPr>
        <w:pStyle w:val="SourceNote"/>
      </w:pPr>
      <w:r>
        <w:rPr>
          <w:b/>
        </w:rPr>
        <w:t>Available abstract (not full text):</w:t>
      </w:r>
      <w:r>
        <w:t xml:space="preserve"> Over the last decade, bark beetle outbreaks have significantly impacted forests in Central Europe, causing extensive loss of forest cover. We evaluated the impact of partial deforestation in three mountain forest catchments in the Jeseníky Mountains, comparing them with the unaffected Červík catchment (Beskydy Mountains) and the severely affected Pekelský stream catchment (Czech-Moravian Highlands). Atmospheric deposition in the catchments was similar, with total element input driven primarily by precipitation volumes rather than ion concentrations. We did not observe the hypothesized increase in DOC and nitrogen export, although nitrate outflow was slightly higher than atmospheric input in two cases. Significant export of calcium, magnesium, and bicarbonates was driven mainly by the geology of the individual catchments. The limited impact of bark beetle outbreaks on DOC dynamics can be attributed to the relatively low proportion of clear-cut areas and the rapid development of ground vegetation on impacted sites.</w:t>
      </w:r>
    </w:p>
    <w:p>
      <w:pPr/>
      <w:r>
        <w:rPr>
          <w:b/>
        </w:rPr>
        <w:t>POSSIBLE 2026:</w:t>
      </w:r>
      <w:r>
        <w:t xml:space="preserve"> Hydrological Modeling-Based Assessment of the Impact of Urbanization on Runoff From Watercourse Catchments — https://doi.org/10.59440/ceer/224858</w:t>
      </w:r>
    </w:p>
    <w:p>
      <w:pPr/>
      <w:r>
        <w:rPr>
          <w:b/>
        </w:rPr>
        <w:t>Shared claim-specific concepts:</w:t>
      </w:r>
      <w:r>
        <w:t xml:space="preserve"> catchment, integrated, drainage; EU scope visible. This is a provisional connection, not an outcome finding.</w:t>
      </w:r>
    </w:p>
    <w:p>
      <w:pPr>
        <w:pStyle w:val="SourceNote"/>
      </w:pPr>
      <w:r>
        <w:rPr>
          <w:b/>
        </w:rPr>
        <w:t>Available abstract (not full text):</w:t>
      </w:r>
      <w:r>
        <w:t xml:space="preserve"> Urban expansion significantly alters natural hydrological regimes and increases the risk of flooding, particularly in suburban catchments undergoing rapid land-use transformation. The replacement of permeable surfaces with impervious infrastructure reduces infiltration and increases pressure on existing drainage systems. This study evaluates the hydraulic performance of a suburban catchment in southwestern Poland (18.78 km²) using an integrated modelling approach combining SWMM hydrodynamic simulations with high-resolution (1 m) terrain analysis in SCALGO Live Poland. Results show that an imperviousness level of approximately 18% is sufficient to exceed the hydraulic capacity of the drainage system during design rainfall events. The introduction of two retention reservoirs (total capacity 180 000 m³) reduced peak flows by 32% and eliminated 93% of high-risk flood zones. The study highlights the importance of integrated hydrological modelling for planning effective stormwater retention strategies in rapidly urbanizing catchments.</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climate, spain;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2025:</w:t>
      </w:r>
      <w:r>
        <w:t xml:space="preserve"> Impact of climate change on the hydrological regime of the catchment and environmental safety of the Dnipro tailings dump — https://doi.org/10.32347/2524-0021.2025.49.38-52</w:t>
      </w:r>
    </w:p>
    <w:p>
      <w:pPr/>
      <w:r>
        <w:rPr>
          <w:b/>
        </w:rPr>
        <w:t>Shared claim-specific concepts:</w:t>
      </w:r>
      <w:r>
        <w:t xml:space="preserve"> probable, climate, catchment, water, areas; EU scope not established. This is a provisional connection, not an outcome finding.</w:t>
      </w:r>
    </w:p>
    <w:p>
      <w:pPr>
        <w:pStyle w:val="SourceNote"/>
      </w:pPr>
      <w:r>
        <w:rPr>
          <w:b/>
        </w:rPr>
        <w:t>Available abstract (not full text):</w:t>
      </w:r>
      <w:r>
        <w:t xml:space="preserve"> The article describes the hydrographic network on the territory of the Dniprovske tailings dump (Kamianske, Ukraine). The article highlights the changes that have occurred over the 150-year history of the Dnipro River section between the settlements of Kamianske and Taromske, where 12 million tonnes of radioactive waste (RW) are currently stored in the Dnipro and Konoplyanka rivers at the site of buried rivers (Khreshchatka, Zhovtukha, Borziyka). To assess meteorological and climatic data, statistical methods of their generalization and comparison with the data of the Climate Reference Books were used. It has been established that over the past 17 years (2005-2021) of observations, the average annual air temperature in the region, according to the data of reference weather stations, has increased by at least 20°C. Over the same period, evaporation from the water surface has also increased. The total amount of precipitation per year in the study area has not changed significantly. At the same time, uneven and spotty precipitation and a more intense nature of precipitation (showers) are noted. The daily amount of precipitation in the Dnipro region is also highly variable, even for the autumn-winter period, when there is a siege precipitation covering large areas. The observed peculiarity of the absence of permanent snow cover in winter in recent years contributes to an increase i</w:t>
      </w:r>
    </w:p>
    <w:p>
      <w:pPr/>
      <w:r>
        <w:rPr>
          <w:b/>
        </w:rPr>
        <w:t>POSSIBLE 2024:</w:t>
      </w:r>
      <w:r>
        <w:t xml:space="preserve"> Energy storage and climate impacts on the future renewable European energy system — https://openalex.org/W4412222428</w:t>
      </w:r>
    </w:p>
    <w:p>
      <w:pPr/>
      <w:r>
        <w:rPr>
          <w:b/>
        </w:rPr>
        <w:t>Shared claim-specific concepts:</w:t>
      </w:r>
      <w:r>
        <w:t xml:space="preserve"> probable, impacts, climate, assessed, integrated; EU scope visible. This is a provisional connection, not an outcome finding.</w:t>
      </w:r>
    </w:p>
    <w:p>
      <w:pPr>
        <w:pStyle w:val="SourceNote"/>
      </w:pPr>
      <w:r>
        <w:rPr>
          <w:b/>
        </w:rPr>
        <w:t>Available abstract (not full text):</w:t>
      </w:r>
      <w:r>
        <w:t xml:space="preserve">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pPr/>
      <w:r>
        <w:rPr>
          <w:b/>
        </w:rPr>
        <w:t>POSSIBLE 2024:</w:t>
      </w:r>
      <w:r>
        <w:t xml:space="preserve"> The Ripple Effect of Climate Change: Assessing the Impacts on Water Quality and Hydrology in Addis Ababa City (Akaki Catchment) — https://doi.org/10.1155/2024/8824622</w:t>
      </w:r>
    </w:p>
    <w:p>
      <w:pPr/>
      <w:r>
        <w:rPr>
          <w:b/>
        </w:rPr>
        <w:t>Shared claim-specific concepts:</w:t>
      </w:r>
      <w:r>
        <w:t xml:space="preserve"> impacts, climate, catchment, hydrology, freshwater, soil; EU scope not established. This is a provisional connection, not an outcome finding.</w:t>
      </w:r>
    </w:p>
    <w:p>
      <w:pPr>
        <w:pStyle w:val="SourceNote"/>
      </w:pPr>
      <w:r>
        <w:rPr>
          <w:b/>
        </w:rPr>
        <w:t>Available abstract (not full text):</w:t>
      </w:r>
      <w:r>
        <w:t xml:space="preserve"> This research aimed to evaluate the effects of climate change on the hydrology and water quality in the Akaki catchment, which provides water to Addis Ababa, Ethiopia. This was performed using the soil and water assessment tool (SWAT) model and an ensemble of four global climate models under two Shared Socioeconomic Pathways (SSP) emission scenarios from Coupled Model Intercomparison Project Phase 6 (CMIP6). The climate data were downscaled and bias-corrected using the CMhyd tool and calibrated and validated using the SWAT-CUP software package. Change points and patterns in annual rainfall and temperature were determined using the homogeneity test and Mann-Kendell trend test. Water quality data were obtained from Addis Ababa Water and Sewerage Authority (AAWSA), and more samples were taken and analyzed in accordance with APHA recommended procedures. The SWAT model output was then used to assess the impacts of climate change on hydrological components and water quality. Rainfall increased by 19.39 mm/year under SSP2-4.5 and 12.8 mm/year under SSP8.5. Maximum temperature increased by 0.03°C/yr for SSP2-4.5 and 0.04°C/yr for SSP5-8.5. Minimum temperature increased by 0.03°C/yr under SSP2-4.5 and 0.07°C/yr under SSP5-8.5. This warming will augment the evapotranspiration rate which in turn will have a negative impact on the freshwater availability. Streamflow will increase by 5% und</w:t>
      </w:r>
    </w:p>
    <w:p>
      <w:pPr/>
      <w:r>
        <w:rPr>
          <w:b/>
        </w:rPr>
        <w:t>POSSIBLE 2024:</w:t>
      </w:r>
      <w:r>
        <w:t xml:space="preserve"> Scientific evidence of the hydrological impacts of nature‐based solutions at the catchment scale — https://doi.org/10.1002/wat2.1744</w:t>
      </w:r>
    </w:p>
    <w:p>
      <w:pPr/>
      <w:r>
        <w:rPr>
          <w:b/>
        </w:rPr>
        <w:t>Shared claim-specific concepts:</w:t>
      </w:r>
      <w:r>
        <w:t xml:space="preserve"> impacts, catchment, soil, water; EU scope not established. This is a provisional connection, not an outcome finding.</w:t>
      </w:r>
    </w:p>
    <w:p>
      <w:pPr>
        <w:pStyle w:val="SourceNote"/>
      </w:pPr>
      <w:r>
        <w:rPr>
          <w:b/>
        </w:rPr>
        <w:t>Available abstract (not full text):</w:t>
      </w:r>
      <w:r>
        <w:t xml:space="preserve"> Abstract The introduction of nature‐based solutions (NbS) in catchments has the potential to increase the cost‐effectiveness, flexibility, and reliability of water management practices aimed at improving water security. However, the scientific‐evidence base of the hydrological impacts of NbS is still weak, and there is therefore a risk that catchment interventions might not lead to the desired hydrological outcomes. This is especially important when assessing NbS‐based catchment interventions before their implementation, as this requires robust simulation tools capable of effectively managing the uncertainties associated with future forecasts. This study aims to review the hydrological impacts of different NbS intervention types for water management. First, we present an NbS typology and the corresponding dominant hydrological impacts. We then use this typology to review the strength of the current evidence of the effect of NbS interventions on the hydrological response at the catchment‐scale. Our results demonstrate that the effectiveness of each NbS type hinges on specific conditions such as location, design, and environmental factors. For instance, micro‐reservoirs notably enhance surface storage and evaporation, while infiltration trenches reduce runoff but can increase soil erosion. Our global analysis highlights the need for an improved understanding of NbS catchment impa</w:t>
      </w:r>
    </w:p>
    <w:p>
      <w:pPr/>
      <w:r>
        <w:rPr>
          <w:b/>
        </w:rPr>
        <w:t>POSSIBLE 2024:</w:t>
      </w:r>
      <w:r>
        <w:t xml:space="preserve"> Broadleaf afforestation impacts on terrestrial hydrology insignificant compared to climate change in Great Britain — https://doi.org/10.5194/hess-28-2081-2024</w:t>
      </w:r>
    </w:p>
    <w:p>
      <w:pPr/>
      <w:r>
        <w:rPr>
          <w:b/>
        </w:rPr>
        <w:t>Shared claim-specific concepts:</w:t>
      </w:r>
      <w:r>
        <w:t xml:space="preserve"> impacts, climate, hydrology; EU scope not established. This is a provisional connection, not an outcome finding.</w:t>
      </w:r>
    </w:p>
    <w:p>
      <w:pPr>
        <w:pStyle w:val="SourceNote"/>
      </w:pPr>
      <w:r>
        <w:rPr>
          <w:b/>
        </w:rPr>
        <w:t>Available abstract (not full text):</w:t>
      </w:r>
      <w:r>
        <w:t xml:space="preserve"> Abstract. Widespread afforestation has been proposed internationally to reduce atmospheric carbon dioxide, however the specific hydrological consequences and benefits of such large-scale afforestation (e.g., Natural Flood Management) are poorly understood. We use a high-resolution land surface model, JULES, with realistic potential afforestation scenarios to quantify possible hydrological change across Great Britain in both present and projected climate. We assess whether proposed afforestation produces significantly different regional responses across regions; whether hydrological fluxes, stores and events are significantly altered by afforestation relative to climate; and how future hydrological processes may be altered up to 2050. Additionally, this enables determination of the relative sensitivity of land surface process representation in JULES compared to climate changes. For these three aims we run simulations using: (i) past climate with proposed land cover changes and known floods and drought events; (ii) past climate with independent changes in precipitation, temperature, and CO2; and (iii) a potential future climate (2020–2050). We find the proposed scale of afforestation is unlikely to significantly alter regional hydrology, however it can noticeably decrease low flows whilst not reducing high flows. The afforestation levels minimally impact hydrological processes co</w:t>
      </w:r>
    </w:p>
    <w:p>
      <w:pPr/>
      <w:r>
        <w:rPr>
          <w:b/>
        </w:rPr>
        <w:t>POSSIBLE 2024:</w:t>
      </w:r>
      <w:r>
        <w:t xml:space="preserve"> Model-based analysis of the impact of climate change on hydrology in the Guayas River basin (Ecuador) — https://doi.org/10.2166/wcc.2024.064</w:t>
      </w:r>
    </w:p>
    <w:p>
      <w:pPr/>
      <w:r>
        <w:rPr>
          <w:b/>
        </w:rPr>
        <w:t>Shared claim-specific concepts:</w:t>
      </w:r>
      <w:r>
        <w:t xml:space="preserve"> impacts, climate, hydrology, soil, water, four; EU scope not established. This is a provisional connection, not an outcome finding.</w:t>
      </w:r>
    </w:p>
    <w:p>
      <w:pPr>
        <w:pStyle w:val="SourceNote"/>
      </w:pPr>
      <w:r>
        <w:rPr>
          <w:b/>
        </w:rPr>
        <w:t>Available abstract (not full text):</w:t>
      </w:r>
      <w:r>
        <w:t xml:space="preserve"> ABSTRACT Worldwide climate change will most likely lead to drastic changes in hydrology and food production. In this study, the impact of climate change on the hydrological regime and the fate of pesticides in the Guayas River basin is investigated using the Soil and Water Assessment Tool. Four general circulation models and three representative concentration pathways (RCP 4.5, RCP 6.0 and RCP 8.5) for three future periods were used to assess impact of climate change. Future projections showed a maximum increase in the average monthly precipitation of 40% in June, as well as an increase in an average minimum temperature of 3.85°C for July and an average maximum temperature of 4.5°C for August in 2080s. The model simulations based on RCP 8.5 scenario predict an increase in potential evapotranspiration by 11%, surface runoff of 39% and water yield of 33% in 2080s. The pesticide simulation showed the highest water concentrations during the wet season. Projections of trends in pesticide concentration indicate a similar trend to the current situation given the application rate remains the same. The results can be beneficial for the management and planning of the basin to mitigate flood and water quality-related impacts of food production and climate change.</w:t>
      </w:r>
    </w:p>
    <w:p>
      <w:pPr/>
      <w:r>
        <w:rPr>
          <w:b/>
        </w:rPr>
        <w:t>POSSIBLE 2024:</w:t>
      </w:r>
      <w:r>
        <w:t xml:space="preserve"> Localizing agricultural impacts of 21 century climate pathways in data scarce catchments: A case study of the Nyando catchment, Kenya — https://doi.org/10.1016/j.agwat.2024.108696</w:t>
      </w:r>
    </w:p>
    <w:p>
      <w:pPr/>
      <w:r>
        <w:rPr>
          <w:b/>
        </w:rPr>
        <w:t>Shared claim-specific concepts:</w:t>
      </w:r>
      <w:r>
        <w:t xml:space="preserve"> impacts, climate, catchment, areas; EU scope not established. This is a provisional connection, not an outcome finding.</w:t>
      </w:r>
    </w:p>
    <w:p>
      <w:pPr>
        <w:pStyle w:val="SourceNote"/>
      </w:pPr>
      <w:r>
        <w:rPr>
          <w:b/>
        </w:rPr>
        <w:t>Available abstract (not full text):</w:t>
      </w:r>
      <w:r>
        <w:t xml:space="preserve"> Climate change is projected to increase the volatility of agricultural productivity within the Sub-Saharan Africa region. However, current knowledge of climate change impacts in this region is largely derived from coarse-grid global datasets that lack sufficient detail for local applications. The derived impacts are thus generalized across large spatial scales, with a limited representation the differential exposure across the region. It is thus necessary to conduct localized assessments to derive local vulnerabilities and develop context-specific mitigation strategies. This study utilizes downscaled outputs from regional climate models to quantify the effects of climate change on maize and sugarcane crops at catchment-scale, hereby the Nyando catchment in Kenya. The findings indicate that climate change will reduce the suitability of conditions to the growth of both crops, with sub-optimal conditions for maize increasing by up to 600%. The analysis of crop yields show that maize yields are projected to decline by about 23.9% under the RCP4.5 scenario and 29.4% under RCP8.5. Sugarcane yields are similarly projected to decrease by 17.0% and 28.6% for RCP4.5 and RCP8.5 respectively. The underlying climatic changes suggest that future warming outweighs the effects of precipitation in explaining crop yield declines. More broadly, the methodology applied in this study can be readily</w:t>
      </w:r>
    </w:p>
    <w:p>
      <w:pPr/>
      <w:r>
        <w:rPr>
          <w:b/>
        </w:rPr>
        <w:t>POSSIBLE 2024:</w:t>
      </w:r>
      <w:r>
        <w:t xml:space="preserve"> Horizon Europe Applications: Time to consider the energy use impacts of AI on climate change — https://openalex.org/W7132532434</w:t>
      </w:r>
    </w:p>
    <w:p>
      <w:pPr/>
      <w:r>
        <w:rPr>
          <w:b/>
        </w:rPr>
        <w:t>Shared claim-specific concepts:</w:t>
      </w:r>
      <w:r>
        <w:t xml:space="preserve"> probable, impacts, climate; EU scope visible. This is a provisional connection, not an outcome finding.</w:t>
      </w:r>
    </w:p>
    <w:p>
      <w:pPr>
        <w:pStyle w:val="SourceNote"/>
      </w:pPr>
      <w:r>
        <w:rPr>
          <w:b/>
        </w:rPr>
        <w:t>Available abstract (not full text):</w:t>
      </w:r>
      <w:r>
        <w:t xml:space="preserve"> It is a little over a year ago since ChatGPT was launched in the public domain. In that relatively short period of time ChatGPT and its competitors have ignited an ongoing debate both within academia and the wider world. Despite resistance and concerns in some quarters Artificial Intelligence (AI) has been firmly embraced by many fields, most notably in universities (1), including in engineering education (2). It is highly probable that numerous applications currently being made to the €95.5 billion Horizon Europe Research &amp; Innovation (R&amp;I) funding program which runs until 2027 will involve an AI component of some kind (3).</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climate, soil, water;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pStyle w:val="Heading2"/>
      </w:pPr>
      <w:r>
        <w:t>890. Comparison of temperature indices for three IPCC SRES scenarios based on RegCM simulations for Poland in 2011–2030 period</w:t>
      </w:r>
    </w:p>
    <w:p>
      <w:pPr>
        <w:pStyle w:val="SourceNote"/>
      </w:pPr>
      <w:r>
        <w:rPr>
          <w:b/>
        </w:rPr>
        <w:t>Original source (2015):</w:t>
      </w:r>
      <w:r>
        <w:t xml:space="preserve"> https://doi.org/10.1127/metz/2014/0457</w:t>
      </w:r>
    </w:p>
    <w:p>
      <w:pPr/>
      <w:r>
        <w:t>Original wording (abstract; indexed_source_text_not_full_document_verified): The regional climate model RegCM3 is used to investigate potential future changes of temperature indices in Poland for the period 2011–2030.</w:t>
      </w:r>
    </w:p>
    <w:p>
      <w:pPr/>
      <w:r>
        <w:rPr>
          <w:b/>
        </w:rPr>
        <w:t>POSSIBLE 2026:</w:t>
      </w:r>
      <w:r>
        <w:t xml:space="preserve"> European snow cover in the EURO-CORDEX regional climate model ensemble: model evaluation — https://doi.org/10.1007/s00382-026-08343-5</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Abstract The EURO-CORDEX initiative provides a comprehensive set of regional climate simulations for the present and future European climate. We assess how well snow cover, a crucial component of the climate system, is represented in this model ensemble. We consider output from 11 regional climate models (RCMs) at 12 km resolution, driven by ERA-Interim and 10 different general circulation models, and compare it with model- and remote-sensing-based reference data sets for the periods 1990–2008 and 1985–2008, respectively. Elevation-resolved evaluations for four mountainous regions indicate that for mean winter snow water equivalent (SWE), the reanalysis-driven RCM ensemble mean agrees well with reference data. However, model spread becomes substantial (ca. ± 50%) at the highest elevations of the regions. For the number of snow-covered days (SCD), the agreement of individual models with reference data is generally better. With GCM-forcing, simulated mean winter SWE and SCD biases are typically larger in all regions except for Scandinavia. Part of this bias can likely be attributed to an overestimation of winter precipitation in the RCM runs. The analysis also reveals that some models indicate perennial snow accumulation at much lower elevations than suggested by proxy data. This bias is likely related to inaccuracies in atmospheric forcing (aforementioned precipitation biases) a</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2026:</w:t>
      </w:r>
      <w:r>
        <w:t xml:space="preserve"> Climate &amp; Air Quality projections over Europe for 2030 and 2050 — https://openalex.org/W7213705154</w:t>
      </w:r>
    </w:p>
    <w:p>
      <w:pPr/>
      <w:r>
        <w:rPr>
          <w:b/>
        </w:rPr>
        <w:t>Shared claim-specific concepts:</w:t>
      </w:r>
      <w:r>
        <w:t xml:space="preserve"> regional, climate, investigate;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Implementation and validation of the RegCM5 regional climate model on a Central European domain for extreme precipitation conditions — https://doi.org/10.5194/egusphere-egu26-648</w:t>
      </w:r>
    </w:p>
    <w:p>
      <w:pPr/>
      <w:r>
        <w:rPr>
          <w:b/>
        </w:rPr>
        <w:t>Shared claim-specific concepts:</w:t>
      </w:r>
      <w:r>
        <w:t xml:space="preserve"> regional, climate, used, temperature, period; EU scope visible. This is a provisional connection, not an outcome finding.</w:t>
      </w:r>
    </w:p>
    <w:p>
      <w:pPr>
        <w:pStyle w:val="SourceNote"/>
      </w:pPr>
      <w:r>
        <w:rPr>
          <w:b/>
        </w:rPr>
        <w:t>Available abstract (not full text):</w:t>
      </w:r>
      <w:r>
        <w:t xml:space="preserve"> Due to climate change, extreme precipitation events have become increasingly common over Europe, resulting in flash floods such as in Germany in 2021 or Spain in 2024. Regional climate models (RCMs) are key tools to project the mitigation and adaptation challenges regarding these events in the 21st century. However, to provide accurate results, it is necessary to find the optimal modelling setup for the research domain and validate the simulations against reference datasets of past measurements.In this study, the validation of several regional climate model simulations using the new RegCM5 RCM with a horizontal resolution of 10 km has been carried out. The model was set up with different parametrization scheme combinations for each run to assess which combination most accurately reproduces the monthly temperature and precipitation fields of the reference datasets. To analyse the model performance in reproducing extreme precipitation, the monthly frequency of days with precipitation over 10 mm (RR10) was also validated.The simulation period is short, i.e. 2010–2011, with a spin-up year of 2009. However, the period suits the validation purposes as it involves both an extremely wet and dry year with 2010 holding the record for the highest, and 2011 the lowest sum of yearly precipitation in Hungary. The initial and boundary conditions for temperature, geopotential, specific humidit</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regional, climate, used, potential, temperature;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Urban-rural climate representation in convection-permitting regional climate model simulation in Europe — https://doi.org/10.5194/egusphere-egu25-16910</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The representation of complex urban environments and their climates highlights a key advancement in present-day regional climate modeling. City climates differ from their surrounding regional climates in various ways, e.g., through increased temperatures and reduced evapotranspiration. The development of convection-permitting regional climate model (CPRCM) simulations allow us to resolve urban areas and their climatic phenomena, such as the urban heat island effect, in contrast to their rural surroundings more precisely. However, with increasing resolution, the complex terrain and characteristics of cities must be adequately represented.The EU Horizon project Impetus4Change (https://impetus4change.eu) aims to improve the quality, accessibility and usability of near-term climate information and services at local to regional scales. The project utilises dynamically downscaled regional climate models (RCMs) to produce very high-resolution (3 km) simulations for urban areas across Europe. To achieve this, we integrate the Town Energy Balance model (TEB; Masson, 2000), a single-layer urban canopy model, into the RCM REMO to simulate urban climates and urban-rural interactions under transient climate change conditions.Compared to a previously bulk urban form in REMO, TEB introduces distinctive urban features, such as an urban canyon with roofs, walls and roads. This allows for a more</w:t>
      </w:r>
    </w:p>
    <w:p>
      <w:pPr/>
      <w:r>
        <w:rPr>
          <w:b/>
        </w:rPr>
        <w:t>POSSIBLE 2025:</w:t>
      </w:r>
      <w:r>
        <w:t xml:space="preserve"> Assessing the Impact of Land Use Changes on Regional Climate over Europe — https://doi.org/10.3390/eesp2025035053</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2025:</w:t>
      </w:r>
      <w:r>
        <w:t xml:space="preserve"> Regional climate modelling for a comprehensive understanding of forest management-induced biogeophysical climate impacts in Europe — https://doi.org/10.5194/egusphere-egu25-5786</w:t>
      </w:r>
    </w:p>
    <w:p>
      <w:pPr/>
      <w:r>
        <w:rPr>
          <w:b/>
        </w:rPr>
        <w:t>Shared claim-specific concepts:</w:t>
      </w:r>
      <w:r>
        <w:t xml:space="preserve"> regional, climate, potential, temperature; EU scope visible. This is a provisional connection, not an outcome finding.</w:t>
      </w:r>
    </w:p>
    <w:p>
      <w:pPr>
        <w:pStyle w:val="SourceNote"/>
      </w:pPr>
      <w:r>
        <w:rPr>
          <w:b/>
        </w:rPr>
        <w:t>Available abstract (not full text):</w:t>
      </w:r>
      <w:r>
        <w:t xml:space="preserve"> Forests play a crucial role in European climate policy, owing to their potential for carbon sequestration, climate adaptation, biodiversity conservation, and other ecosystem services. Forest management directly changes land surface properties, e.g., albedo and roughness, and therefore has biogeophysical (BGP) impacts locally and potentially remotely due to advection and circulation. Previous studies investigating BGP climate impacts of forests focused on af/de-forestation, neglecting other types of forest management, like species change, tree health improvement, etc. To fill this gap, we employ the regional climate model COSMO-CLM, coupled with a land surface model with elaborate forest representation, CLM5, to perform simulations under multiple forest management scenarios. These scenarios vary in forest coverage, forest composition, and forest health (represented by leaf area index and canopy height), which allow us to detect the changes in climate induced by different forest management types and their combinations. The first results show that forest management-induced impacts have substantial spatial- and temporal- heterogeneity. Key findings include (i) both deforestation and broadleaf trees afforestation can decrease summer daily maximum temperature; (ii) broadleaf trees also increase winter daily minimum temperature in mid-latitude areas compared to needleleaf trees; (iii)</w:t>
      </w:r>
    </w:p>
    <w:p>
      <w:pPr/>
      <w:r>
        <w:rPr>
          <w:b/>
        </w:rPr>
        <w:t>POSSIBLE 2025:</w:t>
      </w:r>
      <w:r>
        <w:t xml:space="preserve"> A dialogue concerning hydroclimatic projections from global and regional climate models in Central Europe — https://doi.org/10.5281/zenodo.18024468</w:t>
      </w:r>
    </w:p>
    <w:p>
      <w:pPr/>
      <w:r>
        <w:rPr>
          <w:b/>
        </w:rPr>
        <w:t>Shared claim-specific concepts:</w:t>
      </w:r>
      <w:r>
        <w:t xml:space="preserve"> regional, climate, used; EU scope visible. This is a provisional connection, not an outcome finding.</w:t>
      </w:r>
    </w:p>
    <w:p>
      <w:pPr>
        <w:pStyle w:val="SourceNote"/>
      </w:pPr>
      <w:r>
        <w:rPr>
          <w:b/>
        </w:rPr>
        <w:t>Available abstract (not full text):</w:t>
      </w:r>
      <w:r>
        <w:t xml:space="preserve"> Global climate models (GCMs) capture large-scale thermodynamic responses to anthropogenic forcing; however, their coarse spatial resolution limits their utility for impact-relevant hydroclimatic assessment. Regional climate models (RCMs) have been developed to address this limitation through dynamic downscaling, yet their hydroclimatic projections frequently diverge from those of their driving GCMs. Here, contrasting projections for Central Europe under a high-emission scenario are examined: GCMs indicate increasing aridity, whereas RCMs project an intensifying hydrological cycle, with increases in evapotranspiration (ET), precipitation (P), and runoff. An independent Budyko framework linking the aridity index to the evaporative index (EI = ET/P) is used to diagnose these contrasts. Across ensembles, EI remains relatively stable, revealing a robust, state-dependent bimodality in the ET response to vapour pressure deficit (VPD). RCMs occupy the wet branch with increasing ET under rising VPD, whereas GCMs span a broader range of hydroclimatic states, including regimes characterised by declining ET at higher VPD, consistent with an apparent feedforward response whereby enhanced atmospheric demand coincides with stomatal limitation. This bimodality implies that antecedent hydroclimatic model states continue to shape future projections despite standard statistical post-processing, c</w:t>
      </w:r>
    </w:p>
    <w:p>
      <w:pPr/>
      <w:r>
        <w:rPr>
          <w:b/>
        </w:rPr>
        <w:t>POSSIBLE 2025:</w:t>
      </w:r>
      <w:r>
        <w:t xml:space="preserve"> Multiple Models of European Marine Fish Stocks: Regional Winners and Losers in a Future Climate — https://doi.org/10.1111/gcb.70149</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Climate change continues to alter the productivity of commercially and culturally important fisheries with major consequences for food security and coastal economies. We provide the first, multi-model projections of changes in the distribution and productivity of 18 key fish stocks across seven European regional seas spanning the Mediterranean to the Arctic, using 11 state-of-the-art bio-ecological models. Our projections indicate species- and region-specific changes in abundance and distributions of these stocks by the mid- to late 21st century. The varied responses are caused by differences in species' physiology, regional food web dynamics, and physical habitat characteristics. Important drivers include not only warming of Europe's seas (from 1°C to 3°C in RCP 4.5, and 2°C to 4°C in RCP 8.5 by 2100) and changes in primary productivity but also oxygen-limited fish growth, changes in pH, and benthic dissolved organic carbon. Warming and altered levels of secondary production are projected to lead to declines in some stocks (Norwegian and Barents Sea herring) and increases in others (Bay of Biscay anchovy). While some temperate and cold-water stocks are projected to decline markedly in some regions (e.g., North Sea, Western Mediterranean), the immigration of species from the south and/or increase in productivity of warm-water species may offer new opportunities for fisheries. S</w:t>
      </w:r>
    </w:p>
    <w:p>
      <w:pPr/>
      <w:r>
        <w:rPr>
          <w:b/>
        </w:rPr>
        <w:t>POSSIBLE 2025:</w:t>
      </w:r>
      <w:r>
        <w:t xml:space="preserve"> Future evolution of European terrestrial water resources in the groundwater-to-atmosphere regional climate system model TSMP — https://doi.org/10.5194/egusphere-egu25-17892</w:t>
      </w:r>
    </w:p>
    <w:p>
      <w:pPr/>
      <w:r>
        <w:rPr>
          <w:b/>
        </w:rPr>
        <w:t>Shared claim-specific concepts:</w:t>
      </w:r>
      <w:r>
        <w:t xml:space="preserve"> regional, climate, investigate; EU scope visible. This is a provisional connection, not an outcome finding.</w:t>
      </w:r>
    </w:p>
    <w:p>
      <w:pPr>
        <w:pStyle w:val="SourceNote"/>
      </w:pPr>
      <w:r>
        <w:rPr>
          <w:b/>
        </w:rPr>
        <w:t>Available abstract (not full text):</w:t>
      </w:r>
      <w:r>
        <w:t xml:space="preserve"> The intensification of the water cycle with climate change not only affects hydroclimatic extremes but also water resources, i.e., water availability, with implications for natural and managed systems, including agricultural, industrial and domestic water use. As part of the ongoing Coordinated Regional Downscaling Experiment European initiative (EURO-CORDEX) downscaling CMIP6 GCMs, we contribute with the fully coupled TSMP1 to the EURO-CORDEX regional climate model ensemble. TSMP1 consists of the atmospheric model COSMO, the Community Land Model, and the integrated hydrologic model ParFlow, connected through the OASIS3-MCT coupler. TSMP1 simulates the complete terrestrial water cycle from the groundwater (down to -60m) to the atmosphere. We show initial results from a transient climate run from 1950 to 2100, downscaling the MPI ESM1.2-HR CMIP6 GCM historical and SSP1-2.6 and SSP3-7.0 scenarios over the 12km pan-European CORDEX domain (EUR-12). Simulations are aligned with the CORDEX-CMIP6 simulation protocol and further extend the balanced GCM-RCM matrix. We investigate the future evolution of essential variables related to the terrestrial water cycle, such as the total water storage, groundwater recharge, and water table depth for 30-year mid- and end-of-the-century time slices over PRUDENCE regions. Past hydroclimatic extremes, decadal variability, and future trends are well</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regional, climate, investigate, temperature, period;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pStyle w:val="Heading2"/>
      </w:pPr>
      <w:r>
        <w:t>891. Consequences of Enduring Low Fertility – A German Case Study. Demographic Projections and Implications for Different Policy Fields</w:t>
      </w:r>
    </w:p>
    <w:p>
      <w:pPr>
        <w:pStyle w:val="SourceNote"/>
      </w:pPr>
      <w:r>
        <w:rPr>
          <w:b/>
        </w:rPr>
        <w:t>Original source (2015):</w:t>
      </w:r>
      <w:r>
        <w:t xml:space="preserve"> https://doi.org/10.12765/cpos-2015-06</w:t>
      </w:r>
    </w:p>
    <w:p>
      <w:pPr/>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pPr/>
      <w:r>
        <w:rPr>
          <w:b/>
        </w:rPr>
        <w:t>POSSIBLE 2026:</w:t>
      </w:r>
      <w:r>
        <w:t xml:space="preserve"> Books: The Golden Rule: Lessons in Living from a Doctor of Ageing — https://doi.org/10.3399/bjgp26x746265</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Pollock Lucy, 2025. The Golden Rule: Lessons in Living from a Doctor of Ageing. PB: Penguin, 978-1405953245. 352. 10.99. ![Graphic][1] A 90-year-old woman presents with resistant hypertension, already suffering the side effects and interactions of her long list of prescribed medications. Another, following a fall while in residential care, presents with immobility, cardiovascular disease, severe heart failure, cognitive decline, and osteoarthritis. The acute medical admissions are overwhelmed by patients presenting with the dual problem of complexity and advanced age. Do we treat the patient or the condition? How do we decide what is right for the individual patient? Twenty per cent of global health care is of no benefit to the patient, with this figure rising as we age.1 The evidence base for this heterogenous group is non-existent, since the gold standard randomised controlled trial is unlikely to have included people with the interplay of such a plethora of problems. Familiar? Where do we go for guidance? I suggest we turn to the practical wisdom and experience, common sense, and deep understanding of the patient’s perspective that Lucy Pollock so skilfully explores in her latest book. ‘Plan A stay young forever, and Plan B read this book’ is boldly stated on the back cover. Given Plan A is a no go, implement Plan B, as this book comprehensively covers the need to think syst</w:t>
      </w:r>
    </w:p>
    <w:p>
      <w:pPr/>
      <w:r>
        <w:rPr>
          <w:b/>
        </w:rPr>
        <w:t>POSSIBLE 2026:</w:t>
      </w:r>
      <w:r>
        <w:t xml:space="preserve"> A Multidimensional Muscle Quality Index in Severe Obesity: Relationships with Ageing, Adiposity, and Functional Performance — https://doi.org/10.3390/jcm15176696</w:t>
      </w:r>
    </w:p>
    <w:p>
      <w:pPr/>
      <w:r>
        <w:rPr>
          <w:b/>
        </w:rPr>
        <w:t>Shared claim-specific concepts:</w:t>
      </w:r>
      <w:r>
        <w:t xml:space="preserve"> ageing, severe, age; EU scope not established. This is a provisional connection, not an outcome finding.</w:t>
      </w:r>
    </w:p>
    <w:p>
      <w:pPr>
        <w:pStyle w:val="SourceNote"/>
      </w:pPr>
      <w:r>
        <w:rPr>
          <w:b/>
        </w:rPr>
        <w:t>Available abstract (not full text):</w:t>
      </w:r>
      <w:r>
        <w:t xml:space="preserve"> Background/Objectives: Traditional anthropometric indicators such as body mass index (BMI) may inadequately capture functional muscular impairment in obesity. To investigate a multidimensional composite muscle quality index (MQI) integrating relative strength and lower-limb functional power in adults with severe obesity. Methods: The study included 202 adults with severe obesity. The Composite MQI was calculated as the mean of standardized z-scores derived from handgrip strength (HG) normalized by fat-free mass (FFM) (HG/FFM) and sit-to-stand power (STS power) normalized by skeletal muscle mass (MM) (STS power/MM). Associations between the Composite MQI and demographic, anthropometric, and body composition variables were assessed using correlation analyses and multivariable linear regression. Participants were additionally stratified into quartiles of the Composite MQI to explore age-related differences. Results: The mean age of the study group was 44.9 ± 14.0 years, and the BMI was 42.5 ± 5.1 kg/m2. Age showed a moderate inverse association with the Composite MQI (r = −0.41, p &lt; 0.001), whereas BMI showed no significant correlation (r = −0.09). In multivariable regression models adjusted for sex and BMI, increasing age remained independently associated with lower Composite MQI (β = −0.022, p &lt; 0.001), whereas BMI was not independently associated with Composite MQI (p = 0.373).</w:t>
      </w:r>
    </w:p>
    <w:p>
      <w:pPr/>
      <w:r>
        <w:rPr>
          <w:b/>
        </w:rPr>
        <w:t>POSSIBLE 2025:</w:t>
      </w:r>
      <w:r>
        <w:t xml:space="preserve"> Democracy, Ageing, Disability — https://doi.org/10.17454/pam-2811</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In this paper, we discuss the democratic inclusion of individuals with severe cognitive disabilities and in advanced age with a severe decline of cognitive capacities. Without entering in the question whether the latter condition can be conceptually subsumed in the former, we deem that they present analogous problems from the perspectives of justice. Thus, it is helpful to discuss them together. We specifically comment on the inclusion in democratic processes of individuals that lack a high degree of cognitive capacities. The fundamental problem is present in theories of justice that require such capacities for inclusion of persons as equals in political processes. Such is the demanding deliberative democratic proposal of social contract theories, such as John Rawls’s. Worries of exclusion regard two stages of reasoning about justice. The first is the theoretical stage where decisions are made about which individuals should be included in the scope of justice. Although this stage is shaped around the hypothetical reasoning of reasonable and rational persons, there is no decisive reason to exclude individuals with severe cognitive disabilities as beneficiaries of justice. On the contrary, if commonly shared judgments require such inclusion, then this demand shapes the social contract hypothetical reasoning. There are also no decisive reasons why a deliberative democratic theory </w:t>
      </w:r>
    </w:p>
    <w:p>
      <w:pPr/>
      <w:r>
        <w:rPr>
          <w:b/>
        </w:rPr>
        <w:t>POSSIBLE 2025:</w:t>
      </w:r>
      <w:r>
        <w:t xml:space="preserve"> Persistent Changes in Hormones and Growth Factors Involved in Ageing in Patients That Recovered from Severe COVID-19 — https://doi.org/10.3390/diseases13070209</w:t>
      </w:r>
    </w:p>
    <w:p>
      <w:pPr/>
      <w:r>
        <w:rPr>
          <w:b/>
        </w:rPr>
        <w:t>Shared claim-specific concepts:</w:t>
      </w:r>
      <w:r>
        <w:t xml:space="preserve"> ageing, severe; EU scope not established. This is a provisional connection, not an outcome finding.</w:t>
      </w:r>
    </w:p>
    <w:p>
      <w:pPr>
        <w:pStyle w:val="SourceNote"/>
      </w:pPr>
      <w:r>
        <w:rPr>
          <w:b/>
        </w:rPr>
        <w:t>Available abstract (not full text):</w:t>
      </w:r>
      <w:r>
        <w:t xml:space="preserve"> BACKGROUND: The coronavirus disease-19 pandemic affected millions of people and its long-term impact on the health of survivors is under evaluation. OBJECTIVES: In this study, we hypothesized that severe coronavirus disease-19 could promote long-term changes in the blood levels of hormones and growth factors known to be involved in the regulation of ageing. METHODS: We evaluated 49 patients that recovered from severe COVID-19 and compared them with matched controls that were never infected by the virus. The blood levels of growth hormone, insulin-like growth factor-1, insulin, brain-derived neurotrophic factor, nerve growth factor, oxytocin, ghrelin, platelet-derived growth factor, fibroblast growth factor-1, and transforming growth factor-beta were determined using enzyme-linked immunosorbent assays. RESULTS: After six months of recovery, patients presented reduced blood levels of growth hormone, insulin-like growth factor-1, brain-derived neurotrophic factor, and platelet-derived growth factor. Fifteen months after, the reductions in the blood levels of all four hormones/growth factors persisted. CONCLUSIONS: Our study advances the field by identifying hormones and growth factors involved in ageing that undergo persistent changes in patients that recover from severe COVID-19. Further studies could explore the potential of the identified hormones/growth factors as therapeutic </w:t>
      </w:r>
    </w:p>
    <w:p>
      <w:pPr/>
      <w:r>
        <w:rPr>
          <w:b/>
        </w:rPr>
        <w:t>POSSIBLE 2025:</w:t>
      </w:r>
      <w:r>
        <w:t xml:space="preserve"> Common neuropathologic change drivers of hippocampal sclerosis of ageing — https://doi.org/10.1093/brain/awaf158</w:t>
      </w:r>
    </w:p>
    <w:p>
      <w:pPr/>
      <w:r>
        <w:rPr>
          <w:b/>
        </w:rPr>
        <w:t>Shared claim-specific concepts:</w:t>
      </w:r>
      <w:r>
        <w:t xml:space="preserve"> ageing, severe, because, age; EU scope not established. This is a provisional connection, not an outcome finding.</w:t>
      </w:r>
    </w:p>
    <w:p>
      <w:pPr>
        <w:pStyle w:val="SourceNote"/>
      </w:pPr>
      <w:r>
        <w:rPr>
          <w:b/>
        </w:rPr>
        <w:t>Available abstract (not full text):</w:t>
      </w:r>
      <w:r>
        <w:t xml:space="preserve"> Hippocampal sclerosis of ageing (HS-A)-severe cell loss and gliosis in the hippocampal formation-is a neuropathologic change (NC) that affects up to 20% of elderly persons with dementia. The aetiology of HS-A is heterogeneous, but HS-A is strongly associated with limbic-predominant age-related TDP-43 encephalopathy NC (LATE-NC). Other NCs have also been implicated in relation to HS-A, but these associations have been inconsistent across previous studies. Also, because LATE-NC and HS-A are so strongly associated, it is important to adjust for LATE-NC when examining associations between other NCs and HS-A. The goal of this study was to examine associations of other common NCs with HS-A, both before and after adjusting for LATE-NC. We analysed the National Alzheimer's Coordinating Center (NACC) neuropathology dataset and examined associations of Alzheimer's disease NC (ADNC), Lewy bodies (LB) and cerebrovascular NCs, with HS-A, adjusting for LATE-NC in multiple ways. We used Bayesian multilevel logistic regression models with monotonic modelling for ordinal predictors and report the odds ratios (OR) or average OR across levels (aOR), along with 95% credibility intervals (CI) as well as expected frequencies of HS-A for selected models and predictor levels. Of n = 1933 autopsy participants included (average age at death of 83 years, 51.3% women), HS-A was present in 278 (14.4%). LAT</w:t>
      </w:r>
    </w:p>
    <w:p>
      <w:pPr/>
      <w:r>
        <w:rPr>
          <w:b/>
        </w:rPr>
        <w:t>POSSIBLE 2025:</w:t>
      </w:r>
      <w:r>
        <w:t xml:space="preserve"> Ventricular-arterial coupling: changes with ageing and implications across cardiovascular conditions — https://doi.org/10.1080/08037051.2025.2457698</w:t>
      </w:r>
    </w:p>
    <w:p>
      <w:pPr/>
      <w:r>
        <w:rPr>
          <w:b/>
        </w:rPr>
        <w:t>Shared claim-specific concepts:</w:t>
      </w:r>
      <w:r>
        <w:t xml:space="preserve"> ageing, age, system; EU scope not established. This is a provisional connection, not an outcome finding.</w:t>
      </w:r>
    </w:p>
    <w:p>
      <w:pPr>
        <w:pStyle w:val="SourceNote"/>
      </w:pPr>
      <w:r>
        <w:rPr>
          <w:b/>
        </w:rPr>
        <w:t>Available abstract (not full text):</w:t>
      </w:r>
      <w:r>
        <w:t xml:space="preserve"> Purpose: ventricular-arterial coupling (vAc) is a crucial concept in cardiovascular physiology, representing the dynamic interaction between the left ventricle and the arterial system.this comprehensive literature review explores the changes in vAc with ageing and various cardiovascular diseases (cvDs).Materials and methods: this literature review covers studies on changes in vAc with age and common cvDs, such as arterial hypertension, atrial fibrillation (AF) and heart failure with preserved and reduced ejection fraction and aortic stenosis (AS).the review discusses traditional measures of vAc, including arterial elastance (ea) and ventricular elastance (ees), as well as emerging parameters, such as global longitudinal strain (GlS) and pulse wave velocity (Pwv).the review introduces the Pwv/GlS ratio as a novel method for assessing vAc.Results: with ageing, both ea and ees increase, while the ea/ees ratio remains relatively stable, reflecting balanced arterial and ventricular adaptations.Novel measures, such as Pwv/GlS ratio, show greater impairment in older adults and provide a comprehensive evaluation of vAc.Conclusions: Ageing disrupts vAc through arterial stiffening and reduced heart function, often exacerbated by cvDs.Novel metrics like Pwv/GlS may improve vAc assessment, helping clinicians manage age-related cardiovascular issues by identifying risks earlier and guiding </w:t>
      </w:r>
    </w:p>
    <w:p>
      <w:pPr/>
      <w:r>
        <w:rPr>
          <w:b/>
        </w:rPr>
        <w:t>POSSIBLE 2024:</w:t>
      </w:r>
      <w:r>
        <w:t xml:space="preserve"> Changes in the cortical GABAergic inhibitory system with ageing and ageing‐related neurodegenerative diseases — https://doi.org/10.1113/jp285656</w:t>
      </w:r>
    </w:p>
    <w:p>
      <w:pPr/>
      <w:r>
        <w:rPr>
          <w:b/>
        </w:rPr>
        <w:t>Shared claim-specific concepts:</w:t>
      </w:r>
      <w:r>
        <w:t xml:space="preserve"> ageing, system; EU scope not established. This is a provisional connection, not an outcome finding.</w:t>
      </w:r>
    </w:p>
    <w:p>
      <w:pPr>
        <w:pStyle w:val="SourceNote"/>
      </w:pPr>
      <w:r>
        <w:rPr>
          <w:b/>
        </w:rPr>
        <w:t>Available abstract (not full text):</w:t>
      </w:r>
      <w:r>
        <w:t xml:space="preserve"> The human cortical inhibitory system is known to play a vital role for normal brain development, function, and plasticity. GABA is the most prominent inhibitory neurotransmitter in the CNS and is a key regulator not only for motor control and motor learning, but also for cognitive processes. With ageing and many neurodegenerative pathologies, a decline in GABAergic function in several cortical regions together with a reduced ability to task-specifically modulate and increase inhibition in the primary motor cortex has been observed. This decline in intracortical inhibition is associated with impaired motor control but also with diminished motor-cognitive (i.e. dual-tasking) and cognitive performance (e.g. executive functions). Furthermore, more general well-being such as sleep quality, stress resistance or non-specific pain perception are also associated with reduced GABA functioning. The current review highlights the interplay between changes in GABAergic function and changes in motor control, motor-cognitive and cognitive performance associated with healthy ageing, as well as in seniors with neurodegenerative diseases such as mild cognitive impairment. Furthermore, recent evidence highlighting the ability to up- or downregulate cortical inhibition by means of physical exercise programs is presented and discussed.</w:t>
      </w:r>
    </w:p>
    <w:p>
      <w:pPr/>
      <w:r>
        <w:rPr>
          <w:b/>
        </w:rPr>
        <w:t>POSSIBLE 2024:</w:t>
      </w:r>
      <w:r>
        <w:t xml:space="preserve"> Framing Ageing — https://openalex.org/W7137698770</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Framing Ageing, available open access, addresses scholars from across the Humanities and Social Sciences who want to approach the urgent topic of old age in their work, mapping the intellectual state of the field and putting the most salient concepts in action. Bringing together established and emerging scholars of old age from the humanities and social sciences as well as gerontologists and medical practitioners, this open access book showcases new scholarship and provides new methods and terms for ongoing conversations about old age as an object of analysis in contemporary culture. Cultural policy makers and scholars alike regularly describe a “visibility crisis” of old age, a consistent erasure or repression of images of older people from public view. Co-edited by an art historian and two literary scholars with a shared interest in memory, Framing Ageing examines the in/visibility of old age from a range of disciplinary angles, including philosophy, social history, comparative literature and anthropology. In addition to examining literary texts, this volume includes a chapter in graphic form and carries out innovative analyses of film, the built environment, fine art and commercial images. The ebook editions of this book are available open access under a CC BY 4.0 licence on bloomsburycollections.com. Open access was funded by The Wellcome Trust.</w:t>
      </w:r>
    </w:p>
    <w:p>
      <w:pPr/>
      <w:r>
        <w:rPr>
          <w:b/>
        </w:rPr>
        <w:t>POSSIBLE 2024:</w:t>
      </w:r>
      <w:r>
        <w:t xml:space="preserve"> Neighbourhood Change, Deprivation, Peripherality, and Ageing in the Yorkshire Coalfield — https://doi.org/10.17645/si.8742</w:t>
      </w:r>
    </w:p>
    <w:p>
      <w:pPr/>
      <w:r>
        <w:rPr>
          <w:b/>
        </w:rPr>
        <w:t>Shared claim-specific concepts:</w:t>
      </w:r>
      <w:r>
        <w:t xml:space="preserve"> ageing, place; EU scope not established. This is a provisional connection, not an outcome finding.</w:t>
      </w:r>
    </w:p>
    <w:p>
      <w:pPr>
        <w:pStyle w:val="SourceNote"/>
      </w:pPr>
      <w:r>
        <w:rPr>
          <w:b/>
        </w:rPr>
        <w:t>Available abstract (not full text):</w:t>
      </w:r>
      <w:r>
        <w:t xml:space="preserve"> Low‐income neighbourhoods in contemporary England continue to be buffeted by roiling economic inequalities and social policy absences. Long‐term residents have a unique perspective on this socio‐spatial stress. This article zooms in to examine the condition of one spatial manifestation of these broader forces: peripheral council/public housing estates in the deindustrialised North of England—in this case the ex‐coalfields of West Yorkshire. Neighbourhood conditions are seen through the eyes of residents aged between 60 and 85 years. The article explores their accounts of the local economic, social, and political changes which have interlaced their experiences of work, community, and place over six decades. It also examines how irregular regeneration projects, emergency initiatives and local organising have tried to address and ameliorate structural marginalisation in recent years, not least during the Covid pandemic. The article provides a historically contingent account of contemporary socio‐spatial stress, one that emphasises the significance of long‐term residence and feelings of not only loss and nostalgia, but hopeful and resilient attachments to place.</w:t>
      </w:r>
    </w:p>
    <w:p>
      <w:pPr/>
      <w:r>
        <w:rPr>
          <w:b/>
        </w:rPr>
        <w:t>POSSIBLE 2024:</w:t>
      </w:r>
      <w:r>
        <w:t xml:space="preserve"> State of the Art Review of Ageing of Bituminous Binders and Asphalt Mixtures: Ageing Simulation Techniques, Ageing Inhibitors and the Relationship between Simulated Ageing and Field Ageing — https://doi.org/10.3390/infrastructures9010008</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Asphalt mixtures age during service in the field, primarily as the result of chemical changes in the bituminous binder phase. The ageing phenomenon changes the properties of the asphalt mixture, including the stiffness modulus, the resistance to deformation and the resistance to cracking, and it leads to surface weathering or erosion that often leads to pavement resurfacing. Consequently, many researchers have attempted to understand and to simulate the ageing of bituminous binders and asphalt mixtures in the laboratory. This review of bituminous binder and asphalt mixture ageing considers ageing simulation techniques, the effect of ageing on both bituminous binders and asphalt mixtures, the potential benefits of ageing inhibitors, and efforts to relate simulated laboratory ageing to observed field ageing. It is concluded that ageing has a significant effect on the properties of bituminous binders and asphalt mixtures, and that improved simulated ageing is important for comparing the effect of ageing on different materials and mixtures, as well as for quantifying the potential benefits of ageing inhibitors, which have generally been promising. It is also concluded that current ageing protocols are based on heat only, omitting the important contribution of solar radiation to the weathering and ageing of asphalt surfaces in the field. In the future, different simulated ageing pro</w:t>
      </w:r>
    </w:p>
    <w:p>
      <w:pPr/>
      <w:r>
        <w:rPr>
          <w:b/>
        </w:rPr>
        <w:t>POSSIBLE 2023:</w:t>
      </w:r>
      <w:r>
        <w:t xml:space="preserve"> Ageing-associated changes in transcriptional elongation influence longevity — https://doi.org/10.1038/s41586-023-05922-y</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Abstract Physiological homeostasis becomes compromised during ageing, as a result of impairment of cellular processes, including transcription and RNA splicing 1–4 . However, the molecular mechanisms leading to the loss of transcriptional fidelity are so far elusive, as are ways of preventing it. Here we profiled and analysed genome-wide, ageing-related changes in transcriptional processes across different organisms: nematodes, fruitflies, mice, rats and humans. The average transcriptional elongation speed (RNA polymerase II speed) increased with age in all five species. Along with these changes in elongation speed, we observed changes in splicing, including a reduction of unspliced transcripts and the formation of more circular RNAs. Two lifespan-extending interventions, dietary restriction and lowered insulin–IGF signalling, both reversed most of these ageing-related changes. Genetic variants in RNA polymerase II that reduced its speed in worms 5 and flies 6 increased their lifespan. Similarly, reducing the speed of RNA polymerase II by overexpressing histone components, to counter age-associated changes in nucleosome positioning, also extended lifespan in flies and the division potential of human cells. Our findings uncover fundamental molecular mechanisms underlying animal ageing and lifespan-extending interventions, and point to possible preventive measures.</w:t>
      </w:r>
    </w:p>
    <w:p>
      <w:pPr/>
      <w:r>
        <w:rPr>
          <w:b/>
        </w:rPr>
        <w:t>POSSIBLE 2023:</w:t>
      </w:r>
      <w:r>
        <w:t xml:space="preserve"> Ageing as a software design flaw — https://doi.org/10.1186/s13059-023-02888-y</w:t>
      </w:r>
    </w:p>
    <w:p>
      <w:pPr/>
      <w:r>
        <w:rPr>
          <w:b/>
        </w:rPr>
        <w:t>Shared claim-specific concepts:</w:t>
      </w:r>
      <w:r>
        <w:t xml:space="preserve"> ageing, because, age, inevitable; EU scope not established. This is a provisional connection, not an outcome finding.</w:t>
      </w:r>
    </w:p>
    <w:p>
      <w:pPr>
        <w:pStyle w:val="SourceNote"/>
      </w:pPr>
      <w:r>
        <w:rPr>
          <w:b/>
        </w:rPr>
        <w:t>Available abstract (not full text):</w:t>
      </w:r>
      <w:r>
        <w:t xml:space="preserve"> Ageing is inherent to all human beings, yet why we age remains a hotly contested topic. Most mechanistic explanations of ageing posit that ageing is caused by the accumulation of one or more forms of molecular damage. Here, I propose that we age not because of inevitable damage to the hardware but rather because of intrinsic design flaws in the software, defined as the DNA code that orchestrates how a single cell develops into an adult organism. As the developmental software runs, its sequence of events is reflected in shifting cellular epigenetic states. Overall, I suggest that to understand ageing we need to decode our software and the flow of epigenetic information throughout the life course.</w:t>
      </w:r>
    </w:p>
    <w:p>
      <w:pPr>
        <w:pStyle w:val="Heading2"/>
      </w:pPr>
      <w:r>
        <w:t>892. Developing scenarios for the Norwegian travel industry 2025</w:t>
      </w:r>
    </w:p>
    <w:p>
      <w:pPr>
        <w:pStyle w:val="SourceNote"/>
      </w:pPr>
      <w:r>
        <w:rPr>
          <w:b/>
        </w:rPr>
        <w:t>Original source (2015):</w:t>
      </w:r>
      <w:r>
        <w:t xml:space="preserve"> https://doi.org/10.1108/jtf-12-2014-0018</w:t>
      </w:r>
    </w:p>
    <w:p>
      <w:pPr/>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pPr/>
      <w:r>
        <w:rPr>
          <w:b/>
        </w:rPr>
        <w:t>POSSIBLE 2026:</w:t>
      </w:r>
      <w:r>
        <w:t xml:space="preserve"> Understanding negative feedback and classical conditioning of autonomic responses in physiological regulation — https://doi.org/10.3389/fphys.2026.1912305</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Physiological regulation is achieved via a complex and highly integrated network of innate autonomic and somatic reflexes combined with learned responses acquired through experience. Historically, scholars investigating homeostatic regulation focused on the intricate innate reflexes, with little or no consideration of the key role of experience and learning. Our goal in this perspective paper is to provide increased clarity as well as a more nuanced understanding of the roles of negative feedback and feedforward mechanisms in thermoregulation with relevance to the broader field of physiological regulation. While physiological regulation requires innate regulatory reflexes and negative feedback control, we contend that learning also plays a key role when animals are confronted with common or recurring regulatory challenges. Animals readily acquire knowledge as to when regulatory disturbances are likely to occur and, accordingly, can learn to make anticipatory responses that minimize or eliminate completely the expected disturbance. We focus on how regulatory responses learned via classical conditioning enable more rapid and more efficient regulation than would result from negative feedback alone. Learning builds upon the foundation provided by innate regulatory reflexes and negative feedback and thereby improves the strength and timing of regulatory responses. We argue that a mo</w:t>
      </w:r>
    </w:p>
    <w:p>
      <w:pPr/>
      <w:r>
        <w:rPr>
          <w:b/>
        </w:rPr>
        <w:t>POSSIBLE 2026:</w:t>
      </w:r>
      <w:r>
        <w:t xml:space="preserve"> Navigating Inclusive Education: Understanding the Common Challenges Faced by Regular Teachers in an Inclusive Classroom Environment — https://openalex.org/W7161658658</w:t>
      </w:r>
    </w:p>
    <w:p>
      <w:pPr/>
      <w:r>
        <w:rPr>
          <w:b/>
        </w:rPr>
        <w:t>Shared claim-specific concepts:</w:t>
      </w:r>
      <w:r>
        <w:t xml:space="preserve"> common, understanding, different, opportunities, plan; EU scope not established. This is a provisional connection, not an outcome finding.</w:t>
      </w:r>
    </w:p>
    <w:p>
      <w:pPr>
        <w:pStyle w:val="SourceNote"/>
      </w:pPr>
      <w:r>
        <w:rPr>
          <w:b/>
        </w:rPr>
        <w:t>Available abstract (not full text):</w:t>
      </w:r>
      <w:r>
        <w:t xml:space="preserve"> This study assessed the common challenges faced by regular teachers in an inclusive classroom environment at one of the Cebu City Province Schools during School Year 2023-2024 as basis for an action plan. It involved the qualitative approach, which utilized the interview and focused-group discussion methods to gather data from 21 regular teachers, who were chosen through complete enumeration. Thematic analysis was used to categorize the different challenges the participants experienced. The themes on academic challenges were instructional challenges, student-related challenges, teacher development challenges, and external factors. Themes on social and emotional challenges were classroom management, social interaction, diversity and inclusion, emotional and behaviour, and teacher well-being. On the existing attitudes and beliefs, the common themes were beliefs, impact on teaching practices, influencing factors, and classroom outcomes. On resource-related challenges, common themes were human resources, material resources, environmental resources, and financial resources. The common themes on professional development opportunities and support systems were effectiveness of professional development, importance of collaboration, need for intensive training, and positive classroom environment. The common themes on strategies employed to differentiate instruction were instructional str</w:t>
      </w:r>
    </w:p>
    <w:p>
      <w:pPr/>
      <w:r>
        <w:rPr>
          <w:b/>
        </w:rPr>
        <w:t>POSSIBLE 2025:</w:t>
      </w:r>
      <w:r>
        <w:t xml:space="preserve"> The Traditional Understanding of Lawmaking by Appellate Courts — https://doi.org/10.1017/9781009589307.003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pPr/>
      <w:r>
        <w:rPr>
          <w:b/>
        </w:rPr>
        <w:t>POSSIBLE 2025:</w:t>
      </w:r>
      <w:r>
        <w:t xml:space="preserve"> Education–work transition: skill gaps in the construction industry — https://doi.org/10.3389/fbuil.2025.1623609</w:t>
      </w:r>
    </w:p>
    <w:p>
      <w:pPr/>
      <w:r>
        <w:rPr>
          <w:b/>
        </w:rPr>
        <w:t>Shared claim-specific concepts:</w:t>
      </w:r>
      <w:r>
        <w:t xml:space="preserve"> accordingly, common, different, industry, opportunities; EU scope not established. This is a provisional connection, not an outcome finding.</w:t>
      </w:r>
    </w:p>
    <w:p>
      <w:pPr>
        <w:pStyle w:val="SourceNote"/>
      </w:pPr>
      <w:r>
        <w:rPr>
          <w:b/>
        </w:rPr>
        <w:t>Available abstract (not full text):</w:t>
      </w:r>
      <w:r>
        <w:t xml:space="preserve"> This study aimed to assess the skills gap between competency evaluations by employers and the self-perceived competencies of employees within the engineering sector of the construction industry. We also examined the foundational subject matter knowledge of graduate employees and their likelihood of acquiring such knowledge based on different variables like gender, ethnicity, infrastructure quality, and the quality of on-the-job training (OJT). Accordingly, we conducted a cross-sectional survey using a self-administered questionnaire, which was completed by 59 employers and 222 recent graduates. From the perspective of the employers, the findings indicate that the majority of graduates exhibit inadequate proficiency in soft skills, professional competencies, common technical skills, and trade-specific abilities. Furthermore, the graduates demonstrated limited subject matter knowledge, with an average score of only 50.98% on a basic knowledge assessment. The analysis also revealed that graduates with access to high-quality institutional infrastructure and OJT opportunities performed nearly twice as well on the foundational knowledge test compared to those with poorer-quality experiences in these areas. These results highlight the urgent need to revise the technical and vocational education and training (TVET) curriculum as well as strengthen collaborations between training instit</w:t>
      </w:r>
    </w:p>
    <w:p>
      <w:pPr/>
      <w:r>
        <w:rPr>
          <w:b/>
        </w:rPr>
        <w:t>POSSIBLE 2025:</w:t>
      </w:r>
      <w:r>
        <w:t xml:space="preserve"> Understanding Verbal Irony: A Contrastive Analysis of Personal and Informational Common Ground — https://openalex.org/W7112125026</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study investigates how representations of personal common ground (PCG; viz., close relationships vs. strangers) and informational common ground (ICG; viz., shared world knowledge) interact in shaping a reader’s comprehension of verbal irony in fictional narratives. While previous research has shown that greater familiarity among story characters enhances readers’ comprehension of ironic statements made by the characters (Gibbs, 2000; Kreuz et al., 1999; Kreuz &amp; Link, 2001; Pexman &amp; Zvaigzne, 2004), the interplay between representations of PCG and ICG remains understudied. In this study, we assumed that ICG takes precedence over PCG. Accordingly, we predicted that irony comprehension would be facilitated when ICG was high, even if PCG was low, resulting in faster RTs. Conversely, we expected comprehension to be impeded when ICG was low, even if PCG was high, leading to slower RTs. A main effect of ICG was also expected regardless of PCG, along with an interaction between ICG and PCG across rating measures that would further support irony comprehension. Counter to our predictions, results from two experiments showed that, overall, ironic stories were read faster when PCG was high and ICG was low. In contrast, ironic stories were read more slowly than literal stories when both PCG and ICG were low in experiment 1, and when both were high in experiment 2.</w:t>
      </w:r>
    </w:p>
    <w:p>
      <w:pPr/>
      <w:r>
        <w:rPr>
          <w:b/>
        </w:rPr>
        <w:t>POSSIBLE 2025:</w:t>
      </w:r>
      <w:r>
        <w:t xml:space="preserve"> The Current Applications of Metabolomics in Understanding Endometriosis: A Systematic Review — https://doi.org/10.3390/metabo15010050</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Endometriosis is a common gynecological disease that affects approximately 10-15% of reproductive-aged women worldwide. This debilitating disease has a negative impact on the quality of life of those affected. Despite this condition being very common, the pathogenesis is not well understood. Metabolomics is the study of the array of low-weight metabolites in a given sample. This emerging field of omics-based science has proved to be effective at furthering the understanding of endometriosis. In this systematic review, we seek to provide an overview of the application of metabolomics in endometriosis. We highlight the use of metabolomics in locating biomarkers for identification, understanding treatment mechanisms and symptoms, and relating external factors to endometriosis. The literature search took place in the Web of Science, Pubmed, and Google Scholar based on the keywords "metabolomics" AND "endometriosis" or "metabolome" AND "endometriosis". We found 58 articles from 2012 to 2024 that met our search criteria. Significant alterations of lipids, amino acids, as well as other compounds were present in human and animal models. Discrepancies among studies of significantly altered metabolites make it difficult to make general conclusions on the metabolic signature of endometriosis. However, several individual metabolites were elevated in multiple studies of women with endometri</w:t>
      </w:r>
    </w:p>
    <w:p>
      <w:pPr/>
      <w:r>
        <w:rPr>
          <w:b/>
        </w:rPr>
        <w:t>POSSIBLE 2025:</w:t>
      </w:r>
      <w:r>
        <w:t xml:space="preserve"> Medical error and medical incident: common and different — https://doi.org/10.21045/3033-6341-2025-1-1-5-13</w:t>
      </w:r>
    </w:p>
    <w:p>
      <w:pPr/>
      <w:r>
        <w:rPr>
          <w:b/>
        </w:rPr>
        <w:t>Shared claim-specific concepts:</w:t>
      </w:r>
      <w:r>
        <w:t xml:space="preserve"> accordingly, common, understanding, different; EU scope not established. This is a provisional connection, not an outcome finding.</w:t>
      </w:r>
    </w:p>
    <w:p>
      <w:pPr>
        <w:pStyle w:val="SourceNote"/>
      </w:pPr>
      <w:r>
        <w:rPr>
          <w:b/>
        </w:rPr>
        <w:t>Available abstract (not full text):</w:t>
      </w:r>
      <w:r>
        <w:t xml:space="preserve"> Introduction. The development of modern medicine is characterized by technological progress with the increasing complexity of instruments, procedures, and manipulations. With the growth of the introduction of complex diagnostic and therapeutic technologies, the number of potential complications, failures, and errors increases accordingly. High-quality medical care is care without gross medical malpractice. The tension around medical malpractice has stimulated the legal system to formalise and expand the application of such concepts as «medical incident» and «insurance event». The given concepts are ambiguous, the nature of their relationship with the concepts of «medical malpractice» and «iatrogenesis» is not clearly defined, which complicates the understanding and control of the «medical malpractice” issue. The purpose of the study is to determine the common features and differences between the concepts of “medical malpractice” and “medical incident”. Materials and methods. The Study Materials include current laws in the field of healthcare, articles reflecting the problem of medical incidents and medical malpractice over the past five years. Research methods are axiomatic and general-logical (analysis and synthesis, induction and deduction, analogy, etc.). Results. A medical incident is a polysemantic concept, meaning both an event that caused harm to the patient’s health and</w:t>
      </w:r>
    </w:p>
    <w:p>
      <w:pPr/>
      <w:r>
        <w:rPr>
          <w:b/>
        </w:rPr>
        <w:t>POSSIBLE 2025:</w:t>
      </w:r>
      <w:r>
        <w:t xml:space="preserve"> Detection of QTL associated with morphological, adaptive, and reproductive traits in common bermudagrass — https://doi.org/10.1002/its2.70007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Common bermudagrass [ Cynodon dactylon (L.) Pers.] is an important turfgrass in tropical, subtropical, and warm temperate climates worldwide. However, molecular information associated with adaptive and morphological traits in this species is limited. Accordingly, the objectives of this study were to identify genomic regions associated with establishment rate, spring green‐up, drought response, leaf length and width, and stem internode length and width. We used an existing high‐density linkage map constructed with 3322 single nucleotide polymorphisms and 222 simple sequence repeat markers for “A12359” common bermudagrass. A total of 130 first‐generation selfed progeny of A12359 were evaluated in a field trial using a randomized complete block design with three replications. Thirty‐two QTL were identified as associated with the target traits. We identified 29 candidate genes from consistent and pleiotropic QTL regions. These results provide important genetic resources toward understanding the molecular information associated with the target traits as well as provide a foundation for marker‐assisted selection in bermudagrass breeding.</w:t>
      </w:r>
    </w:p>
    <w:p>
      <w:pPr/>
      <w:r>
        <w:rPr>
          <w:b/>
        </w:rPr>
        <w:t>POSSIBLE 2024:</w:t>
      </w:r>
      <w:r>
        <w:t xml:space="preserve"> Understanding and Mitigating Bias in Imaging Artificial Intelligence — https://doi.org/10.1148/rg.230067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pPr/>
      <w:r>
        <w:rPr>
          <w:b/>
        </w:rPr>
        <w:t>POSSIBLE 2024:</w:t>
      </w:r>
      <w:r>
        <w:t xml:space="preserve"> The Proxy Advice Industry and Common Owners' Coordination — https://doi.org/10.67929/ecgi-fin-1006-2024</w:t>
      </w:r>
    </w:p>
    <w:p>
      <w:pPr/>
      <w:r>
        <w:rPr>
          <w:b/>
        </w:rPr>
        <w:t>Shared claim-specific concepts:</w:t>
      </w:r>
      <w:r>
        <w:t xml:space="preserve"> common, industry, all; EU scope not established. This is a provisional connection, not an outcome finding.</w:t>
      </w:r>
    </w:p>
    <w:p>
      <w:pPr>
        <w:pStyle w:val="SourceNote"/>
      </w:pPr>
      <w:r>
        <w:rPr>
          <w:b/>
        </w:rPr>
        <w:t>Available abstract (not full text):</w:t>
      </w:r>
      <w:r>
        <w:t xml:space="preserve"> High levels of common ownership may reduce firms’ incentives to compete. The empirical relevance of this concern is controversial, in part because there are no obvious mechanisms for common owners to coordinate their actions. I study a channel, proxy advisors, which may induce such coordination simply by satisfying their fiduciary duty. A single proxy advisor – Institutional Shareholder Services (ISS) – provides advice to 70% of all institutional investors on how to vote at shareholder meetings. I clarify in a theoretical framework how a proxy advisor maximizing client value will promote softer competition for commonly held firms. Combining data on ownership and shareholder meetings for all publicly listed U.S. firms (2003-2017), I find empirical support for the model’s mechanism. In particular, for a firm with higher common ownership, ISS is more likely to i) support director interlocks, ii) support mergers, and iii) oppose managerial incentive contracts that enhances performance-sensitivity.</w:t>
      </w:r>
    </w:p>
    <w:p>
      <w:pPr/>
      <w:r>
        <w:rPr>
          <w:b/>
        </w:rPr>
        <w:t>POSSIBLE 2024:</w:t>
      </w:r>
      <w:r>
        <w:t xml:space="preserve"> New Understanding toward Lithium Morphologic Evolution in Lithium Metal Batteries — https://doi.org/10.1002/adfm.202408758</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The generation of dendrites is a common issue of lithium metal battery, while the failure mechanism is still uncovered especially at low current densities/capacities. To better understand the mechanical factors caused by lithium morphologic evolution in the whole dynamic process of a cycle, this study proposes a failure mechanism of the lithium metal anode under a safe condition of rather low current density/capacity. The anode and the electrolyte fail to maintain effective contact throughout the dynamic cycling process due to the accumulation and extrusion of lithium deposits. To guarantee effective contact, a facile and low‐cost mechanical stamping method for lithium metal anode modification is accordingly presented. The curved lithium electrode can stably cycle for more than 300 cycles at 3 mA cm−2. This study is believed to provide a more in‐depth understanding toward the evolvement of lithium morphology to boost practical use of the lithium metal anodes.</w:t>
      </w:r>
    </w:p>
    <w:p>
      <w:pPr/>
      <w:r>
        <w:rPr>
          <w:b/>
        </w:rPr>
        <w:t>POSSIBLE 2024:</w:t>
      </w:r>
      <w:r>
        <w:t xml:space="preserve"> Optimal in vitro models as a basis for understanding and more effective treatment of infantile haemangiomas — https://doi.org/10.1093/bjd/ljae505</w:t>
      </w:r>
    </w:p>
    <w:p>
      <w:pPr/>
      <w:r>
        <w:rPr>
          <w:b/>
        </w:rPr>
        <w:t>Shared claim-specific concepts:</w:t>
      </w:r>
      <w:r>
        <w:t xml:space="preserve"> accordingly, common, understanding, different; EU scope not established. This is a provisional connection, not an outcome finding.</w:t>
      </w:r>
    </w:p>
    <w:p>
      <w:pPr>
        <w:pStyle w:val="SourceNote"/>
      </w:pPr>
      <w:r>
        <w:rPr>
          <w:b/>
        </w:rPr>
        <w:t>Available abstract (not full text):</w:t>
      </w:r>
      <w:r>
        <w:t xml:space="preserve"> The pathogenesis of infantile haemangiomas (IHs) – the most common benign vascular tumours in infants regulated by multiple cellular mechanisms – has remained controversial. Various studies have suggested different cellular origins and molecular pathways.1 A complete understanding of the underlying mechanisms would open the door to targeted treatments that could improve clinical outcomes.2,3 Although the therapeutic efficacy of propranolol is internationally recognized, its adverse effects should not be overlooked, as well as the fact that a number of patients develop resistance or relapse, opening the way for the development and investigation of new, potentially better therapeutics within the framework of personalized medicine and precision therapy in the future.4 Accordingly, the development and establishment of stable and reliable IH models provide a standardized experimental platform for elucidating its pathogenesis, facilitating the development of new drugs and the identification of effective treatments. Common IH models include the cell suspension implantation model, the viral gene transfer model, the tissue block transplantation model and the most recent three-­dimensional (3D) microtumour model.5</w:t>
      </w:r>
    </w:p>
    <w:p>
      <w:pPr>
        <w:pStyle w:val="Heading2"/>
      </w:pPr>
      <w:r>
        <w:t>893. Ecosystem service provision in a changing Europe: adapting to the impacts of combined climate and socio-economic change</w:t>
      </w:r>
    </w:p>
    <w:p>
      <w:pPr>
        <w:pStyle w:val="SourceNote"/>
      </w:pPr>
      <w:r>
        <w:rPr>
          <w:b/>
        </w:rPr>
        <w:t>Original source (2015):</w:t>
      </w:r>
      <w:r>
        <w:t xml:space="preserve"> https://doi.org/10.1007/s10980-014-0148-2</w:t>
      </w:r>
    </w:p>
    <w:p>
      <w:pPr/>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POSSIBLE 2026:</w:t>
      </w:r>
      <w:r>
        <w:t xml:space="preserve"> The economically optimal mix and timing of coastal adaptation in Europe to 2150 — https://doi.org/10.1038/s41467-026-74042-8</w:t>
      </w:r>
    </w:p>
    <w:p>
      <w:pPr/>
      <w:r>
        <w:rPr>
          <w:b/>
        </w:rPr>
        <w:t>Shared claim-specific concepts:</w:t>
      </w:r>
      <w:r>
        <w:t xml:space="preserve"> adaptation, options, necessitate, between; EU scope visible. This is a provisional connection, not an outcome finding.</w:t>
      </w:r>
    </w:p>
    <w:p>
      <w:pPr>
        <w:pStyle w:val="SourceNote"/>
      </w:pPr>
      <w:r>
        <w:rPr>
          <w:b/>
        </w:rPr>
        <w:t>Available abstract (not full text):</w:t>
      </w:r>
      <w:r>
        <w:t xml:space="preserve">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pPr/>
      <w:r>
        <w:rPr>
          <w:b/>
        </w:rPr>
        <w:t>POSSIBLE 2026:</w:t>
      </w:r>
      <w:r>
        <w:t xml:space="preserve"> Developing a cloud-based service offering actionable coastal climate risk and adaptation data across Europe — https://doi.org/10.1016/j.cliser.2026.100678</w:t>
      </w:r>
    </w:p>
    <w:p>
      <w:pPr/>
      <w:r>
        <w:rPr>
          <w:b/>
        </w:rPr>
        <w:t>Shared claim-specific concepts:</w:t>
      </w:r>
      <w:r>
        <w:t xml:space="preserve"> adaptation, options, services, integrated; EU scope visible. This is a provisional connection, not an outcome finding.</w:t>
      </w:r>
    </w:p>
    <w:p>
      <w:pPr>
        <w:pStyle w:val="SourceNote"/>
      </w:pPr>
      <w:r>
        <w:rPr>
          <w:b/>
        </w:rPr>
        <w:t>Available abstract (not full text):</w:t>
      </w:r>
      <w:r>
        <w:t xml:space="preserve">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pPr/>
      <w:r>
        <w:rPr>
          <w:b/>
        </w:rPr>
        <w:t>POSSIBLE 2026:</w:t>
      </w:r>
      <w:r>
        <w:t xml:space="preserve"> Opportunity windows accelerate action and expand options for climate adaptation in Europe — https://doi.org/10.1038/s43247-026-03332-2</w:t>
      </w:r>
    </w:p>
    <w:p>
      <w:pPr/>
      <w:r>
        <w:rPr>
          <w:b/>
        </w:rPr>
        <w:t>Shared claim-specific concepts:</w:t>
      </w:r>
      <w:r>
        <w:t xml:space="preserve"> adaptation, options, opportunities, but; EU scope visible. This is a provisional connection, not an outcome finding.</w:t>
      </w:r>
    </w:p>
    <w:p>
      <w:pPr>
        <w:pStyle w:val="SourceNote"/>
      </w:pPr>
      <w:r>
        <w:rPr>
          <w:b/>
        </w:rPr>
        <w:t>Available abstract (not full text):</w:t>
      </w:r>
      <w:r>
        <w:t xml:space="preserve"> Abstract Climate adaptation must be intensified globally to keep up with increasing climate change impacts. To date, adaptation is mostly driven by climate risks that need to be reduced and little by opportunities. Here, we identify opportunity windows -i.e. favourable conditions for new or upgraded measures- and discuss how they can help to progress adaptation. We find evidence of past, present and future adaptation opportunity windows throughout Europe. Present and past triggers for opportunity windows include the implementation of EU Directives and post-disaster recovery funds and societal support after floods, droughts and wildfires. Future opportunities relate to aging dams and storm surge barriers. Opportunities also emerge from innovations (e.g. through pilots) which could inform transformative adaptation. Decision-makers can operationalize and seize adaptation opportunities through adaptive pathways planning, but would need to anticipate closing windows.</w:t>
      </w:r>
    </w:p>
    <w:p>
      <w:pPr/>
      <w:r>
        <w:rPr>
          <w:b/>
        </w:rPr>
        <w:t>POSSIBLE 2026:</w:t>
      </w:r>
      <w:r>
        <w:t xml:space="preserve"> Di Fant et al., Opportunity windows accelerate action and expand options for climate adaptation in Europe_Online datasets — https://doi.org/10.6084/m9.figshare.31249858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This folder contains the online datasets related to the publication 'Opportunity windows accelerate action and expand options for climate adaptation in Europe' by Di Fant, V., Middelkoop, H., de Bruin, K., Petersen, A-K., van den Hurk, B., and Haasnoot, M. The manuscript is currently under review at Communications Earth and Environment, the preprint is available at: https://doi.org/10.21203/rs.3.rs-7090828/v1 The dataset is made up of two excel files:Online dataset 1: Full list of the identified adaptation opportunity windows, their description and analysis; list of countries in the area of study; distribution of the identified opportunities across countries; and timeline of each adaptation opportunity including (projected) year of opening of opportunity window, any events within the window and year of window closing (for past opportunity windows). This dataset is also the basis for Figures 2, 3, and 4 of the manuscript. Online dataset 2: Full list of analysed dams from the GranD dataset (Lehner et al., 2011) and calculation of time passed since their construction date, including analysis of number and percentage of dams per opportunity type and their distribution across the area of study. This dataset is also the basis for information on maintenance-driven opportunities in Figures 2, 3, and 4 of the manuscript.</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adaptation, but, integrated, assessment, interactions;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Opportunities to integrate climate change adaptation and mitigation across strategic, adaptive and transformative pathways — https://doi.org/10.31223/x5wf4g</w:t>
      </w:r>
    </w:p>
    <w:p>
      <w:pPr/>
      <w:r>
        <w:rPr>
          <w:b/>
        </w:rPr>
        <w:t>Shared claim-specific concepts:</w:t>
      </w:r>
      <w:r>
        <w:t xml:space="preserve"> adaptation, options, opportunities, integrated, cross-sectoral; EU scope visible. This is a provisional connection, not an outcome finding.</w:t>
      </w:r>
    </w:p>
    <w:p>
      <w:pPr>
        <w:pStyle w:val="SourceNote"/>
      </w:pPr>
      <w:r>
        <w:rPr>
          <w:b/>
        </w:rPr>
        <w:t>Available abstract (not full text):</w:t>
      </w:r>
      <w:r>
        <w:t xml:space="preserve"> Calls to integrate climate change adaptation and mitigation promote synergistic action. However, narrow, intervention- or sector-specific perspectives obscure complexities shaping how these agendas are operationalised in practice. This paper explores opportunities for integration from a systemic perspective, viewing climate resilient futures as emerging from diverse changes across sectors, scales, societal domains and logics of change. We co-created strategic, adaptive and transformative climate resilient pathways combining options across sectors and societal domains in five European case studies. Our mixed methods approach evaluated these pathways to identify integration opportunities. We show that the greatest opportunities lie in cross-sectoral actions and transformative logics, addressing systemic change in institutional, economic and cultural paradigms. Nature-based solutions enhance climate resilience while sequestering carbon. Additionally, mitigation measures improving community infrastructure and democratising energy systems generate adaptation co-benefits by strengthening social and human capital. These findings underscore the value of systemic approaches to advance integrated and ambitious climate action.</w:t>
      </w:r>
    </w:p>
    <w:p>
      <w:pPr/>
      <w:r>
        <w:rPr>
          <w:b/>
        </w:rPr>
        <w:t>POSSIBLE 2026:</w:t>
      </w:r>
      <w:r>
        <w:t xml:space="preserve"> Climate change impacts and adaptation in grasslands: Insights from Western Europe — https://openalex.org/W7155463024</w:t>
      </w:r>
    </w:p>
    <w:p>
      <w:pPr/>
      <w:r>
        <w:rPr>
          <w:b/>
        </w:rPr>
        <w:t>Shared claim-specific concepts:</w:t>
      </w:r>
      <w:r>
        <w:t xml:space="preserve"> adaptation, options, significant, opportunities, but, services; EU scope visible. This is a provisional connection, not an outcome finding.</w:t>
      </w:r>
    </w:p>
    <w:p>
      <w:pPr>
        <w:pStyle w:val="SourceNote"/>
      </w:pPr>
      <w:r>
        <w:rPr>
          <w:b/>
        </w:rPr>
        <w:t>Available abstract (not full text):</w:t>
      </w:r>
      <w:r>
        <w:t xml:space="preserve"> Climate change poses significant challenges for European grasslands, including frequent droughts and heatwaves, warmer and wetter winters, longer growing seasons, and shifting rainfall patterns. This study reviews the impacts of climate change on grass production in dairy cattle farming systems in The Netherlands, Ireland, and France, and explores potential adaptation strategies. Data were synthesized from modelling, field experiments, and farmer surveys. In The Netherlands, modelling results indicate an approx. 9% decline in grass yield for a representative dairy system on dry sandy soils by 2050, along with more than 20% increase in irrigation demand, while on peat soils excessive rainfall limits grazing opportunities. In Ireland, although yield increases of up to 3.4% are projected, summer droughts and spring and autumn waterlogging threaten grazing stability. In France, grass growth starts earlier in spring and extends later into autumn, but severe summer declines and increased inter-annual variability jeopardize feed security. Adaptation options include higher forage reserves, soil quality improvement, diversification of fodder resources, use of drought- and heat-tolerant species in pastures, improved water management (e.g., irrigation and winter water retention), and adjustments in stocking rates. Findings highlight that adaptation must be tailored to local conditions, co</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options, but, integrated;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Climate Change Adaptation of Small Mountain Tourism Destinations in the European Alps: An Analysis of Adaptation Measures — https://doi.org/10.1659/mrd.2025.00016</w:t>
      </w:r>
    </w:p>
    <w:p>
      <w:pPr/>
      <w:r>
        <w:rPr>
          <w:b/>
        </w:rPr>
        <w:t>Shared claim-specific concepts:</w:t>
      </w:r>
      <w:r>
        <w:t xml:space="preserve"> adaptation, between, assessment, cross-sectoral; EU scope visible. This is a provisional connection, not an outcome finding.</w:t>
      </w:r>
    </w:p>
    <w:p>
      <w:pPr>
        <w:pStyle w:val="SourceNote"/>
      </w:pPr>
      <w:r>
        <w:rPr>
          <w:b/>
        </w:rPr>
        <w:t>Available abstract (not full text):</w:t>
      </w:r>
      <w:r>
        <w:t xml:space="preserve"> This article explores how small mountain tourism destinations (MTDs) in the European Alps are beginning to translate climate change adaptation strategies into concrete, context-specific measures. Drawing on the strategies of 5 Pilot Working Areas (PWAs)—Ala di Stura and Balme (Italy), Werfenweng (Austria), Bohinj (Slovenia), Sattel-Hochstuckli (Switzerland), and Balderschwang (Germany)—of the Interreg Alpine Space project “BeyondSnow,” the study includes one of the first structural analyses of adaptation measures of MTDs. By applying the framework method for applied policy research, a matrix for the structural assessment of these measures was developed, including 3 analytic dimensions: overarching objectives, structural categories, and the distinction between implementation instruments (means) and the destination elements addressed (targets). Regarding overarching objectives, Year-round tourism emerged as the primary objective, followed by Destination cooperation and Sustainable development. Regarding structural categories, Product/concept development predominated as the implementation means, followed by Communication &amp; marketing and Intradestination cooperation, with targets concentrated on Activity infrastructure and Activities &amp; entertainment and complemented by Accommodation &amp; gastronomy, Mobility &amp; accessibility, and Destination community. Reading across the PWAs, means, a</w:t>
      </w:r>
    </w:p>
    <w:p>
      <w:pPr/>
      <w:r>
        <w:rPr>
          <w:b/>
        </w:rPr>
        <w:t>POSSIBLE 2026:</w:t>
      </w:r>
      <w:r>
        <w:t xml:space="preserve"> Multilevel Governance of Urban Climate Adaptation in the European Union: An Overview — https://doi.org/10.3390/urbansci10010050</w:t>
      </w:r>
    </w:p>
    <w:p>
      <w:pPr/>
      <w:r>
        <w:rPr>
          <w:b/>
        </w:rPr>
        <w:t>Shared claim-specific concepts:</w:t>
      </w:r>
      <w:r>
        <w:t xml:space="preserve"> adaptation, but, integrated; EU scope visible. This is a provisional connection, not an outcome finding.</w:t>
      </w:r>
    </w:p>
    <w:p>
      <w:pPr>
        <w:pStyle w:val="SourceNote"/>
      </w:pPr>
      <w:r>
        <w:rPr>
          <w:b/>
        </w:rPr>
        <w:t>Available abstract (not full text):</w:t>
      </w:r>
      <w:r>
        <w:t xml:space="preserve"> Europe is warming faster than the global average, placing climate change adaptation at the centre of urban policy and planning. This article develops and applies a framework to diagnose the maturity of multilevel adaptation governance across European Union Member States in 2025. Governance is operationalised through eight dimensions: (i) National Adaptation Strategies/Plans; (ii) Regional Adaptation Plans; (iii) Local Adaptation Plans; (iv) Sectoral Adaptation Plans; (v) integration in National Urban Policies; (vi) adaptive content in Long-Term Strategies; (vii) adaptation relevance in climate laws; and (viii) participation in the Covenant of Mayors. Results show pronounced heterogeneity: many systems have up-to-date national strategies but incomplete territorial diffusion, thin legal anchoring, or limited urban-policy standards. By linking auditable rules to urban-facing instruments, the study provides a practical tool for benchmarking capabilities, prioritising reforms, and tracking progress towards integrated, multilevel adaptation systems that support resilient urban development across the European Union.</w:t>
      </w:r>
    </w:p>
    <w:p>
      <w:pPr/>
      <w:r>
        <w:rPr>
          <w:b/>
        </w:rPr>
        <w:t>POSSIBLE 2026:</w:t>
      </w:r>
      <w:r>
        <w:t xml:space="preserve"> Mapping climate change adaptation policy instruments in European agriculture: a qualitative analysis of National Adaptation Strategy and National Adaptation Plan — https://doi.org/10.1007/s10113-026-02691-y</w:t>
      </w:r>
    </w:p>
    <w:p>
      <w:pPr/>
      <w:r>
        <w:rPr>
          <w:b/>
        </w:rPr>
        <w:t>Shared claim-specific concepts:</w:t>
      </w:r>
      <w:r>
        <w:t xml:space="preserve"> adaptation, significant, between; EU scope visible. This is a provisional connection, not an outcome finding.</w:t>
      </w:r>
    </w:p>
    <w:p>
      <w:pPr>
        <w:pStyle w:val="SourceNote"/>
      </w:pPr>
      <w:r>
        <w:rPr>
          <w:b/>
        </w:rPr>
        <w:t>Available abstract (not full text):</w:t>
      </w:r>
      <w:r>
        <w:t xml:space="preserve"> Abstract Climate change poses an increasing threat to agricultural production and food security. While many European countries have developed National Adaptation Strategies (NASs) and National Adaptation Plans (NAPs), the alignment between proposed policies and their supporting mechanisms remains under-explored. This study maps adaptation frameworks across ten European countries—Finland, Austria, Switzerland, Belgium, the Netherlands, Denmark, Estonia, Spain, Latvia, and Lithuania—to clarify diverse national policies and identify how specific instruments are prioritized to address adaptation goals. Drawing upon 20 official documents available on the Climate-ADAPT platform and using ATLAS.ti for qualitative analysis, 131 climate adaptation policies in agriculture were extracted to form a thematic synthesis. Then, we determined which policy instruments (categorized into four groups: information-based, legal and regulatory, economic, and infrastructural and physical instruments) were associated with each policy. The findings indicate that while these frameworks provide strategic guidance, they place significant emphasis on information-based and awareness-raising measures. This suggests a distinct pattern in European climate governance: a preference for farmer engagement and voluntary action over more direct regulatory or economic interventions.</w:t>
      </w:r>
    </w:p>
    <w:p>
      <w:pPr/>
      <w:r>
        <w:rPr>
          <w:b/>
        </w:rPr>
        <w:t>POSSIBLE 2026:</w:t>
      </w:r>
      <w:r>
        <w:t xml:space="preserve"> Water allocation for drought adaptation: a review of practical options — https://doi.org/10.3389/frwa.2026.1803379</w:t>
      </w:r>
    </w:p>
    <w:p>
      <w:pPr/>
      <w:r>
        <w:rPr>
          <w:b/>
        </w:rPr>
        <w:t>Shared claim-specific concepts:</w:t>
      </w:r>
      <w:r>
        <w:t xml:space="preserve"> adaptation, options, significant; EU scope not established. This is a provisional connection, not an outcome finding.</w:t>
      </w:r>
    </w:p>
    <w:p>
      <w:pPr>
        <w:pStyle w:val="SourceNote"/>
      </w:pPr>
      <w:r>
        <w:rPr>
          <w:b/>
        </w:rPr>
        <w:t>Available abstract (not full text):</w:t>
      </w:r>
      <w:r>
        <w:t xml:space="preserve"> This review highlights five types of strategic activities and four types of operational activities through which water allocation systems can mitigate the impacts of droughts and increase the resilience of communities and ecosystems to climate change. The review draws on the literature of drought and water allocation in general and that of Ethiopia, South Africa and Chile in particular. The analysis discusses the complexities and challenges that can arise during the implementation of these activities. Many existing water allocation systems are inadequate or outdated, as they were designed at a time when water was perceived as abundant. Significant reforms may be needed to manage water resources more equitably, efficiently, and sustainably, in recognition of the "new normal" created by climate change. The insights are relevant both to low-income countries in Africa and South Asia where severe drought conditions are intensifying, and to high-income countries that are newly experiencing droughts.</w:t>
      </w:r>
    </w:p>
    <w:p>
      <w:pPr>
        <w:pStyle w:val="Heading2"/>
      </w:pPr>
      <w:r>
        <w:t>894. Ensemble flood risk assessment in Europe under high end climate scenarios</w:t>
      </w:r>
    </w:p>
    <w:p>
      <w:pPr>
        <w:pStyle w:val="SourceNote"/>
      </w:pPr>
      <w:r>
        <w:rPr>
          <w:b/>
        </w:rPr>
        <w:t>Original source (2015):</w:t>
      </w:r>
      <w:r>
        <w:t xml:space="preserve"> https://doi.org/10.1016/j.gloenvcha.2015.09.004</w:t>
      </w:r>
    </w:p>
    <w:p>
      <w:pPr/>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POSSIBLE 2026:</w:t>
      </w:r>
      <w:r>
        <w:t xml:space="preserve"> Uncertainty-aware forecasting of economic and socio-economic inputs for environmental and sustainability indicator assessment — https://doi.org/10.1016/j.indic.2026.101471</w:t>
      </w:r>
    </w:p>
    <w:p>
      <w:pPr/>
      <w:r>
        <w:rPr>
          <w:b/>
        </w:rPr>
        <w:t>Shared claim-specific concepts:</w:t>
      </w:r>
      <w:r>
        <w:t xml:space="preserve"> socio-economic, assessment, estimates; EU scope visible. This is a provisional connection, not an outcome finding.</w:t>
      </w:r>
    </w:p>
    <w:p>
      <w:pPr>
        <w:pStyle w:val="SourceNote"/>
      </w:pPr>
      <w:r>
        <w:rPr>
          <w:b/>
        </w:rPr>
        <w:t>Available abstract (not full text):</w:t>
      </w:r>
      <w:r>
        <w:t xml:space="preserve"> Machine learning and statistical models that forecast environmental and sustainability indicators routinely use economic and socio-economic variables as inputs, yet the field offers no systematic guidance for forecasting these covariates when genuine forward-looking predictions are required. Treating future covariate values as known, as is common practice, produces overconfident predictions by ignoring a substantial and compounding source of uncertainty. This paper benchmarks eight univariate time series forecasting models across thirteen socio-economic and economic variables for thirteen EU member states, spanning measures of human well-being, ecological pressure and demographic and economic resilience. Results show that the Theta model consistently outperforms more complex neural network approaches, a finding confirmed by Friedman and Nemenyi tests. Calibrated prediction intervals show that covariate forecast uncertainty is non-negligible and grows substantially at longer horizons, particularly for volatile economic indicators. A worked example propagates simulated covariate trajectories through a downstream model of Italian municipal solid waste generation, showing that naive point-forecast propagation understates the uncertainty of the resulting sustainability prediction. Variable-specific recommendations and calibrated uncertainty estimates are provided, forming a reproduc</w:t>
      </w:r>
    </w:p>
    <w:p>
      <w:pPr/>
      <w:r>
        <w:rPr>
          <w:b/>
        </w:rPr>
        <w:t>POSSIBLE 2026:</w:t>
      </w:r>
      <w:r>
        <w:t xml:space="preserve"> DIGITAL TRANSFORMATIONS AS A DRIVER OF CHANGES IN SOCIO-ECONOMIC DEVELOPMENT: CONTRADICTORY AND ASYMMETRIC CHARACTER OF DIGITAL DEVELOPMENT AND THE DIGITAL RECONFIGURATION OF ECONOMIC SECURITY — https://doi.org/10.17721/apmv.2026.167.1.197-209</w:t>
      </w:r>
    </w:p>
    <w:p>
      <w:pPr/>
      <w:r>
        <w:rPr>
          <w:b/>
        </w:rPr>
        <w:t>Shared claim-specific concepts:</w:t>
      </w:r>
      <w:r>
        <w:t xml:space="preserve"> socio-economic, between; EU scope not established. This is a provisional connection, not an outcome finding.</w:t>
      </w:r>
    </w:p>
    <w:p>
      <w:pPr>
        <w:pStyle w:val="SourceNote"/>
      </w:pPr>
      <w:r>
        <w:rPr>
          <w:b/>
        </w:rPr>
        <w:t>Available abstract (not full text):</w:t>
      </w:r>
      <w:r>
        <w:t xml:space="preserve"> The purpose of the article is to substantiate the theoretical interpretation of digital transformations as a contradictory and asymmetric driver of socio-economic development that penetrates all traditional dimensions of economic security and converts digital security and cybersecurity into its constitutive mechanisms, and to demonstrate that the balance between strengthening and undermining economic security is determined not by technologies as such but by the configuration of regulatory and institutional frameworks of digital security, cybersecurity, and antimonopoly policy. The article proposes a conceptual framework that interprets digital transformation not as a linear modernization process but as a permanent multi-vector restructuring that penetrates the food, energy, and financial dimensions of economic security from within, transforming them through digital tools and platforms, with the consequence that traditional dimensions of economic security cannot be analytically separated from the digital contour without losing the substance of the analysis. The thesis of the contradictory and asymmetric character of digital development is substantiated, according to which the same technological foundation simultaneously expands the space of market opportunities and produces new forms of concentration of economic power, with benefits concentrated in a narrow circle of actors and </w:t>
      </w:r>
    </w:p>
    <w:p>
      <w:pPr/>
      <w:r>
        <w:rPr>
          <w:b/>
        </w:rPr>
        <w:t>POSSIBLE 2026:</w:t>
      </w:r>
      <w:r>
        <w:t xml:space="preserve"> Ecological and Socio-Economic Assessment of Ecotourism-Driven Microplastics Pollution at Elegushi Beach, Lagos, Nigeria — https://doi.org/10.70382/ajsitr.v12i9.083</w:t>
      </w:r>
    </w:p>
    <w:p>
      <w:pPr/>
      <w:r>
        <w:rPr>
          <w:b/>
        </w:rPr>
        <w:t>Shared claim-specific concepts:</w:t>
      </w:r>
      <w:r>
        <w:t xml:space="preserve"> socio-economic, included, assessment; EU scope not established. This is a provisional connection, not an outcome finding.</w:t>
      </w:r>
    </w:p>
    <w:p>
      <w:pPr>
        <w:pStyle w:val="SourceNote"/>
      </w:pPr>
      <w:r>
        <w:rPr>
          <w:b/>
        </w:rPr>
        <w:t>Available abstract (not full text):</w:t>
      </w:r>
      <w:r>
        <w:t xml:space="preserve"> This study assessed ecotourism-driven microplastic pollution at Elegushi Beach, Lagos, Nigeria, through integrated analysis of water and sediment samples (January--March 2026) and public perception surveys (n=60). Microplastics were extracted through density separation and quantified using FTIR spectroscopy. Metallic elements and organic contaminants were analyzed using SEM-EDX and GC-MS, respectively. Microplastic concentrations in water ranged from 865 to 2,105 particles/m³ (mean: 1,370--1,574 particles/m³), increasing by 14.9% over three months. Sediment concentrations ranged from 1,320 to 3,730 particles/kg dw (mean: 2,093 - 2,958 particles/kg dw), increasing by 41.3% (p&lt;0.05). This temporal increase coincides with the peak dry-season tourism period (January–March), characterized by intensified recreational activity and waste generation. Water samples were dominated by polyethylene (48.2%) and polypropylene (32.4%), while sediments were dominated by PET (33.7%), polyamide (21.5%), and polystyrene (19.3%). Metallic element concentrations included zinc (15.8 wt%) and copper (7.2 wt%) at station MCP 2, indicating antifouling paint inputs. Phthalates were highest at MCP 1 (7.3% area, DEHP 4.2%). Public awareness of microplastics was high (82.7%), yet only 50.0% recognized the tourism-pollution linkage; nonetheless, 73.8% supported stronger conservation policies. Ecotourism acti</w:t>
      </w:r>
    </w:p>
    <w:p>
      <w:pPr/>
      <w:r>
        <w:rPr>
          <w:b/>
        </w:rPr>
        <w:t>POSSIBLE 2026:</w:t>
      </w:r>
      <w:r>
        <w:t xml:space="preserve"> A Socio-Economic Decision-Support Tool for Sustainable Agricultural Policy — https://openalex.org/W7208511840</w:t>
      </w:r>
    </w:p>
    <w:p>
      <w:pPr/>
      <w:r>
        <w:rPr>
          <w:b/>
        </w:rPr>
        <w:t>Shared claim-specific concepts:</w:t>
      </w:r>
      <w:r>
        <w:t xml:space="preserve"> coherent, socio-economic, assessment, between, climate; EU scope visible. This is a provisional connection, not an outcome finding.</w:t>
      </w:r>
    </w:p>
    <w:p>
      <w:pPr>
        <w:pStyle w:val="SourceNote"/>
      </w:pPr>
      <w:r>
        <w:rPr>
          <w:b/>
        </w:rPr>
        <w:t>Available abstract (not full text):</w:t>
      </w:r>
      <w:r>
        <w:t xml:space="preserve"> Sustainable agricultural policy increasingly depends on timely, integrated socio-economic evidence that extends beyond traditional global statistical systems. While such systems provide extensive datasets, they rarely offer operational tools capable of translating data into structured, standardized, decision- and policy-ready insights. This paper presents a socio-economic decision-support tool developed within the Horizon Europe project Nostradamus, designed to strengthen evidence-informed policymaking in agricultural sustainability governance. The tool forms part of the broader Nostradamus Data Cube infrastructure, which integrates environmental, agricultural and socio-economic data within an analytical environment across five countries (Cyprus, Germany, Serbia, Slovenia, Switzerland). Within this ecosystem, the socio-economic module provides a structured analytical layer that translates large-scale indicator datasets into standardised, policy-related outputs. The tool operationalises more than 16,000 World Bank socio-economic indicators spanning 1960 to the present. Through automated bulk processing implemented in R, indicators of agricultural and non-agricultural relevance are harmonised, grouped by country and systematically evaluated using reproducible statistical routines. For each indicator and territory, the tool generates: (1) the most recent available value, (2) histo</w:t>
      </w:r>
    </w:p>
    <w:p>
      <w:pPr/>
      <w:r>
        <w:rPr>
          <w:b/>
        </w:rPr>
        <w:t>POSSIBLE 2026:</w:t>
      </w:r>
      <w:r>
        <w:t xml:space="preserve"> The Theory of Development of Innovative Trade Services and Its Socio-Economic Essence — https://doi.org/10.51699/sefm.v3i6.946</w:t>
      </w:r>
    </w:p>
    <w:p>
      <w:pPr/>
      <w:r>
        <w:rPr>
          <w:b/>
        </w:rPr>
        <w:t>Shared claim-specific concepts:</w:t>
      </w:r>
      <w:r>
        <w:t xml:space="preserve"> socio-economic, assessment; EU scope not established. This is a provisional connection, not an outcome finding.</w:t>
      </w:r>
    </w:p>
    <w:p>
      <w:pPr>
        <w:pStyle w:val="SourceNote"/>
      </w:pPr>
      <w:r>
        <w:rPr>
          <w:b/>
        </w:rPr>
        <w:t>Available abstract (not full text):</w:t>
      </w:r>
      <w:r>
        <w:t xml:space="preserve"> The rapid transformation of global commerce in the digital age has made the study of innovative trade services both timely and necessary. This article examines the theoretical foundations underpinning the development of innovative trade services and investigates their broader socio-economic essence within contemporary market systems. Drawing on a mixed-methods approach that combines systematic literature analysis, comparative institutional analysis, and structured expert assessment, the study traces how trade services have evolved from simple exchange facilitation mechanisms into complex, technology-driven ecosystems that carry significant implications for economic growth, employment, and social equity. The paper argues that traditional conceptualizations of trade services — grounded primarily in transactional efficiency — are insufficient for capturing the multidimensional value that innovative services generate across supply chains, consumer communities, and regional economies. Through analysis of empirical data from fifteen transition and emerging economies, the findings demonstrate that service innovation in trade is consistently associated with measurable gains in productivity, reduced information asymmetries, and improved market access for small and medium-sized enterprises. The results further reveal that the socio-economic impact of such innovation is mediated by instit</w:t>
      </w:r>
    </w:p>
    <w:p>
      <w:pPr/>
      <w:r>
        <w:rPr>
          <w:b/>
        </w:rPr>
        <w:t>POSSIBLE 2026:</w:t>
      </w:r>
      <w:r>
        <w:t xml:space="preserve"> An Integrated Governance Framework for SME Performance and Socio-Economic Development: The Bora SME Performance System in Cambodia — https://doi.org/10.56943/joe.v5i2.998</w:t>
      </w:r>
    </w:p>
    <w:p>
      <w:pPr/>
      <w:r>
        <w:rPr>
          <w:b/>
        </w:rPr>
        <w:t>Shared claim-specific concepts:</w:t>
      </w:r>
      <w:r>
        <w:t xml:space="preserve"> socio-economic, between; EU scope not established. This is a provisional connection, not an outcome finding.</w:t>
      </w:r>
    </w:p>
    <w:p>
      <w:pPr>
        <w:pStyle w:val="SourceNote"/>
      </w:pPr>
      <w:r>
        <w:rPr>
          <w:b/>
        </w:rPr>
        <w:t>Available abstract (not full text):</w:t>
      </w:r>
      <w:r>
        <w:t xml:space="preserve"> Small and medium-sized enterprises (SMEs) play a significant role in economic growth, employment generation, and business development, particularly in emerging economies. However, many SMEs continue to face governance, performance management, and human capital development challenges that limit long-term sustainability and competitiveness. This study proposes the Bora SME Performance System (BPS) as an integrated governance framework designed to support SME performance and organizational capability development. The framework consists of five core dimensions: Profit Engine, Process Discipline, Performance Control, People Accountability, and Potential Development. In addition, the study conceptually introduces a balanced integration between Human Resource Management (HRM) and Human Capital Management (HCM) to strengthen both operational performance and workforce capability development. Drawing on the Resource-Based View, Human Capital Theory, and contemporary governance literature, this study develops a conceptual model linking governance structures, organizational capability, and SME performance outcomes. The framework contributes to SME governance literature by offering a simplified and context-relevant model for emerging economies. The study also provides practical implications for SME leaders, consultants, and policymakers seeking to improve organizational sustainability and c</w:t>
      </w:r>
    </w:p>
    <w:p>
      <w:pPr/>
      <w:r>
        <w:rPr>
          <w:b/>
        </w:rPr>
        <w:t>POSSIBLE 2025:</w:t>
      </w:r>
      <w:r>
        <w:t xml:space="preserve"> THE CONTRIBUTION OF SMES ENTREPRENEURSHIP TO SOCIO-ECONOMIC DEVELOPMENT IN TERENGGANU — https://doi.org/10.35631/ijemp.832016</w:t>
      </w:r>
    </w:p>
    <w:p>
      <w:pPr/>
      <w:r>
        <w:rPr>
          <w:b/>
        </w:rPr>
        <w:t>Shared claim-specific concepts:</w:t>
      </w:r>
      <w:r>
        <w:t xml:space="preserve"> socio-economic, central; EU scope not established. This is a provisional connection, not an outcome finding.</w:t>
      </w:r>
    </w:p>
    <w:p>
      <w:pPr>
        <w:pStyle w:val="SourceNote"/>
      </w:pPr>
      <w:r>
        <w:rPr>
          <w:b/>
        </w:rPr>
        <w:t>Available abstract (not full text):</w:t>
      </w:r>
      <w:r>
        <w:t xml:space="preserve">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pPr/>
      <w:r>
        <w:rPr>
          <w:b/>
        </w:rPr>
        <w:t>POSSIBLE 2025:</w:t>
      </w:r>
      <w:r>
        <w:t xml:space="preserve"> SOCIO-ECONOMIC ANALYSIS OF THE SOUTH-WEST OLTENIA DEVELOPMENT REGION — https://openalex.org/W7215541317</w:t>
      </w:r>
    </w:p>
    <w:p>
      <w:pPr/>
      <w:r>
        <w:rPr>
          <w:b/>
        </w:rPr>
        <w:t>Shared claim-specific concepts:</w:t>
      </w:r>
      <w:r>
        <w:t xml:space="preserve"> socio-economic, population; EU scope visible. This is a provisional connection, not an outcome finding.</w:t>
      </w:r>
    </w:p>
    <w:p>
      <w:pPr>
        <w:pStyle w:val="SourceNote"/>
      </w:pPr>
      <w:r>
        <w:rPr>
          <w:b/>
        </w:rPr>
        <w:t>Available abstract (not full text):</w:t>
      </w:r>
      <w:r>
        <w:t xml:space="preserve">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pPr/>
      <w:r>
        <w:rPr>
          <w:b/>
        </w:rPr>
        <w:t>POSSIBLE 2025:</w:t>
      </w:r>
      <w:r>
        <w:t xml:space="preserve"> Assessment of Socio-Economic Impacts of Hyperloop Technology on European Trade Routes — https://doi.org/10.3390/economies13030065</w:t>
      </w:r>
    </w:p>
    <w:p>
      <w:pPr/>
      <w:r>
        <w:rPr>
          <w:b/>
        </w:rPr>
        <w:t>Shared claim-specific concepts:</w:t>
      </w:r>
      <w:r>
        <w:t xml:space="preserve"> socio-economic, assessment, compared, current, climate; EU scope visible. This is a provisional connection, not an outcome finding.</w:t>
      </w:r>
    </w:p>
    <w:p>
      <w:pPr>
        <w:pStyle w:val="SourceNote"/>
      </w:pPr>
      <w:r>
        <w:rPr>
          <w:b/>
        </w:rPr>
        <w:t>Available abstract (not full text):</w:t>
      </w:r>
      <w:r>
        <w:t xml:space="preserve"> This study investigates the possible socio-economic impacts of Hyperloop technology on establishing and reshaping EU trade routes. Hyperloop—a novel ultra-high-speed transportation system—demonstrates the capability to achieve supersonic speeds to move cargo and passengers. Delivering goods in a faster and sustainable way could change the existing trade routes and offer new opportunities for the development of international trade. This research focuses on assessing how Hyperloop may influence existing EU trade routes by improving delivery times and reducing energy usage/carbon emissions (these terms will be used interchangeably throughout the paper where both reducing long-terms costs and meeting climate goals are equally impacted by this technology). Further objectives include evaluating potential new trade routes that could emerge due to Hyperloop’s capabilities. In this paper, twelve different scenarios are constructed and compared; these scenarios contain the description of current EU trade routes that could be influenced by Hyperloop and those that could be introduced given the improved delivery times and sustainable business opportunities. The gravity model is proposed and an equation is estimated using the PPML (Poisson Pseudo Maximum Likelihood) method based on Eurostat and IMF open data. Based on the research results, different socio-economic outcomes for different lay</w:t>
      </w:r>
    </w:p>
    <w:p>
      <w:pPr/>
      <w:r>
        <w:rPr>
          <w:b/>
        </w:rPr>
        <w:t>POSSIBLE 2025:</w:t>
      </w:r>
      <w:r>
        <w:t xml:space="preserve"> RURAL TOURISM AS A FACTOR OF SUSTAINABLE SOCIO-ECONOMIC DEVELOPMENT OF RURAL AREAS IN UKRAINE — https://doi.org/10.32782/infrastruct86-38</w:t>
      </w:r>
    </w:p>
    <w:p>
      <w:pPr/>
      <w:r>
        <w:rPr>
          <w:b/>
        </w:rPr>
        <w:t>Shared claim-specific concepts:</w:t>
      </w:r>
      <w:r>
        <w:t xml:space="preserve"> coherent, socio-economic, current; EU scope visible. This is a provisional connection, not an outcome finding.</w:t>
      </w:r>
    </w:p>
    <w:p>
      <w:pPr>
        <w:pStyle w:val="SourceNote"/>
      </w:pPr>
      <w:r>
        <w:rPr>
          <w:b/>
        </w:rPr>
        <w:t>Available abstract (not full text):</w:t>
      </w:r>
      <w:r>
        <w:t xml:space="preserve"> The relevance of the research: the article examines rural tourism as one of the key factors in the sustainable socio-economic development of rural areas in Ukraine. The subject research is the current state, challenges, and prospects for the development of rural tourism in the context of the COVID-19 pandemic, full-scale war, and decentralization processes. The purpose of the study is to analyze the potential of rural tourism as a tool for economic diversification, cultural heritage preservation, employment growth, and the revitalization of rural communities. Research methodology includes general scientific methods of analysis and synthesis, systemic and comparative approaches, as well as the generalization of findings from scientific publications and practical case studies based on domestic and international experiences in organizing rural tourism. The research includes a review of current legislation, strategic documents, and statistical data. The results of the study reveal that rural tourism in Ukraine shows a steadily growing demand among domestic tourists, although its potential is only partially realized due to several constraints. Key factors are insufficient infrastructure, lack of regulatory framework, low level of tourism services digitalization and limited marketing activity. It is shown that the combination of tourism services with local traditions, farming, cultur</w:t>
      </w:r>
    </w:p>
    <w:p>
      <w:pPr/>
      <w:r>
        <w:rPr>
          <w:b/>
        </w:rPr>
        <w:t>POSSIBLE 2025:</w:t>
      </w:r>
      <w:r>
        <w:t xml:space="preserve"> Enriching the European Shared Socio-economic Pathways with considerations of biodiversity and nature using a nexus approach — https://doi.org/10.1016/j.crm.2025.100741</w:t>
      </w:r>
    </w:p>
    <w:p>
      <w:pPr/>
      <w:r>
        <w:rPr>
          <w:b/>
        </w:rPr>
        <w:t>Shared claim-specific concepts:</w:t>
      </w:r>
      <w:r>
        <w:t xml:space="preserve"> socio-economic, pathways, between, climate; EU scope visible. This is a provisional connection, not an outcome finding.</w:t>
      </w:r>
    </w:p>
    <w:p>
      <w:pPr>
        <w:pStyle w:val="SourceNote"/>
      </w:pPr>
      <w:r>
        <w:rPr>
          <w:b/>
        </w:rPr>
        <w:t>Available abstract (not full text):</w:t>
      </w:r>
      <w:r>
        <w:t xml:space="preserve"> The global scientific community is taking steps toward a nexus approach to address interlinkages across biodiversity and climate systems, yet synergistic research and policymaking remains limited. This gap is manifest in the Shared Socio-economic Pathways (SSP) framework, which is applied in various sectors to make sense of future complexity but excludes consideration of biodiversity and nature. As a result, the SSP narratives disregard feedbacks between socio-economic and environmental systems, potentially limiting options to address both the biodiversity and climate crises simultaneously and masking the need to build resilience to concurrent and cascading risks. In this paper, we explore this gap through a co-creation process at the European scale by enriching the original European-SSPs with considerations of biodiversity and nature using a nexus approach (i.e., interactions across biodiversity, energy, food, health, water, and transport). We investigate the implications through a systems analysis of the original and enriched European-SSP narratives. Our findings show that introducing consideration of biodiversity altered the system dynamics within the European-SSP narratives considerably, with outcomes for biodiversity ranging widely within and across scenarios. Further, the relative significance of indirect drivers changed across SSPs due to novel feedbacks with biodiversit</w:t>
      </w:r>
    </w:p>
    <w:p>
      <w:pPr/>
      <w:r>
        <w:rPr>
          <w:b/>
        </w:rPr>
        <w:t>POSSIBLE 2025:</w:t>
      </w:r>
      <w:r>
        <w:t xml:space="preserve"> INDICATORS OF SOCIO-ECONOMIC EFFICIENCY OF PERSONNEL DEVELOPMENT IN THE CONTEXT OF DIGITALIZATION — https://doi.org/10.30525/2500-946x/2025-2-6</w:t>
      </w:r>
    </w:p>
    <w:p>
      <w:pPr/>
      <w:r>
        <w:rPr>
          <w:b/>
        </w:rPr>
        <w:t>Shared claim-specific concepts:</w:t>
      </w:r>
      <w:r>
        <w:t xml:space="preserve"> socio-economic, included; EU scope not established. This is a provisional connection, not an outcome finding.</w:t>
      </w:r>
    </w:p>
    <w:p>
      <w:pPr>
        <w:pStyle w:val="SourceNote"/>
      </w:pPr>
      <w:r>
        <w:rPr>
          <w:b/>
        </w:rPr>
        <w:t>Available abstract (not full text):</w:t>
      </w:r>
      <w:r>
        <w:t xml:space="preserve"> In the context of rapid digital transformation, the issue of assessing the socio-economic efficiency of personnel development is gaining strategic importance. This article proposes a system of indicators that reflects both quantitative and qualitative changes in employee development under digitalization. The study identifies key performance criteria, such as productivity, adaptability, digital skills, and return on training investment, which can serve as tools for evaluating human capital efficiency in modern organizations. The proposed indicator framework allows for a more accurate alignment of HR development strategies with organizational goals in the digital era. The purpose of this article is to develop and substantiate a system of socio-economic indicators that can be used to evaluate the efficiency of personnel development in the conditions of digital transformation. Methodology. The study is based on a combination of theoretical analysis and expert evaluation methods. A review of scientific literature and international reports was conducted to identify existing approaches to performance measurement. The final system of indicators was structured through comparative analysis and validated using expert assessments and relevance criteria. Both quantitative (e.g., digital ROI) and qualitative (e.g., employee adaptability) indicators were included. Results. The article present</w:t>
      </w:r>
    </w:p>
    <w:p>
      <w:pPr>
        <w:pStyle w:val="Heading2"/>
      </w:pPr>
      <w:r>
        <w:t>895. Futurescapes: expectations in Europe for relative effectiveness evidence for drugs in 2020</w:t>
      </w:r>
    </w:p>
    <w:p>
      <w:pPr>
        <w:pStyle w:val="SourceNote"/>
      </w:pPr>
      <w:r>
        <w:rPr>
          <w:b/>
        </w:rPr>
        <w:t>Original source (2015):</w:t>
      </w:r>
      <w:r>
        <w:t xml:space="preserve"> https://doi.org/10.2217/cer.15.7</w:t>
      </w:r>
    </w:p>
    <w:p>
      <w:pPr/>
      <w:r>
        <w:t>Original wording (abstract; indexed_source_text_not_full_document_verified): The most likely scenario entailed some change with postlaunch regulatory studies driving the likely nature of RE evidence generated.</w:t>
      </w:r>
    </w:p>
    <w:p>
      <w:pPr/>
      <w:r>
        <w:rPr>
          <w:b/>
        </w:rPr>
        <w:t>POSSIBLE 2025:</w:t>
      </w:r>
      <w:r>
        <w:t xml:space="preserve"> Seasonal Climate Change in Europe Over the Last Thousand Years as a Social Challenge — https://doi.org/10.1093/acrefore/9780190228620.013.980</w:t>
      </w:r>
    </w:p>
    <w:p>
      <w:pPr/>
      <w:r>
        <w:rPr>
          <w:b/>
        </w:rPr>
        <w:t>Shared claim-specific concepts:</w:t>
      </w:r>
      <w:r>
        <w:t xml:space="preserve"> likely, entailed; EU scope visible. This is a provisional connection, not an outcome finding.</w:t>
      </w:r>
    </w:p>
    <w:p>
      <w:pPr>
        <w:pStyle w:val="SourceNote"/>
      </w:pPr>
      <w:r>
        <w:rPr>
          <w:b/>
        </w:rPr>
        <w:t>Available abstract (not full text):</w:t>
      </w:r>
      <w:r>
        <w:t xml:space="preserve">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r>
        <w:rPr>
          <w:b/>
        </w:rPr>
        <w:t>POSSIBLE 2025:</w:t>
      </w:r>
      <w:r>
        <w:t xml:space="preserve"> Ready for Change After the Omnibus Package? Early Compliance With the European Sustainability Reporting Standards and Its Key Determinants in the New Regulatory Era — https://doi.org/10.1002/bse.70054</w:t>
      </w:r>
    </w:p>
    <w:p>
      <w:pPr/>
      <w:r>
        <w:rPr>
          <w:b/>
        </w:rPr>
        <w:t>Shared claim-specific concepts:</w:t>
      </w:r>
      <w:r>
        <w:t xml:space="preserve"> likely, regulatory; EU scope visible. This is a provisional connection, not an outcome finding.</w:t>
      </w:r>
    </w:p>
    <w:p>
      <w:pPr>
        <w:pStyle w:val="SourceNote"/>
      </w:pPr>
      <w:r>
        <w:rPr>
          <w:b/>
        </w:rPr>
        <w:t>Available abstract (not full text):</w:t>
      </w:r>
      <w:r>
        <w:t xml:space="preserve"> ABSTRACT This paper examines companies' readiness for change in response to the evolving sustainability reporting regulatory landscape, shaped by the Corporate Sustainability Reporting Directive (CSRD) and European Sustainability Reporting Standards (ESRS). Drawing on institutional and strategic legitimacy theory, this study investigates a sample of 144 Italian‐listed companies, differentiating between those that fall within and outside the scope of the Omnibus Package , to assess whether and how their sustainability reporting practices comply with ESRS disclosure requirements. Additionally, this study examines the impact of industry environmental sensitivity, size, profitability and leverage on such compliance. A manual content analysis of the 2023 Non‐Financial Declarations (NFDs) reveals that according to the GRI–ESRS Interoperability Index, most GRI disclosures align with the relevant topical ESRS requirements, and firms have classified the bulk of these topics as material. Overall, companies within the Omnibus scope appear slightly better prepared for the forthcoming ESRS disclosure obligations than those outside it. The evidence further indicates that larger companies and those operating in environmentally sensitive industries achieve higher levels of ESRS compliance and are more likely to treat ESRS topics as material.</w:t>
      </w:r>
    </w:p>
    <w:p>
      <w:pPr/>
      <w:r>
        <w:rPr>
          <w:b/>
        </w:rPr>
        <w:t>POSSIBLE 2025:</w:t>
      </w:r>
      <w:r>
        <w:t xml:space="preserve"> The Regulatory Landscape of ESG — https://doi.org/10.64054/9798270715366-9</w:t>
      </w:r>
    </w:p>
    <w:p>
      <w:pPr/>
      <w:r>
        <w:rPr>
          <w:b/>
        </w:rPr>
        <w:t>Shared claim-specific concepts:</w:t>
      </w:r>
      <w:r>
        <w:t xml:space="preserve"> regulatory, driving; EU scope not established. This is a provisional connection, not an outcome finding.</w:t>
      </w:r>
    </w:p>
    <w:p>
      <w:pPr>
        <w:pStyle w:val="SourceNote"/>
      </w:pPr>
      <w:r>
        <w:rPr>
          <w:b/>
        </w:rPr>
        <w:t>Available abstract (not full text):</w:t>
      </w:r>
      <w:r>
        <w:t xml:space="preserve"> This book is a comprehensive guide that explores the critical role of Environmental, Social, and Governance (ESG) principles in shaping the future of business and finance.Spanning ten insightful chapters, this book provides a thorough examination of ESG, offering practical guidance and actionable insights for business leaders, investors, policymakers, and researchers.The journey begins with an introduction to the foundations and evolution of ESG, setting the stage for understanding its significance in today's global landscape.This foundational chapter outlines the book's objectives and provides a historical context, highlighting how ESG has emerged as a pivotal framework for sustainable business practices.The subsequent chapters delve into the three pillars of ESG, starting with environmental criteria.This section addresses key environmental issues such as climate change, resource management, and pollution control, offering strategies for businesses to mitigate their environmental impact.Through illustrative case studies and regulatory frameworks, readers gain a comprehensive understanding of how to measure and manage environmental performance.The focus then shifts to social criteria, exploring labor practices, human rights, community engagement, and diversity initiatives.This chapter underscores the importance of social responsibility and presents real-world examples of succes</w:t>
      </w:r>
    </w:p>
    <w:p>
      <w:pPr/>
      <w:r>
        <w:rPr>
          <w:b/>
        </w:rPr>
        <w:t>POSSIBLE 2023:</w:t>
      </w:r>
      <w:r>
        <w:t xml:space="preserve"> A Governance Analysis of BEFIT: How the Member States’ Wish to Obtain more Regulatory Authority is Driving a Revolution — https://doi.org/10.54648/ecta2023025</w:t>
      </w:r>
    </w:p>
    <w:p>
      <w:pPr/>
      <w:r>
        <w:rPr>
          <w:b/>
        </w:rPr>
        <w:t>Shared claim-specific concepts:</w:t>
      </w:r>
      <w:r>
        <w:t xml:space="preserve"> regulatory, driving; EU scope visible. This is a provisional connection, not an outcome finding.</w:t>
      </w:r>
    </w:p>
    <w:p>
      <w:pPr>
        <w:pStyle w:val="SourceNote"/>
      </w:pPr>
      <w:r>
        <w:rPr>
          <w:b/>
        </w:rPr>
        <w:t>Available abstract (not full text):</w:t>
      </w:r>
      <w:r>
        <w:t xml:space="preserve"> This contribution analyses the ongoing BEFIT proposal (Business in Europe: Framework for Income Taxation) of the EC (European Commission) from a governance perspective. For this matter, it considers the proposed replacement of the arm’s length standard with a system of unitary taxation and formulary apportionment (FA) as a changing regulation strategy to tax multinational companies. It argues that the BEFIT proposal indicates a change from a reflexive regulation strategy to a command and control regulation strategy. The future approval of this proposal would imply that the Member States no longer want to count on the relative freedom of taxpayers to allocate profits, but attempt to take full responsibility for that allocation instead. This contribution concludes that this wish of the Member States to obtain more regulatory authority to tax multinational companies is the catalyst of the ongoing BEFIT revolution. BEFIT, harmonization, transfer pricing, arm’s length principle, formulary apportionment, unitary taxation, regulatory authority</w:t>
      </w:r>
    </w:p>
    <w:p>
      <w:pPr/>
      <w:r>
        <w:rPr>
          <w:b/>
        </w:rPr>
        <w:t>POSSIBLE 2018:</w:t>
      </w:r>
      <w:r>
        <w:t xml:space="preserve"> The sensitivity of middle Miocene paleoenvironments to changing marine gateways in Central Europe — https://doi.org/10.1130/g45698.1</w:t>
      </w:r>
    </w:p>
    <w:p>
      <w:pPr/>
      <w:r>
        <w:rPr>
          <w:b/>
        </w:rPr>
        <w:t>Shared claim-specific concepts:</w:t>
      </w:r>
      <w:r>
        <w:t xml:space="preserve"> entailed, driving; EU scope visible. This is a provisional connection, not an outcome finding.</w:t>
      </w:r>
    </w:p>
    <w:p>
      <w:pPr>
        <w:pStyle w:val="SourceNote"/>
      </w:pPr>
      <w:r>
        <w:rPr>
          <w:b/>
        </w:rPr>
        <w:t>Available abstract (not full text):</w:t>
      </w:r>
      <w:r>
        <w:t xml:space="preserve"> During the middle Miocene (15-12 Ma), the paleoenvironmental conditions in the Paratethys Sea of Central Europe changed from normal marine to hypersaline and from normal marine to brackish-marine conditions.These paleoenvironmental changes do not consistently correlate to global sea-level curves, indicating other driving mechanisms.Water circulation in the Paratethys strongly depended on two shallow and narrow gateways that were located in tectonically active regions.Here we combine the conservation of water and salt mass with strait-exchange theory to quantitatively link freshwater surface forcing and gateway dimensions to the observed environments.Our model confirms that the proposed sea-level drop of 50-70 m at 13.8 Ma could have restricted the western gateway to the Mediterranean to such an extent that halite formed in the Central Paratethys.Subsequently, the progressive opening of the eastern gateway to the Black Sea led to a decrease in lake level, exposure of the shallow margins, and a reduced surface area in the Eastern Paratethys.This entailed a reduction in water loss to the atmosphere, which, combined with constant river influx, resulted in a positive freshwater budget for the Paratethys proper, and reduced the salinity in the Central Paratethys.This provides a novel physics-based explanation for the change from evaporitic to marine to brackish-marine water condition</w:t>
      </w:r>
    </w:p>
    <w:p>
      <w:pPr>
        <w:pStyle w:val="Heading2"/>
      </w:pPr>
      <w:r>
        <w:t>896. How far away is hydrogen? Its role in the medium and long-term decarbonisation of the European energy system</w:t>
      </w:r>
    </w:p>
    <w:p>
      <w:pPr>
        <w:pStyle w:val="SourceNote"/>
      </w:pPr>
      <w:r>
        <w:rPr>
          <w:b/>
        </w:rPr>
        <w:t>Original source (2015):</w:t>
      </w:r>
      <w:r>
        <w:t xml:space="preserve"> https://doi.org/10.1016/j.ijhydene.2015.09.004</w:t>
      </w:r>
    </w:p>
    <w:p>
      <w:pPr/>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POSSIBLE 2026:</w:t>
      </w:r>
      <w:r>
        <w:t xml:space="preserve"> JRC Statistical Audit of the Quality of Life index — https://doi.org/10.2760/3318126</w:t>
      </w:r>
    </w:p>
    <w:p>
      <w:pPr/>
      <w:r>
        <w:rPr>
          <w:b/>
        </w:rPr>
        <w:t>Shared claim-specific concepts:</w:t>
      </w:r>
      <w:r>
        <w:t xml:space="preserve"> two, initiative; EU scope not established. This is a provisional connection, not an outcome finding.</w:t>
      </w:r>
    </w:p>
    <w:p>
      <w:pPr>
        <w:pStyle w:val="SourceNote"/>
      </w:pPr>
      <w:r>
        <w:rPr>
          <w:b/>
        </w:rPr>
        <w:t>Available abstract (not full text):</w:t>
      </w:r>
      <w:r>
        <w:t xml:space="preserve">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pPr/>
      <w:r>
        <w:rPr>
          <w:b/>
        </w:rPr>
        <w:t>POSSIBLE 2026:</w:t>
      </w:r>
      <w:r>
        <w:t xml:space="preserve"> Modeling soil solution electrical conductivity across Europe — https://doi.org/10.1016/j.scitotenv.2026.182021</w:t>
      </w:r>
    </w:p>
    <w:p>
      <w:pPr/>
      <w:r>
        <w:rPr>
          <w:b/>
        </w:rPr>
        <w:t>Shared claim-specific concepts:</w:t>
      </w:r>
      <w:r>
        <w:t xml:space="preserve"> used, climate;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Determinants of Beef Trade Between the EU and South America and the Implications of the EU–Mercosur Agreement for the European Beef Sector — https://doi.org/10.3390/su18052172</w:t>
      </w:r>
    </w:p>
    <w:p>
      <w:pPr/>
      <w:r>
        <w:rPr>
          <w:b/>
        </w:rPr>
        <w:t>Shared claim-specific concepts:</w:t>
      </w:r>
      <w:r>
        <w:t xml:space="preserve"> used, assess, indicate, become; EU scope visible. This is a provisional connection, not an outcome finding.</w:t>
      </w:r>
    </w:p>
    <w:p>
      <w:pPr>
        <w:pStyle w:val="SourceNote"/>
      </w:pPr>
      <w:r>
        <w:rPr>
          <w:b/>
        </w:rPr>
        <w:t>Available abstract (not full text):</w:t>
      </w:r>
      <w:r>
        <w:t xml:space="preserve"> This study aimed to identify changes in beef trade between the European Union and South American countries and to assess the potential economic impact of implementing the EU–Mercosur agreement on the beef market. The research problem asked: How might trade liberalisation under the EU–Mercosur agreement affect the volume, structure, and competitiveness of the beef market between the EU and Mercosur countries? The research used data on beef production, import, export, and consumption in the European Union and South America. The detailed analysis covered the years 2010–2024. In addition, based on USDA data, a forecast of beef production in the EU and Mercosur countries up to 2030 was prepared. The analyses employed descriptive and indicator methods, Spearman’s rank correlation analysis, and the ARDL (Autoregressive Distributed Lags) model. The results indicate that beef production is increasing in the Mercosur countries and declining in the European Union. The ARDL models showed that beef trade depends on previous production and demand, and imports to the EU respond to changes in these areas with a delay. Increasing the tariff quota for beef imports from the Mercosur countries to the EU at a reduced customs rate may increase the share of this meat in the EU market. Preferential trade conditions raise concerns among EU producers, who must comply with stricter environmental standard</w:t>
      </w:r>
    </w:p>
    <w:p>
      <w:pPr/>
      <w:r>
        <w:rPr>
          <w:b/>
        </w:rPr>
        <w:t>POSSIBLE 2026:</w:t>
      </w:r>
      <w:r>
        <w:t xml:space="preserve"> Parametric bottom-up cost modelling of tidal energy converters for site-specific feasibility studies — https://doi.org/10.1016/j.seta.2026.105052</w:t>
      </w:r>
    </w:p>
    <w:p>
      <w:pPr/>
      <w:r>
        <w:rPr>
          <w:b/>
        </w:rPr>
        <w:t>Shared claim-specific concepts:</w:t>
      </w:r>
      <w:r>
        <w:t xml:space="preserve"> bottom-up, energy, assess, indicate; EU scope visible. This is a provisional connection, not an outcome finding.</w:t>
      </w:r>
    </w:p>
    <w:p>
      <w:pPr>
        <w:pStyle w:val="SourceNote"/>
      </w:pPr>
      <w:r>
        <w:rPr>
          <w:b/>
        </w:rPr>
        <w:t>Available abstract (not full text):</w:t>
      </w:r>
      <w:r>
        <w:t xml:space="preserve"> Tidal energy represents a promising yet underexploited source within the marine renewable sector, offering predictable and sustainable generation potential that aims to increase interest in offshore energy alternatives. This study presents a detailed bottom-up techno-economic optimisation assessment model adapted to tidal energy converter (TEC) systems. The proposed novel methodology breaks down component-level costs for TECs into three foundational types: Gravity-Based Substructures (GBS), floating platforms, and monopiles. A key achievement of this work lies in departing from traditional macroscopic economic aggregates by dynamically coupling these structural requirements with local hydrodynamic and bathymetric data to evaluate energy yield and economic performance. The model is applied to five different locations, namely Fall of Warness (UK), Fromveur and Raz Blanchard (France), Punta Pezzo (Italy), and Cozumel (Mexico), to assess how local parameters affect the feasibility of the TEC plant. Validation against real-world data from the ATIR floating platform project shows strong agreement with actual deployment costs. Supported by a multi-variable sensitivity analysis, results from the case studies indicate that monopile and floating TECs typically achieve higher capacity factors and lower Levelised Costs of Energy (LCoE) compared to GBS systems. The monopile configuration is</w:t>
      </w:r>
    </w:p>
    <w:p>
      <w:pPr/>
      <w:r>
        <w:rPr>
          <w:b/>
        </w:rPr>
        <w:t>POSSIBLE 2026:</w:t>
      </w:r>
      <w:r>
        <w:t xml:space="preserve"> Modeling policies for the EU building stock decarbonization at sub-national resolution — https://doi.org/10.1016/j.enbuild.2026.117521</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 EU-27 buildings energy demand is projected up to 2050 at sub-national resolution • Energy renovation investments need to increase by roughly 18% • A large share of total costs needs to be covered by the public • When using subsidies, public support should roughly match private investments • Spatial clustering of renovation activities should be expected Understanding how the energy needs of different sectors will evolve in the future is key to informing climate policy design. For the buildings sector, this involves considering heterogeneity in technological, socioeconomic and climatic conditions. This paper develops a building energy sectoral model for Europe that considers technology adoption dynamics at the subnational scale, with high (0.5 ∘ × 0.5 ∘ ) resolution. The model focuses on energy efficiency by considering building renovation, space heating, space cooling, and their interplay. Wide-scale renovation waves in Europe are simulated, understanding where more household renovation efforts should be expected, and where policy support will be most needed in the following decades. Space cooling energy demand increase is expected, along with a substantial reduction of space heating energy demand and a general electrification of end-uses. This study implies that energy renovation investments in EU27 in the 2020-2050 period need to increase by roughly 18%, with respect to hist</w:t>
      </w:r>
    </w:p>
    <w:p>
      <w:pPr/>
      <w:r>
        <w:rPr>
          <w:b/>
        </w:rPr>
        <w:t>POSSIBLE 2026:</w:t>
      </w:r>
      <w:r>
        <w:t xml:space="preserve"> A multi-model analysis of hydrogen uptake in a climate-neutral Europe — https://doi.org/10.1038/s41467-026-78681-9</w:t>
      </w:r>
    </w:p>
    <w:p>
      <w:pPr/>
      <w:r>
        <w:rPr>
          <w:b/>
        </w:rPr>
        <w:t>Shared claim-specific concepts:</w:t>
      </w:r>
      <w:r>
        <w:t xml:space="preserve"> energy, role, hydrogen, climate;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2026:</w:t>
      </w:r>
      <w:r>
        <w:t xml:space="preserve"> The electricity system value of the local acceptance of onshore wind in Europe — https://openalex.org/W7148177161</w:t>
      </w:r>
    </w:p>
    <w:p>
      <w:pPr/>
      <w:r>
        <w:rPr>
          <w:b/>
        </w:rPr>
        <w:t>Shared claim-specific concepts:</w:t>
      </w:r>
      <w:r>
        <w:t xml:space="preserve"> energy, system, assess, role;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2025:</w:t>
      </w:r>
      <w:r>
        <w:t xml:space="preserve"> Monitoring the impact of EU F-gas regulation on HFC-134a emissions through a comparison of top-down and bottom-up estimates — https://doi.org/10.1186/s12302-025-01081-1</w:t>
      </w:r>
    </w:p>
    <w:p>
      <w:pPr/>
      <w:r>
        <w:rPr>
          <w:b/>
        </w:rPr>
        <w:t>Shared claim-specific concepts:</w:t>
      </w:r>
      <w:r>
        <w:t xml:space="preserve"> bottom-up, used, two; EU scope visible. This is a provisional connection, not an outcome finding.</w:t>
      </w:r>
    </w:p>
    <w:p>
      <w:pPr>
        <w:pStyle w:val="SourceNote"/>
      </w:pPr>
      <w:r>
        <w:rPr>
          <w:b/>
        </w:rPr>
        <w:t>Available abstract (not full text):</w:t>
      </w:r>
      <w:r>
        <w:t xml:space="preserve">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pPr/>
      <w:r>
        <w:rPr>
          <w:b/>
        </w:rPr>
        <w:t>POSSIBLE 2025:</w:t>
      </w:r>
      <w:r>
        <w:t xml:space="preserve"> Comparative assessment of future hydrogen demand potentials in a decarbonised European energy system — https://doi.org/10.1016/j.ijhydene.2025.03.362</w:t>
      </w:r>
    </w:p>
    <w:p>
      <w:pPr/>
      <w:r>
        <w:rPr>
          <w:b/>
        </w:rPr>
        <w:t>Shared claim-specific concepts:</w:t>
      </w:r>
      <w:r>
        <w:t xml:space="preserve"> energy, system, role, hydrogen, decarbonised, climate; EU scope visible. This is a provisional connection, not an outcome finding.</w:t>
      </w:r>
    </w:p>
    <w:p>
      <w:pPr>
        <w:pStyle w:val="SourceNote"/>
      </w:pPr>
      <w:r>
        <w:rPr>
          <w:b/>
        </w:rPr>
        <w:t>Available abstract (not full text):</w:t>
      </w:r>
      <w:r>
        <w:t xml:space="preserve"> Hydrogen is poised to play a vital role in Europe's transition to a low-carbon economy while enhancing energy security by reducing reliance on imported fossil fuels. However, future hydrogen demand remains highly uncertain, shaped by sectoral priorities, technology choices, cost dynamics, and policy direction. This study undertakes a comparative assessment of hydrogen demand projections across 20 studies—including academic, governmental, and private sector sources—focused on decarbonizing Europe's energy system by 2050. Both electrolytic and non-electrolytic hydrogen pathways are quantified, with demand estimates varying widely from a median of 50 Mt to a maximum of 108 Mt by 2050. Findings consistently highlight hydrogen's essential role in hard-to-abate sectors in transport and industrial applications, with a growing emphasis on hydrogen-derived fuels like ammonia and methanol. These insights are crucial for informing infrastructure planning and guiding strategic investments to support Europe's long-term climate and energy objectives.</w:t>
      </w:r>
    </w:p>
    <w:p>
      <w:pPr/>
      <w:r>
        <w:rPr>
          <w:b/>
        </w:rPr>
        <w:t>POSSIBLE 2025:</w:t>
      </w:r>
      <w:r>
        <w:t xml:space="preserve"> From grey to “Green”: Modelling the non-energy uses of hydrogen for the EU energy transition — https://doi.org/10.1016/j.apenergy.2025.126325</w:t>
      </w:r>
    </w:p>
    <w:p>
      <w:pPr/>
      <w:r>
        <w:rPr>
          <w:b/>
        </w:rPr>
        <w:t>Shared claim-specific concepts:</w:t>
      </w:r>
      <w:r>
        <w:t xml:space="preserve"> bottom-up, energy, system, used, hydrogen, current; EU scope visible. This is a provisional connection, not an outcome finding.</w:t>
      </w:r>
    </w:p>
    <w:p>
      <w:pPr>
        <w:pStyle w:val="SourceNote"/>
      </w:pPr>
      <w:r>
        <w:rPr>
          <w:b/>
        </w:rPr>
        <w:t>Available abstract (not full text):</w:t>
      </w:r>
      <w:r>
        <w:t xml:space="preserve"> Hydrogen (H 2 ) used as feedstock (i.e., as raw material) in chemicals, refineries, and steel is currently produced from fossil fuels , thus leading to significant carbon dioxide (CO 2 ) emissions. As these hard-to-abate sectors have limited electrification alternatives, H 2 produced by electrolysis offers a potential option for decarbonising them. Existing modelling analyses to date provide limited insights due to their predominant use of sector-specific, static, non-recursive, and non-open models. This paper advances research by presenting a dynamic, recursive, open-access energy model using System Dynamics to study long-term systemic and environmental impacts of transitioning from fossil-based methods to electrolytic H 2 production for industrial feedstock. The regional model adopts a bottom-up approach and is applied to the EU across five innovative decarbonisation scenarios, including varying technological transition speeds and a paradigm-shift scenario (Degrowth). Our results indicate that, assuming continued H 2 demand trends and large-scale electrolytic H 2 deployment by 2030, grid decarbonisation in the EU must accelerate to ensure green H 2 for industrial feedstock emits less CO 2 than fossil fuel methods, doubling the current pace. Otherwise, electrolytic H 2 won't offer clear CO 2 reduction benefits until 2040. The most effective CO 2 emission mitigation occurs in g</w:t>
      </w:r>
    </w:p>
    <w:p>
      <w:pPr/>
      <w:r>
        <w:rPr>
          <w:b/>
        </w:rPr>
        <w:t>POSSIBLE 2025:</w:t>
      </w:r>
      <w:r>
        <w:t xml:space="preserve"> Future Wood Availability in Europe in Light of Climate and Energy Policy and Geopolitical Developments—A Wood Resource Balance-Based Assessment — https://doi.org/10.3390/su17031291</w:t>
      </w:r>
    </w:p>
    <w:p>
      <w:pPr/>
      <w:r>
        <w:rPr>
          <w:b/>
        </w:rPr>
        <w:t>Shared claim-specific concepts:</w:t>
      </w:r>
      <w:r>
        <w:t xml:space="preserve"> energy, climate, current; EU scope visible. This is a provisional connection, not an outcome finding.</w:t>
      </w:r>
    </w:p>
    <w:p>
      <w:pPr>
        <w:pStyle w:val="SourceNote"/>
      </w:pPr>
      <w:r>
        <w:rPr>
          <w:b/>
        </w:rPr>
        <w:t>Available abstract (not full text):</w:t>
      </w:r>
      <w:r>
        <w:t xml:space="preserve"> The amended European Union (EU) Renewable Energy Directive—in aiming to increase the share of renewable energy in overall energy consumption—promotes an increased demand for wood, while the EU’s updated Land Use, Land-Use Change, and Forestry (LULUCF) Regulation sets ambitious, binding national targets for the increase in net greenhouse gas removals that could restrict the supply of wood. Additionally, the ongoing war in Ukraine has directly affected the availability of woody biomass in Europe through the EU’s import ban on timber and timber products from Russia and Belarus. This paper provides an in-depth comparative analysis of sources and uses of woody biomass in four European regions in light of these recent climate and energy policies and geopolitical developments. The analysis indicates significantly underestimated reported removals in three of the four European regions studied. Further, projections suggest policy incoherence between current climate and energy objectives until 2030 in all four regions, as fellings increase at a faster rate than net annual increment in all four regions, decreasing the forest carbon sink and thus making it all but impossible to reach the 2030 target of the LULUCF regulation. However, between 2030 and 2040, energy-related fellings could decrease in regions north and west, while they could continue to grow in regions east and south, albeit at</w:t>
      </w:r>
    </w:p>
    <w:p>
      <w:pPr/>
      <w:r>
        <w:rPr>
          <w:b/>
        </w:rPr>
        <w:t>POSSIBLE 2025:</w:t>
      </w:r>
      <w:r>
        <w:t xml:space="preserve"> The Onshore Wind Potential of the EU and Neighbouring Countries — https://doi.org/10.2760/4154939</w:t>
      </w:r>
    </w:p>
    <w:p>
      <w:pPr/>
      <w:r>
        <w:rPr>
          <w:b/>
        </w:rPr>
        <w:t>Shared claim-specific concepts:</w:t>
      </w:r>
      <w:r>
        <w:t xml:space="preserve"> energy, system, role, decarbonisation; EU scope visible. This is a provisional connection, not an outcome finding.</w:t>
      </w:r>
    </w:p>
    <w:p>
      <w:pPr>
        <w:pStyle w:val="SourceNote"/>
      </w:pPr>
      <w:r>
        <w:rPr>
          <w:b/>
        </w:rPr>
        <w:t>Available abstract (not full text):</w:t>
      </w:r>
      <w:r>
        <w:t xml:space="preserve"> This is the second edition of a report on Europe’s feasible technical onshore wind energy potential at high geographical resolution. Additional spatial constraints such as road and grid vicinity limit the potential to realistic locations where a wind park could be accessed and connected without the need for large-scale infrastructure investment. The findings show that a large proportion of Europe’s onshore wind potential is still untapped and wind can continue to play a central role in the decarbonisation of Europe’s energy system. It also finds that policy decisions on setback distances have a significant impact on the available potential. The JRC ENSPRESO 2 dataset builds on the original ENSPRESO project (ENergy Systems Potential Renewable Energy SOurces) which concluded in 2018. The updated version operates at a high resolution of 1 km2 , incorporating newly available wind energy datasets and reflecting recent technological advances in wind energy technology, research and practices. ENSPRESO 2 therefore enables policymakers and energy planners to make up-to-date, spatially informed decisions about onshore wind energy deployment.</w:t>
      </w:r>
    </w:p>
    <w:p>
      <w:pPr>
        <w:pStyle w:val="Heading2"/>
      </w:pPr>
      <w:r>
        <w:t>897. Imagining energy futures: Sociotechnical imaginaries of the future Smart Grid in Norway</w:t>
      </w:r>
    </w:p>
    <w:p>
      <w:pPr>
        <w:pStyle w:val="SourceNote"/>
      </w:pPr>
      <w:r>
        <w:rPr>
          <w:b/>
        </w:rPr>
        <w:t>Original source (2015):</w:t>
      </w:r>
      <w:r>
        <w:t xml:space="preserve"> https://doi.org/10.1016/j.erss.2015.08.015</w:t>
      </w:r>
    </w:p>
    <w:p>
      <w:pPr/>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POSSIBLE 2026:</w:t>
      </w:r>
      <w:r>
        <w:t xml:space="preserve"> Smart Grids — https://openalex.org/W7204067602</w:t>
      </w:r>
    </w:p>
    <w:p>
      <w:pPr/>
      <w:r>
        <w:rPr>
          <w:b/>
        </w:rPr>
        <w:t>Shared claim-specific concepts:</w:t>
      </w:r>
      <w:r>
        <w:t xml:space="preserve"> smart, grid, energy, electricity, perspectives; EU scope not established. This is a provisional connection, not an outcome finding.</w:t>
      </w:r>
    </w:p>
    <w:p>
      <w:pPr>
        <w:pStyle w:val="SourceNote"/>
      </w:pPr>
      <w:r>
        <w:rPr>
          <w:b/>
        </w:rPr>
        <w:t>Available abstract (not full text):</w:t>
      </w:r>
      <w:r>
        <w:t xml:space="preserve"> Smart Grids – Innovations for a Sustainable Future presents a timely and comprehensive exploration of how modern power systems are evolving to meet the demands of decarbonization, digitalization, and resilience. As electricity networks transition toward high shares of renewable energy, inverter-based resources, and data-driven operation, smart grids are emerging as the backbone of a sustainable energy future. This book brings together interdisciplinary perspectives on artificial intelligence in power systems, advanced microgrid control, renewable energy integration, cyber-physical security, electricity markets, and community-oriented energy solutions. It highlights how trustworthy AI, intelligent forecasting, decentralized control, and robust policy frameworks can work together to enhance grid reliability, flexibility, and transparency. By bridging technical innovation with market design and socio-technical considerations, the volume offers a holistic view of smart grid development that goes beyond conventional engineering approaches. Designed for researchers, engineers, policymakers, and advanced students, this book provides valuable insights, conceptual frameworks, and practical perspectives to support informed decision-making and innovation across the smart grid ecosystem, making it a useful reference for those shaping the next generation of sustainable, intelligent power sy</w:t>
      </w:r>
    </w:p>
    <w:p>
      <w:pPr/>
      <w:r>
        <w:rPr>
          <w:b/>
        </w:rPr>
        <w:t>POSSIBLE 2026:</w:t>
      </w:r>
      <w:r>
        <w:t xml:space="preserve"> Towards consumer-oriented smart grids : investigating consumer perspectives on the adoption of smart technologies and services — https://openalex.org/W7222853900</w:t>
      </w:r>
    </w:p>
    <w:p>
      <w:pPr/>
      <w:r>
        <w:rPr>
          <w:b/>
        </w:rPr>
        <w:t>Shared claim-specific concepts:</w:t>
      </w:r>
      <w:r>
        <w:t xml:space="preserve"> smart, grid, increasingly, energy, first, perspectives; EU scope visible. This is a provisional connection, not an outcome finding.</w:t>
      </w:r>
    </w:p>
    <w:p>
      <w:pPr>
        <w:pStyle w:val="SourceNote"/>
      </w:pPr>
      <w:r>
        <w:rPr>
          <w:b/>
        </w:rPr>
        <w:t>Available abstract (not full text):</w:t>
      </w:r>
      <w:r>
        <w:t xml:space="preserve"> Consumers are expected to play a central role in smart grids, and therefore, it is becoming increasingly important to identify and understand factors that influence consumer engagement in them through various smart grid technologies and services. This dissertation focuses on investigating consumer opinions, awareness, and experiences of key smart grid technologies and services, as well as on analysing factors and variables that influence their adoption. By providing insights for both theory and practice, the research carried out in this dissertation aims to support the development of consumer-oriented smart grids and to inform efforts to promote the adoption of smart grid technologies and services. The research conducted in the dissertation adopts both qualitative and quantitative methods. First, consumer perspectives towards demand response are investigated using a systematic review and thematic synthesis of previous European demand response projects. Secondly, to improve the understanding of the roles of trust and technological knowledge in affecting technology adoption in the smart grid context, a cross-sectional online questionnaire survey of Finnish consumers is carried out, and the data are analysed using path analysis. Lastly, a machine learning-based social media sentiment analysis is conducted to examine how consumer opinions of various smart grid technologies and beha</w:t>
      </w:r>
    </w:p>
    <w:p>
      <w:pPr/>
      <w:r>
        <w:rPr>
          <w:b/>
        </w:rPr>
        <w:t>POSSIBLE 2026:</w:t>
      </w:r>
      <w:r>
        <w:t xml:space="preserve"> Applications of Smart Grid — https://doi.org/10.54660/ijfei.2026.3.5.10-19</w:t>
      </w:r>
    </w:p>
    <w:p>
      <w:pPr/>
      <w:r>
        <w:rPr>
          <w:b/>
        </w:rPr>
        <w:t>Shared claim-specific concepts:</w:t>
      </w:r>
      <w:r>
        <w:t xml:space="preserve"> smart, grid, energy, electricity; EU scope not established. This is a provisional connection, not an outcome finding.</w:t>
      </w:r>
    </w:p>
    <w:p>
      <w:pPr>
        <w:pStyle w:val="SourceNote"/>
      </w:pPr>
      <w:r>
        <w:rPr>
          <w:b/>
        </w:rPr>
        <w:t>Available abstract (not full text):</w:t>
      </w:r>
      <w:r>
        <w:t xml:space="preserve"> The transition from traditional power grids to smart grids signifies a significant change in energy management, distribution, and consumption. A smart grid modernizes the electricity delivery system by monitoring, protecting, and automatically optimizing the operation of its interconnected components. It is often viewed as a solution to global warming, offering great potential for cleaner and more efficient power, improved air quality, and reduced greenhouse gas emissions. The smart grid enhances the 20th-century electrical grid by incorporating two-way communication and intelligent devices. This enables bidirectional flow of electricity and information, potentially improving the delivery network. This paper discusses the key applications of smart grid technology.</w:t>
      </w:r>
    </w:p>
    <w:p>
      <w:pPr/>
      <w:r>
        <w:rPr>
          <w:b/>
        </w:rPr>
        <w:t>POSSIBLE 2026:</w:t>
      </w:r>
      <w:r>
        <w:t xml:space="preserve"> Smart Grids and Renewable Energy Communities in Pakistan and the Middle East: Present Situation, Perspectives, Future Developments, and Comparison with EU — https://doi.org/10.3390/en19020535</w:t>
      </w:r>
    </w:p>
    <w:p>
      <w:pPr/>
      <w:r>
        <w:rPr>
          <w:b/>
        </w:rPr>
        <w:t>Shared claim-specific concepts:</w:t>
      </w:r>
      <w:r>
        <w:t xml:space="preserve"> smart, energy, policies, perspectives; EU scope visible. This is a provisional connection, not an outcome finding.</w:t>
      </w:r>
    </w:p>
    <w:p>
      <w:pPr>
        <w:pStyle w:val="SourceNote"/>
      </w:pPr>
      <w:r>
        <w:rPr>
          <w:b/>
        </w:rPr>
        <w:t>Available abstract (not full text):</w:t>
      </w:r>
      <w:r>
        <w:t xml:space="preserve"> The shift towards the integration of and transition to renewable energy has led to an increase in renewable energy communities (RECs) and smart grids (SGs). The significance of these RECs is mainly energy self-sufficiency, energy independence, and energy autonomy. Despite this, in low- and middle-income countries and regions like Pakistan and the Middle East, SGs and RECs are still in their initial stage. However, they have potential for green energy solutions rooted in their unique geographic and climatic conditions. SGs offer energy monitoring, communication infrastructure, and automation features to help these communities build flexible and efficient energy systems. This work provides an overview of Pakistani and Middle Eastern energy policies, goals, and initiatives while aligning with European comparisons. This work also highlights technical, regulatory, and economic challenges in those regions. The main objectives of the research are to ensure that residential service sizes are optimized to maximize the economic and environmental benefits of green energy. Furthermore, in line with SDG 7, affordable and clean energy, the focus in this study is on the development and transformation of energy systems for sustainability and creating synergies with other SDGs. The paper presents insights on the European Directive, including the amended Renewable Energy Directive (RED II and II</w:t>
      </w:r>
    </w:p>
    <w:p>
      <w:pPr/>
      <w:r>
        <w:rPr>
          <w:b/>
        </w:rPr>
        <w:t>POSSIBLE 2026:</w:t>
      </w:r>
      <w:r>
        <w:t xml:space="preserve"> Trustworthy AI in Smart Grid Systems — https://doi.org/10.5772/intechopen.1013588</w:t>
      </w:r>
    </w:p>
    <w:p>
      <w:pPr/>
      <w:r>
        <w:rPr>
          <w:b/>
        </w:rPr>
        <w:t>Shared claim-specific concepts:</w:t>
      </w:r>
      <w:r>
        <w:t xml:space="preserve"> smart, grid, increasingly, energy; EU scope not established. This is a provisional connection, not an outcome finding.</w:t>
      </w:r>
    </w:p>
    <w:p>
      <w:pPr>
        <w:pStyle w:val="SourceNote"/>
      </w:pPr>
      <w:r>
        <w:rPr>
          <w:b/>
        </w:rPr>
        <w:t>Available abstract (not full text):</w:t>
      </w:r>
      <w:r>
        <w:t xml:space="preserve"> As smart grids increasingly rely on AI for energy distribution, demand forecasting, and fault detection, the trustworthiness of these systems becomes critical to their successful deployment and public acceptance. Ensuring responsible decision-making involves protecting sensitive consumer and operational data, building models using ethically sourced and representative data, and developing explainable models that promote transparency, accountability, and user engagement. This chapter addresses the foundations of ethical AI and the challenges it presents in today’s smart grid systems, examines the challenges of identifying and mitigating bias in AI models used in critical infrastructure, explores the importance of fairness in these systems and strategies to ensure it, and provides an overview of predictive maintenance with trustful AI in smart grid environments.</w:t>
      </w:r>
    </w:p>
    <w:p>
      <w:pPr/>
      <w:r>
        <w:rPr>
          <w:b/>
        </w:rPr>
        <w:t>POSSIBLE 2025:</w:t>
      </w:r>
      <w:r>
        <w:t xml:space="preserve"> Smart Grids and Sustainability: The Impact of Digital Technologies on the Energy Transition — https://doi.org/10.3390/en18092149</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Grids (SG) represent a key element in the energy transition, facilitating the integration of renewable and conventional energy sources through the use of advanced digital technologies. This study analyzes the main research trends related to SG, energy efficiency, and the role of Artificial Intelligence (AI) and the Internet of Things (IoT) in smart energy management. Following the PRISMA protocol, 179 relevant academic articles indexed in the Scopus database were selected and analyzed using VOSviewer software, version 1.6.20, to identify the main thematic clusters. The results reveal a converging research focus on energy flow optimization, renewable energy integration, and the adoption of digital technologies—including cybersecurity solutions—to ensure grid efficiency, security, and resilience. The study confirms that digitalization acts as a key enabler for building a more sustainable and reliable energy system, aligned with the objectives of the European Union and the United Nations 2030 Agenda. The contribution of this work lies in its integrated approach to the analysis of digital technologies, linking the themes of efficiency, resilience, and infrastructure security, in order to provide valuable insights for future research and sustainable energy policy development.</w:t>
      </w:r>
    </w:p>
    <w:p>
      <w:pPr/>
      <w:r>
        <w:rPr>
          <w:b/>
        </w:rPr>
        <w:t>POSSIBLE 2025:</w:t>
      </w:r>
      <w:r>
        <w:t xml:space="preserve"> Smart Grid Technology for Social Acceptance and Urban Energy Efficiency — https://doi.org/10.36948/ijfmr.2025.v07i02.41635</w:t>
      </w:r>
    </w:p>
    <w:p>
      <w:pPr/>
      <w:r>
        <w:rPr>
          <w:b/>
        </w:rPr>
        <w:t>Shared claim-specific concepts:</w:t>
      </w:r>
      <w:r>
        <w:t xml:space="preserve"> smart, grid, energy, inclusion, facilitate; EU scope visible. This is a provisional connection, not an outcome finding.</w:t>
      </w:r>
    </w:p>
    <w:p>
      <w:pPr>
        <w:pStyle w:val="SourceNote"/>
      </w:pPr>
      <w:r>
        <w:rPr>
          <w:b/>
        </w:rPr>
        <w:t>Available abstract (not full text):</w:t>
      </w:r>
      <w:r>
        <w:t xml:space="preserve"> The rapid urbanization and growing energy demands in contemporary cities present a dual challenge of achieving energy efficiency while fostering social inclusivity. Smart grid technology emerges as a pivotal solution, offering enhanced energy management through real time data exchange, distributed energy resources, and demand-side management. This study, titled "Smart Grid Technology for Social Acceptance and Urban Energy Efficiency" explores the intersection of technological innovation, social inclusion, and sustainable urban planning. The study emphasizes the critical role of social acceptance in ensuring the successful adoption of smart grid technologies. Through a socio-economic lens, it investigates how equitable access, stakeholder engagement, and tailored policy frameworks can facilitate widespread acceptance across diverse urban populations. The research contextualizes these findings in the Indian urban landscape, where disparities in energy access and affordability remain significant barriers to inclusivity. Drawing on comparative case studies from the UK, Europe, Hong Kong, Denmark, and New York, this study highlights best practices and lessons learned in integrating smart grid solutions. These global insights provide a foundation for developing culturally and economically adaptable strategies for India. The research further delves into the potential of smart grids to</w:t>
      </w:r>
    </w:p>
    <w:p>
      <w:pPr/>
      <w:r>
        <w:rPr>
          <w:b/>
        </w:rPr>
        <w:t>POSSIBLE 2025:</w:t>
      </w:r>
      <w:r>
        <w:t xml:space="preserve"> Market Mechanisms and Policy Frameworks for Enabling Smart Grids in the Energy Transition — https://doi.org/10.5772/intechopen.1011356</w:t>
      </w:r>
    </w:p>
    <w:p>
      <w:pPr/>
      <w:r>
        <w:rPr>
          <w:b/>
        </w:rPr>
        <w:t>Shared claim-specific concepts:</w:t>
      </w:r>
      <w:r>
        <w:t xml:space="preserve"> smart, energy, electricity; EU scope not established. This is a provisional connection, not an outcome finding.</w:t>
      </w:r>
    </w:p>
    <w:p>
      <w:pPr>
        <w:pStyle w:val="SourceNote"/>
      </w:pPr>
      <w:r>
        <w:rPr>
          <w:b/>
        </w:rPr>
        <w:t>Available abstract (not full text):</w:t>
      </w:r>
      <w:r>
        <w:t xml:space="preserve"> This chapter explores the critical role of market mechanisms and policy frameworks in supporting the development of robust and intelligent smart grids, which are essential for the modern energy landscape. It delves into key strategies for building flexible and efficient electricity markets capable of accommodating the large-scale integration of renewable energy, ensuring energy security, and enhancing industry efficiency. Additionally, the chapter highlights the importance of coordinated policy support, including strategic planning, technological innovation, industrial upgrading, and financial mechanisms, all of which are crucial for fostering the sustainable evolution of smart grids. These elements collectively contribute to facilitating cross-border electricity trade and driving the global energy transition toward cleaner and more reliable energy systems.</w:t>
      </w:r>
    </w:p>
    <w:p>
      <w:pPr/>
      <w:r>
        <w:rPr>
          <w:b/>
        </w:rPr>
        <w:t>POSSIBLE 2025:</w:t>
      </w:r>
      <w:r>
        <w:t xml:space="preserve"> Smart Grid Development for Efficient Energy Use and Management — https://doi.org/10.70382/ajsede.v10i5.023</w:t>
      </w:r>
    </w:p>
    <w:p>
      <w:pPr/>
      <w:r>
        <w:rPr>
          <w:b/>
        </w:rPr>
        <w:t>Shared claim-specific concepts:</w:t>
      </w:r>
      <w:r>
        <w:t xml:space="preserve"> smart, grid, energy; EU scope not established. This is a provisional connection, not an outcome finding.</w:t>
      </w:r>
    </w:p>
    <w:p>
      <w:pPr>
        <w:pStyle w:val="SourceNote"/>
      </w:pPr>
      <w:r>
        <w:rPr>
          <w:b/>
        </w:rPr>
        <w:t>Available abstract (not full text):</w:t>
      </w:r>
      <w:r>
        <w:t xml:space="preserve"> This paper presents a comprehensive overview smart-grid deployment in Nigeria to improve energy efficiency, reliability, and management. It synthesizes recent policy initiatives, pilot projects, and sector metrics; describes essential smart-grid components and architectures; analyses Nigeria-specific technical, economic, and institutional barriers; and proposes a staged implementation roadmap (national → regional → distribution/metro → rural microgrids) that leverages distributed renewable energy, advanced metering, and market reforms. Key recommendations cover regulatory reform, targeted investments in distribution automation, data/telecom infrastructure, workforce capacity building, and financing models to accelerate adoption. Evidence from NERC and recent donor/private projects shows distributed renewables and mini/microgrid programs are already central to expanding access smart grids can multiply their benefits when integrated with grid modernization efforts.</w:t>
      </w:r>
    </w:p>
    <w:p>
      <w:pPr/>
      <w:r>
        <w:rPr>
          <w:b/>
        </w:rPr>
        <w:t>POSSIBLE 2025:</w:t>
      </w:r>
      <w:r>
        <w:t xml:space="preserve"> SMART GRID TECHNOLOGIES AND THEIR ROLE IN REDUCING ENERGY CONSUMPTION: A STUDY ON THE FUTURE OF RENEWABLE ENERGY INTEGRATION — https://openalex.org/W7220191985</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 technologies represent a fundamental transformation of traditional electrical infrastructure, enabling bidirectional energy flows, real-time monitoring, and intelligent demand response to optimize energy consumption and integrate renewable energy sources. This study provides a comprehensive analysis of smart grid implementations across 45 pilot projects in North America, Europe, and Asia from 2015-2023, examining technological efficacy, energy savings, and integration challenges. Results demonstrate that advanced metering infrastructure (AMI) reduces residential energy consumption by 5-15% through behavioral feedback, while dynamic pricing strategies achieve 10-25% peak demand reduction. Grid modernization incorporating phasor measurement units (PMUs) and distribution automation reduces system losses from 6.8% to 3.2% on average, while improving renewable integration capacity from 20% to 45% of total generation. Machine learning algorithms for load forecasting achieve 92.3% accuracy, enabling better generation planning and reducing reserve requirements by 15-30%. Energy storage integration, particularly lithium-ion batteries at grid scale, enhances renewable utilization by 22-40% through time-shifting of solar and wind generation. However, cybersecurity vulnerabilities present significant risks, with penetration testing revealing successful attacks on 18% of smart me</w:t>
      </w:r>
    </w:p>
    <w:p>
      <w:pPr/>
      <w:r>
        <w:rPr>
          <w:b/>
        </w:rPr>
        <w:t>POSSIBLE 2025:</w:t>
      </w:r>
      <w:r>
        <w:t xml:space="preserve"> EERA Joint Programme Smart Grids White Paper: The crucial role of Smart Grids for the success of the clean energy transition — https://doi.org/10.5281/zenodo.19497090</w:t>
      </w:r>
    </w:p>
    <w:p>
      <w:pPr/>
      <w:r>
        <w:rPr>
          <w:b/>
        </w:rPr>
        <w:t>Shared claim-specific concepts:</w:t>
      </w:r>
      <w:r>
        <w:t xml:space="preserve"> smart, grid, energy, policies, electricity; EU scope visible. This is a provisional connection, not an outcome finding.</w:t>
      </w:r>
    </w:p>
    <w:p>
      <w:pPr>
        <w:pStyle w:val="SourceNote"/>
      </w:pPr>
      <w:r>
        <w:rPr>
          <w:b/>
        </w:rPr>
        <w:t>Available abstract (not full text):</w:t>
      </w:r>
      <w:r>
        <w:t xml:space="preserve"> Reliable, interconnected electricity grids are essential for Europe’s energy transition, enabling renewable integration and electrification. The white paper highlights the need for major investment to modernise and digitalise infrastructure using technologies like AI. It identifies key challenges, including renewable integration, electrification, cybersecurity, and skills gaps. It calls for a shift to flexible, decentralised, consumer-driven systems, supported by innovative technologies and policies to build a resilient, integrated European power grid aligned with climate goals.</w:t>
      </w:r>
    </w:p>
    <w:p>
      <w:pPr/>
      <w:r>
        <w:rPr>
          <w:b/>
        </w:rPr>
        <w:t>POSSIBLE 2025:</w:t>
      </w:r>
      <w:r>
        <w:t xml:space="preserve"> Smart Grids and the Green Transition: Shaping the Future of Europe’s Internal Electricity Market — https://doi.org/10.56037/978-963-646-442-4</w:t>
      </w:r>
    </w:p>
    <w:p>
      <w:pPr/>
      <w:r>
        <w:rPr>
          <w:b/>
        </w:rPr>
        <w:t>Shared claim-specific concepts:</w:t>
      </w:r>
      <w:r>
        <w:t xml:space="preserve"> smart, grid, energy, electricity; EU scope visible. This is a provisional connection, not an outcome finding.</w:t>
      </w:r>
    </w:p>
    <w:p>
      <w:pPr>
        <w:pStyle w:val="SourceNote"/>
      </w:pPr>
      <w:r>
        <w:rPr>
          <w:b/>
        </w:rPr>
        <w:t>Available abstract (not full text):</w:t>
      </w:r>
      <w:r>
        <w:t xml:space="preserve"> Europe’s energy transition is shaped by the dual imperatives of climate neutrality and security of supply, underpinned by technological innovation and legal reform. This book, Smart Grids and the Green Transition: Shaping the Future of Europe’s Internal Electricity Market, provides a comprehensive analysis of how smart grid technologies and digitalisation are transforming electricity networks, consumer roles, and regulatory frameworks. It situates smart grids as the backbone of a decarbonised energy system, essential for integrating renewable energy, enabling e-mobility, and ensuring demand-side flexibility. Against the backdrop of the European Green Deal, the Fit for 55 package, REPowerEU, and the recast Internal Electricity Market Directive, the book explores the evolving interaction between climate ambition, market regulation, and consumer protection. By addressing data governance, cybersecurity, competition, and sector integration, it demonstrates how EU energy law is adapting to balance sustainability, affordability, and resilience in Europe’s internal electricity market.</w:t>
      </w:r>
    </w:p>
    <w:p>
      <w:pPr>
        <w:pStyle w:val="Heading2"/>
      </w:pPr>
      <w:r>
        <w:t>898. Investigating scenario planning – a European tourism perspective</w:t>
      </w:r>
    </w:p>
    <w:p>
      <w:pPr>
        <w:pStyle w:val="SourceNote"/>
      </w:pPr>
      <w:r>
        <w:rPr>
          <w:b/>
        </w:rPr>
        <w:t>Original source (2015):</w:t>
      </w:r>
      <w:r>
        <w:t xml:space="preserve"> https://doi.org/10.1108/jtf-12-2014-0020</w:t>
      </w:r>
    </w:p>
    <w:p>
      <w:pPr/>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POSSIBLE 2026:</w:t>
      </w:r>
      <w:r>
        <w:t xml:space="preserve"> European Wild Bees: moving from assessment to conservation planning — https://doi.org/10.2779/5662020kh-01-25-230</w:t>
      </w:r>
    </w:p>
    <w:p>
      <w:pPr/>
      <w:r>
        <w:rPr>
          <w:b/>
        </w:rPr>
        <w:t>Shared claim-specific concepts:</w:t>
      </w:r>
      <w:r>
        <w:t xml:space="preserve"> planning, following, mission, group;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2025:</w:t>
      </w:r>
      <w:r>
        <w:t xml:space="preserve"> Recycling data for Marine Spatial Planning: A review of maritime plans in Europe — https://doi.org/10.46298/jimis.13496</w:t>
      </w:r>
    </w:p>
    <w:p>
      <w:pPr/>
      <w:r>
        <w:rPr>
          <w:b/>
        </w:rPr>
        <w:t>Shared claim-specific concepts:</w:t>
      </w:r>
      <w:r>
        <w:t xml:space="preserve"> planning, approach, used; EU scope visible. This is a provisional connection, not an outcome finding.</w:t>
      </w:r>
    </w:p>
    <w:p>
      <w:pPr>
        <w:pStyle w:val="SourceNote"/>
      </w:pPr>
      <w:r>
        <w:rPr>
          <w:b/>
        </w:rPr>
        <w:t>Available abstract (not full text):</w:t>
      </w:r>
      <w:r>
        <w:t xml:space="preserve"> The ecosystem-based approach to marine spatial planning (MSP) is attracting increasing attention due to the requirements of Directive 2014/89/EU. To date, research on the ecosystem-based approach has focused mainly on the methods used to set up studies to assess the impact of human marine activities on ecosystems. This article presents a review of European marine plans, focusing in particular on the data and maps used to translate MSP. This study should contribute to our understanding of the notion of entanglement in planning. We draw on critical data studies, and in particular on the theory of intra-action and the concept of information in-formation, to understand the biases of data and maps. We used a method based on a content analysis to study maritime plans in Europe with regard to four main indicators enabling us to evaluate data and map uses in MSPs in relation to the ecosystem-based approach. Overall, our results suggest that the ecosystem approach is poorly transcribed on maps due to a lack of suitable data sets, geotechnological constraints, or political decisions. In particular, we observe a recycling of data for planning purposes. Our research has highlighted the importance of studying the entire data lifecycle, from production to display, in order to have a holistic vision of MSP. Le domaine des études en Planification Spatiale Marine (PSM) basée sur les approches é</w:t>
      </w:r>
    </w:p>
    <w:p>
      <w:pPr/>
      <w:r>
        <w:rPr>
          <w:b/>
        </w:rPr>
        <w:t>POSSIBLE 2025:</w:t>
      </w:r>
      <w:r>
        <w:t xml:space="preserve"> Temporalities for, of, and in Planning: Exploring Post-Growth, Participation, and Devolution Across European Planning Reforms — https://doi.org/10.17645/up.9121</w:t>
      </w:r>
    </w:p>
    <w:p>
      <w:pPr/>
      <w:r>
        <w:rPr>
          <w:b/>
        </w:rPr>
        <w:t>Shared claim-specific concepts:</w:t>
      </w:r>
      <w:r>
        <w:t xml:space="preserve"> planning, used, framework; EU scope visible. This is a provisional connection, not an outcome finding.</w:t>
      </w:r>
    </w:p>
    <w:p>
      <w:pPr>
        <w:pStyle w:val="SourceNote"/>
      </w:pPr>
      <w:r>
        <w:rPr>
          <w:b/>
        </w:rPr>
        <w:t>Available abstract (not full text):</w:t>
      </w:r>
      <w:r>
        <w:t xml:space="preserve"> In the wake of the Covid-19 pandemic and the acceleration of climate change, many governments are turning to their planning systems to explore how national planning reform can help them address their current crisis. Time across planning reforms appears as a central dimension, building on governments’ long-term ambitions to speed planning. While academic normative debates argue in favour of faster and/or slower changes to planning as inherently good or bad, this article draws on a comparative analysis of national planning reforms across three European countries to critically examine how time is being mobilised and with what objective. Through an analytical framework that seeks a more holistic understanding of the planning process, we argue that temporalities in planning are relational. Across the three cases, we can see how the generation of consensus depoliticises the use of time, and it is generally used to advance regressive agendas. We argue that despite ambitions to make planning more responsive and participatory at the local level, planning reforms (a) reduce the influence of public participation while strengthening private property rights; (b) are used to territorialise sectoral, top–down, and long-term agendas with no consideration of the timely and situated concerns and visions of residents and communities; and (c) are underpinned by a pro-growth and rapid urbanisation </w:t>
      </w:r>
    </w:p>
    <w:p>
      <w:pPr/>
      <w:r>
        <w:rPr>
          <w:b/>
        </w:rPr>
        <w:t>POSSIBLE 2024:</w:t>
      </w:r>
      <w:r>
        <w:t xml:space="preserve"> Launching a European Employee Stock Ownership Plan (European ESOP) — https://doi.org/10.1108/jpeo-06-2024-0010</w:t>
      </w:r>
    </w:p>
    <w:p>
      <w:pPr/>
      <w:r>
        <w:rPr>
          <w:b/>
        </w:rPr>
        <w:t>Shared claim-specific concepts:</w:t>
      </w:r>
      <w:r>
        <w:t xml:space="preserve"> purpose, approach, developed, used, design, methodology;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r>
        <w:rPr>
          <w:b/>
        </w:rPr>
        <w:t>POSSIBLE 2024:</w:t>
      </w:r>
      <w:r>
        <w:t xml:space="preserve"> An assessment of the state of conservation planning in Europe — https://doi.org/10.1098/rstb.2023.0015</w:t>
      </w:r>
    </w:p>
    <w:p>
      <w:pPr/>
      <w:r>
        <w:rPr>
          <w:b/>
        </w:rPr>
        <w:t>Shared claim-specific concepts:</w:t>
      </w:r>
      <w:r>
        <w:t xml:space="preserve"> planning, approach, conceptual; EU scope visible. This is a provisional connection, not an outcome finding.</w:t>
      </w:r>
    </w:p>
    <w:p>
      <w:pPr>
        <w:pStyle w:val="SourceNote"/>
      </w:pPr>
      <w:r>
        <w:rPr>
          <w:b/>
        </w:rPr>
        <w:t>Available abstract (not full text):</w:t>
      </w:r>
      <w:r>
        <w:t xml:space="preserve">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pPr/>
      <w:r>
        <w:rPr>
          <w:b/>
        </w:rPr>
        <w:t>POSSIBLE 2024:</w:t>
      </w:r>
      <w:r>
        <w:t xml:space="preserve"> Ways to Develop Preschool Education Statistics in Line with European Union Standards — https://doi.org/10.31767/su.3(106)2024.03.05</w:t>
      </w:r>
    </w:p>
    <w:p>
      <w:pPr/>
      <w:r>
        <w:rPr>
          <w:b/>
        </w:rPr>
        <w:t>Shared claim-specific concepts:</w:t>
      </w:r>
      <w:r>
        <w:t xml:space="preserve"> purpose, methodology, aims; EU scope visible. This is a provisional connection, not an outcome finding.</w:t>
      </w:r>
    </w:p>
    <w:p>
      <w:pPr>
        <w:pStyle w:val="SourceNote"/>
      </w:pPr>
      <w:r>
        <w:rPr>
          <w:b/>
        </w:rPr>
        <w:t>Available abstract (not full text):</w:t>
      </w:r>
      <w:r>
        <w:t xml:space="preserve"> The article discusses the problems of developing statistics on preschool education in Ukraine in accordance with the standards of the European Union in the context of European integration. Ukraine has committed itself to the implementation of European standards in education, which aims to improve the quality, accessibility and transparency of data. This will ensure comparability with EU data, which opens up new opportunities for international cooperation. The European Union standards focus on sustainable development, integration of environmental, social and economic aspects, which allows taking into account the interests of all social groups, providing equal access to education for all children. The article analyses problematic aspects, such as the lack of a unified methodology for collecting statistical data, limited data by quantitative indicators and insufficient integration into the European statistical space. The study also addresses topical issues of data collection automation and the use of information and communication technologies. The study provides a comparative analysis of statistical indicators of preschool education in Ukraine and the European Union, including the indicators ‘Education and training’ and ‘Regional education statistics’ in accordance with the classification of the International Standard Classification of Education 2011. The purpose of the article is</w:t>
      </w:r>
    </w:p>
    <w:p>
      <w:pPr/>
      <w:r>
        <w:rPr>
          <w:b/>
        </w:rPr>
        <w:t>POSSIBLE 2023:</w:t>
      </w:r>
      <w:r>
        <w:t xml:space="preserve"> Determining Urban Indicators in Local Plans—As One of the Sustainable Assumptions of the New European Bauhaus? — https://doi.org/10.3390/buildings14010100</w:t>
      </w:r>
    </w:p>
    <w:p>
      <w:pPr/>
      <w:r>
        <w:rPr>
          <w:b/>
        </w:rPr>
        <w:t>Shared claim-specific concepts:</w:t>
      </w:r>
      <w:r>
        <w:t xml:space="preserve"> purpose, planning, used, following; EU scope visible. This is a provisional connection, not an outcome finding.</w:t>
      </w:r>
    </w:p>
    <w:p>
      <w:pPr>
        <w:pStyle w:val="SourceNote"/>
      </w:pPr>
      <w:r>
        <w:rPr>
          <w:b/>
        </w:rPr>
        <w:t>Available abstract (not full text):</w:t>
      </w:r>
      <w:r>
        <w:t xml:space="preserve">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pPr/>
      <w:r>
        <w:rPr>
          <w:b/>
        </w:rPr>
        <w:t>POSSIBLE 2023:</w:t>
      </w:r>
      <w:r>
        <w:t xml:space="preserve"> Poverty in Europe: How long‐term poverty developed following the financial crisis and what drives it — https://doi.org/10.1111/ijsw.12614</w:t>
      </w:r>
    </w:p>
    <w:p>
      <w:pPr/>
      <w:r>
        <w:rPr>
          <w:b/>
        </w:rPr>
        <w:t>Shared claim-specific concepts:</w:t>
      </w:r>
      <w:r>
        <w:t xml:space="preserve"> purpose, developed, following; EU scope visible. This is a provisional connection, not an outcome finding.</w:t>
      </w:r>
    </w:p>
    <w:p>
      <w:pPr>
        <w:pStyle w:val="SourceNote"/>
      </w:pPr>
      <w:r>
        <w:rPr>
          <w:b/>
        </w:rPr>
        <w:t>Available abstract (not full text):</w:t>
      </w:r>
      <w:r>
        <w:t xml:space="preserve"> Abstract The purpose of this paper is to provide an update on the development of the long‐term relative poverty rate in Europe. We use European Statistics on Income and Living Conditions data (EU‐SILC) for 26 European countries between 2009 and 2018. In addition to describing the development of long‐term poverty, we also analyse the drivers of poverty on the country level via fixed effects panel regression analysis. We are particularly interested in how economic growth, employment rates, social expenditure, and short‐term poverty rates are related to long‐term poverty. Overall, the results show that long‐term poverty has increased in 13 out of 26 countries, but was unchanged or decreased in 13 countries. Gross domestic product growth is not related to the development of long‐term poverty. However, we find that male employment and social welfare expenditure reduce poverty rates. Furthermore, short‐term poverty is negatively associated with long‐term poverty. Hence, short‐term poverty and long‐term poverty rather substitute than complement each other.</w:t>
      </w:r>
    </w:p>
    <w:p>
      <w:pPr/>
      <w:r>
        <w:rPr>
          <w:b/>
        </w:rPr>
        <w:t>POSSIBLE 2023:</w:t>
      </w:r>
      <w:r>
        <w:t xml:space="preserve"> Business interest associations in the USA and Europe: evaluation of digital marketing techniques applied on their websites and social networks — https://doi.org/10.1108/jec-10-2022-0164</w:t>
      </w:r>
    </w:p>
    <w:p>
      <w:pPr/>
      <w:r>
        <w:rPr>
          <w:b/>
        </w:rPr>
        <w:t>Shared claim-specific concepts:</w:t>
      </w:r>
      <w:r>
        <w:t xml:space="preserve"> purpose, approach, developed, design, methodology, aims; EU scope visible. This is a provisional connection, not an outcome finding.</w:t>
      </w:r>
    </w:p>
    <w:p>
      <w:pPr>
        <w:pStyle w:val="SourceNote"/>
      </w:pPr>
      <w:r>
        <w:rPr>
          <w:b/>
        </w:rPr>
        <w:t>Available abstract (not full text):</w:t>
      </w:r>
      <w:r>
        <w:t xml:space="preserve"> Purpose This study aims to develop a proprietary indicator to measure the digital presence of the institutions: the digital presence index. Design/methodology/approach This research delves into how nonprofit institutions, specifically business interest associations (BIAs), have developed their internet presence by applying essential digital marketing techniques. To this end, and using big data mining tools, this study analyzes the tracking by internet users of 102 BIAs, with their respective websites in 36 countries in Europe and the USA. In addition, the presence and activity of the institutions included in this study on social networks are considered. Findings This research serves as a basis for discussing the current gap between social reality and the digitalization of institutions. In this sense, conclusions are drawn on the importance of managerial profiles in decision-making on digitization and the necessary knowledge that, together with Web and social network managers, they must have to articulate the means and techniques that promote the internet presence of the organizations they manage. Originality/value Conclusions are drawn according to the geographical scope of the BIAs, and an argument is made about the difficulties of connection and loss of prominence of this type of institutions among their different target audiences, especially among the youngest and most digit</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approach, tourism, framework;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2022:</w:t>
      </w:r>
      <w:r>
        <w:t xml:space="preserve"> European Burns Association guidelines for the management of burn mass casualty incidents within a European response plan — https://doi.org/10.1016/j.burns.2022.12.011</w:t>
      </w:r>
    </w:p>
    <w:p>
      <w:pPr/>
      <w:r>
        <w:rPr>
          <w:b/>
        </w:rPr>
        <w:t>Shared claim-specific concepts:</w:t>
      </w:r>
      <w:r>
        <w:t xml:space="preserve"> developed, used, following; EU scope visible. This is a provisional connection, not an outcome finding.</w:t>
      </w:r>
    </w:p>
    <w:p>
      <w:pPr>
        <w:pStyle w:val="SourceNote"/>
      </w:pPr>
      <w:r>
        <w:rPr>
          <w:b/>
        </w:rPr>
        <w:t>Available abstract (not full text):</w:t>
      </w:r>
      <w:r>
        <w:t xml:space="preserve"> BACKGROUND: A European response plan to burn mass casualty incidents has been jointly developed by the European Commission and the European Burn Association. Upon request for assistance by an affected country, the plan outlines a mechanism for coordinated international assistance, aiming to alleviate the burden of care in the affected country and to offer adequate specialized care to all patients who can benefit from it. To that aim, Burn Assessment Teams are deployed to assess and triage patients. Their transportation priority recommendations are used to distribute outnumbering burn casualties to foreign burn centers. Following an appropriate medical evacuation, these casualties receive specialized care in those facilities. METHODS: The European Burns Association's disaster committee developed medical-organizational guidelines to support this European plan. The experts identified fields of interest, defined questions to be addressed, performed relevant literature searches, and added their expertise in burn disaster preparedness and response. Due to the lack of high-level evidence in the available literature, recommendations and specially designed implementation tools were provided from expert opinion. The European Burns Association officially endorsed the draft recommendations in 2019, and the final full text was approved by the EBA executive committee in 2022. RECOMMENDATIONS</w:t>
      </w:r>
    </w:p>
    <w:p>
      <w:pPr/>
      <w:r>
        <w:rPr>
          <w:b/>
        </w:rPr>
        <w:t>POSSIBLE 2021:</w:t>
      </w:r>
      <w:r>
        <w:t xml:space="preserve"> Holistic and integrative review into the barriers to women’s advancement to the corporate top in Europe — https://doi.org/10.1108/gm-02-2020-0058</w:t>
      </w:r>
    </w:p>
    <w:p>
      <w:pPr/>
      <w:r>
        <w:rPr>
          <w:b/>
        </w:rPr>
        <w:t>Shared claim-specific concepts:</w:t>
      </w:r>
      <w:r>
        <w:t xml:space="preserve"> purpose, approach, used, design, methodology, aims; EU scope visible. This is a provisional connection, not an outcome finding.</w:t>
      </w:r>
    </w:p>
    <w:p>
      <w:pPr>
        <w:pStyle w:val="SourceNote"/>
      </w:pPr>
      <w:r>
        <w:rPr>
          <w:b/>
        </w:rPr>
        <w:t>Available abstract (not full text):</w:t>
      </w:r>
      <w:r>
        <w:t xml:space="preserve"> Purpose This paper aims to analyze the barriers discussed in the extant literature as to why women are underrepresented in the corporate top and explains how these barriers interrelate. An understanding of the interrelatedness of the barriers can help develop suitable and effective measures to improve women’s representation. Design/methodology/approach The systematic review method was applied. The search resulted in 51 relevant academic articles from multiple disciplines which were used for the analysis. Findings Barriers identified include gender stereotypes, bias in recruitment and promotion, devaluation of women, masculine and long-hours organizational culture, work-family issues and the lack of professional support. The interrelatedness of these barriers is analyzed by means of a conceptual framework. Research limitations/implications The adopted method requires the use of search engines and search terms and consequently relevant articles may have been overlooked. The study is geographically demarcated to Europe and, hence is only applicable to developing suitable and effective measures in a European context. More research is needed into which measures are appropriate and effective to overcome the barriers identified. Practical implications The insights can be used by companies to foster gender equality and by companies and governments to develop appropriate and effective m</w:t>
      </w:r>
    </w:p>
    <w:p>
      <w:pPr>
        <w:pStyle w:val="Heading2"/>
      </w:pPr>
      <w:r>
        <w:t>899. La aplicación estratégica por escenarios en el medio natural. El caso del Nature Outlook 2050 del PBL.</w:t>
      </w:r>
    </w:p>
    <w:p>
      <w:pPr>
        <w:pStyle w:val="SourceNote"/>
      </w:pPr>
      <w:r>
        <w:rPr>
          <w:b/>
        </w:rPr>
        <w:t>Original source (2015):</w:t>
      </w:r>
      <w:r>
        <w:t xml:space="preserve"> https://doi.org/10.5209/rev_obmd.2015.v18.51291</w:t>
      </w:r>
    </w:p>
    <w:p>
      <w:pPr/>
      <w:r>
        <w:t>Original wording (abstract; indexed_source_text_not_full_document_verified): This paper shows how to implement the tool, mixing theoretical explanation and the practical performance done in project called: Nature Outlook 2050.</w:t>
      </w:r>
    </w:p>
    <w:p>
      <w:pPr/>
      <w:r>
        <w:rPr>
          <w:b/>
        </w:rPr>
        <w:t>POSSIBLE 2026:</w:t>
      </w:r>
      <w:r>
        <w:t xml:space="preserve"> Theoretical Explanation of Triguna and Emotional Intelligence — https://doi.org/10.1922/pjs.16.4s.2026.954</w:t>
      </w:r>
    </w:p>
    <w:p>
      <w:pPr/>
      <w:r>
        <w:rPr>
          <w:b/>
        </w:rPr>
        <w:t>Shared claim-specific concepts:</w:t>
      </w:r>
      <w:r>
        <w:t xml:space="preserve"> theoretical, explanation, nature; EU scope not established. This is a provisional connection, not an outcome finding.</w:t>
      </w:r>
    </w:p>
    <w:p>
      <w:pPr>
        <w:pStyle w:val="SourceNote"/>
      </w:pPr>
      <w:r>
        <w:rPr>
          <w:b/>
        </w:rPr>
        <w:t>Available abstract (not full text):</w:t>
      </w:r>
      <w:r>
        <w:t xml:space="preserve"> Getting into psychology is one of the best ways to analyse the behaviour of any individual. In yoga, basic human nature is deeply influenced by the dominance of any one of the Triguna. Satva, Raja, and Tama are the three gunas, which we address in various yogic scriptures. By understanding these gunas, one can recognise the emotional patterns and behaviours of a person. Many ancient books have explained this theory of Triguṇa and its influence on Personality. Satva guna is considered to be pure, Raja guna is activity, and Tama guna is darkness. Every person possesses these qualities, but they are not evenly dominant at the same time. These disturbances in gunas will ultimately make differences in personality from one person to another. Conflict in personality traits can only be seen when there is an imbalance in these three gunas. Majorly, there are factors that indirectly play a role in the fluctuations of mental health and overall behaviour. It can be work-life balance, health-related issues, or a lack of emotional maturity. With this study, we will be able to identify the origin of that factor and explore further the nature of personality modifications. This theoretical paper on Triguna analysis aims to explore further possibilities for conducting a well-defined study on human psychology and to understand the concept of emotional well-being.</w:t>
      </w:r>
    </w:p>
    <w:p>
      <w:pPr/>
      <w:r>
        <w:rPr>
          <w:b/>
        </w:rPr>
        <w:t>POSSIBLE 2026:</w:t>
      </w:r>
      <w:r>
        <w:t xml:space="preserve"> An Empirical Study and Theoretical Explanation on Task-Level Model-Merging Collapse — https://doi.org/10.48550/arxiv.2603.09463</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Model merging unifies independently fine-tuned LLMs from the same base, enabling reuse and integration of parallel development efforts without retraining. However, in practice we observe that merging does not always succeed: certain combinations of task-specialist models suffer from catastrophic performance degradation after merging. We refer to this failure mode as merging collapse. Intuitively, collapse arises when the learned representations or parameter adjustments for different tasks are fundamentally incompatible, so that merging forces destructive interference rather than synergy. In this paper, we identify and characterize the phenomenon of task-level merging collapse, where certain task combinations consistently trigger huge performance degradation across all merging methods. Through extensive experiments and statistical analysis, we demonstrate that representational incompatibility between tasks is strongly correlated with merging collapse, while parameter-space conflict metrics show minimal correlation, challenging conventional wisdom in model merging literature. We provide a theoretical explanation on this phenomenon through rate-distortion theory with a dimension-dependent bound, establishing fundamental limits on task mergeability regardless of methodology.</w:t>
      </w:r>
    </w:p>
    <w:p>
      <w:pPr/>
      <w:r>
        <w:rPr>
          <w:b/>
        </w:rPr>
        <w:t>POSSIBLE 2025:</w:t>
      </w:r>
      <w:r>
        <w:t xml:space="preserve"> GAD-7 Screening Tool Implementation — https://openalex.org/W7112211183</w:t>
      </w:r>
    </w:p>
    <w:p>
      <w:pPr/>
      <w:r>
        <w:rPr>
          <w:b/>
        </w:rPr>
        <w:t>Shared claim-specific concepts:</w:t>
      </w:r>
      <w:r>
        <w:t xml:space="preserve"> implement, tool, project; EU scope not established. This is a provisional connection, not an outcome finding.</w:t>
      </w:r>
    </w:p>
    <w:p>
      <w:pPr>
        <w:pStyle w:val="SourceNote"/>
      </w:pPr>
      <w:r>
        <w:rPr>
          <w:b/>
        </w:rPr>
        <w:t>Available abstract (not full text):</w:t>
      </w:r>
      <w:r>
        <w:t xml:space="preserve">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pPr/>
      <w:r>
        <w:rPr>
          <w:b/>
        </w:rPr>
        <w:t>POSSIBLE 2025:</w:t>
      </w:r>
      <w:r>
        <w:t xml:space="preserve"> The consequences and theoretical explanation of workplace AI on employees: a systematic literature review — https://doi.org/10.1007/s44362-025-00016-3</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Abstract In the digital and intelligent era, the application of artificial intelligence (AI) in the workplace presents both numerous opportunities and challenges for employees. The complex interactions between AI technologies and employees necessitate a comprehensive understanding of how workplace AI implementation affects employee outcomes. This study analyzes publication trends in the related literature, identifying key publishing journals and research hotspots in this emerging field. Building on this foundation, we synthesize representative concepts and measures related to workplace AI, and explore its effects on employees through four theoretical perspectives: resource, stress, cognitive, and motivational perspectives. Additionally, we outline the moderating mechanisms that influence these effects. Finally, we construct an integrated research framework and propose directions for future research, aiming to provide theoretical guidance for ongoing workplace AI research and practical insights for organizational decision-making.</w:t>
      </w:r>
    </w:p>
    <w:p>
      <w:pPr/>
      <w:r>
        <w:rPr>
          <w:b/>
        </w:rPr>
        <w:t>POSSIBLE 2025:</w:t>
      </w:r>
      <w:r>
        <w:t xml:space="preserve"> EXAD: Framework for Designing Explanations in Adaptive User Interfaces — https://doi.org/10.1109/ichora65333.2025.11017085</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Adaptive user interfaces that personalize their behavior based on user patterns are becoming increasingly common, yet they often fail to communicate their adaptations to users effectively. This paper introduces EXAD, a framework for designing explanations in adaptive interfaces that considers adaptation type, explanation timing, and user characteristics. Through a mixed-methods study with 42 participants, we investigated how explanation approaches affect trust, understanding, and efficiency across content, layout, and interaction adaptations. Our findings demonstrate that explanation effectiveness varies significantly by adaptation type: Proactive explanations build the highest trust for layout adaptations, while progressive explanations offer the best balance between transparency and efficiency. We extend the EXAD framework to B5G (Beyond Fifth Generation) network systems, enabling context-aware explanations that enhance trust and transparency. Our results show that carefully designed explanation strategies improve user understanding and operational efficiency, and can be translatable in dynamic network environments such as resource allocation based on user patterns in B5G networks. This research bridges theoretical work in explainable AI with practical implementation challenges in adaptive interfaces.</w:t>
      </w:r>
    </w:p>
    <w:p>
      <w:pPr/>
      <w:r>
        <w:rPr>
          <w:b/>
        </w:rPr>
        <w:t>POSSIBLE 2025:</w:t>
      </w:r>
      <w:r>
        <w:t xml:space="preserve"> Collective Counterfactual Explanations: Balancing Individual Goals and Collective Dynamics — https://doi.org/10.52202/085713-1685</w:t>
      </w:r>
    </w:p>
    <w:p>
      <w:pPr/>
      <w:r>
        <w:rPr>
          <w:b/>
        </w:rPr>
        <w:t>Shared claim-specific concepts:</w:t>
      </w:r>
      <w:r>
        <w:t xml:space="preserve"> implement, theoretical, explanation; EU scope not established. This is a provisional connection, not an outcome finding.</w:t>
      </w:r>
    </w:p>
    <w:p>
      <w:pPr>
        <w:pStyle w:val="SourceNote"/>
      </w:pPr>
      <w:r>
        <w:rPr>
          <w:b/>
        </w:rPr>
        <w:t>Available abstract (not full text):</w:t>
      </w:r>
      <w:r>
        <w:t xml:space="preserve"> Counterfactual explanations provide individuals with cost-optimal recommendations to achieve their desired outcomes. However, when a significant number of individuals seek similar state modifications, this individual-centric approach can inadvertently create competition and introduce unforeseen costs. Additionally, disregarding the underlying data distribution may lead to recommendations that individuals perceive as unusual or impractical. To address these challenges, we propose a novel framework that extends standard counterfactual explanations by incorporating a population dynamics model. This framework penalizes deviations from equilibrium after individuals follow the recommendations, effectively mitigating externalities caused by correlated changes across the population. By balancing individual modification costs with their impact on others, our method ensures more equitable and efficient outcomes. We show how this approach reframes the counterfactual explanation problem from an individual-centric task to a collective optimization problem. Augmenting our theoretical insights, we design and implement scalable algorithms for computing collective counterfactuals, showcasing their effectiveness and advantages over existing recourse methods, particularly in aligning with collective objectives.</w:t>
      </w:r>
    </w:p>
    <w:p>
      <w:pPr/>
      <w:r>
        <w:rPr>
          <w:b/>
        </w:rPr>
        <w:t>POSSIBLE 2024:</w:t>
      </w:r>
      <w:r>
        <w:t xml:space="preserve"> Mental Fatigue and Sports Performance of Athletes: Theoretical Explanation, Influencing Factors, and Intervention Methods — https://doi.org/10.3390/bs14121125</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Mental fatigue is an important factor affecting athletes' performance. Explaining the effects of mental fatigue on sports performance from a theoretical point of view can help us deeply understand the interconnection between mental fatigue and sports performance and conduct effective interventions based on this. Combining the relevant literature in China and abroad reveals that the current academic theories on the mechanism of sports fatigue include motivational control theory, underload theory, neural waste disposal hypothesis, and resource depletion theory. The effects of mental fatigue on performance are reflected in aerobic endurance, sports decision-making, tactical performance, and technical performance. Current coping strategies for mental fatigue include physiological coping strategies based on nutrition (caffeine), odor, and noninvasive neuromodulation techniques and psychological and behavioral coping strategies based on music and positive thinking.</w:t>
      </w:r>
    </w:p>
    <w:p>
      <w:pPr/>
      <w:r>
        <w:rPr>
          <w:b/>
        </w:rPr>
        <w:t>POSSIBLE 2024:</w:t>
      </w:r>
      <w:r>
        <w:t xml:space="preserve"> ROBOTICS AS ONE OF THE TOOLS OF IMPLEMENTATION OF STEM-EDUCATION — https://doi.org/10.32626/2307-4507.2024-30.67-71</w:t>
      </w:r>
    </w:p>
    <w:p>
      <w:pPr/>
      <w:r>
        <w:rPr>
          <w:b/>
        </w:rPr>
        <w:t>Shared claim-specific concepts:</w:t>
      </w:r>
      <w:r>
        <w:t xml:space="preserve"> shows, tool, theoretical; EU scope not established. This is a provisional connection, not an outcome finding.</w:t>
      </w:r>
    </w:p>
    <w:p>
      <w:pPr>
        <w:pStyle w:val="SourceNote"/>
      </w:pPr>
      <w:r>
        <w:rPr>
          <w:b/>
        </w:rPr>
        <w:t>Available abstract (not full text):</w:t>
      </w:r>
      <w:r>
        <w:t xml:space="preserve"> The article is dedicated to the implementation of educational robotics as a component of STEMeducation in the New Ukrainian School learning process. Robotics is a versatile educational tool suitable for all ages, from elementary school students to university students and researchers. Studying robotics creates conditions for the students' personal socialization and provides opportunities for their continuous technical education.The use of educational robotics allows to detect students' technical talents on the early stage, develop them, and form their STEM-competencies overall. The analysis shows how, by studying this course, students learn to process and interpret information, analyze data, think critically, develop creativity, engineering thinking, and communication skills. The article offers an analysis of theoretical information on the current state of educational robotics development and implementation in the educational process. It determines that the form of educational activity used during the course has many advantages, such as high effectiveness in knowledge acquisition and skill formation, increased productivity, formation of cooperation skills, and others. It is established that students who study robotics become self-confident, demonstrate their creativity and creative thinking, develop research skills, as well as responsibility, patience, organization, diligence, a</w:t>
      </w:r>
    </w:p>
    <w:p>
      <w:pPr/>
      <w:r>
        <w:rPr>
          <w:b/>
        </w:rPr>
        <w:t>POSSIBLE 2024:</w:t>
      </w:r>
      <w:r>
        <w:t xml:space="preserve"> ANALYSING THE IMPORTANCE OF IMPLEMENTING DIGITAL TOOLS BY CONSTRUCTION COMPANIES — https://doi.org/10.36750/2524-2555.77.67-73</w:t>
      </w:r>
    </w:p>
    <w:p>
      <w:pPr/>
      <w:r>
        <w:rPr>
          <w:b/>
        </w:rPr>
        <w:t>Shared claim-specific concepts:</w:t>
      </w:r>
      <w:r>
        <w:t xml:space="preserve"> shows, performance, project; EU scope not established. This is a provisional connection, not an outcome finding.</w:t>
      </w:r>
    </w:p>
    <w:p>
      <w:pPr>
        <w:pStyle w:val="SourceNote"/>
      </w:pPr>
      <w:r>
        <w:rPr>
          <w:b/>
        </w:rPr>
        <w:t>Available abstract (not full text):</w:t>
      </w:r>
      <w:r>
        <w:t xml:space="preserve"> Abstract. This article provides a thorough analysis of the importance of the implementation of digital tools by enterprises in the construction industry. The focus is on studying how digitization affects various aspects of construction companies' operations, including project management efficiency, cost optimization, productivity improvement and risk reduction. Digital tools, such as project management systems, building information modeling software (BIM), tools for planning and monitoring work, significantly change approaches to the organization and management of construction processes. The implementation of these technologies allows for greater accuracy in calculations, more efficient use of resources, reduced costs of materials and labor, and improved coordination between various project participants. The article also examines the challenges faced by enterprises in the transition to digital technologies. These can be both technical problems and issues related to personnel training, changes in the internal processes of companies, as well as financial investments. However, despite these difficulties, the analysis shows that the long-term benefits of digitization far outweigh the initial costs and efforts. Digitization contributes not only to increased efficiency and productivity, but also provides the ability to adapt to rapid changes in the industry, which is especially impor</w:t>
      </w:r>
    </w:p>
    <w:p>
      <w:pPr/>
      <w:r>
        <w:rPr>
          <w:b/>
        </w:rPr>
        <w:t>POSSIBLE 2024:</w:t>
      </w:r>
      <w:r>
        <w:t xml:space="preserve"> Determinants of firms' initiative and inertia in pursuing climate neutrality strategies—Theoretical explanations and empirical evidence — https://doi.org/10.1002/bse.3698</w:t>
      </w:r>
    </w:p>
    <w:p>
      <w:pPr/>
      <w:r>
        <w:rPr>
          <w:b/>
        </w:rPr>
        <w:t>Shared claim-specific concepts:</w:t>
      </w:r>
      <w:r>
        <w:t xml:space="preserve"> implement, theoretical, explanation; EU scope visible. This is a provisional connection, not an outcome finding.</w:t>
      </w:r>
    </w:p>
    <w:p>
      <w:pPr>
        <w:pStyle w:val="SourceNote"/>
      </w:pPr>
      <w:r>
        <w:rPr>
          <w:b/>
        </w:rPr>
        <w:t>Available abstract (not full text):</w:t>
      </w:r>
      <w:r>
        <w:t xml:space="preserve"> Abstract In view of global warming and growing demands that economies, industries, and firms should be climate‐neutral by mid‐century, various sources complain that firms are still hesitant to implement a corresponding climate neutrality strategy (CNS). To date, however, there is little empirical evidence or explanation for such an alleged inertia. This study fills this void by analyzing key determinants that may explain whether a CNS is pursued at the firm level. We develop and test hypotheses grounded in theory using firm‐level data from the 2021 European Flash Eurobarometer as well as country‐level datasets to examine the impact of formal and informal institutions. Our results reveal that the majority of firms across many countries and industries have no explicit CNS. As predicted by institutional logics, the extent of a firm's home country's exposure to climate change, climate problem awareness, and regulatory enforcement has a significant positive impact on the likelihood of CNS being formulated and pursued by firms. Extending traditional structural inertia theory, internal factors cause large and old firms to be more likely to report having explicit CNS. We further find that these structural characteristics partially moderate the link between institutions and CNS. After a thorough discussion of the results, potential limitations, research opportunities, and implications f</w:t>
      </w:r>
    </w:p>
    <w:p>
      <w:pPr/>
      <w:r>
        <w:rPr>
          <w:b/>
        </w:rPr>
        <w:t>POSSIBLE 2024:</w:t>
      </w:r>
      <w:r>
        <w:t xml:space="preserve"> Theoretical Mechanism and Implementation Path of Digital Technology Enabling Cultural Heritage Protection — https://doi.org/10.1515/cfer-2024-0006</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Abstract Cultural heritage is an important carrier of Chinese excellent traditional culture, based on the background of digital and real integration, introducing symbiosis theory into the theoretical analysis framework of the integration and development of cultural heritage and digital technology has important academic value and practical significance. Based on the in-depth explanation of the connotation of the integration of cultural heritage and digital technology, we specifically analyze the symbiotic unit, symbiotic environment, and symbiotic mode in the dynamic symbiosis system, and discuss the application of digital technology in the protection, dissemination, and experience of cultural heritage. The integration development of Chinese cultural heritage and digital technology has made remarkable achievements, but there are still constraints such as insufficient integration depth, high user demand but weak practical application, and backward protection and utilization cognition. Therefore, it is necessary to accelerate the application and management of technology research and development, pay attention to user needs, and improve the level of social cognition, to realize the value of cultural heritage shared by the society.</w:t>
      </w:r>
    </w:p>
    <w:p>
      <w:pPr/>
      <w:r>
        <w:rPr>
          <w:b/>
        </w:rPr>
        <w:t>POSSIBLE 2023:</w:t>
      </w:r>
      <w:r>
        <w:t xml:space="preserve"> The Problem with Propositions: Theoretical Triangulation to Better Explain Phenomena in Management Research — https://doi.org/10.5465/amr.2022.0297</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In management research, theory is commonly viewed as a set of propositional statements backed up by theoretical assumptions. This view is embraced across conceptual and empirical research and effectively binds a particular style of reasoning, as a common grammar, to a specific form that theoretical explanations, as a structured set of propositions, should take. In this paper, I analyze characteristics of the propositional grammar and highlight several significant problems, including its high incidence rate of false positives in empirical research (false hypotheses that are accepted as true) and how it generally limits our explanation of phenomena by casting them as effects to be predicted. Informed by this analysis, I make the case for theoretical triangulation and offer a prescriptive model whereby researchers can strengthen their explanations of phenomena by iterating across multiple theoretical grammars rather than steadfastly using a single grammar. Using examples from prior research, I show how such theoretical triangulation helps mitigate the specific inferential biases and threats to validity of any grammar and leads to better explanations overall. Finally, I spell out the implications of this argument and offer a set of practical recommendations for implementing the practice of theoretical triangulation in the field of management research.</w:t>
      </w:r>
    </w:p>
    <w:p>
      <w:pPr>
        <w:pStyle w:val="Heading2"/>
      </w:pPr>
      <w:r>
        <w:t>900. Land use implications of future energy system trajectories—The case of the UK 2050 Carbon Plan</w:t>
      </w:r>
    </w:p>
    <w:p>
      <w:pPr>
        <w:pStyle w:val="SourceNote"/>
      </w:pPr>
      <w:r>
        <w:rPr>
          <w:b/>
        </w:rPr>
        <w:t>Original source (2015):</w:t>
      </w:r>
      <w:r>
        <w:t xml:space="preserve"> https://doi.org/10.1016/j.enpol.2015.07.008</w:t>
      </w:r>
    </w:p>
    <w:p>
      <w:pPr/>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POSSIBLE 2026:</w:t>
      </w:r>
      <w:r>
        <w:t xml:space="preserve"> Robotic artistry: Four surprise pathways for generative artificial intelligence-assisted abductive theorization — https://doi.org/10.1177/14761270261448648</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The role of generative artificial intelligence in qualitative research is subject to intense debate, with critics warning that it could undermine human sensitivity and contextual understanding. We argue that thoughtfully integrated artificial intelligence can enhance qualitative research by promoting discovery and surprise, both essential elements of theory building. Drawing on Picasso’s iterative abstraction in The Bull and Refik Anadol’s Unsupervised exhibition at the Museum of Modern Art, we treat reduction and synthesis as complementary engines of insight and identify four surprise generation pathways in generative artificial intelligence-assisted abductive analysis: multiplying lenses, surfacing absences, bridging levels, and testing categories. When paired with interpretive vigilance operationalized through four heuristics, meaning-making remains squarely in human hands. Using an empirical example of organizational future-making, we show how artificial intelligence’s pattern recognition combined with human interpretation reveals insights neither could achieve alone. Our framework positions artificial intelligence as a collaborative partner that amplifies researchers’ capacity for theoretical discovery while preserving methodological rigor and interpretive depth.</w:t>
      </w:r>
    </w:p>
    <w:p>
      <w:pPr/>
      <w:r>
        <w:rPr>
          <w:b/>
        </w:rPr>
        <w:t>POSSIBLE 2026:</w:t>
      </w:r>
      <w:r>
        <w:t xml:space="preserve"> Learning to engage in clinical research: a qualitative study developing a behavioural pathway model among nurses in China — https://doi.org/10.1186/s12909-026-09592-y</w:t>
      </w:r>
    </w:p>
    <w:p>
      <w:pPr/>
      <w:r>
        <w:rPr>
          <w:b/>
        </w:rPr>
        <w:t>Shared claim-specific concepts:</w:t>
      </w:r>
      <w:r>
        <w:t xml:space="preserve"> four, climate, but; EU scope not established. This is a provisional connection, not an outcome finding.</w:t>
      </w:r>
    </w:p>
    <w:p>
      <w:pPr>
        <w:pStyle w:val="SourceNote"/>
      </w:pPr>
      <w:r>
        <w:rPr>
          <w:b/>
        </w:rPr>
        <w:t>Available abstract (not full text):</w:t>
      </w:r>
      <w:r>
        <w:t xml:space="preserve"> BACKGROUND: Developing the capacity of health professionals to engage in research and practice improvement is an important goal of health professions education. In nursing, research literacy is considered a key capability that enables clinicians to understand research, formulate practice-based questions, and initiate research or quality improvement activities. In China, rapid expansion of nursing education has strengthened academic preparation; however, the ability of clinical nurses to translate clinical problems into research or improvement initiatives remains uneven across practice settings. Little is known about how nurses develop research literacy in clinical environments and how workplace conditions shape their engagement in research-related practice. METHODS: This qualitative study used semi-structured interviews with 20 clinical nurses from multiple departments in a tertiary teaching hospital in China. Participants were purposively sampled to capture variation in career stage, educational background, and research exposure. Interviews explored how nurses understood research, interacted around research ideas, evaluated research value, and attempted to initiate or sustain research or improvement projects. Data were analysed using reflexive thematic analysis, informed by sensitising concepts from research literacy theory and the Capability-Opportunity-Motivation-Behaviour (</w:t>
      </w:r>
    </w:p>
    <w:p>
      <w:pPr/>
      <w:r>
        <w:rPr>
          <w:b/>
        </w:rPr>
        <w:t>POSSIBLE 2026:</w:t>
      </w:r>
      <w:r>
        <w:t xml:space="preserve"> Institutional pathways to TCM psychological acceptance abroad: A fuzzy Delphi evaluation of four Chinese colleges — https://doi.org/10.1016/j.actpsy.2026.106659</w:t>
      </w:r>
    </w:p>
    <w:p>
      <w:pPr/>
      <w:r>
        <w:rPr>
          <w:b/>
        </w:rPr>
        <w:t>Shared claim-specific concepts:</w:t>
      </w:r>
      <w:r>
        <w:t xml:space="preserve"> four, pathways, achieve, target; EU scope not established. This is a provisional connection, not an outcome finding.</w:t>
      </w:r>
    </w:p>
    <w:p>
      <w:pPr>
        <w:pStyle w:val="SourceNote"/>
      </w:pPr>
      <w:r>
        <w:rPr>
          <w:b/>
        </w:rPr>
        <w:t>Available abstract (not full text):</w:t>
      </w:r>
      <w:r>
        <w:t xml:space="preserve"> BACKGROUND CONTEXT: The "Plan for Promoting High-Quality Integration of Traditional Chinese Medicine into the Joint Construction of the 'Belt and Road' (2021-2025)" underscores strategic initiatives to advance TCM (Traditional Chinese Medicine) globally, including establishing overseas cultural brands (e.g., "Consular Officials in Chengdu Experience TCM" programs), integrating TCM into higher education systems of partner nations, and amplifying academic influence through research. STUDY OBJECTIVE: This study develops an expert-validated assessment model to evaluate the institutional capacity of four TCM internationalization entities (Colleges 1-4) to serve as effective proximal enablers of psychological acceptance-operationalized as cognitive understanding, affective trust, and behavioral adoption of TCM in target populations. Rather than measuring psychological acceptance directly in foreign audiences, the model identifies and weights the institutional preconditions theorized to enable it: transmission mechanisms, cultural-conceptual alignment, market positioning, and perceived efficacy. From an initial pool of 21 indicators across five dimensions, the FDM consensus process retained 15 indicators across four dimensions after eliminating six items that failed to meet the d &lt; 0.2 threshold. METHODOLOGY: The Fuzzy Delphi Method (FDM) was employed to refine criteria and prioritize</w:t>
      </w:r>
    </w:p>
    <w:p>
      <w:pPr/>
      <w:r>
        <w:rPr>
          <w:b/>
        </w:rPr>
        <w:t>POSSIBLE 2025:</w:t>
      </w:r>
      <w:r>
        <w:t xml:space="preserve"> Diversified Pathways to Achieve Tax Fairness and Justice in the Digital Age — https://doi.org/10.62517/jel.202514523</w:t>
      </w:r>
    </w:p>
    <w:p>
      <w:pPr/>
      <w:r>
        <w:rPr>
          <w:b/>
        </w:rPr>
        <w:t>Shared claim-specific concepts:</w:t>
      </w:r>
      <w:r>
        <w:t xml:space="preserve"> four, pathways, achieve, all, domestic; EU scope not established. This is a provisional connection, not an outcome finding.</w:t>
      </w:r>
    </w:p>
    <w:p>
      <w:pPr>
        <w:pStyle w:val="SourceNote"/>
      </w:pPr>
      <w:r>
        <w:rPr>
          <w:b/>
        </w:rPr>
        <w:t>Available abstract (not full text):</w:t>
      </w:r>
      <w:r>
        <w:t xml:space="preserve">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pPr/>
      <w:r>
        <w:rPr>
          <w:b/>
        </w:rPr>
        <w:t>POSSIBLE 2025:</w:t>
      </w:r>
      <w:r>
        <w:t xml:space="preserve"> Developing multi-risk DRM pathways — Lessons from four European case studies — https://doi.org/10.1016/j.crm.2025.100753</w:t>
      </w:r>
    </w:p>
    <w:p>
      <w:pPr/>
      <w:r>
        <w:rPr>
          <w:b/>
        </w:rPr>
        <w:t>Shared claim-specific concepts:</w:t>
      </w:r>
      <w:r>
        <w:t xml:space="preserve"> four, pathways, climate, but, priorities; EU scope visible. This is a provisional connection, not an outcome finding.</w:t>
      </w:r>
    </w:p>
    <w:p>
      <w:pPr>
        <w:pStyle w:val="SourceNote"/>
      </w:pPr>
      <w:r>
        <w:rPr>
          <w:b/>
        </w:rPr>
        <w:t>Available abstract (not full text):</w:t>
      </w:r>
      <w:r>
        <w:t xml:space="preserve"> In the context of climate change and socioeconomic developments, disaster risk is intensifying, driven not only by more frequent and severe hazard events but also by complex interactions between these events and underlying vulnerabilities. These interactions can amplify impacts and trigger cascading failures across sectors. Using the Canary Islands, the Danube Region, the North Sea, and Scandinavia as four case study regions, this research explores how the Dynamic Adaptive Policy Pathways for Multi-Risk (DAPP-MR) framework can support the development of integrated, adaptive disaster risk management (DRM) strategies to reduce risk while addressing these complex interactions. We examine how DAPP-MR enables a deeper understanding of multi-risk systems, facilitates stakeholder engagement, and structures the development of robust, cross-sectoral DRM pathways in these four qualitative applications. The findings indicate that DAPP-MR enables integrated, cross-sectoral thinking and encourages balancing short-term priorities and long-term needs. This research demonstrates that DAPP-MR offers a structured approach to unravelling the complex dynamics between hazards and sectors, while maintaining flexibility in analytical focus. This flexibility allows context-specific priorities to guide the analysis, but it can also make comparing outcomes across different applications more challenging.</w:t>
      </w:r>
    </w:p>
    <w:p>
      <w:pPr/>
      <w:r>
        <w:rPr>
          <w:b/>
        </w:rPr>
        <w:t>POSSIBLE 2025:</w:t>
      </w:r>
      <w:r>
        <w:t xml:space="preserve"> Four pathways for energy citizenship initiatives to contribute to a more democratic European energy system — https://doi.org/10.1080/07036337.2025.2458592</w:t>
      </w:r>
    </w:p>
    <w:p>
      <w:pPr/>
      <w:r>
        <w:rPr>
          <w:b/>
        </w:rPr>
        <w:t>Shared claim-specific concepts:</w:t>
      </w:r>
      <w:r>
        <w:t xml:space="preserve"> four, pathways, achieve, energy; EU scope visible. This is a provisional connection, not an outcome finding.</w:t>
      </w:r>
    </w:p>
    <w:p>
      <w:pPr>
        <w:pStyle w:val="SourceNote"/>
      </w:pPr>
      <w:r>
        <w:rPr>
          <w:b/>
        </w:rPr>
        <w:t>Available abstract (not full text):</w:t>
      </w:r>
      <w:r>
        <w:t xml:space="preserve"> The European Green Deal aims to put citizens at the heart of the European energy transition. Yet, their participation often falls short in terms of political involvement and self-governance. In contrast, the imaginary of energy democracy envisions democratising the energy system by involving citizens as political actors and assigns a key role to collectively organised energy citizenship initiatives in achieving this goal. However, it remains elusive how such initiatives contribute to democratisation processes and under what conditions of polycentric governance they achieve to do so. A Qualitative Comparative Analysis (QCA) of 14 energy citizenship initiatives in seven European countries shows that these contributions are diverse and characterised by national contexts. They range from strengthening local capacities for action to ownership and co-determination of energy infrastructure and direct participation of citizens in political decision-making processes. Four pathways of specific polycentric governance configurations are identified along which such contributions were achieved.</w:t>
      </w:r>
    </w:p>
    <w:p>
      <w:pPr/>
      <w:r>
        <w:rPr>
          <w:b/>
        </w:rPr>
        <w:t>POSSIBLE 2025:</w:t>
      </w:r>
      <w:r>
        <w:t xml:space="preserve"> Improving transitions in care for children and youth with mental health concerns: implementation and evaluation of an emergency department mental health clinical pathway — https://doi.org/10.1186/s12913-025-12524-z</w:t>
      </w:r>
    </w:p>
    <w:p>
      <w:pPr/>
      <w:r>
        <w:rPr>
          <w:b/>
        </w:rPr>
        <w:t>Shared claim-specific concepts:</w:t>
      </w:r>
      <w:r>
        <w:t xml:space="preserve"> four, pathways, developed, department, increased; EU scope not established. This is a provisional connection, not an outcome finding.</w:t>
      </w:r>
    </w:p>
    <w:p>
      <w:pPr>
        <w:pStyle w:val="SourceNote"/>
      </w:pPr>
      <w:r>
        <w:rPr>
          <w:b/>
        </w:rPr>
        <w:t>Available abstract (not full text):</w:t>
      </w:r>
      <w:r>
        <w:t xml:space="preserve"> BACKGROUND: Emergency departments (EDs) are often the first access point for children and youth seeking mental health (MH) and addiction care. However, many EDs are unprepared to manage large volumes of pediatric MH patients. In addition, the fragmented Canadian MH system is challenged in connecting youth seen in the ED for follow-up community services. A provincial Emergency Department Mental Health Clinical Pathway (EDMHCP) for children and youth presenting to the ED with MH concerns was developed to address these challenges. The objective of the current study was to determine if EDMHCP implementation resulted in: (1) pathway use, (2) more patients discharged with MH recommendations, (3) MH service recommendations that aligned with patients' risk assessments, and (4) changes in service outcomes, including ED length of stay (LOS), revisits, and admissions/transfers. METHODS: We implemented the pathway at four ED sites from 2018 to 2019 using the Theoretical Domains Framework to develop a tailored strategy at each site. We conducted chart reviews retrospectively in 2017-2018 (pre-implementation) and prospectively in 2019-2020 (post-implementation). Non-parametric tests examined differences in service outcomes between the implementation periods. RESULTS: Pathway use varied widely across sites, ranging from 3.1% at site 4 to 83.0% at the lead site (site 2). More referrals to comm</w:t>
      </w:r>
    </w:p>
    <w:p>
      <w:pPr/>
      <w:r>
        <w:rPr>
          <w:b/>
        </w:rPr>
        <w:t>POSSIBLE 2025:</w:t>
      </w:r>
      <w:r>
        <w:t xml:space="preserve"> Assembly-enhanced recognition: A biomimetic pathway to achieve ultrahigh affinities — https://doi.org/10.1073/pnas.2414253122</w:t>
      </w:r>
    </w:p>
    <w:p>
      <w:pPr/>
      <w:r>
        <w:rPr>
          <w:b/>
        </w:rPr>
        <w:t>Shared claim-specific concepts:</w:t>
      </w:r>
      <w:r>
        <w:t xml:space="preserve"> four, achieve, other; EU scope not established. This is a provisional connection, not an outcome finding.</w:t>
      </w:r>
    </w:p>
    <w:p>
      <w:pPr>
        <w:pStyle w:val="SourceNote"/>
      </w:pPr>
      <w:r>
        <w:rPr>
          <w:b/>
        </w:rPr>
        <w:t>Available abstract (not full text):</w:t>
      </w:r>
      <w:r>
        <w:t xml:space="preserve"> On the one hand, nature utilizes hierarchical assemblies to create complex biological binding pockets, enabling ultrastrong recognition toward substrates in aqueous solutions. On the other hand, chemists have been fervently pursuing high-affinity recognition by constructing covalently well-preorganized stereoelectronic cavities. The potential of noncovalent assembly, however, for enhancing molecular recognition has long been underestimated. Inspired by (strept)avidin, an amphiphilic azocalix[4]arene derivative capable of assembly in aqueous solutions has been explored by us and demonstrated to exhibit ultrahigh binding affinity (up to 10 12 M −1 ), which is almost four orders of magnitude higher than those reported for nonassembled azocalix[4]arenes. An ultrastable azocalix[4]arene/photosensitizer complex has been applied in hypoxia-targeted photodynamic therapy for tumors. These findings highlight the immense potential of an assembly-enhanced recognition strategy in the development of the next generation of artificial receptors with appropriate functionalities and extraordinary recognition properties.</w:t>
      </w:r>
    </w:p>
    <w:p>
      <w:pPr/>
      <w:r>
        <w:rPr>
          <w:b/>
        </w:rPr>
        <w:t>POSSIBLE 2025:</w:t>
      </w:r>
      <w:r>
        <w:t xml:space="preserve"> Unveiling Educational Archetypes of High Achievers: A K-Prototypes Clustering Analysis of Academic Pathways — https://doi.org/10.63913/ail.v1i3.35</w:t>
      </w:r>
    </w:p>
    <w:p>
      <w:pPr/>
      <w:r>
        <w:rPr>
          <w:b/>
        </w:rPr>
        <w:t>Shared claim-specific concepts:</w:t>
      </w:r>
      <w:r>
        <w:t xml:space="preserve"> four, pathways, developed, significant; EU scope not established. This is a provisional connection, not an outcome finding.</w:t>
      </w:r>
    </w:p>
    <w:p>
      <w:pPr>
        <w:pStyle w:val="SourceNote"/>
      </w:pPr>
      <w:r>
        <w:rPr>
          <w:b/>
        </w:rPr>
        <w:t>Available abstract (not full text):</w:t>
      </w:r>
      <w:r>
        <w:t xml:space="preserve"> While individual stories of successful people are often celebrated, a systematic, data-driven understanding of common educational pathways to high achievement remains underdeveloped. This is partly due to the analytical challenges of studying datasets with mixed numerical and categorical attributes. This study addresses this gap by identifying distinct educational archetypes from a diverse group of 108 high-achieving individuals using a computational approach. The research leverages the K-Prototypes clustering algorithm, a method specifically designed for mixed-attribute data, to analyze a dataset detailing the educational backgrounds of successful people. A comprehensive preprocessing pipeline was developed to clean, standardize, and transform features such as degree, field of study, university ranking, and GPA into a format suitable for clustering. The optimal number of clusters was determined using the Elbow method, balanced with a focus on the practical interpretability of the resulting groups. The analysis successfully identified four distinct and meaningful educational archetypes: (1) The Elite US STEM Achiever, characterized by advanced degrees from top-ranked American universities; (2) The Elite US Business &amp; Law Professional, a similar high-prestige path focused on MBA and JD degrees; (3) The Global Entrepreneurial Path, a more internationally diverse route where insti</w:t>
      </w:r>
    </w:p>
    <w:p>
      <w:pPr/>
      <w:r>
        <w:rPr>
          <w:b/>
        </w:rPr>
        <w:t>POSSIBLE 2025:</w:t>
      </w:r>
      <w:r>
        <w:t xml:space="preserve"> Developing a co-designed triage support tool for disability support workers to determine the most appropriate urgency and care pathway for their clients — https://doi.org/10.1071/py25057</w:t>
      </w:r>
    </w:p>
    <w:p>
      <w:pPr/>
      <w:r>
        <w:rPr>
          <w:b/>
        </w:rPr>
        <w:t>Shared claim-specific concepts:</w:t>
      </w:r>
      <w:r>
        <w:t xml:space="preserve"> four, developed, department, significant; EU scope not established. This is a provisional connection, not an outcome finding.</w:t>
      </w:r>
    </w:p>
    <w:p>
      <w:pPr>
        <w:pStyle w:val="SourceNote"/>
      </w:pPr>
      <w:r>
        <w:rPr>
          <w:b/>
        </w:rPr>
        <w:t>Available abstract (not full text):</w:t>
      </w:r>
      <w:r>
        <w:t xml:space="preserve"> BACKGROUND: While one in four Australians living with disability aged &lt;65 years presents to the emergency department, a significant proportion could potentially be managed more effectively by primary care. Through their daily work, disability support workers (DSWs) are valuable in identifying changes in health for people living with a disability. Yet, with no minimum certifications, DSWs often have limited clinical knowledge. This paper describes the development and implementation of a co-designed triage support tool (Tool) for DSWs to determine the most appropriate urgency and care pathway for their clients. METHODS: The development of the Tool formed part of the co-design of a virtual pathway to provide urgent care to people living with disability through their DSWs. Over 6 months, the Tool was developed, implemented and reviewed with key stakeholders, including disability service providers. RESULTS: Following development, the Tool was successfully implemented across the pilot disability service providers and evaluated over a 3-month period. Evaluation showed high staff acceptability, with 78% reporting it supported their decision making. The Tool demonstrates the potential to support DSWs in determining the most suitable urgent care pathway, provided it remains clear, simple and adaptable. CONCLUSION: A customised Tool can support DSWs in determining the most appropriate urg</w:t>
      </w:r>
    </w:p>
    <w:p>
      <w:pPr/>
      <w:r>
        <w:rPr>
          <w:b/>
        </w:rPr>
        <w:t>POSSIBLE 2025:</w:t>
      </w:r>
      <w:r>
        <w:t xml:space="preserve"> Migration and citizenship pathways in/beyond Asia — https://doi.org/10.1080/01419870.2024.2441910</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Citizenship regimes are highly variegated in both migrant-sending and migrant-receiving countries. This special issue examines the diversified citizenship pathways that migrants undertake to manage uncertainties and global disparities or opportunities in various national contexts and at different life stages. We define citizenship pathways as the routes and processes that shape how migrants pursue personal and family goals to achieve citizenship recognition and redistribution. As migrants respond to changes in citizenship regimes or personal circumstances, their citizenship pathways evolve across national and transnational spaces, as well as over time. The special issue introduction sets out our conceptualization of citizenship pathways and provides an overview of how the papers in this collection engage with it. We foreground four themes: the geopolitical contexts of citizenship pathways; the strategies which migrants use to advance citizenship pathways; the temporal dimensions of citizenship pathways; and the new digital routes in citizenship pathways.</w:t>
      </w:r>
    </w:p>
    <w:p>
      <w:pPr/>
      <w:r>
        <w:rPr>
          <w:b/>
        </w:rPr>
        <w:t>POSSIBLE 2025:</w:t>
      </w:r>
      <w:r>
        <w:t xml:space="preserve"> Integrating sustainability in dentistry: a pathway towards achieving the UN 2030 agenda — https://doi.org/10.3389/froh.2025.1549020</w:t>
      </w:r>
    </w:p>
    <w:p>
      <w:pPr/>
      <w:r>
        <w:rPr>
          <w:b/>
        </w:rPr>
        <w:t>Shared claim-specific concepts:</w:t>
      </w:r>
      <w:r>
        <w:t xml:space="preserve"> energy, climate, significant; EU scope not established. This is a provisional connection, not an outcome finding.</w:t>
      </w:r>
    </w:p>
    <w:p>
      <w:pPr>
        <w:pStyle w:val="SourceNote"/>
      </w:pPr>
      <w:r>
        <w:rPr>
          <w:b/>
        </w:rPr>
        <w:t>Available abstract (not full text):</w:t>
      </w:r>
      <w:r>
        <w:t xml:space="preserve"> The growing impact of the climate crisis has raised significant concerns due to its profound effects on public health and ecological stability. This article explores how the implementation of sustainable practices in dentistry can contribute to a more efficient, safe and environmentally responsible approach, in line with the Sustainable Development Goals outlined in the United Nations' 2030 Agenda. A key focus is on waste reduction, which is achieved through the promotion of oral health and disease prevention, thereby minimising the waste and carbon emissions associated with dental care. In addition, the responsible use of resources such as water and energy and the use of environmentally sustainable dental materials play a critical role in reducing the environmental footprint of dentistry. Key measures such as the recycling of single-use plastics are essential to curb pollution and reduce the uptake of microplastics by marine ecosystems and humans. Education and awareness of sustainability is also essential. This can be promoted by integrating sustainable principles into the curriculum of dental courses and within scientific committees. Promoting these practices among emerging health professionals and researchers will drive the development of innovative alternatives that further reduce the environmental impact of the field.</w:t>
      </w:r>
    </w:p>
    <w:p>
      <w:pPr>
        <w:pStyle w:val="Heading2"/>
      </w:pPr>
      <w:r>
        <w:t>901. Long-term scenarios for reaching climate targets and energy security in UK</w:t>
      </w:r>
    </w:p>
    <w:p>
      <w:pPr>
        <w:pStyle w:val="SourceNote"/>
      </w:pPr>
      <w:r>
        <w:rPr>
          <w:b/>
        </w:rPr>
        <w:t>Original source (2015):</w:t>
      </w:r>
      <w:r>
        <w:t xml:space="preserve"> https://doi.org/10.1016/j.scs.2015.03.010</w:t>
      </w:r>
    </w:p>
    <w:p>
      <w:pPr/>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POSSIBLE 2025:</w:t>
      </w:r>
      <w:r>
        <w:t xml:space="preserve"> A seasonal two-factor model for solar energy production: A climate extreme events analysis — https://doi.org/10.1016/j.eneco.2025.108611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In this paper, we propose a novel stochastic model for forecasting solar energy production, incorporating key climate-related uncertainties. Unlike existing approaches, which primarily rely on Gaussian or skewnormal processes, our model employs a skew-geometric Brownian motion with a time-dependent seasonal drift and an error term following a mixture distribution. Additionally, we integrate temperature variations, modeled as a non-homogeneous mean-reverting Ornstein–Uhlenbeck process, to account for their dynamic impact on photovoltaic efficiency. A distinctive feature of our model is the inclusion of a jump component of compound Poisson type, which explicitly captures the influence of extreme climatic events on solar energy output. By applying our methodology to data from 28 countries, we demonstrate that our model significantly outperforms two benchmark approaches in accurately predicting energy production under extreme conditions. This contribution provides a more comprehensive and realistic representation of solar power variability, improving risk assessment and decision-making in energy planning.</w:t>
      </w:r>
    </w:p>
    <w:p>
      <w:pPr/>
      <w:r>
        <w:rPr>
          <w:b/>
        </w:rPr>
        <w:t>POSSIBLE 2025:</w:t>
      </w:r>
      <w:r>
        <w:t xml:space="preserve"> Energy and Clean Air Policies Will Overcome the Adverse Effect of Climate Change and Reduce China's Ozone Pollution in the Future: The Insight From a New Two‐Stage Model — https://doi.org/10.1029/2024jd043182</w:t>
      </w:r>
    </w:p>
    <w:p>
      <w:pPr/>
      <w:r>
        <w:rPr>
          <w:b/>
        </w:rPr>
        <w:t>Shared claim-specific concepts:</w:t>
      </w:r>
      <w:r>
        <w:t xml:space="preserve"> two, energy, climate, reduction, levels; EU scope not established. This is a provisional connection, not an outcome finding.</w:t>
      </w:r>
    </w:p>
    <w:p>
      <w:pPr>
        <w:pStyle w:val="SourceNote"/>
      </w:pPr>
      <w:r>
        <w:rPr>
          <w:b/>
        </w:rPr>
        <w:t>Available abstract (not full text):</w:t>
      </w:r>
      <w:r>
        <w:t xml:space="preserve"> Abstract Near‐surface ozone pollution is one of the biggest challenges for Chinese air quality improvement, whereas its future spatiotemporal evolution and driving factors have not been fully investigated. Here, we developed a two‐stage model combining a machine learning technique (XGBoost) and a chemical transport model (WRF‐CMAQ) to assess the ozone change till 2060 in China under three scenarios with various trajectories of climate change, energy transition, and pollution controls. The new model effectively corrected overestimation and underestimation of ozone levels by WRF‐CMAQ and global climate models, respectively. Anthropogenic efforts will overcome the adverse effect of climate and reduce future ozone concentration especially in eastern China and warm season with greater ozone pollution. From a long‐term perspective, energy structure transition was estimated to play a more important role than end‐of‐pipe emission controls with a former to latter ratio of ozone reduction during 2017–2060 at 2.7. With observational information incorporated, our model was demonstrated to better capture the ozone response to precursor emission change than WRF‐CMAQ and corrected the underestimation of ozone reduction for developed urban areas.</w:t>
      </w:r>
    </w:p>
    <w:p>
      <w:pPr/>
      <w:r>
        <w:rPr>
          <w:b/>
        </w:rPr>
        <w:t>POSSIBLE 2025:</w:t>
      </w:r>
      <w:r>
        <w:t xml:space="preserve"> ZEMBA v1.0: an energy and moisture balance climate model to investigate Quaternary climate — https://doi.org/10.5194/gmd-18-2479-2025</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Abstract. A Zonally-Averaged Energy and Moisture BAlance Climate Model (ZEMBA) is introduced as a simple and computationally efficient tool for studies of the glacial-interglacial cycles of the Quaternary. The model is based on an energy balance model comprising an atmospheric layer, a land component and a two-dimensional ocean transport model with sea ice. In addition, ZEMBA replaces temperature with moist static energy for calculations of diffusive heat transport in the atmospheric layer and includes a hydrological cycle for simulating precipitation and snowfall. Prior to coupling with an ice sheet model, we present and evaluate equilibrium simulations of the model for the pre-industrial period and the Last Glacial Maximum, using prescribed land ice fractions and elevation. In addition, we test the sensitivity of ZEMBA to a doubling of the atmospheric CO2 concentration and a 2 % increase in solar radiation at the top of the atmosphere. Compared to a global climate model (NorESM2) and reanalysis data (ERA5), ZEMBA reproduces the zonally-averaged climate of the pre-industrial period with reasonable accuracy, capturing features such as surface temperature, precipitation, radiative fluxes, snow cover, sea ice cover and meridional heat transport. The response of ZEMBA to increasing CO2 concentrations is qualitatively similar to the observational record and climate models of higher</w:t>
      </w:r>
    </w:p>
    <w:p>
      <w:pPr/>
      <w:r>
        <w:rPr>
          <w:b/>
        </w:rPr>
        <w:t>POSSIBLE 2025:</w:t>
      </w:r>
      <w:r>
        <w:t xml:space="preserve"> Accuracy of Climate Model Derived Energy-Datasets During Renewable Energy Lulls. — https://doi.org/10.5194/egusphere-egu25-16661</w:t>
      </w:r>
    </w:p>
    <w:p>
      <w:pPr/>
      <w:r>
        <w:rPr>
          <w:b/>
        </w:rPr>
        <w:t>Shared claim-specific concepts:</w:t>
      </w:r>
      <w:r>
        <w:t xml:space="preserve"> two, use, energy, climate; EU scope visible. This is a provisional connection, not an outcome finding.</w:t>
      </w:r>
    </w:p>
    <w:p>
      <w:pPr>
        <w:pStyle w:val="SourceNote"/>
      </w:pPr>
      <w:r>
        <w:rPr>
          <w:b/>
        </w:rPr>
        <w:t>Available abstract (not full text):</w:t>
      </w:r>
      <w:r>
        <w:t xml:space="preserve"> Weather and climate model data are increasingly used as the basis for assesing climate risk in energy system operations and planning. The reliability of such studies is therefore heavily dependent on the quality of the input meteorological data and, in particular, the accurate representation of extreme events.In this study, we analysed the representation of Dunkelflaute events over Europe (periods of calm and cloudy weather typically associated with increased power supply stress) using estimated national wind- and solar- capacity factors from two tailored climate products (C3S-Energy and one of its predecessors, ECEM). A particular focus was on the ability of the derived energy-variables from climate models to represent their respective reanalysis equivalents (C3S-Energy uses ERA5 as the reference, while ECEM relies on ERA-Interim).Preliminary results suggest that there are potentially significant differences between the representation of Dunkelflaute events across the two datasets. In particular, while the overall seasonal evolution of Dunkelflaute occurrence appears to be well represented (compared to their respective reanalyses), there are noticeable differences in winter-time Dunkelflaute frequency across many areas of Europe with the climate models typically simulating fewer Dunkelflautes in the northern part of the region and more frequent events in the south (potentially</w:t>
      </w:r>
    </w:p>
    <w:p>
      <w:pPr/>
      <w:r>
        <w:rPr>
          <w:b/>
        </w:rPr>
        <w:t>POSSIBLE 2025:</w:t>
      </w:r>
      <w:r>
        <w:t xml:space="preserve"> Dynamical landscape and multistability of a climate model — https://openalex.org/W3166250015</w:t>
      </w:r>
    </w:p>
    <w:p>
      <w:pPr/>
      <w:r>
        <w:rPr>
          <w:b/>
        </w:rPr>
        <w:t>Shared claim-specific concepts:</w:t>
      </w:r>
      <w:r>
        <w:t xml:space="preserve"> two, energy, climate, both; EU scope not established. This is a provisional connection, not an outcome finding.</w:t>
      </w:r>
    </w:p>
    <w:p>
      <w:pPr>
        <w:pStyle w:val="SourceNote"/>
      </w:pPr>
      <w:r>
        <w:rPr>
          <w:b/>
        </w:rPr>
        <w:t>Available abstract (not full text):</w:t>
      </w:r>
      <w:r>
        <w:t xml:space="preserve"> We apply two independent data analysis methodologies to locate stable climate states in an intermediate complexity climate model and analyse their interplay. First, drawing from the theory of quasi-potentials, and viewing the state space as an energy landscape with valleys and mountain ridges, we infer the relative likelihood of the identified multistable climate states and investigate the most likely transition trajectories as well as the expected transition times between them. Second, harnessing techniques from data science, and specifically manifold learning, we characterize the data landscape of the simulation output to find climate states and basin boundaries within a fully agnostic and unsupervised framework. Both approaches show remarkable agreement, and reveal, apart from the well known warm and snowball earth states, a third intermediate stable state in one of the two versions of PLASIM, the climate model used in this study. The combination of our approaches allows to identify how the negative feedback of ocean heat transport and entropy production via the hydrological cycle drastically change the topography of the dynamical landscape of Earth's climate.</w:t>
      </w:r>
    </w:p>
    <w:p>
      <w:pPr/>
      <w:r>
        <w:rPr>
          <w:b/>
        </w:rPr>
        <w:t>POSSIBLE 2024:</w:t>
      </w:r>
      <w:r>
        <w:t xml:space="preserve"> Revisiting two-layer energy balance models for climate assessment — https://doi.org/10.1088/1748-9326/ad9ec5</w:t>
      </w:r>
    </w:p>
    <w:p>
      <w:pPr/>
      <w:r>
        <w:rPr>
          <w:b/>
        </w:rPr>
        <w:t>Shared claim-specific concepts:</w:t>
      </w:r>
      <w:r>
        <w:t xml:space="preserve"> energy, climate, both; EU scope not established. This is a provisional connection, not an outcome finding.</w:t>
      </w:r>
    </w:p>
    <w:p>
      <w:pPr>
        <w:pStyle w:val="SourceNote"/>
      </w:pPr>
      <w:r>
        <w:rPr>
          <w:b/>
        </w:rPr>
        <w:t>Available abstract (not full text):</w:t>
      </w:r>
      <w:r>
        <w:t xml:space="preserve"> Abstract Given the pivotal role of probabilistic approaches with two-layer energy balance models in the latest climate assessment, this study aims to gain deeper insight into their advancement by comparing different approaches for generating constrained posterior ensembles. Several methodological improvements are possible both in the calibration of model parameters to the behavior of comprehensive Earth system models and in constraining the calibrated parameter ensemble with other lines of evidence. The results imply that a conventional single parameter representing evolving climate feedback characteristics is not a requirement for reliable climate projections; rather, there are potential improvements on the forcing side regarding the separation of forcing and feedbacks. Constraining the ensemble based on observational and expert-assessed climate metrics, which critically affects probabilistic climate assessment, needs to appropriately deal with different constraints on a multivariate space in a standardized and flexible way. The method introduced here is an option that fulfills the need.</w:t>
      </w:r>
    </w:p>
    <w:p>
      <w:pPr/>
      <w:r>
        <w:rPr>
          <w:b/>
        </w:rPr>
        <w:t>POSSIBLE 2024:</w:t>
      </w:r>
      <w:r>
        <w:t xml:space="preserve"> Energy analysis of Single and Dual PCM Trombe Wall configurations for indoor heating considering dynamic scenarios in summer/winter of two different climate regions through CFD modeling — https://doi.org/10.1016/j.est.2024.114235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Energy Analysis of Single and Dual Pcm Trombe Wall Configurations for Indoor Heating Considering Dynamic Scenarios in Two Different Climate Regions Through Cfd Modeling — https://doi.org/10.2139/ssrn.4882665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Evaluation of Global Climate Models for Use in Energy Analysis — https://doi.org/10.2172/2428936</w:t>
      </w:r>
    </w:p>
    <w:p>
      <w:pPr/>
      <w:r>
        <w:rPr>
          <w:b/>
        </w:rPr>
        <w:t>Shared claim-specific concepts:</w:t>
      </w:r>
      <w:r>
        <w:t xml:space="preserve"> two, use, energy, climate; EU scope not established. This is a provisional connection, not an outcome finding.</w:t>
      </w:r>
    </w:p>
    <w:p>
      <w:pPr>
        <w:pStyle w:val="SourceNote"/>
      </w:pPr>
      <w:r>
        <w:rPr>
          <w:b/>
        </w:rPr>
        <w:t>Available abstract (not full text):</w:t>
      </w:r>
      <w:r>
        <w:t xml:space="preserve"> The interplay between energy, climate, and weather is becoming more complex due to increasing contributions of renewable energy generation, energy storage, electrified end uses, and the increasing frequency of extreme weather events. Energy system analyses commonly rely on meteorological inputs to estimate renewable energy generation and energy demand; however, these inputs rarely represent the estimated impacts of future climate change. Climate models and publicly available climate change datasets can be used for this purpose, but the selection of inputs from the myriad of available models and datasets is a nuanced and subjective process. In this work, we assess datasets from various global climate models (GCMs) from the Coupled Model Intercomparison Project Phase 6 (CMIP6). We present evaluations of their skills with respect to the historical climate and comparisons of their future projections of climate change for two climate change scenarios. We present the results for different climatic and energy system regions and include interactive figures in the accompanying software repository. Previous work has presented similar GCM evaluations, but none have presented variables and metrics specifically intended for comprehensive energy systems analysis including impacts on energy demand, thermal cooling, hydropower, water availability, solar energy generation, and wind energy gener</w:t>
      </w:r>
    </w:p>
    <w:p>
      <w:pPr/>
      <w:r>
        <w:rPr>
          <w:b/>
        </w:rPr>
        <w:t>POSSIBLE 2024:</w:t>
      </w:r>
      <w:r>
        <w:t xml:space="preserve"> Climate-based Energy Analysis for BIM Residential Models — https://doi.org/10.1145/3685088.3685095</w:t>
      </w:r>
    </w:p>
    <w:p>
      <w:pPr/>
      <w:r>
        <w:rPr>
          <w:b/>
        </w:rPr>
        <w:t>Shared claim-specific concepts:</w:t>
      </w:r>
      <w:r>
        <w:t xml:space="preserve"> energy, climate, reduction; EU scope not established. This is a provisional connection, not an outcome finding.</w:t>
      </w:r>
    </w:p>
    <w:p>
      <w:pPr>
        <w:pStyle w:val="SourceNote"/>
      </w:pPr>
      <w:r>
        <w:rPr>
          <w:b/>
        </w:rPr>
        <w:t>Available abstract (not full text):</w:t>
      </w:r>
      <w:r>
        <w:t xml:space="preserve"> The negative impacts of the AEC (Architecture, Engineering &amp; Construction) industry on the environment have aroused widespread concern, and the sustainable development of the industry has become an urgent need. This study focuses on gaining insight into the relationship between climate and energy performance, particularly as Australia's diverse climate conditions require specific design and energy strategies. Using the Revit modeling tool, the influence of three different climate types in Australia on building information modeling (BIM) energy analysis for a two-story residential building is considered. The Tally plug-in provides an integrated BIM and life cycle assessment (LCA) analysis to assess this residential building's environmental effects. The study results show that different climate regions have various energy needs, and specific recommendations for different climate types are designed to effectively improve energy efficiency in a targeted manner. Through BIM-LCA integration, key life stages and material choices for environmental impact are identified. The findings provide recommendations for sustainable building design, operation and environmental impact reduction decisions in Australia's diverse climate regions.</w:t>
      </w:r>
    </w:p>
    <w:p>
      <w:pPr/>
      <w:r>
        <w:rPr>
          <w:b/>
        </w:rPr>
        <w:t>POSSIBLE 2024:</w:t>
      </w:r>
      <w:r>
        <w:t xml:space="preserve"> Climate change and economic development in Africa: A systematic review of energy transition modeling research — https://doi.org/10.1016/j.enpol.2024.114044</w:t>
      </w:r>
    </w:p>
    <w:p>
      <w:pPr/>
      <w:r>
        <w:rPr>
          <w:b/>
        </w:rPr>
        <w:t>Shared claim-specific concepts:</w:t>
      </w:r>
      <w:r>
        <w:t xml:space="preserve"> energy, climate, emissions; EU scope not established. This is a provisional connection, not an outcome finding.</w:t>
      </w:r>
    </w:p>
    <w:p>
      <w:pPr>
        <w:pStyle w:val="SourceNote"/>
      </w:pPr>
      <w:r>
        <w:rPr>
          <w:b/>
        </w:rPr>
        <w:t>Available abstract (not full text):</w:t>
      </w:r>
      <w:r>
        <w:t xml:space="preserve"> African countries face a dual challenge of building broad-based prosperity and addressing the threats of climate change. We analyze the climate-energy-development nexus in Africa through a systematic review of the state of the knowledge on energy transition modeling and projections, with particular attention to the relative prioritization of socio-economic development and the commitment to eliminating greenhouse gas emissions. We analyzed 156 peer-reviewed research papers that cover part or the whole of Africa, are concerned with the issue of the energy transition, and are model-based. We find, among other things, that i) Energy transition modeling is a recent but fast-growing phenomenon in Africa, with over 90% of papers completed after the Paris Agreement in 2015, ii) projection of energy mixes and the associated emissions paths are the key objective in general, with only 10% of the papers that also considered development outcomes as a central outcome, iii) technologies such as carbon capture, nuclear, or hydrogen, are among the least considered, and iv) nearly two-thirds of the research was produced without an author affiliated with an institution based on the African continent. We discuss the significance of these findings and reflect on how the literature could tackle climate challenges and socio-economic development.</w:t>
      </w:r>
    </w:p>
    <w:p>
      <w:pPr/>
      <w:r>
        <w:rPr>
          <w:b/>
        </w:rPr>
        <w:t>POSSIBLE 2024:</w:t>
      </w:r>
      <w:r>
        <w:t xml:space="preserve"> Numerical Modelling of Conductor Casing Settlement Using a Two-phase Model — https://doi.org/10.55592/cilamce.v6i06.10384</w:t>
      </w:r>
    </w:p>
    <w:p>
      <w:pPr/>
      <w:r>
        <w:rPr>
          <w:b/>
        </w:rPr>
        <w:t>Shared claim-specific concepts:</w:t>
      </w:r>
      <w:r>
        <w:t xml:space="preserve"> two, modelled, achieve; EU scope not established. This is a provisional connection, not an outcome finding.</w:t>
      </w:r>
    </w:p>
    <w:p>
      <w:pPr>
        <w:pStyle w:val="SourceNote"/>
      </w:pPr>
      <w:r>
        <w:rPr>
          <w:b/>
        </w:rPr>
        <w:t>Available abstract (not full text):</w:t>
      </w:r>
      <w:r>
        <w:t xml:space="preserve"> Oil exploration in subsea wells is a complex activity that involves a number of technical challenges, including installation conductor casing installation. The conductor casing plays a crucial role in the structural stability and overall performance of the well. Thus, for the conductor sttelemnt, one can highlight, among other techniques, the jetting method. Jetting is a promising technique for clay soils since seabed sediments behave like fine mud. In order to numerically model the operation, the clayay soil can be represented by a highly viscous non-Newtonian fluid. The aim of this study was therefore to carry out a numerical analysis of the conductor settlement by jetting. In order to achieve the proposed objectives, an eulerian - eulerian two phase model has been adopted. The soil phase has been modelled as a non-Newtonian fluid and computational fluid dynamics (CFD) has emerged as a powerful numerical tool for modeling and simulating problems of this nature in a attempt to bypass the issues that comes with large deformations problems other numerical methods. Ansys Fluent software was used, a CFD program based on the Finite Volume Method (FVM), which stands out for its robustness and precision when carrying out fluid dynamic simulations. The numerical analysis was carried out using the Gidaspow drag model to characterize the soil, which combines the Ergun and Wen-Yu empiric</w:t>
      </w:r>
    </w:p>
    <w:p>
      <w:pPr>
        <w:pStyle w:val="Heading2"/>
      </w:pPr>
      <w:r>
        <w:t>902. Losses of Ammonia and Nitrate from Agriculture and Their Effect on Nitrogen Recovery in the European Union and the United States between 1900 and 2050</w:t>
      </w:r>
    </w:p>
    <w:p>
      <w:pPr>
        <w:pStyle w:val="SourceNote"/>
      </w:pPr>
      <w:r>
        <w:rPr>
          <w:b/>
        </w:rPr>
        <w:t>Original source (2015):</w:t>
      </w:r>
      <w:r>
        <w:t xml:space="preserve"> https://doi.org/10.2134/jeq2014.03.0102</w:t>
      </w:r>
    </w:p>
    <w:p>
      <w:pPr/>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united, states, environmental, remain, increase, indicate;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Environmental Permitting and Environmental Impact Assessment in the United States and the European Union: A Comparative Legal Study — https://doi.org/10.2139/ssrn.7275567</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Nonlinear Thresholds of Meteorological and Chemical Determinants of Summertime Surface Ozone across China, the United States, and Europe — https://doi.org/10.1021/acsestair.6c00228</w:t>
      </w:r>
    </w:p>
    <w:p>
      <w:pPr/>
      <w:r>
        <w:rPr>
          <w:b/>
        </w:rPr>
        <w:t>Shared claim-specific concepts:</w:t>
      </w:r>
      <w:r>
        <w:t xml:space="preserve"> united, states, remain, substantially, whereas; EU scope visible. This is a provisional connection, not an outcome finding.</w:t>
      </w:r>
    </w:p>
    <w:p>
      <w:pPr>
        <w:pStyle w:val="SourceNote"/>
      </w:pPr>
      <w:r>
        <w:rPr>
          <w:b/>
        </w:rPr>
        <w:t>Available abstract (not full text):</w:t>
      </w:r>
      <w:r>
        <w:t xml:space="preserve"> Abstract Surface ozone (O3) poses significant threats to human health, ecosystems, and climate. In recent years, summertime ozone pollution has remained severe in China and has shown emerging risks worldwide, creating urgent pressure for more effective early warning and region-specific mitigation. Yet thresholds of key meteorological and chemical drivers controlling surface ozone pollution remain poorly constrained, and the mechanisms underlying regional differences in dominant drivers are not fully understood. Here, we combine interpretable machine learning, Double Machine Learning, and high versus low O3 composite diagnostics to identify dominant drivers controlling surface ozone pollution, quantify region-specific thresholds, and interpret the underlying formation regimes of summertime maximum daily 8 h average ozone (MDA8 O3) across China, the United States, and Europe. Results reveal that meteorological predictors make the largest absolute SHAP contribution to summertime MDA8 O3 in most regions, whereas aerosol-related predictors rank second in many regions and first among predictor groups in the Pearl River Delta. Our approach further identifies region-specific threshold combinations associated with elevated MDA8 O3 and conditional exceedance probabilities. High O3 days consistently occur under hot, dry, weakly cloudy, low-precipitation, and strongly irradiated conditions</w:t>
      </w:r>
    </w:p>
    <w:p>
      <w:pPr/>
      <w:r>
        <w:rPr>
          <w:b/>
        </w:rPr>
        <w:t>POSSIBLE 2026:</w:t>
      </w:r>
      <w:r>
        <w:t xml:space="preserve"> Giardiasis in Japan, the United States of America, and Europe from 2007 to 2023, highlighting a decline during the COVID-19 pandemic — https://doi.org/10.1371/journal.pntd.0014428</w:t>
      </w:r>
    </w:p>
    <w:p>
      <w:pPr/>
      <w:r>
        <w:rPr>
          <w:b/>
        </w:rPr>
        <w:t>Shared claim-specific concepts:</w:t>
      </w:r>
      <w:r>
        <w:t xml:space="preserve"> united, states, substantially, whereas, compared; EU scope visible. This is a provisional connection, not an outcome finding.</w:t>
      </w:r>
    </w:p>
    <w:p>
      <w:pPr>
        <w:pStyle w:val="SourceNote"/>
      </w:pPr>
      <w:r>
        <w:rPr>
          <w:b/>
        </w:rPr>
        <w:t>Available abstract (not full text):</w:t>
      </w:r>
      <w:r>
        <w:t xml:space="preserve"> BACKGROUND: Giardiasis is one of the most common enteric protozoal infections worldwide. It is frequently reported as an enteric parasitic infection in the United States of America (USA) and Europe, whereas reported incidence in Japan is substantially lower. This study characterized age-specific, geographic, and temporal patterns of reported giardiasis incidence in Japan, the USA, and Europe using publicly available surveillance data. METHODOLOGY/PRINCIPAL FINDINGS: This retrospective study analyzed surveillance data from the National Institute of Infectious Diseases (NIID) in Japan, the Centers for Disease Control and Prevention (CDC), and the European Centre for Disease Prevention and Control (ECDC) to describe epidemiological patterns, possible explanatory factors, and temporal trends before and during the COVID-19 pandemic. Annual trends were examined using all available surveillance years: 2007-2023 for Japan and Europe and 2007-2022 for the USA. Age-specific patterns were compared between the pre-pandemic (2017-2019) and pandemic (2020-2022) periods, and geographic patterns were examined using available regional data. Incidence rates in the USA and Europe were approximately 5 per 100,000 population, whereas reported incidence in Japan remained below 0.1 per 100,000. Age-specific patterns differed: incidence peaked in children aged 0-14 years in Europe, and in children age</w:t>
      </w:r>
    </w:p>
    <w:p>
      <w:pPr/>
      <w:r>
        <w:rPr>
          <w:b/>
        </w:rPr>
        <w:t>POSSIBLE 2026:</w:t>
      </w:r>
      <w:r>
        <w:t xml:space="preserve"> United States and European Union aid cuts risk exacerbating links between aid, trade, and human and environmental crises — https://doi.org/10.1038/s44458-025-00011-9</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Both the United States and European Union have been considerable providers of official development aid, but political pressure is mounting to reduce future disbursements. Here, we conduct a system-wide association study linking detailed trade flows with various aid purposes—including untied, humanitarian, and typically non-trade-related aid—to explore how aid and trade may interact in indirect or unintended ways. Using OECD aid data and global trade statistics, we find strong and persistent correlations between specific imported goods and aid purposes. These links reflect trade-offs among the UN’s Sustainable Development Goals and suggest that a major reduction in U.S. aid could disrupt efforts to mitigate the impacts of its food and precious metal imports. The findings also highlight the fragile relationship between aid, minerals, and conflict. This shift may offer a strategic opportunity to nations to reduce their supply chain vulnerabilities and rethink the broader relationship between aid, trade, and human and environmental crises. Persistent correlations between traded goods and foreign aid purposes reveal connections to human and environmental crises that could be exacerbated by aid cuts, according to a global study using OECD aid data and trade flows to map obscure or unintended interactions between aid and trade.</w:t>
      </w:r>
    </w:p>
    <w:p>
      <w:pPr/>
      <w:r>
        <w:rPr>
          <w:b/>
        </w:rPr>
        <w:t>POSSIBLE 2026:</w:t>
      </w:r>
      <w:r>
        <w:t xml:space="preserve"> Contemporary Issues in International Environmental Law: A Comparative Doctrinal Analysis of Climate Regulation and Litigation in the United States and the European Union — https://doi.org/10.13140/rg.2.2.25380.03203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Structuring Sustainability, From Strategy to Soil: A Comparative Analysis of Agri-Environmental and Climate-Smart Policy Design in the European Union and the United States, 2018–2025 — https://doi.org/10.17615/0cwh-qe76</w:t>
      </w:r>
    </w:p>
    <w:p>
      <w:pPr/>
      <w:r>
        <w:rPr>
          <w:b/>
        </w:rPr>
        <w:t>Shared claim-specific concepts:</w:t>
      </w:r>
      <w:r>
        <w:t xml:space="preserve"> united, states, environmental, smaller, union, agricultural; EU scope visible. This is a provisional connection, not an outcome finding.</w:t>
      </w:r>
    </w:p>
    <w:p>
      <w:pPr>
        <w:pStyle w:val="SourceNote"/>
      </w:pPr>
      <w:r>
        <w:rPr>
          <w:b/>
        </w:rPr>
        <w:t>Available abstract (not full text):</w:t>
      </w:r>
      <w:r>
        <w:t xml:space="preserve"> With the ever-increasing population and the growing impacts of climate change, the intersection of environmental and agricultural policy has become increasingly critical. In recent years, institutions have sought to address these two concerns by developing agri-environmental policies that aim to integrate environmentally friendly practices into the agricultural sector. However, despite continued efforts, there remains no single, universally effective model of implementation. This project examines why variation persists by focusing on two major actors in agricultural policy: the United States and the European Union, whose approaches illustrate both similarities and significant differences. The United States has pursued gradual measures, adopting smaller, carefully designed policies aimed at addressing environmental concerns without causing significant disruption to agricultural production. By contrast, the European Union has set more ambitious goals and formally tied environmental measures to the Common Agricultural Policy, while devolving responsibility for implementation to member states to accommodate local issues. These contrasting approaches raise the central research question of this thesis: How do differences in policy design and governance structures shape the implementation of agri-environmental policies in the US and the EU? To address this question, the thesis analyze</w:t>
      </w:r>
    </w:p>
    <w:p>
      <w:pPr/>
      <w:r>
        <w:rPr>
          <w:b/>
        </w:rPr>
        <w:t>POSSIBLE 2026:</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L26/O-220 Abortion policy and maternal mortality: comparative analysis of Europe and the United States — https://doi.org/10.1093/humrep/deag083.218</w:t>
      </w:r>
    </w:p>
    <w:p>
      <w:pPr/>
      <w:r>
        <w:rPr>
          <w:b/>
        </w:rPr>
        <w:t>Shared claim-specific concepts:</w:t>
      </w:r>
      <w:r>
        <w:t xml:space="preserve"> united, states, substantially, compared, levels; EU scope visible. This is a provisional connection, not an outcome finding.</w:t>
      </w:r>
    </w:p>
    <w:p>
      <w:pPr>
        <w:pStyle w:val="SourceNote"/>
      </w:pPr>
      <w:r>
        <w:rPr>
          <w:b/>
        </w:rPr>
        <w:t>Available abstract (not full text):</w:t>
      </w:r>
      <w:r>
        <w:t xml:space="preserve"> Abstract Study question Are restrictive abortion policies associated with higher maternal mortality, and are these associations consistent between Europe and the United States (U.S.)? Summary answer More restrictive abortion policies are associated with higher maternal mortality in both regions, with overall higher rates in the U.S. even after GDP adjustment. What is known already On June 22, 2024, the U.S. Supreme Court’s Dobbs decision overturned Roe v. Wade, allowing U.S. states to enact more restrictive abortion laws. Restrictive abortion policies have been associated with increased maternal mortality in the U.S., with states enforcing more restrictive laws demonstrating higher maternal mortality rates compared to states with protective policies. Maternal mortality in the U.S. is substantially higher than in other high-income countries, with ratios 2-4 times higher than most European nations. However, no prior studies have directly compared maternal mortality patterns between Europe and the U.S. in relation to abortion policy in the post-Dobbs period. Study design, size, duration This comparative population study analyzed maternal mortality across 43 European countries and 37 U.S. states by abortion policy restrictiveness. Maternal deaths were assessed using finalized 2023 data, the most recent year available for both Europe and the U.S. Participants/materials, setting, met</w:t>
      </w:r>
    </w:p>
    <w:p>
      <w:pPr/>
      <w:r>
        <w:rPr>
          <w:b/>
        </w:rPr>
        <w:t>POSSIBLE 2026:</w:t>
      </w:r>
      <w:r>
        <w:t xml:space="preserve"> No Stalled Revolution: The Closing Gender Gap in Early Careers in Europe and the United States — https://doi.org/10.15195/v13.a44</w:t>
      </w:r>
    </w:p>
    <w:p>
      <w:pPr/>
      <w:r>
        <w:rPr>
          <w:b/>
        </w:rPr>
        <w:t>Shared claim-specific concepts:</w:t>
      </w:r>
      <w:r>
        <w:t xml:space="preserve"> united, states, substantially, relative; EU scope visible. This is a provisional connection, not an outcome finding.</w:t>
      </w:r>
    </w:p>
    <w:p>
      <w:pPr>
        <w:pStyle w:val="SourceNote"/>
      </w:pPr>
      <w:r>
        <w:rPr>
          <w:b/>
        </w:rPr>
        <w:t>Available abstract (not full text):</w:t>
      </w:r>
      <w:r>
        <w:t xml:space="preserve"> Women have surpassed men in higher education, yet their labor market progress relative to men is widely seen as stalled. We address this apparent contradiction by adopting a cohort perspective—since gender convergence is driven by cohort replacement rather than period effects—and focusing on early careers (ages 25–34), before parenthood widens the gender gap. Drawing on large-scale national data spanning several decades, we analyze single-year birth cohorts from 1960 to 1998 in France, Germany, Sweden, Switzerland, the United Kingdom, and the United States across multiple labor market outcomes. Our results show that gender gaps in employment, working hours, and occupational attainment have narrowed substantially in all countries studied. Most importantly, young women have made up considerable ground in total labor income: the gender gap has more than halved between the 1965 and 1995 birth cohorts. Although young women still lag behind young men, particularly mothers, our findings show steady convergence and challenge the narrative of stalled progress.</w:t>
      </w:r>
    </w:p>
    <w:p>
      <w:pPr/>
      <w:r>
        <w:rPr>
          <w:b/>
        </w:rPr>
        <w:t>POSSIBLE 2026:</w:t>
      </w:r>
      <w:r>
        <w:t xml:space="preserve"> Hydrogen Valleys and Hubs in the European Union and United States — https://doi.org/10.4324/9781003669654-13</w:t>
      </w:r>
    </w:p>
    <w:p>
      <w:pPr/>
      <w:r>
        <w:rPr>
          <w:b/>
        </w:rPr>
        <w:t>Shared claim-specific concepts:</w:t>
      </w:r>
      <w:r>
        <w:t xml:space="preserve"> united, states, union, production, environment; EU scope visible. This is a provisional connection, not an outcome finding.</w:t>
      </w:r>
    </w:p>
    <w:p>
      <w:pPr>
        <w:pStyle w:val="SourceNote"/>
      </w:pPr>
      <w:r>
        <w:rPr>
          <w:b/>
        </w:rPr>
        <w:t>Available abstract (not full text):</w:t>
      </w:r>
      <w:r>
        <w:t xml:space="preserve"> This chapter examines the regulatory frameworks governing hydrogen valleys and hubs, emphasising their role as mechanisms to foster a hydrogen economy. It explores the evolution of these concepts as well as the regulatory, policy, and legal challenges and opportunities associated with hydrogen production, storage, and utilisation across various sectors. Through a mapping of key stakeholders, from producers and infrastructure operators to end-users and regulators, the chapter analyses the complex web of relationships including contractual relationships that underpin these ecosystems, identifying critical legal instruments needed for their successful operation. By analysing hydrogen valleys, the chapter provides insights into how legal instruments can facilitate or hinder the development of these “micro hydrogen eco-systems.” A significant focus is placed on the comparative legal analysis, examining the approaches in the EU and US to highlight the strategies, incentives, policies and frameworks employed. The chapter also underscores the importance of collaboration between different industries and stakeholders to create a cohesive legal environment that supports innovation and accelerates the transition to a low-carbon economy. The analysis encompasses both public and private law dimensions, exploring how contractual frameworks and regulatory requirements must align to enable effe</w:t>
      </w:r>
    </w:p>
    <w:p>
      <w:pPr/>
      <w:r>
        <w:rPr>
          <w:b/>
        </w:rPr>
        <w:t>POSSIBLE 2026:</w:t>
      </w:r>
      <w:r>
        <w:t xml:space="preserve"> MODELING SUSTAINABLE AGRICULTURAL DEVELOPMENT IN THE UNITED STATES AND WESTERN EUROPE — https://doi.org/10.36871/ek.up.p.r.2026.09.01.009</w:t>
      </w:r>
    </w:p>
    <w:p>
      <w:pPr/>
      <w:r>
        <w:rPr>
          <w:b/>
        </w:rPr>
        <w:t>Shared claim-specific concepts:</w:t>
      </w:r>
      <w:r>
        <w:t xml:space="preserve"> united, states, environmental, agricultural; EU scope visible. This is a provisional connection, not an outcome finding.</w:t>
      </w:r>
    </w:p>
    <w:p>
      <w:pPr>
        <w:pStyle w:val="SourceNote"/>
      </w:pPr>
      <w:r>
        <w:rPr>
          <w:b/>
        </w:rPr>
        <w:t>Available abstract (not full text):</w:t>
      </w:r>
      <w:r>
        <w:t xml:space="preserve"> This article presents a comprehensive review and comparative analysis of mathematical models used to analyze sustainable agricultural development in the United States and developed Western European countries. The author systematizes the conceptual differences in understanding sustainable development in the agricultural sector: while the United States emphasizes economic efficiency and environmental safety, the EU’s approach is more socially oriented and significantly stricter in environmental regulation, as reflected in the Green Deal strategies. The main content of the paper is devoted to a detailed description of key dynamic models. In the United States, field-level biophysical models (SWAT, EPIC, DAYCENT) and national-scale partial equilibrium models (FASOM, APEX) predominate. European modeling is represented by complex integrated systems such as CAPRI (an EU agricultural policy model), RAUMIS (a regional agricultural policy model in Germany), AROPAj (a model for analyzing agrifood systems in France and the EU), FAPRI-UK (for assessing the effectiveness of measures to reduce nitrogen and greenhouse gas emissions in UK agriculture), and MITERRA (for assessing the effectiveness of measures to reduce nitrogen and greenhouse gas emissions in Dutch agriculture). For each model, its mathematical structure, objective function, and practical application examples are described—from a</w:t>
      </w:r>
    </w:p>
    <w:p>
      <w:pPr>
        <w:pStyle w:val="Heading2"/>
      </w:pPr>
      <w:r>
        <w:t>903. Microgrids: Enhancing the Resilience of the European Megagrid</w:t>
      </w:r>
    </w:p>
    <w:p>
      <w:pPr>
        <w:pStyle w:val="SourceNote"/>
      </w:pPr>
      <w:r>
        <w:rPr>
          <w:b/>
        </w:rPr>
        <w:t>Original source (2015):</w:t>
      </w:r>
      <w:r>
        <w:t xml:space="preserve"> https://doi.org/10.1109/mpe.2015.2397336</w:t>
      </w:r>
    </w:p>
    <w:p>
      <w:pPr/>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POSSIBLE 2026:</w:t>
      </w:r>
      <w:r>
        <w:t xml:space="preserve"> Climate change impacts on European electricity demand and supply until 2100 — https://doi.org/10.1016/j.isci.2026.116818</w:t>
      </w:r>
    </w:p>
    <w:p>
      <w:pPr/>
      <w:r>
        <w:rPr>
          <w:b/>
        </w:rPr>
        <w:t>Shared claim-specific concepts:</w:t>
      </w:r>
      <w:r>
        <w:t xml:space="preserve"> electricity, renewable, generation, substantial, electrified; EU scope visible. This is a provisional connection, not an outcome finding.</w:t>
      </w:r>
    </w:p>
    <w:p>
      <w:pPr>
        <w:pStyle w:val="SourceNote"/>
      </w:pPr>
      <w:r>
        <w:rPr>
          <w:b/>
        </w:rPr>
        <w:t>Available abstract (not full text):</w:t>
      </w:r>
      <w:r>
        <w:t xml:space="preserve"> Renewable and electrified energy systems are highly weather-dependent, making them vulnerable to climate change. Energy system modeling therefore requires high-quality data that captures the spatiotemporal complexity of climate conditions. We present SECURES-Energy, an open-access dataset providing hourly electricity demand and supply data for Europe at the national level from 1981 to 2100. Historical data are derived from ERA5 reanalysis, while future projections use two EURO-CORDEX scenarios (RCP 4.5/RCP 8.5). The dataset includes onshore and offshore wind, solar photovoltaic (PV), and hydropower generation, as well as all electricity demand components such as heating, cooling, and mobility. Results indicate no consistent trends for solar PV and hydropower across Europe. Offshore wind declines by up to -4%/-3% by 2035-2064 and -6%/-9% by 2071-2100 relative to 1981-2010. Cooling demand rises sharply (up to +80%/+149% by mid-century; +129%/+317% by end-century), while heating demand falls (-19%/-24% by mid-century; -25%/-40% by end-century). These findings highlight substantial climate-driven shifts in future electricity demand and supply.</w:t>
      </w:r>
    </w:p>
    <w:p>
      <w:pPr/>
      <w:r>
        <w:rPr>
          <w:b/>
        </w:rPr>
        <w:t>POSSIBLE 2026:</w:t>
      </w:r>
      <w:r>
        <w:t xml:space="preserve"> The Distributional Politics of Electricity Pricing in Europe — https://openalex.org/W7140958256</w:t>
      </w:r>
    </w:p>
    <w:p>
      <w:pPr/>
      <w:r>
        <w:rPr>
          <w:b/>
        </w:rPr>
        <w:t>Shared claim-specific concepts:</w:t>
      </w:r>
      <w:r>
        <w:t xml:space="preserve"> electricity, renewable, generation, substantial, segments; EU scope visible. This is a provisional connection, not an outcome finding.</w:t>
      </w:r>
    </w:p>
    <w:p>
      <w:pPr>
        <w:pStyle w:val="SourceNote"/>
      </w:pPr>
      <w:r>
        <w:rPr>
          <w:b/>
        </w:rPr>
        <w:t>Available abstract (not full text):</w:t>
      </w:r>
      <w:r>
        <w:t xml:space="preserve"> It is hardly disputable that electricity markets are genuinely political constructs.Policies and regulations shape electricity pricing in order to compensate, incentivize investments, and sustain business cases on both the generation and consumption sides.In the ongoing transition to a low-carbon economy and power sector, retail electricity prices incorporate a plethora of transitionrelated costs -from surcharges financing renewable energy support, to grid expansion, and the costs of balancing, congestion management, and redispatch.Yet, there is a relatively limited understanding of how countries use electricity prices to allocate these costs across consumer groups.A comparative perspective on retail electricity pricing across consumer groups reveals substantial cross-country differences in the distributional design of electricity pricing regimes.Even within a shared European market and regulatory framework -of which the UK was part until 2021 -the distributional effects of electricity pricing have differed markedly.These differences are not merely technical outcomes but reflect deliberate political choices -choices that are becoming increasingly contested as electricity accounts for a growing share of final energy consumption and expenditures.This article examines how retail electricity prices differ between household and industrial consumers over time and identifies the cost </w:t>
      </w:r>
    </w:p>
    <w:p>
      <w:pPr/>
      <w:r>
        <w:rPr>
          <w:b/>
        </w:rPr>
        <w:t>POSSIBLE 2026:</w:t>
      </w:r>
      <w:r>
        <w:t xml:space="preserve"> DYNAMIC INTERACTIONS BETWEEN SOLAR POWER GENERATION AND ELECTRICITY DEMAND FOR IMPROVED ENERGY BALANCE — https://doi.org/10.67772/3jk36b14</w:t>
      </w:r>
    </w:p>
    <w:p>
      <w:pPr/>
      <w:r>
        <w:rPr>
          <w:b/>
        </w:rPr>
        <w:t>Shared claim-specific concepts:</w:t>
      </w:r>
      <w:r>
        <w:t xml:space="preserve"> electricity, generation, substantial; EU scope not established. This is a provisional connection, not an outcome finding.</w:t>
      </w:r>
    </w:p>
    <w:p>
      <w:pPr>
        <w:pStyle w:val="SourceNote"/>
      </w:pPr>
      <w:r>
        <w:rPr>
          <w:b/>
        </w:rPr>
        <w:t>Available abstract (not full text):</w:t>
      </w:r>
      <w:r>
        <w:t xml:space="preserve"> Solar photovoltaic generation and electricity demand follow distinct temporal patterns that can create substantial energy imbalance even when aggregate solar production is high. Understanding their dynamic interaction is essential for evaluating demand coverage, self-consumption, and surplus energy in prosumer systems. This research examined the temporal relationship between solar PV generation and electricity demand and quantified its influence on energy-balance performance. Approximately 30-second-resolution measurements from 24 sampled days were analyzed using descriptive, hourly, time-weighted, and day-level statistical methods. PV generation, electricity demand, direct demand coverage, self-consumption, surplus energy, unmet load, and net energy balance were evaluated, with paired testing and Spearman correlations applied at the day level. PV generation peaked at 11:00, whereas electricity demand peaked at 21:00, producing a 10-hour separation. Total PV energy exceeded total load energy, yet direct PV demand coverage was 34.96%, PV self-consumption was 21.80%, and the PV surplus share reached 78.20%. Eighteen of 24 sampled days recorded a net surplus. Higher daily PV energy was strongly associated with greater demand coverage (ρ = 0.721, p &lt; 0.001). Effective energy balancing therefore depends strongly on temporal alignment between generation and consumption. Load shifting</w:t>
      </w:r>
    </w:p>
    <w:p>
      <w:pPr/>
      <w:r>
        <w:rPr>
          <w:b/>
        </w:rPr>
        <w:t>POSSIBLE 2026:</w:t>
      </w:r>
      <w:r>
        <w:t xml:space="preserve"> Greenhouse gases resulting from grid‐connected electricity demand — https://doi.org/10.1111/coep.70054</w:t>
      </w:r>
    </w:p>
    <w:p>
      <w:pPr/>
      <w:r>
        <w:rPr>
          <w:b/>
        </w:rPr>
        <w:t>Shared claim-specific concepts:</w:t>
      </w:r>
      <w:r>
        <w:t xml:space="preserve"> electricity, meet, greenhouse; EU scope not established. This is a provisional connection, not an outcome finding.</w:t>
      </w:r>
    </w:p>
    <w:p>
      <w:pPr>
        <w:pStyle w:val="SourceNote"/>
      </w:pPr>
      <w:r>
        <w:rPr>
          <w:b/>
        </w:rPr>
        <w:t>Available abstract (not full text):</w:t>
      </w:r>
      <w:r>
        <w:t xml:space="preserve"> Abstract Many businesses would like to claim their electricity use results in no greenhouse gases. Because electricity cannot be traced from specific generators to purchasers, regulators and users propose an approximation. Clean electricity use would meet three conditions, or “pillars.” It must be generated (1) nearby, (2) during the same hour, and (3) by newly constructed plants. Qualifying electricity use would be cleaner than average but not carbon‐free, with average incremental emissions ranging from 69% to 100% of unrestricted emissions. The conditions limit the amount of already‐existing power that can be claimed, and so could encourage construction of clean capacity.</w:t>
      </w:r>
    </w:p>
    <w:p>
      <w:pPr/>
      <w:r>
        <w:rPr>
          <w:b/>
        </w:rPr>
        <w:t>POSSIBLE 2026:</w:t>
      </w:r>
      <w:r>
        <w:t xml:space="preserve"> Electricity Demand And Renewable Energy Analysis Using Opsd Data From Selected European Countries — https://doi.org/10.54365/adyumbd.1862489</w:t>
      </w:r>
    </w:p>
    <w:p>
      <w:pPr/>
      <w:r>
        <w:rPr>
          <w:b/>
        </w:rPr>
        <w:t>Shared claim-specific concepts:</w:t>
      </w:r>
      <w:r>
        <w:t xml:space="preserve"> electricity, renewable, significant; EU scope visible. This is a provisional connection, not an outcome finding.</w:t>
      </w:r>
    </w:p>
    <w:p>
      <w:pPr>
        <w:pStyle w:val="SourceNote"/>
      </w:pPr>
      <w:r>
        <w:rPr>
          <w:b/>
        </w:rPr>
        <w:t>Available abstract (not full text):</w:t>
      </w:r>
      <w:r>
        <w:t xml:space="preserve"> This study analyzes electricity demand and wind energy production data in detail using the Open Power System Data (OPSD) dataset obtained from European countries such as Germany, Spain, France, Italy, and Poland. The OPSD database is considered a reliable source for both academic research and energy market applications due to its provision of high-resolution time-series data. The study examines both short-term and long-term trends and analyzes the seasonal structure of electricity demand and the differences between weekdays and weekends. The results show that wind energy production exhibits strong periodic behavior, and significant autocorrelation peaks observed, particularly in the first 24–48 lag intervals, reflect short-term cyclical dependencies. Cross-country comparisons show that Germany and France exhibit relatively stable trend structures, while Spain and Italy display higher variability and more pronounced seasonal fluctuations. Poland, on the other hand, exhibits stronger irregular components, indicating increased system variability. These findings highlight the importance of considering both seasonal dynamics and short-term variability in energy system planning. The study provides a comprehensive framework for understanding the structural characteristics of electricity demand and renewable energy production, contributing to the development of more resilient and relia</w:t>
      </w:r>
    </w:p>
    <w:p>
      <w:pPr/>
      <w:r>
        <w:rPr>
          <w:b/>
        </w:rPr>
        <w:t>POSSIBLE 2026:</w:t>
      </w:r>
      <w:r>
        <w:t xml:space="preserve"> Electricity Generation: Are Uganda’s Electricity Generating Firms Efficient? — https://doi.org/10.56279/orseaj.special.5</w:t>
      </w:r>
    </w:p>
    <w:p>
      <w:pPr/>
      <w:r>
        <w:rPr>
          <w:b/>
        </w:rPr>
        <w:t>Shared claim-specific concepts:</w:t>
      </w:r>
      <w:r>
        <w:t xml:space="preserve"> electricity, generation; EU scope not established. This is a provisional connection, not an outcome finding.</w:t>
      </w:r>
    </w:p>
    <w:p>
      <w:pPr>
        <w:pStyle w:val="SourceNote"/>
      </w:pPr>
      <w:r>
        <w:rPr>
          <w:b/>
        </w:rPr>
        <w:t>Available abstract (not full text):</w:t>
      </w:r>
      <w:r>
        <w:t xml:space="preserve"> High tariffs and low access to electricity in Uganda remains a challenge despite surplus generation capacity. The excess generation is suggests inefficiencies in power generation. Most research has focused on demand side efficiency and limited attention is accorded to supply side technical efficiency, especially using Data Envelopment Analysis (DEA) and Tobit models. Therefore, the study extends DEA and Tobit model to evaluated technical efficiency and examine its drives of efficiency of generation companies in Uganda. Secondary data from Electricity Regulatory Authority (ERA) of Uganda from 2016 to 2023, for 36 generating firms, were analyses using an input-oriented Data Envelopment Analysis (DEA) and Tobit regression to examine the drivers of efficiency.Findings indicate that 22% of the firms are technically efficient while 67% are operating below 50% technical efficiency. This was attributed to aged technologies, high administrative or operation costs, and regulatory challenges.Plant size, workforce size, operations and maintenance costs, and energy source were found to be the major drivers of efficiency at generation level. The study extends the application of DEA approaches and Tobit model to firm-level generation side context. This shows that electricity is not efficiently generated in Uganda. Therefore, the responsible line ministry should put in place better rulesand re</w:t>
      </w:r>
    </w:p>
    <w:p>
      <w:pPr/>
      <w:r>
        <w:rPr>
          <w:b/>
        </w:rPr>
        <w:t>POSSIBLE 2026:</w:t>
      </w:r>
      <w:r>
        <w:t xml:space="preserve"> Green Electricity Product Solution in the Background of Electricity Market — https://doi.org/10.4236/ojapps.2026.163050</w:t>
      </w:r>
    </w:p>
    <w:p>
      <w:pPr/>
      <w:r>
        <w:rPr>
          <w:b/>
        </w:rPr>
        <w:t>Shared claim-specific concepts:</w:t>
      </w:r>
      <w:r>
        <w:t xml:space="preserve"> electricity, renewable, generation, become; EU scope not established. This is a provisional connection, not an outcome finding.</w:t>
      </w:r>
    </w:p>
    <w:p>
      <w:pPr>
        <w:pStyle w:val="SourceNote"/>
      </w:pPr>
      <w:r>
        <w:rPr>
          <w:b/>
        </w:rPr>
        <w:t>Available abstract (not full text):</w:t>
      </w:r>
      <w:r>
        <w:t xml:space="preserve"> In the development of a new power system dominated by green energy, green electricity has become a standardized commodity circulating nationwide through market mechanisms. The role of green electricity has evolved from being a dependent entity reliant on grid-guaranteed procurement to becoming a value-driven competitor driven by price signals and electricity demand. This paper proposes a green electricity product solution designed to provide reliable value assessment models and feasible implementation plans for users with diverse renewable energy needs. By modeling current internal power generation and consumption data within enterprises, the solution enables efficient communication between both parties during preliminary discussions. Based on digitalized models, green electricity service providers can deliver comprehensive solutions that are environmentally sustainable, economically viable, and highly efficient through policy analysis and technical evaluation.</w:t>
      </w:r>
    </w:p>
    <w:p>
      <w:pPr/>
      <w:r>
        <w:rPr>
          <w:b/>
        </w:rPr>
        <w:t>POSSIBLE 2025:</w:t>
      </w:r>
      <w:r>
        <w:t xml:space="preserve"> The Price Elasticity of Electricity Demand in Romania — https://doi.org/10.2478/jses-2025-0009</w:t>
      </w:r>
    </w:p>
    <w:p>
      <w:pPr/>
      <w:r>
        <w:rPr>
          <w:b/>
        </w:rPr>
        <w:t>Shared claim-specific concepts:</w:t>
      </w:r>
      <w:r>
        <w:t xml:space="preserve"> electricity, renewable, furthermore, significant; EU scope visible. This is a provisional connection, not an outcome finding.</w:t>
      </w:r>
    </w:p>
    <w:p>
      <w:pPr>
        <w:pStyle w:val="SourceNote"/>
      </w:pPr>
      <w:r>
        <w:rPr>
          <w:b/>
        </w:rPr>
        <w:t>Available abstract (not full text):</w:t>
      </w:r>
      <w:r>
        <w:t xml:space="preserve"> Abstract This paper examines the causal relationships in electricity consumption patterns and price using Granger causality analysis. Our methodology implements vector autoregression models while accounting for electricity's nature as an essential resource with low price elasticity. Through Seasonal Autoregressive Integrated Moving Average (SARIMA) modelling and stationarity assessments, we establish that electricity consumption demonstrates significant inelasticity to price fluctuations, with price series integrated of order I(1) and consumption series of order I(2). Our findings reveal a unidirectional Granger causality from consumption to price, while no significant causality exists from price to consumption. These results suggest that consumption behaviour is primarily influenced by structural and seasonal factors rather than price signals. Furthermore the findings of this article contribute to understanding the dynamics of the electricity market and opens a door to understanding the policy formulation of the governmentsduring the transition to renewable energy.</w:t>
      </w:r>
    </w:p>
    <w:p>
      <w:pPr/>
      <w:r>
        <w:rPr>
          <w:b/>
        </w:rPr>
        <w:t>POSSIBLE 2025:</w:t>
      </w:r>
      <w:r>
        <w:t xml:space="preserve"> Globally interconnected solar-wind system addresses future electricity demands — https://doi.org/10.1038/s41467-025-59879-9</w:t>
      </w:r>
    </w:p>
    <w:p>
      <w:pPr/>
      <w:r>
        <w:rPr>
          <w:b/>
        </w:rPr>
        <w:t>Shared claim-specific concepts:</w:t>
      </w:r>
      <w:r>
        <w:t xml:space="preserve"> electricity, renewable, generation, meet; EU scope not established. This is a provisional connection, not an outcome finding.</w:t>
      </w:r>
    </w:p>
    <w:p>
      <w:pPr>
        <w:pStyle w:val="SourceNote"/>
      </w:pPr>
      <w:r>
        <w:rPr>
          <w:b/>
        </w:rPr>
        <w:t>Available abstract (not full text):</w:t>
      </w:r>
      <w:r>
        <w:t xml:space="preserve"> Accelerating energy transition towards renewables is central to net-zero emissions. However, building a global power system dominated by solar and wind energy presents immense challenges. Here, we demonstrate the potential of a globally interconnected solar-wind system to meet future electricity demands. We estimate that such a system could generate ~3.1 times the projected 2050 global electricity demand. By optimizing solar-wind deployment, storage capacity, and trans-regional transmission, the solar-wind penetration could be achieved using only 29.4% of the highest potential, with a 15.6% reduction in initial investment compared to a strategy without interconnection. Global interconnection improves energy efficiency, mitigates the variability of renewable energy, promotes energy availability, and eases the economic burden of decarbonization. Importantly, this interconnected system shows remarkable resilience to climate extremes, generation outages, transmission disruptions, and geopolitical conflicts. Our findings underscore the potential of global interconnection in enabling high renewable penetration and guiding sustainable energy transitions.</w:t>
      </w:r>
    </w:p>
    <w:p>
      <w:pPr/>
      <w:r>
        <w:rPr>
          <w:b/>
        </w:rPr>
        <w:t>POSSIBLE 2025:</w:t>
      </w:r>
      <w:r>
        <w:t xml:space="preserve"> Shifting Electricity Demand Under Temperature Extremes in Bangladesh — https://doi.org/10.3390/earth6040127</w:t>
      </w:r>
    </w:p>
    <w:p>
      <w:pPr/>
      <w:r>
        <w:rPr>
          <w:b/>
        </w:rPr>
        <w:t>Shared claim-specific concepts:</w:t>
      </w:r>
      <w:r>
        <w:t xml:space="preserve"> electricity, significant; EU scope not established. This is a provisional connection, not an outcome finding.</w:t>
      </w:r>
    </w:p>
    <w:p>
      <w:pPr>
        <w:pStyle w:val="SourceNote"/>
      </w:pPr>
      <w:r>
        <w:rPr>
          <w:b/>
        </w:rPr>
        <w:t>Available abstract (not full text):</w:t>
      </w:r>
      <w:r>
        <w:t xml:space="preserve"> Bangladesh is among the world’s most climate-vulnerable countries, facing recurrent hazards that disrupt lives and livelihoods. Among these, heatwaves and cold snaps strongly affect electricity consumption, representing a key socio-economic impact of climate extremes. In this study, we used meteorological and electricity data from six sub-regions of Bangladesh to examine long-term changes in extreme temperature days and their effects on electricity usage. Results showed that western inland stations (Chuadanga, Jashore) experienced hotter summers and colder winters, whereas coastal sites (Barishal, Patuakhali) were moderated by maritime influences. Trend analysis revealed significant increases in hot-day frequency since 1961 (up to 1.8 days yr−1 at coastal areas, while cold-day frequencies generally declined but with regional variability. Electricity demand followed a clear pattern, being highest on hot days, lowest on cold days, and intermediate on normal days. Among the regions, Khulna consistently recorded the greatest demand (up to 161 MWh), while Patuakhali remained the lowest (~19–32 MWh). Regression analysis further showed that demand rises with maximum temperature, with slopes up to 5.7 MWh °C−1 and moderate correlations (r = 0.27–0.47). Importantly, the temperature–demand relationship has strengthened in recent years, as similar climatic conditions now correspond to hig</w:t>
      </w:r>
    </w:p>
    <w:p>
      <w:pPr/>
      <w:r>
        <w:rPr>
          <w:b/>
        </w:rPr>
        <w:t>POSSIBLE 2025:</w:t>
      </w:r>
      <w:r>
        <w:t xml:space="preserve"> JMIP2 Part 3: The pace of hydrogen and electricity adoption in Japan’s demand-side decarbonization — https://doi.org/10.1016/j.egycc.2025.100223</w:t>
      </w:r>
    </w:p>
    <w:p>
      <w:pPr/>
      <w:r>
        <w:rPr>
          <w:b/>
        </w:rPr>
        <w:t>Shared claim-specific concepts:</w:t>
      </w:r>
      <w:r>
        <w:t xml:space="preserve"> electricity, renewable, become, sectors, meet, targets; EU scope not established. This is a provisional connection, not an outcome finding.</w:t>
      </w:r>
    </w:p>
    <w:p>
      <w:pPr>
        <w:pStyle w:val="SourceNote"/>
      </w:pPr>
      <w:r>
        <w:rPr>
          <w:b/>
        </w:rPr>
        <w:t>Available abstract (not full text):</w:t>
      </w:r>
      <w:r>
        <w:t xml:space="preserve"> • Under the net-zero scenario, the total final energy demand in Japan decreases by about 30% by 2050 compared to 2020. • Electricity is projected to potentially constitute approximately 50% or more of total final energy consumption. • The adoption of hydrogen is projected to increase from a negligible baseline to approximately 13% of the energy mix in 2050, with an accelerated growth trajectory anticipated post-2040. • Hydrogen is effective in deep industrial emission reduction, and its necessity increases as emission target being more stringent. Reaching net-zero emissions in Japan depends on technological advancements in energy efficiency and cost-effectiveness across both energy supply and demand sectors. Previous model comparison studies in Japan did not adequately address uncertainties from technological development under the latest net-zero commitment, potentially hindering effective stakeholder decision-making. This study coordinates multiple integrated assessment and energy systems models to analyze consistent policy and technology scenarios, focusing on energy transition pathways in end-use sectors. The results show that, to meet the net-zero requirement, all models exhibit a similar trend of declining total final energy demand, with a reduction of approximately 30% by 2050 relative to 2020. Meanwhile, electricity may account for around 50% or more of the total final e</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electricity, substantial,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pStyle w:val="Heading2"/>
      </w:pPr>
      <w:r>
        <w:t>904. Modelling street level PM 10 concentrations across Europe: source apportionment and possible futures</w:t>
      </w:r>
    </w:p>
    <w:p>
      <w:pPr>
        <w:pStyle w:val="SourceNote"/>
      </w:pPr>
      <w:r>
        <w:rPr>
          <w:b/>
        </w:rPr>
        <w:t>Original source (2015):</w:t>
      </w:r>
      <w:r>
        <w:t xml:space="preserve"> https://doi.org/10.5194/acp-15-1539-2015</w:t>
      </w:r>
    </w:p>
    <w:p>
      <w:pPr/>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POSSIBLE 2026:</w:t>
      </w:r>
      <w:r>
        <w:t xml:space="preserve"> A transformer approach to forecasting PM10 concentration in the Arctic and Northern Europe — https://doi.org/10.1038/s44407-026-00071-8</w:t>
      </w:r>
    </w:p>
    <w:p>
      <w:pPr/>
      <w:r>
        <w:rPr>
          <w:b/>
        </w:rPr>
        <w:t>Shared claim-specific concepts:</w:t>
      </w:r>
      <w:r>
        <w:t xml:space="preserve"> analyse, pm10, concentrations, extent; EU scope visible. This is a provisional connection, not an outcome finding.</w:t>
      </w:r>
    </w:p>
    <w:p>
      <w:pPr>
        <w:pStyle w:val="SourceNote"/>
      </w:pPr>
      <w:r>
        <w:rPr>
          <w:b/>
        </w:rPr>
        <w:t>Available abstract (not full text):</w:t>
      </w:r>
      <w:r>
        <w:t xml:space="preserve"> Abstract Air pollution is reckoned as one of the main critical factors in risks related to human health as well as to the environment, especially in key areas like the Arctic, where global warming is affecting the ecosystem at an alarming rate. Major pollutants, such as Particulate Matter (PM 10 ), are thus crucial to monitor for efficient planning ahead of extreme events: to that extent, a reliable short to medium-term forecast is vital for prompt action. We propose a Deep Learning approach to air pollution forecasting aimed at predicting 48-h concentrations of PM 10 . We analyse the behaviour of said pollutant together with auxiliary factors, such as meteorological variables and outputs from state-of-the-art numerical models, through several forefront time-series-specialised architectures, i.e. Transformers. We develop an enhanced version of the best-performing Transformer architecture to define a suitable model to forecast PM 10 concentrations from a wide variety of stations across Northern Europe. Our proposed methodology manages to outperform pivotal numerical models and associated postprocessing, offering a valuable alternative for local air pollution forecasting.</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pm10, concentrations, available, control;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2025:</w:t>
      </w:r>
      <w:r>
        <w:t xml:space="preserve"> Understanding and predicting the geographic distributions of phlebotomine sand flies in and around Europe — https://doi.org/10.1007/s10584-025-04009-z</w:t>
      </w:r>
    </w:p>
    <w:p>
      <w:pPr/>
      <w:r>
        <w:rPr>
          <w:b/>
        </w:rPr>
        <w:t>Shared claim-specific concepts:</w:t>
      </w:r>
      <w:r>
        <w:t xml:space="preserve"> predicted, largely, available; EU scope visible. This is a provisional connection, not an outcome finding.</w:t>
      </w:r>
    </w:p>
    <w:p>
      <w:pPr>
        <w:pStyle w:val="SourceNote"/>
      </w:pPr>
      <w:r>
        <w:rPr>
          <w:b/>
        </w:rPr>
        <w:t>Available abstract (not full text):</w:t>
      </w:r>
      <w:r>
        <w:t xml:space="preserve">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pPr/>
      <w:r>
        <w:rPr>
          <w:b/>
        </w:rPr>
        <w:t>POSSIBLE 2025:</w:t>
      </w:r>
      <w:r>
        <w:t xml:space="preserve"> Cancer Risk Associated with Inhalation Exposure to PM10-Bound PAHs and PM10-Bound Heavy Metals in Polish Agglomerations — https://doi.org/10.3390/app15147903</w:t>
      </w:r>
    </w:p>
    <w:p>
      <w:pPr/>
      <w:r>
        <w:rPr>
          <w:b/>
        </w:rPr>
        <w:t>Shared claim-specific concepts:</w:t>
      </w:r>
      <w:r>
        <w:t xml:space="preserve"> pm10, concentrations, control; EU scope not established. This is a provisional connection, not an outcome finding.</w:t>
      </w:r>
    </w:p>
    <w:p>
      <w:pPr>
        <w:pStyle w:val="SourceNote"/>
      </w:pPr>
      <w:r>
        <w:rPr>
          <w:b/>
        </w:rPr>
        <w:t>Available abstract (not full text):</w:t>
      </w:r>
      <w:r>
        <w:t xml:space="preserve"> Particulate matter (PM), polycyclic aromatic hydrocarbons (PAHs), and heavy metals (HMs) present in polluted air are strongly associated with an increased risk of respiratory diseases. In our study, we grouped cities based on their pollution levels using a method called Ward’s cluster analysis and looked at the increased cancer risk from PM10-bound harmful substances for adult men and women living in Polish cities. The analysis was based on data from 8 monitoring stations where concentrations of PM10, PAHs, and HMs were measured simultaneously between 2018 and 2022. The cluster analysis made it possible to distinguish three separate agglomeration clusters: cluster I (Upper Silesia, Wroclaw) with the highest concentrations of heavy metals and PAHs, with mean levels of lead 14.97 ± 7.27 ng·m−3, arsenic 1.73 ± 0.60 ng·m−3, nickel 1.77 ± 0.95 ng·m−3, cadmium 0.49 ± 0.28 ng·m−3, and ∑PAHs 15.53 ± 6.44 ng·m−3, cluster II (Warsaw, Łódź, Lublin, Cracow) with dominant road traffic emissions and low emissions, with average levels of lead 8.00 ± 3.14 ng·m−3, arsenic 0.70 ± 0.17 ng·m−3, nickel 1.64 ± 0.96 ng·m−3, and cadmium 0.49 ± 0.28 ng·m−3, and cluster III (Szczecin, Tricity) with the lowest concentration levels with favourable ventilation conditions. All calculated ILCR values were in the range of 1.20 × 10−6 to 1.11 × 10−5, indicating a potential cancer risk associated with long-term</w:t>
      </w:r>
    </w:p>
    <w:p>
      <w:pPr/>
      <w:r>
        <w:rPr>
          <w:b/>
        </w:rPr>
        <w:t>POSSIBLE 2025:</w:t>
      </w:r>
      <w:r>
        <w:t xml:space="preserve"> Novel approach for monitoring of PM10 concentration in cage-free laying hen houses — https://doi.org/10.1016/j.compag.2025.110957</w:t>
      </w:r>
    </w:p>
    <w:p>
      <w:pPr/>
      <w:r>
        <w:rPr>
          <w:b/>
        </w:rPr>
        <w:t>Shared claim-specific concepts:</w:t>
      </w:r>
      <w:r>
        <w:t xml:space="preserve"> pm10, concentrations, different; EU scope not established. This is a provisional connection, not an outcome finding.</w:t>
      </w:r>
    </w:p>
    <w:p>
      <w:pPr>
        <w:pStyle w:val="SourceNote"/>
      </w:pPr>
      <w:r>
        <w:rPr>
          <w:b/>
        </w:rPr>
        <w:t>Available abstract (not full text):</w:t>
      </w:r>
      <w:r>
        <w:t xml:space="preserve"> This study presents a novel approach for monitoring PM 10 concentrations in cage-free laying hen houses using a light-scattering method combined with intermittent sampling. Traditional methods are either unsuitable or labor-intensive for long-term use. The goal was to enable extended, maintenance-free monitoring by reducing particulate load on the device while maintaining accuracy. The study addresses four research questions: (1) accuracy compared to gravimetric reference measurements, (2) operational reliability under real-world conditions, (3) temporal PM 10 patterns relevant for sampling optimization, and (4) the bias and precision of various sampling strategies in estimating hourly, daily, and long-term PM 10 concentrations. Reference measurements were conducted in two cage-free houses over several weeks, while continuous monitoring took place for seven months in a third location. Accuracy was assessed against reference data, and operational reliability was evaluated via regular checkups and parallel sampling. Theoretical analysis of different sampling strategies was based on the continuous dataset. Results indicate a strong correlation with reference methods (R 2 = 0.94), though the monitoring device underestimated PM 10 concentrations by about 30 %. The monitoring device was capable of operating for significantly longer periods without maintenance under typical cage-free </w:t>
      </w:r>
    </w:p>
    <w:p>
      <w:pPr/>
      <w:r>
        <w:rPr>
          <w:b/>
        </w:rPr>
        <w:t>POSSIBLE 2025:</w:t>
      </w:r>
      <w:r>
        <w:t xml:space="preserve"> SEASONAL VARIATION IN PM2.5 AND PM10 CONCENTRATIONS AFFECTED BY DIFFERENT LAND USE COVERS AND PRECIPITATION IN GUANGZHOU, SOUTH CHINA — https://doi.org/10.15666/aeer/2303_59295952</w:t>
      </w:r>
    </w:p>
    <w:p>
      <w:pPr/>
      <w:r>
        <w:rPr>
          <w:b/>
        </w:rPr>
        <w:t>Shared claim-specific concepts:</w:t>
      </w:r>
      <w:r>
        <w:t xml:space="preserve"> furthermore, pm10, concentrations, different, extent; EU scope not established. This is a provisional connection, not an outcome finding.</w:t>
      </w:r>
    </w:p>
    <w:p>
      <w:pPr>
        <w:pStyle w:val="SourceNote"/>
      </w:pPr>
      <w:r>
        <w:rPr>
          <w:b/>
        </w:rPr>
        <w:t>Available abstract (not full text):</w:t>
      </w:r>
      <w:r>
        <w:t xml:space="preserve"> While the negative health impacts of long-term exposure to fine particulate matter (PM) have been well documented, effectively reducing PM pollution through urban land-use planning remains a complex challenge.Using continuous auto-monitoring air quality data from Guangzhou in south China, average PM2.5 and PM10 concentrations in the dry season were clearly higher than those in the wet season.During the wet season, PM2.5 and PM10 concentrations exhibited a nonlinear increase with distance from the coastline in Guangzhou.Annually, average PM2.5 and PM10 concentrations showed a negative correlation with green space cover and NDVI (Normalized Difference Vegetation Index), but a positive correlation with the extent of construction land.Notably, these correlations between average PM concentrations and NDVI/construction land cover were stronger in the dry season than in the wet season.Green space cover in the wet season did not show a significant relationship with average PM concentrations, suggesting that different urban land use/cover types exert a greater influence on PM pollution during the dry season.Furthermore, seasonal and annual average PM concentrations exhibited stronger correlations with the Euclidean distance and Kernel density of vegetable markets than with those of industrial zones.This indicates that local pollution sources, such as vehicle emissions and cooking activi</w:t>
      </w:r>
    </w:p>
    <w:p>
      <w:pPr/>
      <w:r>
        <w:rPr>
          <w:b/>
        </w:rPr>
        <w:t>POSSIBLE 2025:</w:t>
      </w:r>
      <w:r>
        <w:t xml:space="preserve"> The evolution of antibiotic resistance in Europe, 1998–2019 — https://doi.org/10.1371/journal.ppat.1012945</w:t>
      </w:r>
    </w:p>
    <w:p>
      <w:pPr/>
      <w:r>
        <w:rPr>
          <w:b/>
        </w:rPr>
        <w:t>Shared claim-specific concepts:</w:t>
      </w:r>
      <w:r>
        <w:t xml:space="preserve"> analyse, evolution, best; EU scope visible. This is a provisional connection, not an outcome finding.</w:t>
      </w:r>
    </w:p>
    <w:p>
      <w:pPr>
        <w:pStyle w:val="SourceNote"/>
      </w:pPr>
      <w:r>
        <w:rPr>
          <w:b/>
        </w:rPr>
        <w:t>Available abstract (not full text):</w:t>
      </w:r>
      <w:r>
        <w:t xml:space="preserve"> The evolutionary dynamics of antibiotic resistance are not well understood, particularly the long-term trajectories of resistance frequencies and their dependence on antibiotic consumption. Here, we systematically analyse resistance trajectories for 887 bug-drug-country combinations in Europe across 1998-2019, for eight bacterial species with a considerable resistance-associated public health burden. Our analyses support a model in which, after an initial increase, resistance frequencies reach a stable intermediate equilibrium. The plurality (37%) of analysed trajectories were best described as 'stable' (neither increasing nor decreasing). 21% of trajectories were best described as 'stabilising' - i.e. showing a transition from increasing frequency to a stable plateau; 21% as decreasing and 20% as increasing. The antibiotic consumption in a country predicts both the equilibrium frequency of the corresponding resistance and the speed at which this equilibrium is reached. Moreover, we find weak evidence that temporal fluctuations in resistance frequency are driven by temporal fluctuations in hospital antibiotic consumption. A large fraction of the variability in the speed of increase and the equilibrium level of resistance remains unexplained by antibiotic use, suggesting other factors may also drive resistance dynamics. Overall, our results indicate that ever increasing antibiot</w:t>
      </w:r>
    </w:p>
    <w:p>
      <w:pPr/>
      <w:r>
        <w:rPr>
          <w:b/>
        </w:rPr>
        <w:t>POSSIBLE 2025:</w:t>
      </w:r>
      <w:r>
        <w:t xml:space="preserve"> Exploration of transfer learning techniques for the prediction of PM10 — https://doi.org/10.1038/s41598-025-86550-6</w:t>
      </w:r>
    </w:p>
    <w:p>
      <w:pPr/>
      <w:r>
        <w:rPr>
          <w:b/>
        </w:rPr>
        <w:t>Shared claim-specific concepts:</w:t>
      </w:r>
      <w:r>
        <w:t xml:space="preserve"> pm10, concentrations, different; EU scope visible. This is a provisional connection, not an outcome finding.</w:t>
      </w:r>
    </w:p>
    <w:p>
      <w:pPr>
        <w:pStyle w:val="SourceNote"/>
      </w:pPr>
      <w:r>
        <w:rPr>
          <w:b/>
        </w:rPr>
        <w:t>Available abstract (not full text):</w:t>
      </w:r>
      <w:r>
        <w:t xml:space="preserve"> Abstract Modelling of pollutants provides valuable insights into air quality dynamics, aiding exposure assessment where direct measurements are not viable. Machine learning (ML) models can be employed to explore such dynamics, including the prediction of air pollution concentrations, yet demanding extensive training data. To address this, techniques like transfer learning (TL) leverage knowledge from a model trained on a rich dataset to enhance one trained on a sparse dataset, provided there are similarities in data distribution. In our experimental setup, we utilize meteorological and pollutant data from multiple governmental air quality measurement stations in Graz, Austria, supplemented by data from one station in Zagreb, Croatia to simulate data scarcity. Common ML models such as Random Forests, Multilayer Perceptrons, Long-Short-Term Memory, and Convolutional Neural Networks are explored to predict particulate matter in both cities. Our detailed analysis of PM 10 suggests that similarities between the cities and the meteorological features exist and can be further exploited. Hence, TL appears to offer a viable approach to enhance PM 10 predictions for the Zagreb station, despite the challenges posed by data scarcity. Our results demonstrate the feasibility of different TL techniques to improve particulate matter prediction on transferring a ML model trained from all statio</w:t>
      </w:r>
    </w:p>
    <w:p>
      <w:pPr/>
      <w:r>
        <w:rPr>
          <w:b/>
        </w:rPr>
        <w:t>POSSIBLE 2025:</w:t>
      </w:r>
      <w:r>
        <w:t xml:space="preserve"> Evaluation of a gravimetrical method with a cyclonic pre-separator against the reference method for measuring high PM10 mass concentrations in livestock houses — https://doi.org/10.1016/j.atmosenv.2025.121076</w:t>
      </w:r>
    </w:p>
    <w:p>
      <w:pPr/>
      <w:r>
        <w:rPr>
          <w:b/>
        </w:rPr>
        <w:t>Shared claim-specific concepts:</w:t>
      </w:r>
      <w:r>
        <w:t xml:space="preserve"> furthermore, pm10, concentrations, different, emission; EU scope not established. This is a provisional connection, not an outcome finding.</w:t>
      </w:r>
    </w:p>
    <w:p>
      <w:pPr>
        <w:pStyle w:val="SourceNote"/>
      </w:pPr>
      <w:r>
        <w:rPr>
          <w:b/>
        </w:rPr>
        <w:t>Available abstract (not full text):</w:t>
      </w:r>
      <w:r>
        <w:t xml:space="preserve"> PM 10 emission from livestock houses is a major contributor to the ambient PM 10 mass concentrations in many industrialized countries. Measurement methods developed for stationary source PM 10 emissions (e.g., EN 13284) are often unsuitable for application in livestock houses whereas methods for ambient air based on impaction pre-separators (e.g., EN 12341) are vulnerable to particle bouncing and overloading. In the past, a gravimetric reference method of EN 12341 (IPS) has been modified by incorporating a cyclone as pre-separator (CPS). The aim of this study was to investigate the equivalence of the modified version of the reference method used in livestock houses. Previous studies comparing the CPS and IPS reported a high variation in the relationship between these two samplers. This study examines the effect of different livestock categories on this relationship, as differences in particle size distributions associated with different livestock categories, are expected to influence the relationship between these two methods. Both CPS and IPS were applied in this study across multiple livestock houses of 3 livestock categories (fattening pigs , laying hens , broilers). Additionally, a meta-analysis was conducted, incorporating data from previous studies on gravimetric measurements of PM 10 , to establish a calibration function for measurements obtained using the CPS. This stud</w:t>
      </w:r>
    </w:p>
    <w:p>
      <w:pPr/>
      <w:r>
        <w:rPr>
          <w:b/>
        </w:rPr>
        <w:t>POSSIBLE 2024:</w:t>
      </w:r>
      <w:r>
        <w:t xml:space="preserve"> Spatio-temporal characterization of PM10 concentration across Abu Dhabi Emirate (UAE) — https://doi.org/10.1016/j.heliyon.2024.e32812</w:t>
      </w:r>
    </w:p>
    <w:p>
      <w:pPr/>
      <w:r>
        <w:rPr>
          <w:b/>
        </w:rPr>
        <w:t>Shared claim-specific concepts:</w:t>
      </w:r>
      <w:r>
        <w:t xml:space="preserve"> furthermore, pm10, different, emission; EU scope not established. This is a provisional connection, not an outcome finding.</w:t>
      </w:r>
    </w:p>
    <w:p>
      <w:pPr>
        <w:pStyle w:val="SourceNote"/>
      </w:pPr>
      <w:r>
        <w:rPr>
          <w:b/>
        </w:rPr>
        <w:t>Available abstract (not full text):</w:t>
      </w:r>
      <w:r>
        <w:t xml:space="preserve"> The abundance and recurrence of particulate matter in Abu Dhabi Emirate (ADE), are often derived from different emission sources such as the combustion of hydrocarbon, producing much of the PM2.5 found in outdoor air, as well as a significant proportion of PM10. Wind-blown dust from open desert areas and construction sites, landfills and agriculture, brush/waste burning, and industrial sources, has contributed markedly to the problem of the spread of haze and the long-range movement of pollutants in the country. In this study, the spatio-temporal characterization of PM10 concentration across the Emirate was analyzed utilizing geospatial interpolation, spanning the period between 2013 and 2017. The results suggest that the fluctuations of the PM10 concentration can be decomposed into three dominant types, each characterizing different spatial and temporal variations. First, the western region with PM10 showing a peak concentration during the summer season i.e., when the winds are predominantly northerlies or northwesterly, and a minimal concentration during the winter season. Second, the central region with the PM10 exhibiting a concentration surge in July-August, as a result of a mix of strong winds and high temperatures. Third, the eastern region with a low concentration of PM10. Seasonally, this component exhibits two concentration maxima during quarters 2 and 3 (summer), and</w:t>
      </w:r>
    </w:p>
    <w:p>
      <w:pPr/>
      <w:r>
        <w:rPr>
          <w:b/>
        </w:rPr>
        <w:t>POSSIBLE 2024:</w:t>
      </w:r>
      <w:r>
        <w:t xml:space="preserve"> Spatio-Temporal Distribution of PM2.5 and PM10 Concentrations and Assessment of Public Health Risk in the Three Most Polluted Provinces of Iran — https://doi.org/10.3390/su17010044</w:t>
      </w:r>
    </w:p>
    <w:p>
      <w:pPr/>
      <w:r>
        <w:rPr>
          <w:b/>
        </w:rPr>
        <w:t>Shared claim-specific concepts:</w:t>
      </w:r>
      <w:r>
        <w:t xml:space="preserve"> furthermore, pm10, concentrations, control; EU scope not established. This is a provisional connection, not an outcome finding.</w:t>
      </w:r>
    </w:p>
    <w:p>
      <w:pPr>
        <w:pStyle w:val="SourceNote"/>
      </w:pPr>
      <w:r>
        <w:rPr>
          <w:b/>
        </w:rPr>
        <w:t>Available abstract (not full text):</w:t>
      </w:r>
      <w:r>
        <w:t xml:space="preserve"> This study examines the spatio-temporal variations of ambient air pollution from fine particulates below 2.5 µm (PM2.5) and particulate matter below 10 µm (PM10) in three of the most polluted provinces in Iran, namely Tehran, Isfahan, and Khuzestan, over a 6-year period (2016–2021). The results reveal distinct patterns of PM10 and PM2.5 concentrations since in Tehran, the highest PM10 and PM2.5 levels occur in winter, while PM2.5 is lowest from March to May. Khuzestan experiences the highest pollution levels in summer due to dust storms, while Isfahan exhibits pollution levels and annual patterns similar to Tehran. Strong correlations are observed between PM10 and PM2.5 concentrations at stations in Tehran and Khuzestan Provinces, suggesting common sources and variation in both coarse and fine PM, with average PM2.5/PM10 ratios of 0.39–0.42, suggesting the dominance of dust. Furthermore, the analysis identifies the role of atmospheric stability, wind speed, and dust storms in controlling the PM levels in the three provinces. Lifetime cancer risks have been identified as unacceptably high, exceeding the threshold limit of 10−4, while Hazard Quotient (HQ) values above 1 indicate a high non-carcinogenic potential risk, particularly at stations in Khuzestan Province. The Excess Lifetime Cancer Risk (ELCR) values for PM2.5 exposure in the most populated Tehran Province range from 13</w:t>
      </w:r>
    </w:p>
    <w:p>
      <w:pPr/>
      <w:r>
        <w:rPr>
          <w:b/>
        </w:rPr>
        <w:t>POSSIBLE 2024:</w:t>
      </w:r>
      <w:r>
        <w:t xml:space="preserve"> Transition metals concentration within the PM10 fraction of atmospheric suspended particulate matter – case study, Craiova, 2021 — https://doi.org/10.1051/matecconf/202438900005</w:t>
      </w:r>
    </w:p>
    <w:p>
      <w:pPr/>
      <w:r>
        <w:rPr>
          <w:b/>
        </w:rPr>
        <w:t>Shared claim-specific concepts:</w:t>
      </w:r>
      <w:r>
        <w:t xml:space="preserve"> pm10, concentrations, different; EU scope not established. This is a provisional connection, not an outcome finding.</w:t>
      </w:r>
    </w:p>
    <w:p>
      <w:pPr>
        <w:pStyle w:val="SourceNote"/>
      </w:pPr>
      <w:r>
        <w:rPr>
          <w:b/>
        </w:rPr>
        <w:t>Available abstract (not full text):</w:t>
      </w:r>
      <w:r>
        <w:t xml:space="preserve"> The current case study had the main purpose of determining and reporting the concentrations of the most toxic transition metals present in the composition of the particles suspended in the atmosphere, namely: lead, nickel, arsenic and cadmium. In the collection of experimental data, the fraction of suspended particulate matter represented by inhalable particles with an aerodynamic diameter smaller than 10 microns (PM10) was studied, by taking, during two weeks within different seasons of the year 2021, two set of seven filters, each used for one day – from an area of heavy traffic, on one of the main arteries of the municipality of Craiova, near a continuous air quality monitoring station capable of monitoring PM10. Thus, it was possible to permanently compare the results obtained through this application with the official data – registered during the same time intervals – by the local division of the EPA, founding a remarkable data concordance.</w:t>
      </w:r>
    </w:p>
    <w:p>
      <w:pPr>
        <w:pStyle w:val="Heading2"/>
      </w:pPr>
      <w:r>
        <w:t>905. Ocean energy development in Europe: Current status and future perspectives</w:t>
      </w:r>
    </w:p>
    <w:p>
      <w:pPr>
        <w:pStyle w:val="SourceNote"/>
      </w:pPr>
      <w:r>
        <w:rPr>
          <w:b/>
        </w:rPr>
        <w:t>Original source (2015):</w:t>
      </w:r>
      <w:r>
        <w:t xml:space="preserve"> https://doi.org/10.1016/j.ijome.2015.05.001</w:t>
      </w:r>
    </w:p>
    <w:p>
      <w:pPr/>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POSSIBLE 2026:</w:t>
      </w:r>
      <w:r>
        <w:t xml:space="preserve"> Composite tidal flood risk assessment for adaptation prioritization — https://doi.org/10.61511/calamity.v4i1.2026.3759</w:t>
      </w:r>
    </w:p>
    <w:p>
      <w:pPr/>
      <w:r>
        <w:rPr>
          <w:b/>
        </w:rPr>
        <w:t>Shared claim-specific concepts:</w:t>
      </w:r>
      <w:r>
        <w:t xml:space="preserve"> tidal, coastal, areas; EU scope not established. This is a provisional connection, not an outcome finding.</w:t>
      </w:r>
    </w:p>
    <w:p>
      <w:pPr>
        <w:pStyle w:val="SourceNote"/>
      </w:pPr>
      <w:r>
        <w:rPr>
          <w:b/>
        </w:rPr>
        <w:t>Available abstract (not full text):</w:t>
      </w:r>
      <w:r>
        <w:t xml:space="preserve"> Background: Coastal areas of Jakarta, Indonesia face increasing flood risk due to sea-level rise, land subsidence, tidal inundation, dense urban development, and uneven social vulnerability. Existing coastal flood studies in Indonesia often analyze hazard, exposure, or vulnerability in isolation, limiting their value for integrated adaptation, especially in data-limited planning. This study aims to create a data-minimal risk assessment framework for Penjaringan District, North Jakarta, by integrating tidal flood trends, asset exposure values, and social vulnerability at the urban village level. Methods: The study used official tidal flood records, spatial building data, asset values from official unit costs and content ratios, and social vulnerability indicators (population density, slum settlement proportion, and malnutrition prevalence). Analysis included trend assessment, exposure estimation, min-max normalization, composite risk indexing, sensitivity analysis, risk typology, and hazard-vulnerability quadrant analysis. Findings: Results show a spatial mismatch between hazard concentration and composite risk. Pluit accounted for 149 of 171 flood-affected days (87.1%) and scored the highest Hazard Index (HI = 1.000), but Penjaringan reached the highest Risk Index (RI = 0.628), due to a Very High Exposure Index (EI = 0.816) and High Social Vulnerability Index (SVI = 0.667). Dis</w:t>
      </w:r>
    </w:p>
    <w:p>
      <w:pPr/>
      <w:r>
        <w:rPr>
          <w:b/>
        </w:rPr>
        <w:t>POSSIBLE 2025:</w:t>
      </w:r>
      <w:r>
        <w:t xml:space="preserve"> A tidal energy assessment in the strait of Messina — https://doi.org/10.1016/j.nexus.2025.100464</w:t>
      </w:r>
    </w:p>
    <w:p>
      <w:pPr/>
      <w:r>
        <w:rPr>
          <w:b/>
        </w:rPr>
        <w:t>Shared claim-specific concepts:</w:t>
      </w:r>
      <w:r>
        <w:t xml:space="preserve"> reach, tidal, capacity, installed, energy, potential; EU scope not established. This is a provisional connection, not an outcome finding.</w:t>
      </w:r>
    </w:p>
    <w:p>
      <w:pPr>
        <w:pStyle w:val="SourceNote"/>
      </w:pPr>
      <w:r>
        <w:rPr>
          <w:b/>
        </w:rPr>
        <w:t>Available abstract (not full text):</w:t>
      </w:r>
      <w:r>
        <w:t xml:space="preserve"> ABSTRACT This study reports an energy assessment of a tidal power plant located in the strait of Messina (Mediterranean Sea). Tidal currents are not adequately exploited as renewable energy sources all over the world, even if their potential is not negligible and their predictability is certainly a relevant advantage. The objective of this study is to reveal the latent potential of tidal currents and the obtainable energy. The selected location is characterized by a semi-diurnal tidal current that is highly predictable and can reach speeds exceeding 3 m/s. The energy assessment focuses on open flow tidal turbines and leverages the latest technologies for harvesting energy from tidal currents, and the total energy produced was calculated by integrating current velocities over a whole year with 15-minutes time intervals. The coastal profile and the bathymetry of the location selected allowed to define a tidal energy park consisting of 113 horizontal axis tidal turbines (HATTs), with a total capacity installed of 271 MW and an annual production of nearly 145 GWh: this result show that tidal energy may represents a viable option to increase the share of renewable energy production.</w:t>
      </w:r>
    </w:p>
    <w:p>
      <w:pPr/>
      <w:r>
        <w:rPr>
          <w:b/>
        </w:rPr>
        <w:t>POSSIBLE 2025:</w:t>
      </w:r>
      <w:r>
        <w:t xml:space="preserve"> Aligning Sustainability and Competitiveness: A Science-Policy Exploration of REACH Revision Debates — https://doi.org/10.5194/egusphere-egu25-4484</w:t>
      </w:r>
    </w:p>
    <w:p>
      <w:pPr/>
      <w:r>
        <w:rPr>
          <w:b/>
        </w:rPr>
        <w:t>Shared claim-specific concepts:</w:t>
      </w:r>
      <w:r>
        <w:t xml:space="preserve"> aim, reach, potential; EU scope visible. This is a provisional connection, not an outcome finding.</w:t>
      </w:r>
    </w:p>
    <w:p>
      <w:pPr>
        <w:pStyle w:val="SourceNote"/>
      </w:pPr>
      <w:r>
        <w:rPr>
          <w:b/>
        </w:rPr>
        <w:t>Available abstract (not full text):</w:t>
      </w:r>
      <w:r>
        <w:t xml:space="preserve"> The European Union’s (EU) central chemical regulation REACH (Registration, Evaluation, Authorisation and Restriction of Chemicals) is approaching a critical juncture with the announced revision in 2025. EU chemical policy stakeholders hold differing positions and expectations towards the legislative change. Stakeholders are debating the timing, direction, and nature of the proposed amendments. For example, industry associations emphasise the high safety standards enabled by REACH, which, in their view, make quick decisions unnecessary. In contrast, environmental organisations criticise what they see as deliberate postponement of the revision by industry associations, as well as the adverse effects of chemical pollution on human health and the environment.These positions illustrate the politics of aligning sustainability and competitiveness in the EU chemicals sector. Using a qualitative narrative approach, this paper operates at the interface of science and policy, aiming to engage with different discursive positions and expectations of stakeholders, as well as the dynamics between them, to anticipate future policy directions early on. In this light, key questions include:What positions and roles do EU chemical policy stakeholders adopt on the REACH revision? What insights do stakeholder debates offer for shaping the future of EU chemical policy? Drawing on a Discursive Agency </w:t>
      </w:r>
    </w:p>
    <w:p>
      <w:pPr/>
      <w:r>
        <w:rPr>
          <w:b/>
        </w:rPr>
        <w:t>POSSIBLE 2025:</w:t>
      </w:r>
      <w:r>
        <w:t xml:space="preserve"> Assessing the Combined Impact of Land Surface Temperature and Droughts to Heatwaves over Europe Between 2003 and 2023 — https://doi.org/10.3390/rs17091655</w:t>
      </w:r>
    </w:p>
    <w:p>
      <w:pPr/>
      <w:r>
        <w:rPr>
          <w:b/>
        </w:rPr>
        <w:t>Shared claim-specific concepts:</w:t>
      </w:r>
      <w:r>
        <w:t xml:space="preserve"> combined, significant, role; EU scope visible. This is a provisional connection, not an outcome finding.</w:t>
      </w:r>
    </w:p>
    <w:p>
      <w:pPr>
        <w:pStyle w:val="SourceNote"/>
      </w:pPr>
      <w:r>
        <w:rPr>
          <w:b/>
        </w:rPr>
        <w:t>Available abstract (not full text):</w:t>
      </w:r>
      <w:r>
        <w:t xml:space="preserve"> The increasing frequency, intensity, and duration of heatwaves and droughts pose significant societal and environmental challenges across Europe. This study analyzes land surface temperature (LST) observations from the Moderate Resolution Imaging Spectroradiometer (MODIS) between 2003 and 2023 to identify thermal anomalies associated with heatwaves. Additionally, this study examines the role of different land cover types in modulating heatwave impacts, employing turbulent flux observations from micrometeorological towers. The interaction between heatwaves and droughts is further explored using the Standardized Precipitation Evapotranspiration Index (SPEI) and soil moisture data, highlighting the amplifying role of water stress through land–atmosphere feedbacks. The results reveal a statistically significant upward trend in LST-derived thermal anomalies, with the 2022 heatwave identified as the most extreme event, when approximately 75% of Europe experienced strong positive anomalies. On average, 91% of heatwave episodes identified in reanalysis-based air temperature records coincided with LST-defined anomaly events, confirming LST as a robust proxy for heatwave detection. Flux tower observations show that, during heatwaves, evergreen coniferous and mixed forests predominantly enhance sensible heat fluxes (mean anomalies during midday of 74 W/m2 and 62 W/m2, respectively), while</w:t>
      </w:r>
    </w:p>
    <w:p>
      <w:pPr/>
      <w:r>
        <w:rPr>
          <w:b/>
        </w:rPr>
        <w:t>POSSIBLE 2025:</w:t>
      </w:r>
      <w:r>
        <w:t xml:space="preserve"> A review of global tidal stream energy resources — https://doi.org/10.1098/rspa.2024.0841</w:t>
      </w:r>
    </w:p>
    <w:p>
      <w:pPr/>
      <w:r>
        <w:rPr>
          <w:b/>
        </w:rPr>
        <w:t>Shared claim-specific concepts:</w:t>
      </w:r>
      <w:r>
        <w:t xml:space="preserve"> tidal, energy, potential, whilst; EU scope visible. This is a provisional connection, not an outcome finding.</w:t>
      </w:r>
    </w:p>
    <w:p>
      <w:pPr>
        <w:pStyle w:val="SourceNote"/>
      </w:pPr>
      <w:r>
        <w:rPr>
          <w:b/>
        </w:rPr>
        <w:t>Available abstract (not full text):</w:t>
      </w:r>
      <w:r>
        <w:t xml:space="preserve"> Abstract This review identifies 426 candidate sites with potentially suitable characteristics for tidal stream energy development, across 19 countries in Europe, the Americas, Asia and Australasia. The most common site assessment quantifies the theoretical resource, which is the maximum amount of total energy that can be extracted. The aggregated theoretical resource estimate, of 1000 TWh/year, from 262 sites (62% of those identified), across 6 countries, is equivalent to 115 GW of continuous annual power. A more informative, albeit less common assessment, considers technical, environmental and economic constraints on energy extraction. New data from UK assessments is presented that indicates relationships between the theoretical and this more practical level of energy extraction, which are used to derive practical levels of electricity generation at other sites across the world. Results indicate a quasi-practical resource of 110 TWh/year from 90 sites (20% of the candidate sites) across the UK, France, Canada, USA, China and New Zealand. When assessed against national/regional electricity production, the UK, Indonesia and New Zealand show the greatest potential to make national-scale electricity supply contributions, whilst France, Canada, USA and China exhibit lower, regional-scale impact potential. Resource estimation is highly sensitive to turbine/array design and practical</w:t>
      </w:r>
    </w:p>
    <w:p>
      <w:pPr/>
      <w:r>
        <w:rPr>
          <w:b/>
        </w:rPr>
        <w:t>POSSIBLE 2025:</w:t>
      </w:r>
      <w:r>
        <w:t xml:space="preserve"> Analysis of the development of tidal energy and its implementation — https://doi.org/10.1186/s13705-025-00548-6</w:t>
      </w:r>
    </w:p>
    <w:p>
      <w:pPr/>
      <w:r>
        <w:rPr>
          <w:b/>
        </w:rPr>
        <w:t>Shared claim-specific concepts:</w:t>
      </w:r>
      <w:r>
        <w:t xml:space="preserve"> tidal, energy, role, carbon, emissions, coastal; EU scope not established. This is a provisional connection, not an outcome finding.</w:t>
      </w:r>
    </w:p>
    <w:p>
      <w:pPr>
        <w:pStyle w:val="SourceNote"/>
      </w:pPr>
      <w:r>
        <w:rPr>
          <w:b/>
        </w:rPr>
        <w:t>Available abstract (not full text):</w:t>
      </w:r>
      <w:r>
        <w:t xml:space="preserve"> In the recent years, owing to the increasing carbon emissions from anthropogenic activities, the challenges caused by global climate change, including the greenhouse effect, sea-level rise, and extreme weather events, have become increasingly severe. It is also an urgent task for many countries to develop clean energy, reduce carbon emissions, and establish a green low-carbon development structure. As a renewable and environmentally friendly energy source, tidal power is abundant in numerous coastal regions. Constructing tidal power plants to harness this renewable energy source not only provides substantial energy benefits but also plays a pivotal role in advancing green and sustainable development. Moreover, tidal energy has profound implications for societal transformation, fostering economic growth, and enhancing stability. Therefore, tidal energy is an indispensable component of clean power generation, paving the way for a more sustainable and equitable world. By summarising the ongoing research on tidal energy, this paper offers a comprehensive exploration of the current status of tidal energy development and crucial insights derived from tidal energy applications. The mechanism of tidal energy and the structural design of tidal power stations are systematically explained, and the characteristics of tidal energy use to generate electricity in different regions are introdu</w:t>
      </w:r>
    </w:p>
    <w:p>
      <w:pPr/>
      <w:r>
        <w:rPr>
          <w:b/>
        </w:rPr>
        <w:t>POSSIBLE 2025:</w:t>
      </w:r>
      <w:r>
        <w:t xml:space="preserve"> Repeatability of tidal expiratory flow limitation during peak exercise — https://doi.org/10.36905/jses.2025.02.01</w:t>
      </w:r>
    </w:p>
    <w:p>
      <w:pPr/>
      <w:r>
        <w:rPr>
          <w:b/>
        </w:rPr>
        <w:t>Shared claim-specific concepts:</w:t>
      </w:r>
      <w:r>
        <w:t xml:space="preserve"> tidal, capacity, significant; EU scope not established. This is a provisional connection, not an outcome finding.</w:t>
      </w:r>
    </w:p>
    <w:p>
      <w:pPr>
        <w:pStyle w:val="SourceNote"/>
      </w:pPr>
      <w:r>
        <w:rPr>
          <w:b/>
        </w:rPr>
        <w:t>Available abstract (not full text):</w:t>
      </w:r>
      <w:r>
        <w:t xml:space="preserve"> The presence and degree of tidal expiratory flow limitation (EFLT) during exercise are usually determined from single observations and it is assumed that EFLT is a repeatable phenomenon.This study aimed to determine the repeatability of the presence and degree of EFLT and breathing patterns during peak exercise in healthy, young, athletic subjects.Fifteen subjects (9 males, 6 females; mean age of 23 ± 3 years) completed two maximal cardiopulmonary exercise tests (CPET) seven days apart.Coefficient of variation (CoV) were calculated for continuous variables and the Cohen's kappa coefficient was determined for the presence of EFLT.There were no significant differences in CPET variables between visits.The presence or absence of EFLT agreed in 14 out of 15 subjects (Cohen's kappa coefficient = 0.76, p = 0.007, indicating moderate agreement).The degree of EFLT showed high variability (CoV = 32.9%).Variability was low (CoV ranged between 2.8-6.1%) for end-inspiratory lung volume, tidal volume (VT), VT relative to forced vital capacity, inspiratory capacity, breathing frequency, and for end-expiratory lung volume the CoV = 10.9%.In conclusion, the presence or absence of EFLT showed good agreement and breathing patterns are highly repeatable observations in healthy subjects during peak exercise suggesting that reliable inferences can be made from single observations.</w:t>
      </w:r>
    </w:p>
    <w:p>
      <w:pPr/>
      <w:r>
        <w:rPr>
          <w:b/>
        </w:rPr>
        <w:t>POSSIBLE 2025:</w:t>
      </w:r>
      <w:r>
        <w:t xml:space="preserve"> Continuing recovery of wolves in Europe — https://doi.org/10.1371/journal.pstr.0000158</w:t>
      </w:r>
    </w:p>
    <w:p>
      <w:pPr/>
      <w:r>
        <w:rPr>
          <w:b/>
        </w:rPr>
        <w:t>Shared claim-specific concepts:</w:t>
      </w:r>
      <w:r>
        <w:t xml:space="preserve"> significant, role;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2024:</w:t>
      </w:r>
      <w:r>
        <w:t xml:space="preserve"> Evaluation of Tidal Energy Potential Using a Two-Way Tidal Energy Model — https://doi.org/10.28991/cej-2024-010-09-016</w:t>
      </w:r>
    </w:p>
    <w:p>
      <w:pPr/>
      <w:r>
        <w:rPr>
          <w:b/>
        </w:rPr>
        <w:t>Shared claim-specific concepts:</w:t>
      </w:r>
      <w:r>
        <w:t xml:space="preserve"> tidal, energy, potential; EU scope not established. This is a provisional connection, not an outcome finding.</w:t>
      </w:r>
    </w:p>
    <w:p>
      <w:pPr>
        <w:pStyle w:val="SourceNote"/>
      </w:pPr>
      <w:r>
        <w:rPr>
          <w:b/>
        </w:rPr>
        <w:t>Available abstract (not full text):</w:t>
      </w:r>
      <w:r>
        <w:t xml:space="preserve"> Tidal energy is a renewable energy source that provides sustainable energy through the utilization of tidal differences, making it a very promising option. This study examines a more effective tidal energy reservoir model by building a 1:100 scale prototype in the laboratory with several predetermined variations, namely an earthen pond (100, 80, and 60 cm), and flow holes (1.5, 1, and 0.5 cm) with initial tidal height differences of 10 cm, 15 cm, and 20 cm. The model uses a 6-hour time period, which corresponds to a semidiurnal tidal model. The results showed that the highest energy output was 281.84 kWh, achieved with a 1.5 cm flow hole, 20 cm tidal height difference for the initial condition, and 80 cm pond width. For a 1 cm flow hole, the outputs were 1774.8 kWh and 1803.78 kWh for 15 cm and 20 cm tidal height difference for the initial condition with a pond width of 100 cm. Meanwhile, the 0.5 cm flow hole produces potential energy outputs of 2623.8 kWh and 2611.4 kWh for different tidal heights of 15 cm and 20 cm for the initial condition with a pond width of 100 cm. Better model performance can be connected to a mini generator to validate the energy generated from the designed prototype model. Doi: 10.28991/CEJ-2024-010-09-016 Full Text: PDF</w:t>
      </w:r>
    </w:p>
    <w:p>
      <w:pPr/>
      <w:r>
        <w:rPr>
          <w:b/>
        </w:rPr>
        <w:t>POSSIBLE 2024:</w:t>
      </w:r>
      <w:r>
        <w:t xml:space="preserve"> All tidal wetlands are blue carbon ecosystems — https://doi.org/10.1093/biosci/biae007</w:t>
      </w:r>
    </w:p>
    <w:p>
      <w:pPr/>
      <w:r>
        <w:rPr>
          <w:b/>
        </w:rPr>
        <w:t>Shared claim-specific concepts:</w:t>
      </w:r>
      <w:r>
        <w:t xml:space="preserve"> tidal, potential, carbon, emissions, coastal; EU scope not established. This is a provisional connection, not an outcome finding.</w:t>
      </w:r>
    </w:p>
    <w:p>
      <w:pPr>
        <w:pStyle w:val="SourceNote"/>
      </w:pPr>
      <w:r>
        <w:rPr>
          <w:b/>
        </w:rPr>
        <w:t>Available abstract (not full text):</w:t>
      </w:r>
      <w:r>
        <w:t xml:space="preserve"> Managing coastal wetlands is one of the most promising activities to reduce atmospheric greenhouse gases, and it also contributes to meeting the United Nations Sustainable Development Goals. One of the options is through blue carbon projects, in which mangroves, saltmarshes, and seagrass are managed to increase carbon sequestration and reduce greenhouse gas emissions. However, other tidal wetlands align with the characteristics of blue carbon. These wetlands are called tidal freshwater wetlands in the United States, supratidal wetlands in Australia, transitional forests in Southeast Asia, and estuarine forests in South Africa. They have similar or larger potential for atmospheric carbon sequestration and emission reductions than the currently considered blue carbon ecosystems and have been highly exploited. In the present article, we suggest that all wetlands directly or indirectly influenced by tides should be considered blue carbon. Their protection and restoration through carbon offsets could reduce emissions while providing multiple cobenefits, including biodiversity.</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combined, potential, significant, reduction, coastal;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Effects of sea level rise and tidal flat growth on tidal dynamics and geometry of the Elbe estuary — https://doi.org/10.5194/os-20-369-2024</w:t>
      </w:r>
    </w:p>
    <w:p>
      <w:pPr/>
      <w:r>
        <w:rPr>
          <w:b/>
        </w:rPr>
        <w:t>Shared claim-specific concepts:</w:t>
      </w:r>
      <w:r>
        <w:t xml:space="preserve"> tidal, potential, coastal; EU scope not established. This is a provisional connection, not an outcome finding.</w:t>
      </w:r>
    </w:p>
    <w:p>
      <w:pPr>
        <w:pStyle w:val="SourceNote"/>
      </w:pPr>
      <w:r>
        <w:rPr>
          <w:b/>
        </w:rPr>
        <w:t>Available abstract (not full text):</w:t>
      </w:r>
      <w:r>
        <w:t xml:space="preserve"> Abstract. Future global mean sea level rise (SLR) will affect coastlines and estuaries in the North Sea and therefore also coastal protection structures, unique local ecosystems and important waterways. SLR will not only raise water levels but also influence tidal dynamics and morphodynamics, which is why the tidal flats of the Wadden Sea can grow to a certain extent with SLR. Investigations on the effects of climate-change-induced SLR and the related potential bathymetric changes inside of estuaries form an important basis for identifying vulnerabilities and developing appropriate adaptation strategies. To analyse the influence of potential SLR and tidal flat elevation scenarios on the tidal dynamics in the Elbe estuary, we used a highly resolved hydrodynamic numerical model of the German Bight. The analysis results show increasing tidal range in the Elbe estuary solely due to SLR. They also reveal strongly varying changes with different tidal flat growth scenarios: while tidal flat elevation up to the mouth of the estuary can cause tidal range to decrease relative to SLR alone, tidal flat elevation in the entire estuary can lead to an increase in tidal range relative to SLR alone. Further analyses show how the geometric parameters of the Elbe estuary are changing due to SLR and tidal flat elevation. We discuss how these changes in estuarine geometry can provide an explanation</w:t>
      </w:r>
    </w:p>
    <w:p>
      <w:pPr>
        <w:pStyle w:val="Heading2"/>
      </w:pPr>
      <w:r>
        <w:t>906. On European metropolisation scenarios and the future course of metropolitan development in Poland</w:t>
      </w:r>
    </w:p>
    <w:p>
      <w:pPr>
        <w:pStyle w:val="SourceNote"/>
      </w:pPr>
      <w:r>
        <w:rPr>
          <w:b/>
        </w:rPr>
        <w:t>Original source (2015):</w:t>
      </w:r>
      <w:r>
        <w:t xml:space="preserve"> https://doi.org/10.7163/gpol.0008</w:t>
      </w:r>
    </w:p>
    <w:p>
      <w:pPr/>
      <w:r>
        <w:t>Original wording (abstract; indexed_source_text_not_full_document_verified):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POSSIBLE 2026:</w:t>
      </w:r>
      <w:r>
        <w:t xml:space="preserve"> Was there no alternative? Socialist debates and reform projects in late Cold War Europe and beyond — https://doi.org/10.1080/13507486.2025.2605543</w:t>
      </w:r>
    </w:p>
    <w:p>
      <w:pPr/>
      <w:r>
        <w:rPr>
          <w:b/>
        </w:rPr>
        <w:t>Shared claim-specific concepts:</w:t>
      </w:r>
      <w:r>
        <w:t xml:space="preserve"> two, alternative, concerning, various; EU scope visible. This is a provisional connection, not an outcome finding.</w:t>
      </w:r>
    </w:p>
    <w:p>
      <w:pPr>
        <w:pStyle w:val="SourceNote"/>
      </w:pPr>
      <w:r>
        <w:rPr>
          <w:b/>
        </w:rPr>
        <w:t>Available abstract (not full text):</w:t>
      </w:r>
      <w:r>
        <w:t xml:space="preserve"> This article introduces the contributions to the special issue, which focus on socialist debates and reform projects in late Cold War Europe and beyond. Drawing on recent scholarship concerning ‘neoliberalism’, East European 1989–91 transitions and global transformations in the 1970s and 1980s, the authors examine socialist-oriented languages, projects and policies of reform intended to address the transformative crises of global capitalism and the irreversible decline of the Soviet-type planned economy. The contributions to this special issue investigate the personal connections and professional relations between experts and policymakers for two purposes. First, they seek to enhance our understanding of the interplay between politics and economics in the two halves of Europe during the late Cold War and its aftermath. Secondly, they challenge the widespread narrative that describes the end of the ‘glorious thirties’ (1945–75) as the inevitable result of the ideological victory of ‘neoliberalism’, famously epitomized by Margaret Thatcher’s slogan ‘There is no alternative’ (TINA). As the case studies demonstrate, various alternatives based on the concept of ‘socialism’ were considered feasible in both Eastern and Western Europe, but lost momentum in the 1990s and early 2000s.</w:t>
      </w:r>
    </w:p>
    <w:p>
      <w:pPr/>
      <w:r>
        <w:rPr>
          <w:b/>
        </w:rPr>
        <w:t>POSSIBLE 2026:</w:t>
      </w:r>
      <w:r>
        <w:t xml:space="preserve"> Determinants of Alternative Financing Development in the European Union — https://doi.org/10.2478/foli-2026-0006</w:t>
      </w:r>
    </w:p>
    <w:p>
      <w:pPr/>
      <w:r>
        <w:rPr>
          <w:b/>
        </w:rPr>
        <w:t>Shared claim-specific concepts:</w:t>
      </w:r>
      <w:r>
        <w:t xml:space="preserve"> purpose, alternative, context; EU scope visible. This is a provisional connection, not an outcome finding.</w:t>
      </w:r>
    </w:p>
    <w:p>
      <w:pPr>
        <w:pStyle w:val="SourceNote"/>
      </w:pPr>
      <w:r>
        <w:rPr>
          <w:b/>
        </w:rPr>
        <w:t>Available abstract (not full text):</w:t>
      </w:r>
      <w:r>
        <w:t xml:space="preserve"> Abstract Research background Despite the growing significance of alternative finance (AF) in the European Union (EU), few studies have comprehensively analysed its drivers using recent panel data. Prior research often overlooks the combined impact of innovation, digitalisation, and regulatory conditions across the EU-27. Purpose This paper aims to discern the determinants that contribute to the development of AF within the EU. Research methodology The study employs panel regression analysis based on 162 observations across 27 EU countries, using indicators such as GDP per capita, the Global Innovation Index (GII), the Digital Economy and Society Index (DESI), the Index of Economic Freedom (IEF), and R&amp;D expenditure. Model selection and robustness were ensured through the Breusch–Pagan LM test, the Hausman test, the Wooldridge test for autocorrelation, the Pesaran CD test for cross-sectional dependence, and the VIF for multicollinearity. K-means clustering was applied to identify countries with similar innovation and economic profiles. Results Innovation emerged as the strongest positive driver of AF, while GDP per capita had a limited positive influence. A negative relationship was found between AF and economic freedom, while digitalisation and R&amp;D showed no significant effect. Novelty The study offers novel empirical evidence on AF determinants using a validated econometric mo</w:t>
      </w:r>
    </w:p>
    <w:p>
      <w:pPr/>
      <w:r>
        <w:rPr>
          <w:b/>
        </w:rPr>
        <w:t>POSSIBLE 2026:</w:t>
      </w:r>
      <w:r>
        <w:t xml:space="preserve"> Disclosure of alternative performance measures among european firms: the role of leverage, loss and opportunism — https://doi.org/10.1108/jfra-08-2025-0670</w:t>
      </w:r>
    </w:p>
    <w:p>
      <w:pPr/>
      <w:r>
        <w:rPr>
          <w:b/>
        </w:rPr>
        <w:t>Shared claim-specific concepts:</w:t>
      </w:r>
      <w:r>
        <w:t xml:space="preserve"> purpose, two, alternative, role; EU scope visible. This is a provisional connection, not an outcome finding.</w:t>
      </w:r>
    </w:p>
    <w:p>
      <w:pPr>
        <w:pStyle w:val="SourceNote"/>
      </w:pPr>
      <w:r>
        <w:rPr>
          <w:b/>
        </w:rPr>
        <w:t>Available abstract (not full text):</w:t>
      </w:r>
      <w:r>
        <w:t xml:space="preserve"> Purpose This study aims to examine the role of leverage in explaining variations in disclosure of alternative performance measures (APMs) in annual reports. It explores how leverage may simultaneously be associated with the disclosure of different types of APMs across profitable and loss-making firms. In addition, it explores the conditions under which managers are more likely to opportunistically disclose APMs to mislead investors. Design/methodology/approach Using a panel dataset of annual reports for publicly listed companies in the STOXX Europe 600 Index over an eight-year period, resulting in 3,683 firm-year observations, the study uses computer-aided text analysis to develop a measure that distinguishes between debt covenant-related and efficiency-related APMs. Findings The results suggest that debt covenant-related APMs are positively associated with leverage, whereas efficiency-related APMs are negatively associated. This indicates that leverage may influence different types of APM disclosures in opposite ways, potentially explaining mixed evidence in previous studies. In addition, the study finds that among highly leveraged firms, loss-making firms are more likely to disclose debt covenant-related APMs for opportunistic reasons than profitable firms. Originality/value The paper contributes to the literature on the role of leverage in explaining variations in APM disclo</w:t>
      </w:r>
    </w:p>
    <w:p>
      <w:pPr/>
      <w:r>
        <w:rPr>
          <w:b/>
        </w:rPr>
        <w:t>POSSIBLE 2026:</w:t>
      </w:r>
      <w:r>
        <w:t xml:space="preserve"> The politics of urban growth and decline — https://doi.org/10.14749/32847788</w:t>
      </w:r>
    </w:p>
    <w:p>
      <w:pPr/>
      <w:r>
        <w:rPr>
          <w:b/>
        </w:rPr>
        <w:t>Shared claim-specific concepts:</w:t>
      </w:r>
      <w:r>
        <w:t xml:space="preserve"> purpose, two, cities; EU scope visible. This is a provisional connection, not an outcome finding.</w:t>
      </w:r>
    </w:p>
    <w:p>
      <w:pPr>
        <w:pStyle w:val="SourceNote"/>
      </w:pPr>
      <w:r>
        <w:rPr>
          <w:b/>
        </w:rPr>
        <w:t>Available abstract (not full text):</w:t>
      </w:r>
      <w:r>
        <w:t xml:space="preserve"> The purpose of this chapter is to explore the literature and arguments that have emerged over the last two decades about the politics of urban policy in Europe and North America. We consider the debates about the emergence of a stronger economic dimension to urban policy and what this means for social cohesion and democracy. We also discuss the significance of policy decentralization and the consequences for different kinds of places and people. We argue that local political processes matter to the social and economic trajectories of cities and that decentralization can be a positive force for prosperity and participation, although it can also be subverted for narrower political purposes and exacerbate inequalities. The structure of the chapter is as follows. The next section considers the economic sources and impacts of recent urban growth. Section two discusses the political processes that contribute to urban success. The third section contrasts different political theories of urban policy. Section four compares different perspectives on developments in Europe and North America. The fifth section examines who benefits from urban policy. The conclusion draws the threads together and outlines some directions for future research.</w:t>
      </w:r>
    </w:p>
    <w:p>
      <w:pPr/>
      <w:r>
        <w:rPr>
          <w:b/>
        </w:rPr>
        <w:t>POSSIBLE 2026:</w:t>
      </w:r>
      <w:r>
        <w:t xml:space="preserve"> The making of European Applied Linguistics: Tracing global origins, examining local identities — https://doi.org/10.1515/eujal-2025-0051</w:t>
      </w:r>
    </w:p>
    <w:p>
      <w:pPr/>
      <w:r>
        <w:rPr>
          <w:b/>
        </w:rPr>
        <w:t>Shared claim-specific concepts:</w:t>
      </w:r>
      <w:r>
        <w:t xml:space="preserve"> two, context; EU scope visible. This is a provisional connection, not an outcome finding.</w:t>
      </w:r>
    </w:p>
    <w:p>
      <w:pPr>
        <w:pStyle w:val="SourceNote"/>
      </w:pPr>
      <w:r>
        <w:rPr>
          <w:b/>
        </w:rPr>
        <w:t>Available abstract (not full text):</w:t>
      </w:r>
      <w:r>
        <w:t xml:space="preserve"> Abstract This editorial introduces the special issue “European Junior Applied Linguists in a Globalized World.” which showcases the work of emerging scholars in Applied Linguistics who took part in a recent AILA Europe Junior Researchers’ Meeting (JRM). The issue invites reflection on the historical development of Applied Linguistics within a European context and considers how (early career) researchers may be contributing to the construction of a distinct European identity in the field. It begins by tracing the evolution of Applied Linguistics in Europe, followed by an analysis of findings from two surveys conducted two decades apart. The editorial concludes by outlining the rationale behind the selection of articles featured in this volume.</w:t>
      </w:r>
    </w:p>
    <w:p>
      <w:pPr/>
      <w:r>
        <w:rPr>
          <w:b/>
        </w:rPr>
        <w:t>POSSIBLE 2025:</w:t>
      </w:r>
      <w:r>
        <w:t xml:space="preserve"> No Questions are Stupid, but some are Poorly Posed: Understanding Poorly-Posed Information-Seeking Questions — https://doi.org/10.18653/v1/2025.acl-long.160</w:t>
      </w:r>
    </w:p>
    <w:p>
      <w:pPr/>
      <w:r>
        <w:rPr>
          <w:b/>
        </w:rPr>
        <w:t>Shared claim-specific concepts:</w:t>
      </w:r>
      <w:r>
        <w:t xml:space="preserve"> questions, posed, well; EU scope not established. This is a provisional connection, not an outcome finding.</w:t>
      </w:r>
    </w:p>
    <w:p>
      <w:pPr>
        <w:pStyle w:val="SourceNote"/>
      </w:pPr>
      <w:r>
        <w:rPr>
          <w:b/>
        </w:rPr>
        <w:t>Available abstract (not full text):</w:t>
      </w:r>
      <w:r>
        <w:t xml:space="preserve">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pPr/>
      <w:r>
        <w:rPr>
          <w:b/>
        </w:rPr>
        <w:t>POSSIBLE 2025:</w:t>
      </w:r>
      <w:r>
        <w:t xml:space="preserve"> Regulatory barriers and incentives for alternative proteins in the European Union and Australia–New Zealand — https://doi.org/10.1108/bfj-06-2024-0650</w:t>
      </w:r>
    </w:p>
    <w:p>
      <w:pPr/>
      <w:r>
        <w:rPr>
          <w:b/>
        </w:rPr>
        <w:t>Shared claim-specific concepts:</w:t>
      </w:r>
      <w:r>
        <w:t xml:space="preserve"> purpose, two, alternative; EU scope visible. This is a provisional connection, not an outcome finding.</w:t>
      </w:r>
    </w:p>
    <w:p>
      <w:pPr>
        <w:pStyle w:val="SourceNote"/>
      </w:pPr>
      <w:r>
        <w:rPr>
          <w:b/>
        </w:rPr>
        <w:t>Available abstract (not full text):</w:t>
      </w:r>
      <w:r>
        <w:t xml:space="preserve"> Purpose This paper aims to discuss the innovation challenge in the alternative protein sectors of the European Union (EU) and Australia-New Zealand (AUSNZ) by comparing their respective novel food frameworks. The study investigates which regulatory provisions stakeholders perceive as barriers to innovation and proposes measures to address these obstacles. Design/methodology/approach Alternative proteins are often legally classified as “novel foods” in both the EU and AUSNZ. A functional comparative legal analysis of the novel food frameworks of these two jurisdictions was conducted. Qualitative interviews with stakeholders active in the EU or AUSNZ alternative protein sectors complemented the legal analysis. The interviews aimed at gathering stakeholder perspectives on the framework within which they operate and discuss ways to foster innovation in their jurisdictions. Findings While the AUSNZ framework is generally perceived as more innovation-friendly, particularly regarding breakthrough innovations like cultivated meat, the EU is viewed as a challenging regulatory environment. The duration of the authorisation procedure, differing levels of communication and opportunities for dialogue between stakeholders and regulators, along with the political stances of EU member states, emerged as the main elements to explain such differences. In both jurisdictions, a lack of support for</w:t>
      </w:r>
    </w:p>
    <w:p>
      <w:pPr/>
      <w:r>
        <w:rPr>
          <w:b/>
        </w:rPr>
        <w:t>POSSIBLE 2025:</w:t>
      </w:r>
      <w:r>
        <w:t xml:space="preserve"> There is no alternative! Unconventional monetary policy and the democratic accountability of the European Central Bank — https://openalex.org/W7197148039</w:t>
      </w:r>
    </w:p>
    <w:p>
      <w:pPr/>
      <w:r>
        <w:rPr>
          <w:b/>
        </w:rPr>
        <w:t>Shared claim-specific concepts:</w:t>
      </w:r>
      <w:r>
        <w:t xml:space="preserve"> two, alternative, role; EU scope visible. This is a provisional connection, not an outcome finding.</w:t>
      </w:r>
    </w:p>
    <w:p>
      <w:pPr>
        <w:pStyle w:val="SourceNote"/>
      </w:pPr>
      <w:r>
        <w:rPr>
          <w:b/>
        </w:rPr>
        <w:t>Available abstract (not full text):</w:t>
      </w:r>
      <w:r>
        <w:t xml:space="preserve"> For almost two decades major economies around the world have experienced levels of economic turmoil not seen since the 1920s. Following the 2007/08 financial crash, national and supranational governments scrambled to mitigate the fallout. At the forefront of the response were central banks. These institutions, largely independent from their governments with the narrow mandate to maintain price stability, were considered to have the best tools to tackle the crisis. However, the extent of their actions, in particular the use of ‘unconventional monetary policies’, indicated a large expansion in powers and in recent years critics have claimed they have exceeded their mandates and lack proper democratic oversight. Taking the European Central Bank (ECB) as a case study, this thesis seeks to understand if and to what extent the ECB has exceeded its statutory mandates, how the bank has responded to criticism that it lacks democratic accountability, and the consequences for central bank independence. A dual approach was adopted. First, a comprehensive review of the academic literature and contemporary public commentary was undertaken. Following this is a qualitative content analysis of ECB speeches by members of the ECB Executive Board between 2008 and 2021. While the ECB has not (legally) been found to have exceeded its mandate, the findings of this thesis clearly show that for all int</w:t>
      </w:r>
    </w:p>
    <w:p>
      <w:pPr/>
      <w:r>
        <w:rPr>
          <w:b/>
        </w:rPr>
        <w:t>POSSIBLE 2025:</w:t>
      </w:r>
      <w:r>
        <w:t xml:space="preserve"> Cost efficiency and shareholder structure in Central European banks over the past two decades — https://doi.org/10.29119/1641-3466.2025.238.24</w:t>
      </w:r>
    </w:p>
    <w:p>
      <w:pPr/>
      <w:r>
        <w:rPr>
          <w:b/>
        </w:rPr>
        <w:t>Shared claim-specific concepts:</w:t>
      </w:r>
      <w:r>
        <w:t xml:space="preserve"> purpose, two, reference, role; EU scope visible. This is a provisional connection, not an outcome finding.</w:t>
      </w:r>
    </w:p>
    <w:p>
      <w:pPr>
        <w:pStyle w:val="SourceNote"/>
      </w:pPr>
      <w:r>
        <w:rPr>
          <w:b/>
        </w:rPr>
        <w:t>Available abstract (not full text):</w:t>
      </w:r>
      <w:r>
        <w:t xml:space="preserve"> Purpose: Cost efficiency constitutes an important part of management processes, influencing many areas of bank activity. The level of cost in relation to income might affect bank profitability, quality of customer services, credit risk problems or bank probability of failure. Many empirical analyses have been conducted to verify how efficiently bank operates over the last years. As shareholders appear to play a crucial role in bank cost practices, some research addresses the ownership structure and its association with bank cost efficiency. This article aims to review the literature on cost efficiency and shareholder structure. Specifically, it seeks to organise and summarise studies that examine the importance of bank owners in cost management. This approach enables us to specify the research problem, which is to examine cost efficiency and shareholder structure in the relatively understudied Central European region over a long-term period of more than two decades. Design/methodology/approach: To achieve the objective of this paper, relevant literature has been reviewed and standard methods of descriptive statistics have been applied. The analysed literature primarily consists of empirical studies, with particular emphasis on cost management practices and bank shareholder structure. In terms of quantitative aspects of this research, it has been studied how cost efficiency fluc</w:t>
      </w:r>
    </w:p>
    <w:p>
      <w:pPr/>
      <w:r>
        <w:rPr>
          <w:b/>
        </w:rPr>
        <w:t>POSSIBLE 2025:</w:t>
      </w:r>
      <w:r>
        <w:t xml:space="preserve"> CHANGES IN DEMAND AND SUPPLY IN THE ALTERNATIVE ENERGY MARKET (USING THE EXAMPLE OF SOLAR ENERGY) OF THE EUROPEAN UNION — https://doi.org/10.55643/fcaptp.4.63.2025.4915</w:t>
      </w:r>
    </w:p>
    <w:p>
      <w:pPr/>
      <w:r>
        <w:rPr>
          <w:b/>
        </w:rPr>
        <w:t>Shared claim-specific concepts:</w:t>
      </w:r>
      <w:r>
        <w:t xml:space="preserve"> purpose, two, alternative, role; EU scope visible. This is a provisional connection, not an outcome finding.</w:t>
      </w:r>
    </w:p>
    <w:p>
      <w:pPr>
        <w:pStyle w:val="SourceNote"/>
      </w:pPr>
      <w:r>
        <w:rPr>
          <w:b/>
        </w:rPr>
        <w:t>Available abstract (not full text):</w:t>
      </w:r>
      <w:r>
        <w:t xml:space="preserve"> The study is devoted to the econometric analysis of the solar energy market situation in the European Union countries over the past decade. The purpose of the work is to theoretically substantiate and empirically verify the relationship between long-term contract prices for solar electricity and the volumes of its consumption and production. The relevance of the chosen topic is due to the urgent need of the EU member states to rapidly expand renewable generation to achieve climate goals and strengthen energy security. The least squares method was used to construct two linear regression models – demand and supply, where the independent variable is the average price of long-term contracts (Power Purchase Agreement). As a result, a high degree of market sensitivity to changes in the cost of electricity was established, and the key role of cheaper technologies in accelerating the energy transformation was confirmed. The article provides a detailed econometric modelling of the solar energy market situation in the European Union countries for 2014-2024. It is proven that the price decrease was accompanied by an increase in consumption and generation. High absolute values of elasticity coefficients were obtained, which indicate a significant sensitivity of the market to the cost of electricity. A forecast was made for 2026–2027, showing that further reduction in PPA prices will lead t</w:t>
      </w:r>
    </w:p>
    <w:p>
      <w:pPr/>
      <w:r>
        <w:rPr>
          <w:b/>
        </w:rPr>
        <w:t>POSSIBLE 2025:</w:t>
      </w:r>
      <w:r>
        <w:t xml:space="preserve"> Purpose as an Ancient yet Nascent Construct — https://doi.org/10.1017/9781009407427.001</w:t>
      </w:r>
    </w:p>
    <w:p>
      <w:pPr/>
      <w:r>
        <w:rPr>
          <w:b/>
        </w:rPr>
        <w:t>Shared claim-specific concepts:</w:t>
      </w:r>
      <w:r>
        <w:t xml:space="preserve"> purpose, questions; EU scope not established. This is a provisional connection, not an outcome finding.</w:t>
      </w:r>
    </w:p>
    <w:p>
      <w:pPr>
        <w:pStyle w:val="SourceNote"/>
      </w:pPr>
      <w:r>
        <w:rPr>
          <w:b/>
        </w:rPr>
        <w:t>Available abstract (not full text):</w:t>
      </w:r>
      <w:r>
        <w:t xml:space="preserve"> Inquiry into purpose spans multiple disciplines, perspectives, and centuries. Seemingly inherent in the process of human development is the desire for humans to find a direction for their lives. This chapter provides an introduction to purpose inquiry, underscoring how purpose research shows that the construct can permeate multiple domains of life. We outline some of the frameworks and theoretical traditions that the reader will encounter throughout this volume. Following this section, we discuss three central questions regarding the nature of purpose that have yielded nascent reflections and research directions to this day. We conclude by providing the outline for the upcoming chapters, noting how each provides a valuable and unique piece to the puzzle of purpose.</w:t>
      </w:r>
    </w:p>
    <w:p>
      <w:pPr/>
      <w:r>
        <w:rPr>
          <w:b/>
        </w:rPr>
        <w:t>POSSIBLE 2024:</w:t>
      </w:r>
      <w:r>
        <w:t xml:space="preserve"> Tracing the Feminist Maternal in a European Context: A Review — https://doi.org/10.1017/hyp.2024.26</w:t>
      </w:r>
    </w:p>
    <w:p>
      <w:pPr/>
      <w:r>
        <w:rPr>
          <w:b/>
        </w:rPr>
        <w:t>Shared claim-specific concepts:</w:t>
      </w:r>
      <w:r>
        <w:t xml:space="preserve"> posed, context, various, well; EU scope visible. This is a provisional connection, not an outcome finding.</w:t>
      </w:r>
    </w:p>
    <w:p>
      <w:pPr>
        <w:pStyle w:val="SourceNote"/>
      </w:pPr>
      <w:r>
        <w:rPr>
          <w:b/>
        </w:rPr>
        <w:t>Available abstract (not full text):</w:t>
      </w:r>
      <w:r>
        <w:t xml:space="preserve">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pPr>
        <w:pStyle w:val="Heading2"/>
      </w:pPr>
      <w:r>
        <w:t>907. PROGNOZY WYDAJNOŚCI MLECZNEJ KRÓW W POLSCE I W UNII EUROPEJSKIEJ NA LATA 2030 I 2050</w:t>
      </w:r>
    </w:p>
    <w:p>
      <w:pPr>
        <w:pStyle w:val="SourceNote"/>
      </w:pPr>
      <w:r>
        <w:rPr>
          <w:b/>
        </w:rPr>
        <w:t>Original source (2015):</w:t>
      </w:r>
      <w:r>
        <w:t xml:space="preserve"> https://doi.org/10.22004/ag.econ.233003</w:t>
      </w:r>
    </w:p>
    <w:p>
      <w:pPr/>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data;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data;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Improving the carbon footprint assessment of milk production: a case study integrating soil carbon stock changes with eddy covariance and DeNitrification-DeComposition model — https://doi.org/10.1007/s11367-026-02579-3</w:t>
      </w:r>
    </w:p>
    <w:p>
      <w:pPr/>
      <w:r>
        <w:rPr>
          <w:b/>
        </w:rPr>
        <w:t>Shared claim-specific concepts:</w:t>
      </w:r>
      <w:r>
        <w:t xml:space="preserve"> milk, increase, data, respectively; EU scope not established. This is a provisional connection, not an outcome finding.</w:t>
      </w:r>
    </w:p>
    <w:p>
      <w:pPr>
        <w:pStyle w:val="SourceNote"/>
      </w:pPr>
      <w:r>
        <w:rPr>
          <w:b/>
        </w:rPr>
        <w:t>Available abstract (not full text):</w:t>
      </w:r>
      <w:r>
        <w:t xml:space="preserve"> Abstract Purpose Life cycle assessment (LCA) is widely used to evaluate the carbon footprint (CFP) of milk production. Soil organic carbon (SOC) stock is a key component impacting agricultural greenhouse gas (GHG) emissions. However, a standardized methodology for integrating SOC stock changes into agricultural LCAs is still debate. This study integrated SOC balance into LCA of the CFP of milk production at farm level based on data from a research dairy farm in Helsinki. Methods The CFP of milk production was analyzed for 2022 and 2023. Flux measurements of CO 2 by eddy covariance (EC) technique and field management data were used to calculate the SOC balance, which was further explored using the DeNitrification-DeComposition (DNDC) model and the IPCC Tier 1 method. Results and discussion Measurements demonstrated substantial SOC loss, 607 and 2926 kg C ha − 1 in 2022 and 2023, from the grassland and subsequent annual cropland, respectively. Incorporation of those results increased the CFP of milk production by 41% during two-year period. Based on DNDC modelling, the SOC loss exceeded the measured results in 2022 but was lower than the measured in 2023, while the IPCC Tier 1 method showed increase in SOC stock in 2022 and lower than measured SOC loss in 2023. The observed emissions fluctuation between the two years was related to the conversion of perennial grass to annual crop</w:t>
      </w:r>
    </w:p>
    <w:p>
      <w:pPr/>
      <w:r>
        <w:rPr>
          <w:b/>
        </w:rPr>
        <w:t>POSSIBLE 2025:</w:t>
      </w:r>
      <w:r>
        <w:t xml:space="preserve"> Modeling the Profitability of Milk Production—A Simulation Approach — https://doi.org/10.3390/agriculture15131409</w:t>
      </w:r>
    </w:p>
    <w:p>
      <w:pPr/>
      <w:r>
        <w:rPr>
          <w:b/>
        </w:rPr>
        <w:t>Shared claim-specific concepts:</w:t>
      </w:r>
      <w:r>
        <w:t xml:space="preserve"> milk, yield, poland; EU scope visible. This is a provisional connection, not an outcome finding.</w:t>
      </w:r>
    </w:p>
    <w:p>
      <w:pPr>
        <w:pStyle w:val="SourceNote"/>
      </w:pPr>
      <w:r>
        <w:rPr>
          <w:b/>
        </w:rPr>
        <w:t>Available abstract (not full text):</w:t>
      </w:r>
      <w:r>
        <w:t xml:space="preserve"> Dairy farm profitability in the European Union has become increasingly volatile following market deregulation, complicating farm operations and undermining food security amid geopolitical tensions. To address the need for a streamlined analytical tool, this study develops a simulation model of milk production profitability tailored to small, open economies, using Poland as a case study. The model defines a profitability coefficient as the ratio of sector-level milk revenues to feed costs and decomposes it into three dynamic components: production efficiency (milk yield per feed unit), the price spread between milk and feed, and the net effect of policy interventions on revenues and costs. Exogenous variables (milk prices, feed prices, and policy support indices) are projected under baseline, optimistic, and pessimistic scenarios, while endogenous variables (profitability, herd size, and yield) evolve recursively based on estimated lags reflecting biological and economic responses. Simulation results for 2023–2027 indicate that profitability trajectories hinge primarily on price spreads, with policy measures playing a stabilizing but secondary role. Optimistic scenarios yield significant increases in profitability, whereas pessimistic assumptions lead to significant declines. These findings highlight the need to balance key market drivers—such as the relationship between milk pr</w:t>
      </w:r>
    </w:p>
    <w:p>
      <w:pPr/>
      <w:r>
        <w:rPr>
          <w:b/>
        </w:rPr>
        <w:t>POSSIBLE 2025:</w:t>
      </w:r>
      <w:r>
        <w:t xml:space="preserve"> Characterization of the Population With Intermediate‐Risk Status in Pulmonary Arterial Hypertension: Patients in a Latin American Country: The CAPRI Registry — https://doi.org/10.1002/pul2.70145</w:t>
      </w:r>
    </w:p>
    <w:p>
      <w:pPr/>
      <w:r>
        <w:rPr>
          <w:b/>
        </w:rPr>
        <w:t>Shared claim-specific concepts:</w:t>
      </w:r>
      <w:r>
        <w:t xml:space="preserve"> capri, compared, data, respectively; EU scope not established. This is a provisional connection, not an outcome finding.</w:t>
      </w:r>
    </w:p>
    <w:p>
      <w:pPr>
        <w:pStyle w:val="SourceNote"/>
      </w:pPr>
      <w:r>
        <w:rPr>
          <w:b/>
        </w:rPr>
        <w:t>Available abstract (not full text):</w:t>
      </w:r>
      <w:r>
        <w:t xml:space="preserve"> ABSTRACT Pulmonary arterial hypertension (PAH) in intermediate‐risk patients poses a challenge for clinicians, particularly in determining the optimal timing for escalating pharmacological treatment. We conducted a multicenter cross‐sectional study that analyzed data from the Colombian Pulmonary Hypertension Network (HAPredCO) on patients diagnosed with PAH. Participants were stratified into low‐ and high‐intermediate risk groups using the four‐level ESC/ERS score, which incorporates optimized cutoff values for WHO functional class (WHO FC), the 6‐min walk test (6MWT), and N‐terminal pro‐brain natriuretic peptide (NT‐proBNP)/brain natriuretic peptide (BNP) concentration. A bivariate analysis was conducted to compare study variables at baseline and during clinical follow‐up. Additionally, a survival analysis was performed using Kaplan‐Meier curves to compare outcomes between the intermediate‐risk groups. A total of 175 patients were analyzed, with a mean age of 44.85 years (SD 15.5), of which 86% (150/175) were women. In the baseline, a total of 75% (131/175) were classified as intermediate‐low‐risk. In clinical follow‐up, 40% (61/154) were classified as intermediate‐low‐risk, 21% (32/154) were classified as intermediate‐low‐risk, 23% (35/154) were classified as intermediate‐low‐risk, and 16% (26/154) as intermediate‐high‐risk. At baseline, WHO FC III was 61% (107/174), compared</w:t>
      </w:r>
    </w:p>
    <w:p>
      <w:pPr/>
      <w:r>
        <w:rPr>
          <w:b/>
        </w:rPr>
        <w:t>POSSIBLE 2025:</w:t>
      </w:r>
      <w:r>
        <w:t xml:space="preserve"> Human Breast Milk as a Biological Matrix for Assessing Maternal and Environmental Exposure to Dioxins and Dioxin-like Polychlorinated Biphenyls: A Narrative Review of Determinants — https://doi.org/10.3390/pollutants5030025</w:t>
      </w:r>
    </w:p>
    <w:p>
      <w:pPr/>
      <w:r>
        <w:rPr>
          <w:b/>
        </w:rPr>
        <w:t>Shared claim-specific concepts:</w:t>
      </w:r>
      <w:r>
        <w:t xml:space="preserve"> milk, trend, index; EU scope not established. This is a provisional connection, not an outcome finding.</w:t>
      </w:r>
    </w:p>
    <w:p>
      <w:pPr>
        <w:pStyle w:val="SourceNote"/>
      </w:pPr>
      <w:r>
        <w:rPr>
          <w:b/>
        </w:rPr>
        <w:t>Available abstract (not full text):</w:t>
      </w:r>
      <w:r>
        <w:t xml:space="preserve"> (1) Background: Dioxins and dioxin-like polychlorinated biphenyls (dl-PCBs) are persistent organic pollutants (POPs), characterized by high toxicity and strong lipophilicity, which promote their bioaccumulation in human tissues. Their detection in breast milk raises concerns about early-life exposure during lactation. Although dietary intake is the primary route of maternal exposure, environmental pathways—including inhalation, dermal absorption, and residential proximity to contaminated sites—may also significantly contribute to the maternal body burden. (2) Methods: This narrative review examined peer-reviewed studies investigating maternal and environmental determinants of dioxin and dl-PCB concentrations in human breast milk. A comprehensive literature search was conducted in PubMed, Scopus, and Web of Science (2000–2024), identifying a total of 325 records. Following eligibility screening and full-text assessment, 20 studies met the inclusion criteria. (3) Results: The included studies consistently identified key exposure determinants, such as high consumption of animal-based foods (e.g., meat, fish, dairy), living near industrial facilities or waste sites, and maternal characteristics including age, parity, and body mass index (BMI). Substantial geographic variability was observed, with higher concentrations reported in regions affected by industrial activity, military po</w:t>
      </w:r>
    </w:p>
    <w:p>
      <w:pPr/>
      <w:r>
        <w:rPr>
          <w:b/>
        </w:rPr>
        <w:t>POSSIBLE 2025:</w:t>
      </w:r>
      <w:r>
        <w:t xml:space="preserve"> D7.2 Bottom-up and top-down linkages between macro-level models and high-resolution models : Land use and management modelling for sustainable governance — https://openalex.org/W7154809934</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This deliverable documents how the LAMASUS modelling toolbox-more specifically, the macro-level models GLOBIOM, CAPRI, IMAGE, and MAGNET, together with the highresolution land-use model CLUMondo-has been further integrated to ensure consistent, spatially grounded land-use projections across Europe.Climate, economic, energy, and trade dynamics are captured by the macro models at the country to EU scale, while resulting landuse pressures are allocated by CLUMondo across a 1 km landscape.The deliverable focuses on four key drivers of land-use change-yield improvements, urban expansion, conservation areas, and afforestation.For each of these drivers, the deliverable methodologically improves the linkages and consistency within and across models.We report three major methodological advances: first, technological yield growth from GLOBIOM is implemented in CLUMondo.Second, CLUMondo's spatially explicit urban expansion and conservation maps are aggregated to NUTS2 and incorporated in GLOBIOM and CAPRI as land-availability constraints.Third, afforestation trajectories generated by G4M-GLOBIOM are interpreted both economically and spatially by IMAGE-MAGNET and spatially within CLUMondo, which can subsequently inform CAPRI.Together, these developments strengthen the two-way exchange between macro-level dynamics and high-resolution land-system outcomes, laying the methodological groundwor</w:t>
      </w:r>
    </w:p>
    <w:p>
      <w:pPr/>
      <w:r>
        <w:rPr>
          <w:b/>
        </w:rPr>
        <w:t>POSSIBLE 2024:</w:t>
      </w:r>
      <w:r>
        <w:t xml:space="preserve"> Climate Change and Photochemical Ozone Creation Potential Impact Indicators of Cow Milk: A Comparison of Different Scenarios for a Diet Assessment — https://doi.org/10.3390/ani14121725</w:t>
      </w:r>
    </w:p>
    <w:p>
      <w:pPr/>
      <w:r>
        <w:rPr>
          <w:b/>
        </w:rPr>
        <w:t>Shared claim-specific concepts:</w:t>
      </w:r>
      <w:r>
        <w:t xml:space="preserve"> according, milk, yield, compared; EU scope visible. This is a provisional connection, not an outcome finding.</w:t>
      </w:r>
    </w:p>
    <w:p>
      <w:pPr>
        <w:pStyle w:val="SourceNote"/>
      </w:pPr>
      <w:r>
        <w:rPr>
          <w:b/>
        </w:rPr>
        <w:t>Available abstract (not full text):</w:t>
      </w:r>
      <w:r>
        <w:t xml:space="preserve"> An estimate of the environmental impact of dairy farms in Northern Italy producing milk for hard cheese (protected designation of origin) has been obtained through a comprehensive life cycle assessment. The estimate focused on climate change (CC) and photochemical ozone creation potential (POCP) indicators, which were evaluated according to the Intergovernmental Panel on Climate Change (IPCC) guidelines and interpreted with the aid of the feeds’ composition evaluated using near-infrared reflectance spectroscopy (Foss NIR-System 5000) as well as with a diet evaluation according to the NRC (National Research Council) or the CNCPS (Cornell Net Carbohydrate and Protein System) nutrient requirement modeling. Herds were classified into high-, mid-, and low-performing based on the daily milk yield per cow. A lower impact on indicators was observed as herd performance increased. The high-performing herds had a lower contribution from enteric fermentation (6.30 × 10−1 kgCO2-eq), and the more milk that they produced allowed for a differentiation of CC from land use and transformation (2.39 × 10−1 kgCO2-eq), compared to low-performing herds (3.66 × 10−1 kgCO2-eq). Compared to the IPCC approach, the CC and POCP indicator estimates were reduced when addressing the feed’s quality, particularly in mid- and high-performing herds. The results could be helpful in the dairy sector as they provide</w:t>
      </w:r>
    </w:p>
    <w:p>
      <w:pPr/>
      <w:r>
        <w:rPr>
          <w:b/>
        </w:rPr>
        <w:t>POSSIBLE 2024:</w:t>
      </w:r>
      <w:r>
        <w:t xml:space="preserve"> Impact of maternal health and stress on steroid hormone profiles in human milk: Implications for infant development — https://doi.org/10.1016/j.jlr.2024.100688</w:t>
      </w:r>
    </w:p>
    <w:p>
      <w:pPr/>
      <w:r>
        <w:rPr>
          <w:b/>
        </w:rPr>
        <w:t>Shared claim-specific concepts:</w:t>
      </w:r>
      <w:r>
        <w:t xml:space="preserve"> milk, respectively; EU scope not established. This is a provisional connection, not an outcome finding.</w:t>
      </w:r>
    </w:p>
    <w:p>
      <w:pPr>
        <w:pStyle w:val="SourceNote"/>
      </w:pPr>
      <w:r>
        <w:rPr>
          <w:b/>
        </w:rPr>
        <w:t>Available abstract (not full text):</w:t>
      </w:r>
      <w:r>
        <w:t xml:space="preserve"> Steroid hormones are biologically active factors in human milk (HM) that influence the physical and mental development of infants. Critically, maternal psychosocial stress has been associated with changes in HM steroid composition. This work aimed to characterize the steroid hormone profile of HM and pasteurized donor human milk (DHM) and assess the interplay between maternal physical and psychosocial status, the HM steroid profile, and infant outcomes. A targeted ultra-performance liquid chromatography-tandem mass spectrometry (UPLC-MS/MS) method was developed to quantify sixteen steroid hormones in HM samples. HM samples from mothers of term infants (N = 42) and preterm infants (N = 35) were collected at (i) recovery of birth weight or achievement of complete enteral nutrition, respectively, and (ii) 6 months later as well as DHM samples (N = 19) from 11 donors. The physical and psychosocial status of mothers and infant neurodevelopment and temperament were assessed through structured interviews and validated questionnaires. Fourteen steroids were detected in HM/DHM samples, with cortisol, 20β-dihydrocortisol, dehydroepiandrosterone, pregnenolone, and cortisone being present in &gt; 48% of samples. Pregnenolone, 17α-OH-progesterone, and dehydroepiandrosterone are reported for the first time in HM. Whereas milk cortisol levels were not directly related to maternal physical and ps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The estimated distribution of autochthonous leishmaniasis by Leishmania infantum in Europe in 2005–2020 — https://doi.org/10.1371/journal.pntd.0011497</w:t>
      </w:r>
    </w:p>
    <w:p>
      <w:pPr/>
      <w:r>
        <w:rPr>
          <w:b/>
        </w:rPr>
        <w:t>Shared claim-specific concepts:</w:t>
      </w:r>
      <w:r>
        <w:t xml:space="preserve"> according, trend, data, respectively; EU scope visible. This is a provisional connection, not an outcome finding.</w:t>
      </w:r>
    </w:p>
    <w:p>
      <w:pPr>
        <w:pStyle w:val="SourceNote"/>
      </w:pPr>
      <w:r>
        <w:rPr>
          <w:b/>
        </w:rPr>
        <w:t>Available abstract (not full text):</w:t>
      </w:r>
      <w:r>
        <w:t xml:space="preserve">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pPr/>
      <w:r>
        <w:rPr>
          <w:b/>
        </w:rPr>
        <w:t>POSSIBLE 2023:</w:t>
      </w:r>
      <w:r>
        <w:t xml:space="preserve"> The European Green Deal improves the sustainability of food systems but has uneven economic impacts on consumers and farmers — https://doi.org/10.1038/s43247-023-01019-6</w:t>
      </w:r>
    </w:p>
    <w:p>
      <w:pPr/>
      <w:r>
        <w:rPr>
          <w:b/>
        </w:rPr>
        <w:t>Shared claim-specific concepts:</w:t>
      </w:r>
      <w:r>
        <w:t xml:space="preserve"> average, increase; EU scope visible. This is a provisional connection, not an outcome finding.</w:t>
      </w:r>
    </w:p>
    <w:p>
      <w:pPr>
        <w:pStyle w:val="SourceNote"/>
      </w:pPr>
      <w:r>
        <w:rPr>
          <w:b/>
        </w:rPr>
        <w:t>Available abstract (not full text):</w:t>
      </w:r>
      <w:r>
        <w:t xml:space="preserve"> Abstract The European Green Deal aims notably to achieve a fair, healthy, and environmentally friendly food system in the European Union. We develop a partial equilibrium economic model to assess the market and non-market impacts of the three main levers of the Green Deal targeting the food chain: reducing the use of chemical inputs in agriculture, decreasing post-harvest losses, and shifting toward healthier average diets containing lower quantities of animal-based products. Substantially improving the climate, biodiversity, and nutrition performance of the European food system requires jointly using the three levers. This allows a 20% reduction in greenhouse gas emissions of food consumption and a 40–50% decrease in biodiversity damage. Consumers win economically thanks to lower food expenditures. Livestock producers lose through quantity and price declines. Impacts on revenues of food/feed field crop producers are positive only when the increase in food consumption products outweighs the decrease in feed consumption.</w:t>
      </w:r>
    </w:p>
    <w:p>
      <w:pPr>
        <w:pStyle w:val="Heading2"/>
      </w:pPr>
      <w:r>
        <w:t>908. PROJEKCJA ZMIAN WIELKOŚCI PLONÓW PSZENICY W POLSCE I UNII EUROPEJSKIEJ W LATACH 2030 I 2050 NA PODSTAWIE MODELU CAPRI</w:t>
      </w:r>
    </w:p>
    <w:p>
      <w:pPr>
        <w:pStyle w:val="SourceNote"/>
      </w:pPr>
      <w:r>
        <w:rPr>
          <w:b/>
        </w:rPr>
        <w:t>Original source (2015):</w:t>
      </w:r>
      <w:r>
        <w:t xml:space="preserve"> https://doi.org/10.22004/ag.econ.233132</w:t>
      </w:r>
    </w:p>
    <w:p>
      <w:pPr/>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Effects of root architecture of different wheat cultivars on soil structure — https://doi.org/10.48676/unibo/amsdottorato/12844</w:t>
      </w:r>
    </w:p>
    <w:p>
      <w:pPr/>
      <w:r>
        <w:rPr>
          <w:b/>
        </w:rPr>
        <w:t>Shared claim-specific concepts:</w:t>
      </w:r>
      <w:r>
        <w:t xml:space="preserve"> wheat, compared, dynamics; EU scope not established. This is a provisional connection, not an outcome finding.</w:t>
      </w:r>
    </w:p>
    <w:p>
      <w:pPr>
        <w:pStyle w:val="SourceNote"/>
      </w:pPr>
      <w:r>
        <w:rPr>
          <w:b/>
        </w:rPr>
        <w:t>Available abstract (not full text):</w:t>
      </w:r>
      <w:r>
        <w:t xml:space="preserve"> Plant roots play a crucial role in maintaining soil health by influencing physical structure and hydraulic properties. This study investigates relationships between root morphology of wheat genotypes and their impacts on soil structure and hydraulic characteristics. Using shovelomics, we characterized root systems of wheat cultivars (Paragon, Bologna) and landraces (Senatore-Cappelli, Watkins238) selected for contrasting root morphologies. X-ray computed tomography (CT) was applied to examine soil pore networks at cylinder and aggregate scales, while soil hydraulic properties were measured using Wind evaporation and dew point techniques. Results demonstrated significant genotype-driven differences in soil morphology and hydraulic functions. Structural analyses (Minkowski functionals, percolation theory) showed significant variability in bioporosity and pore connectivity among genotypes compared to bare soil. Senatore-Cappelli exhibited notably larger biopores (&gt;1 mm diameter). Hydraulic characterization using a van Genuchten bimodal model revealed statistically significant differences in soil water retention curves and hydraulic conductivity among genotypes. Root traits, including total root length, branching frequency, lateral root length, and root diameter, significantly correlated with soil pore size distribution and hydraulic parameters. This analysis underscores the import</w:t>
      </w:r>
    </w:p>
    <w:p>
      <w:pPr/>
      <w:r>
        <w:rPr>
          <w:b/>
        </w:rPr>
        <w:t>POSSIBLE 2026:</w:t>
      </w:r>
      <w:r>
        <w:t xml:space="preserve"> TIME-SERIES ANALYSIS AND ARIMA-BASED FORECASTING OF AGRICULTURAL RAW MATERIAL IMPORTS IN CENTRAL AND EASTERN EUROPE — https://doi.org/10.52846/mnmk.24.1.11</w:t>
      </w:r>
    </w:p>
    <w:p>
      <w:pPr/>
      <w:r>
        <w:rPr>
          <w:b/>
        </w:rPr>
        <w:t>Shared claim-specific concepts:</w:t>
      </w:r>
      <w:r>
        <w:t xml:space="preserve"> countries, dynamics, poland; EU scope visible. This is a provisional connection, not an outcome finding.</w:t>
      </w:r>
    </w:p>
    <w:p>
      <w:pPr>
        <w:pStyle w:val="SourceNote"/>
      </w:pPr>
      <w:r>
        <w:rPr>
          <w:b/>
        </w:rPr>
        <w:t>Available abstract (not full text):</w:t>
      </w:r>
      <w:r>
        <w:t xml:space="preserve"> The paper analyzes the long-term dynamics and short-term forecasts of agricultural raw material imports in Central and Eastern European countries, with an emphasis on structural trends, regional convergence and the performance of ARIMA-type econometric models. The study employs annual data for the period 1995–2024 and focuses on seven economies in the region: Romania, Poland, Hungary, the Czech Republic, Slovakia, Bulgaria, and Croatia. The research methodology combines inferential statistical analysis, Spearman’s correlation coefficients, time-series stationarity testing through the Augmented Dickey–Fuller test and univariate ARIMA modeling following the Box–Jenkins methodology. The results highlight a clear downward trend in the share of agricultural raw material imports in total merchandise imports for all analyzed countries, reflecting processes of structural transformation, agricultural modernization and integration into the European single market. The correlation analysis indicates a high degree of synchronization and regional convergence, particularly among Central European economies, while Romania exhibits a relatively distinct profile characterized by higher volatility. Stationarity tests reveal differing degrees of series integration and the estimated ARIMA models provide high-quality short-term forecasts. Projections for the 2025–2027 period suggest stabilization or </w:t>
      </w:r>
    </w:p>
    <w:p>
      <w:pPr/>
      <w:r>
        <w:rPr>
          <w:b/>
        </w:rPr>
        <w:t>POSSIBLE 2026:</w:t>
      </w:r>
      <w:r>
        <w:t xml:space="preserve"> Soil elemental profiles and toxic element uptake by durum wheat varieties in organic and conventional farming systems in Central Italy — https://doi.org/10.1017/s0014479726100234</w:t>
      </w:r>
    </w:p>
    <w:p>
      <w:pPr/>
      <w:r>
        <w:rPr>
          <w:b/>
        </w:rPr>
        <w:t>Shared claim-specific concepts:</w:t>
      </w:r>
      <w:r>
        <w:t xml:space="preserve"> wheat, determine; EU scope visible. This is a provisional connection, not an outcome finding.</w:t>
      </w:r>
    </w:p>
    <w:p>
      <w:pPr>
        <w:pStyle w:val="SourceNote"/>
      </w:pPr>
      <w:r>
        <w:rPr>
          <w:b/>
        </w:rPr>
        <w:t>Available abstract (not full text):</w:t>
      </w:r>
      <w:r>
        <w:t xml:space="preserve"> Summary Soil contamination due to toxic elements (TEs) and potentially toxic elements (PTEs) is a global environmental concern due to their toxicity in ecosystems and the potential risk of food chain contamination. This study aimed to examine the differences in the multielemental profile of two experimental fields in Central Italy and to assess the uptake and translocation of TEs (As, Cd, Cr, Ni, Pb, Ti) and PTEs (Co, Cu, V, Zn) in three durum wheat, Triticum turgidum L. subsp. durum varieties grown in organic (OFS) and conventional (CFS) farming systems. The biological absorption coefficient (BAC) and the translocation factor (TF) were evaluated to determine the absorption and translocation of elements from the soil to the aerial parts of the plants. The content of essential mineral nutrients such as Cu and Zn was higher in organically grown plants, whereas TEs and PTEs, such as Cd, Cr, Ni, and V, were more concentrated in conventionally cultivated plants. Among the three varieties, Simeto showed a greater ability to translocate Cd to the edible part (TF = 0.0341 for OFS and 0.7900 for CFS). Soil type, cultivation method, and durum wheat variety all affect the uptake and distribution of elements within the soil-plant system. Future research focusing on the edible parts could improve sustainable agricultural practices, optimise nutrient management, enhance crop quality, and red</w:t>
      </w:r>
    </w:p>
    <w:p>
      <w:pPr/>
      <w:r>
        <w:rPr>
          <w:b/>
        </w:rPr>
        <w:t>POSSIBLE 2026:</w:t>
      </w:r>
      <w:r>
        <w:t xml:space="preserve"> ACT4CAP27 Project Newsletter / Edition 4 / June 2026 — https://doi.org/10.5281/zenodo.21067483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ACT4CAP27 Project Newsletter / Edition 4 / June 2026 This the fourth in the series of 6 monthly newsletters in the ACT4CAP27 project. From this issue of our newsletter, you can get to know: What ACT4CAP27 is all about? • ACT4CAP27 is a Horizon Europe-funded five-year Research and Innovation Action that aims to enhance analytical capabilities, modelling tools and collaborative technical infrastructure within the policy modelling community, supporting evidence-based EU agri-food policies beyond 2027. What are the latest developments in our project? • Read the editorial from our Project Coordinator reflecting on the first half of 2026 and the progress achieved across the project. • Discover highlights from our 3rd Annual Meeting in Madrid, advances in modelling baselines and digitalisation scenarios, continued work on the Accelerator Platform, and strong coordination across the project's work packages. How are we engaging with stakeholders and building capacity? • Learn how stakeholder contributions during our April workshop on sugar tax and biodiversity scenarios are helping shape policy-relevant research and strengthen project outcomes. • Read about our latest capacity-building activities, including the CAPRI Developer Seminar, the CAPRI Applied Data Analysis Course, and the continued development of the Agri-Food Model Young Researchers Network (AMYRN), as well as achievements b</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union, determine;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The potential of genetically modified microorganisms to reduce nitrogen loads in the EU agricultural sector — https://doi.org/10.2760/8354314</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report evaluates the economic potential and viability of a biological nitrogen‑fixation (BNF) technology based on genetically edited microorganisms for use in European maize production. the report surveys the existing portfolio of nitrogen‑reduction technologies and presents a synthesis of performance data and case‑study evidence on product development. The review covers conventional measures (precision fertiliser placement, nitrification and urease inhibitors, enhanced‑efficiency fertilisers, cover crops and legume‑based rotations) and contrasts them with emerging biological solutions, in particular inoculants based on genetically edited microorganisms that enable biological nitrogen fixation (BNF). Building on this literature foundation, the analysis integrates (i) a historical nitrogen‑price series and a deterministic break‑even framework, (ii) a Markov‑switching model combined with Monte‑Carlo simulations to estimate the probability that the BNF inoculant is economically viable across a 3 x 3 grid of maize‑price and inoculant‑cost scenarios, and (iii) a partial‑equilibrium CAPRI model that captures production, income, market‑feedback and trade effects. Results indicate that higher nitrogen market prices and greater societal valuation of a 1 kg N reduction substantially raise the probability of viability, whereas full market feedback can offset farm‑level income gains th</w:t>
      </w:r>
    </w:p>
    <w:p>
      <w:pPr/>
      <w:r>
        <w:rPr>
          <w:b/>
        </w:rPr>
        <w:t>POSSIBLE 2025:</w:t>
      </w:r>
      <w:r>
        <w:t xml:space="preserve"> EU-level CAPRI impact assessment for the organic sector — https://openalex.org/W7154541293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pPr/>
      <w:r>
        <w:rPr>
          <w:b/>
        </w:rPr>
        <w:t>POSSIBLE 2025:</w:t>
      </w:r>
      <w:r>
        <w:t xml:space="preserve"> Effect of different treatments on the dissipation and persistence of iodosulfuron-methyl applied in soils with wheat crop under greenhouse conditions — https://doi.org/10.1016/j.ecoenv.2025.118454</w:t>
      </w:r>
    </w:p>
    <w:p>
      <w:pPr/>
      <w:r>
        <w:rPr>
          <w:b/>
        </w:rPr>
        <w:t>Shared claim-specific concepts:</w:t>
      </w:r>
      <w:r>
        <w:t xml:space="preserve"> average, wheat, compared; EU scope visible. This is a provisional connection, not an outcome finding.</w:t>
      </w:r>
    </w:p>
    <w:p>
      <w:pPr>
        <w:pStyle w:val="SourceNote"/>
      </w:pPr>
      <w:r>
        <w:rPr>
          <w:b/>
        </w:rPr>
        <w:t>Available abstract (not full text):</w:t>
      </w:r>
      <w:r>
        <w:t xml:space="preserve"> The herbicides used on primary crops in rotational agriculture may be phytotoxic for subsequent ones, and their behaviour needs to be studied under different soil, climate, and agronomic conditions. This research therefore sought to study the effect of different agronomic treatments (i.e., application of organic amendment, and different herbicide doses and irrigation regimes) on the dissipation and persistence of the herbicide iodosulfuron-methyl-sodium applied to post-emergence wheat in two agricultural soils under controlled greenhouse conditions. Two soils with different pH (4.4 for SA and 6.0 for SB) were sampled from the Muñovela farm (NW Spain) and amended with green compost (GC) at 2.5 % (w/w) (SA+GC and SB+GC). Wheat was sown in pots with unamended and amended soils. Each soil was treated with two herbicide doses (D1, agronomic dose, and D2, double dose) and under two irrigation regimes (AR, average rainfall, and MR, minimum rainfall). To study the persistence of the herbicide, the dissipation curve was obtained by plotting the percentage of herbicide remaining in samples of the surface soil collected from all the pots at different times (0–56 days), determined by HPLC-MS versus time, and the data were fitted to different kinetic models to calculate the half-life (DT 50 ). The amounts of the herbicide remaining in the soil profiles were quantified for the different trea</w:t>
      </w:r>
    </w:p>
    <w:p>
      <w:pPr/>
      <w:r>
        <w:rPr>
          <w:b/>
        </w:rPr>
        <w:t>POSSIBLE 2025:</w:t>
      </w:r>
      <w:r>
        <w:t xml:space="preserve"> Gridded emissions for the CATALYSE scenarios, version Sep 2025 — https://doi.org/10.5281/zenodo.17144193</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Climate Action To Advance HeaLthY Societies in Europe (CATALYSE) Project is a Horizon Europe project (https://catalysehorizon.eu/, HE 101057131) that seeks to provide new knowledge, data and tools to close the knowledge-to-action gap to accelerate climate change action and protect public health in Europe. This is a multi-dimensional initiative that spans fundamental research to the identification of optimal communication channels for information dissemination. Work Package 2 constitutes the development of mitigation policy scenarios and the modelling of associated emissions of greenhouse gases (GHGs) and air pollutants for use in co-benefit analysis of health and other impacts. This dataset contains emissions of air pollutants generated with the GAINS model (http://gains.iiasa.ac.at/gains/EUN/index.login, Amann et al., 2011), based on energy projections from the PRIMES model (https://e3modelling.com/modelling-tools/primes/, Capros et al., 2019) and agriculture projections from the CAPRI model (https://www.capri-model.org/). The data presented here accompany the report "Emission Scenarios for Europe under the CATALYSE Project: Beyond the Green Deal" (https://pure.iiasa.ac.at/id/eprint/21253/) which documents the approach, methodology, and emission results in Europe until 2050. The emissions scenarios are: the Reference Scenario, reflecting energy and agriculture policies pri</w:t>
      </w:r>
    </w:p>
    <w:p>
      <w:pPr/>
      <w:r>
        <w:rPr>
          <w:b/>
        </w:rPr>
        <w:t>POSSIBLE 2025:</w:t>
      </w:r>
      <w:r>
        <w:t xml:space="preserve"> NPCi_2018 — https://doi.org/10.2905/jrc.bp39vg0</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This dataset contains high-resolution spatial mapping of semi-natural habitats (SNHs) across Europe, designed to support the development of the Natural Pest Control Index (NPCi). Derived from Copernicus High-Resolution Layers (HRLs), with resolutions ranging from 5m to 10m, the dataset categorizes landscapes into key SNH types, including Woody Areal - Edge (WAe), Woody Areal - Interior (WAi), Woody Linear (WL), and Herbaceous Areal (HA). The enhanced 50m spatial resolution of the NPCi model enables detailed assessments of landscapes' potential to support beneficial flying predators, such as predatory flies and parasitic wasps. This map play a crucial role in informing agricultural and environmental policies, including the EU Green Deal, by pinpointing areas with high and low natural pest control potential. Applications of this dataset span ecosystem services modeling, environmental policy development, and agricultural planning. By facilitating precise habitat characterization and optimization of land use strategies, it promotes sustainable agricultural practices and supports informed decision-making at local, regional, and global scales. This dataset includes the following raster files: - NFIELD_2017.tif: A raster file representing nitrogen field levels for 2017, derived from the CAPRI model. This spatially explicit dataset provides insights into nitrogen usage or presence acro</w:t>
      </w:r>
    </w:p>
    <w:p>
      <w:pPr/>
      <w:r>
        <w:rPr>
          <w:b/>
        </w:rPr>
        <w:t>POSSIBLE 2025:</w:t>
      </w:r>
      <w:r>
        <w:t xml:space="preserve"> Modelling scope and data needs : D5.1 — https://openalex.org/W7172178632</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overarching objective of Work Package (WP) 5 is to provide a modelbased assessment of scenarios that depict a transition of European livestock production systems (ELPS) towards more economically, ecologically, and socially sustainable systems, as defined in WP6. To achieve this objective, the modelling framework combines three models: MAFSEU, AGMEMOD and CAPRI. The description of each model outlines its specific modelling approach and highlights its strengths. The particular role of each model in the STEP UP modelling framework is then defined based on this information. AGMEMOD is the only recursive-dynamic model that delivers year-by-year projections. It will be used to make initial projections for a number of mainly trend-driven variables (e.g. yields, stocks) over a defined time horizon. Also, operating at the level of member states, it can focus on simulating country-specific policy measures. The MAFSEU model, with its envisaged explicit representation of antibiotic use and use of other chemical inputs, serves as a tool for simulating changes in their use. MAFSEU also encompasses the link between food consumption and health indicators, and can be used to assess the health consequences of dietary shifts. CAPRI provides a highly detailed representation of greenhouse gas emissions and nutrient flows, including depictions of mitigation options, and will be used for respecti</w:t>
      </w:r>
    </w:p>
    <w:p>
      <w:pPr>
        <w:pStyle w:val="Heading2"/>
      </w:pPr>
      <w:r>
        <w:t>909. Population Projections and Demographic Knowledge in France and Great Britain in the Postwar Period</w:t>
      </w:r>
    </w:p>
    <w:p>
      <w:pPr>
        <w:pStyle w:val="SourceNote"/>
      </w:pPr>
      <w:r>
        <w:rPr>
          <w:b/>
        </w:rPr>
        <w:t>Original source (2015):</w:t>
      </w:r>
      <w:r>
        <w:t xml:space="preserve"> https://doi.org/10.1111/j.1728-4457.2015.00047.x</w:t>
      </w:r>
    </w:p>
    <w:p>
      <w:pPr/>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POSSIBLE 2026:</w:t>
      </w:r>
      <w:r>
        <w:t xml:space="preserve"> Control and Contingency — https://doi.org/10.13135/2280-8574/13657</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In his stimulating book As Gods Among Men, Guido Alfani argues that the rich were newly accepted during the early modern period (1400–1800), winning an unprecedented measure of approval in many European societies. This article tests Alfani’s idea of wealth consolidation in early modernity from the perspective of the visual arts, paying initial attention to the rise of portraiture as a vehicle through which the rich presented themselves more openly as the worthy leaders of society, appearing to consolidate their position of privilege. Even within this apparently supportive image type, however, indications of monetary ricchezza were often downplayed. Two further sections explore these tendencies towards the semi-concealment and the mediation of monetary wealth in a wider range of image types and media. Taking as my case studies works produced in Italy, Great Britain, the Dutch Republic, France, Spain and Germany, I argue that motives of visual deflection and ambiguation regarding the condition of material wealth were more characteristic of early modernity that its open display. My discussion of these works will suggest that they do not straightforwardly reflect the consolidation of the European rich as leading social and cultural players. Much of this imagery suggests instead a developing proto-modern sense that all material advantage and associated high social position is highly</w:t>
      </w:r>
    </w:p>
    <w:p>
      <w:pPr/>
      <w:r>
        <w:rPr>
          <w:b/>
        </w:rPr>
        <w:t>POSSIBLE 2026:</w:t>
      </w:r>
      <w:r>
        <w:t xml:space="preserve"> European middle powers: Germany, France and Italy as international actors — https://openalex.org/W7215008340</w:t>
      </w:r>
    </w:p>
    <w:p>
      <w:pPr/>
      <w:r>
        <w:rPr>
          <w:b/>
        </w:rPr>
        <w:t>Shared claim-specific concepts:</w:t>
      </w:r>
      <w:r>
        <w:t xml:space="preserve"> france, decline, due; EU scope visible. This is a provisional connection, not an outcome finding.</w:t>
      </w:r>
    </w:p>
    <w:p>
      <w:pPr>
        <w:pStyle w:val="SourceNote"/>
      </w:pPr>
      <w:r>
        <w:rPr>
          <w:b/>
        </w:rPr>
        <w:t>Available abstract (not full text):</w:t>
      </w:r>
      <w:r>
        <w:t xml:space="preserve"> Behind the geopolitics of great power competition lies a broad and diverse group of international actors that cannot match the status of major powers, yet wield considerable influence in specific policies and regions. These states are often referred to as middle powers, and they include actors from both the West and the Global South. They tend to act in multilateral formats, join alliances with like-minded partners and diversify their foreign policy partnerships. This Research Paper examines the concept of middlepowerness and applies it to an investigation of the foreign policies of the largest EU member states: Germany, France and Italy. Despite their relative decline compared with major and rising powers, these states retain significant resources that enable them to exert autonomous influence on specific issues in global politics. This capacity is particularly significant at a time of crisis in the transatlantic alliance due to the progressive US disengagement from Europe and from liberal values. The EU can act as a “power amplifier” for member states, but pooling the resources of middle powers does not automatically turn either those states or the EU into major powers in foreign policy.</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A scoping review of multiple deprivation indices in Europe — https://doi.org/10.1093/eurpub/ckaf190</w:t>
      </w:r>
    </w:p>
    <w:p>
      <w:pPr/>
      <w:r>
        <w:rPr>
          <w:b/>
        </w:rPr>
        <w:t>Shared claim-specific concepts:</w:t>
      </w:r>
      <w:r>
        <w:t xml:space="preserve"> multiple, due, countries; EU scope visible. This is a provisional connection, not an outcome finding.</w:t>
      </w:r>
    </w:p>
    <w:p>
      <w:pPr>
        <w:pStyle w:val="SourceNote"/>
      </w:pPr>
      <w:r>
        <w:rPr>
          <w:b/>
        </w:rPr>
        <w:t>Available abstract (not full text):</w:t>
      </w:r>
      <w:r>
        <w:t xml:space="preserve"> Multiple deprivation indices (MDIs) measure community-level deprivation using various socio-economic indicators such as education level, unemployment rate, or family structure. With their growing use across Europe and the need to evaluate health impacts on vulnerable populations, this scoping review provides an overview of MDIs in the region. Insights into their construction methods will help provide guidance to researchers in developing future indices. This scoping review was conducted as part of the four-year research project funded through EU Horizon Europe-Burden of disease-based methods for estimating the socio-economic cost of environmental stressors (BEST-COST). We searched Medline, Embase, and Web of Science using terms covering deprivation in Europe. Articles meeting the inclusion criteria were reviewed to identify MDIs and their methodologies. Those including a health indicator were excluded from the study. From 163 articles meeting our inclusion criteria, 18 MDIs were identified. The number of underlying indicators ranged from 4 to 22 across MDIs. Most indices were built for small geographical areas, such as municipalities, districts, or census tracts. Ten indices applied weights derived from statistical methods such as principal components analysis, while the other eight applied equal weights and calculated the index as a simple arithmetic sum or mean composite scor</w:t>
      </w:r>
    </w:p>
    <w:p>
      <w:pPr/>
      <w:r>
        <w:rPr>
          <w:b/>
        </w:rPr>
        <w:t>POSSIBLE 2024:</w:t>
      </w:r>
      <w:r>
        <w:t xml:space="preserve"> A unifying modelling of multiple land degradation pathways in Europe — https://doi.org/10.1038/s41467-024-48252-x</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Constructing the “moralization shock”: The role of contingency in the translation of anticorruption policy in France — https://doi.org/10.1002/epa2.1231</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Abstract This article applies the concept of transaction to the process of policy transfer, through the case of conflict of interest regulation in France, using archives, documentary sources, and interviews with stakeholders. It contributes to the literature on policy translation by clarifying the role of contingency , which remains underspecified. It shows that timing matters in two ways: it affects actors' ability to open a policy window, and it ultimately affects problem definition and future implementation instruments and practices. It explores the construction of the situation as a scandal, making it necessary to adapt transferred ideas to the political context, where a “shock of moralization” was seen as necessary. It also offers an opportunity to enrich the scholarship on policy transaction with an application to transnational policymaking, where problem definitions and policy solutions are imported from elsewhere and where foreign or transnational actors contribute to the co‐construction of actors and issues.</w:t>
      </w:r>
    </w:p>
    <w:p>
      <w:pPr/>
      <w:r>
        <w:rPr>
          <w:b/>
        </w:rPr>
        <w:t>POSSIBLE 2024:</w:t>
      </w:r>
      <w:r>
        <w:t xml:space="preserve"> Frailty among the 50+ in France and in Europe. Two decades of trends and inequalities based on SHARE — https://openalex.org/W4402705049</w:t>
      </w:r>
    </w:p>
    <w:p>
      <w:pPr/>
      <w:r>
        <w:rPr>
          <w:b/>
        </w:rPr>
        <w:t>Shared claim-specific concepts:</w:t>
      </w:r>
      <w:r>
        <w:t xml:space="preserve"> france, publication, two; EU scope visible. This is a provisional connection, not an outcome finding.</w:t>
      </w:r>
    </w:p>
    <w:p>
      <w:pPr>
        <w:pStyle w:val="SourceNote"/>
      </w:pPr>
      <w:r>
        <w:rPr>
          <w:b/>
        </w:rPr>
        <w:t>Available abstract (not full text):</w:t>
      </w:r>
      <w:r>
        <w:t xml:space="preserve"> EN SOCIÉTÉ La fragilité chez les 50 ans et plus en France et en Europe.Deux décennies d'évolution et d'inégalités à partir des données de l'enquête SHARE * * * Ce travail a bénéficié du soutien de la Caisse Nationale de Solidarité pour l'Autonomie (CNSA).Nous remercions Nicolas Sirven, Marie-Anne Brieu, Didier Halimi et Françoise Forette pour leur contribution à une première étude sur cette thématique avec le soutien d'ILC-France qui avait donné lieu à une première publication (Arnault et al., 2019).* * * La fragilité est un état de vulnérabilité accrue des personnes âgées, qui constitue un signal d'alerte du risque de perte d'autonomie et qui peut être freiné voire résorbé par des mesures de prévention appropriées ou une prise en charge précoce.Multidimensionnelle et multifactorielle par nature, la fragilité a donné lieu à de nombreux travaux de conceptualisation et de mesure à l'aide d'échelles et de scores spécifiques.Parmi les différentes approches existantes, le phénotype de fragilité proposé par Fried et al (2001) constitue un outil de référence par sa simplicité et son pouvoir discriminant.Il repose sur une conception de la fragilité comme dégradation de cinq attributs fonctionnels de référence (énergie, mobilité, activité physique, poids, force musculaire) facile à opérationnaliser à partir de données d'enquête adéquates.Les inégalités sociales de fragilité en termes d'</w:t>
      </w:r>
    </w:p>
    <w:p>
      <w:pPr/>
      <w:r>
        <w:rPr>
          <w:b/>
        </w:rPr>
        <w:t>POSSIBLE 2024:</w:t>
      </w:r>
      <w:r>
        <w:t xml:space="preserve"> Cancer and multiple sclerosis: 2023 recommendations from the French Multiple Sclerosis Society — https://doi.org/10.1177/13524585231223880</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Epidemiological data reveal that 45% of persons with multiple sclerosis (PwMS) in France are more than 50 years. This population more than 50 is more susceptible to cancer, and this risk may be increased by frequent use of immunosuppressive drugs. Consequently, concerns have arisen about the potential increased risk of cancer in PwMS and how patients should be screened and managed in terms of cancer risk. OBJECTIVE: To develop evidence-based recommendations to manage the coexistence of cancer and multiple sclerosis (MS). METHODS: The French Group for Recommendations in MS collected articles from PubMed and university databases covering the period January 1975 through June 2022. The RAND/UCLA method was employed to achieve formal consensus. MS experts comprehensively reviewed the full-text articles and developed the initial recommendations. A group of multidisciplinary health care specialists then validated the final proposal. RESULTS: Five key questions were addressed, encompassing various topics such as cancer screening before or after initiating a disease-modifying therapy (DMT), appropriate management of MS in the context of cancer, recommended follow-up for cancer in patients receiving a DMT, and the potential reintroduction of a DMT after initial cancer treatment. A strong consensus was reached for all 31 recommendations. CONCLUSION: These recommendations propo</w:t>
      </w:r>
    </w:p>
    <w:p>
      <w:pPr/>
      <w:r>
        <w:rPr>
          <w:b/>
        </w:rPr>
        <w:t>POSSIBLE 2024:</w:t>
      </w:r>
      <w:r>
        <w:t xml:space="preserve"> Proactively boosting home dialysis adoption in Europe — https://doi.org/10.1093/ndt/gfae199</w:t>
      </w:r>
    </w:p>
    <w:p>
      <w:pPr/>
      <w:r>
        <w:rPr>
          <w:b/>
        </w:rPr>
        <w:t>Shared claim-specific concepts:</w:t>
      </w:r>
      <w:r>
        <w:t xml:space="preserve"> france, publication, due, replacement, countries, demographic; EU scope visible. This is a provisional connection, not an outcome finding.</w:t>
      </w:r>
    </w:p>
    <w:p>
      <w:pPr>
        <w:pStyle w:val="SourceNote"/>
      </w:pPr>
      <w:r>
        <w:rPr>
          <w:b/>
        </w:rPr>
        <w:t>Available abstract (not full text):</w:t>
      </w:r>
      <w:r>
        <w:t xml:space="preserve"> This publication builds upon a previous editorial outlining the advantages of home dialysis [1], and suggests strategies to boost the adoption of home dialysis across Europe. By the end of 2021, the ERA Registry [2, 3] reported a dismal 8.6% and 1.3% of dialysis patients across Europe on peritoneal dialysis (PD) and home hemodialysis, respectively, with marked variations between countries (Table 1). Failure to take proactive stimulating measures risks jeopardizing the long-term continuity of quality kidney care in Europe. Ranking of European countries with regards to uptake of home dialysis strategies vs all dialysis. All dialysis: home hemodialysis, peritoneal dialysis and in-center hemodialysis; all home dialysis: home hemodialysis plus peritoneal dialysis. Based on the ERA Registry 2023 (covering the year 2021) [2]. Data for some countries (e.g. Cyprus, Germany, Ireland, Luxembourg, Malta, Moldova, Russia and Slovenia, and small European states like Andorra) are missing in the ERA registry and for other countries data is incomplete (France 27 of 28 regions, Italy 7 of 20 regions). For Portugal, no figures on home hemodialysis were made available. Belgium, Spain and UK: composite figures for 2, 16 and 4 regions, respectively. Tunisia (Sfax region), Turkey and Israel are reported by the ERA registry but are not included here. Data for Cyprus and Russia extrapolated from [3] (d</w:t>
      </w:r>
    </w:p>
    <w:p>
      <w:pPr/>
      <w:r>
        <w:rPr>
          <w:b/>
        </w:rPr>
        <w:t>POSSIBLE 2024:</w:t>
      </w:r>
      <w:r>
        <w:t xml:space="preserve"> Board of directors and innovation: A state‐of‐the‐art review from a contingency perspective — https://doi.org/10.1002/cjas.1761</w:t>
      </w:r>
    </w:p>
    <w:p>
      <w:pPr/>
      <w:r>
        <w:rPr>
          <w:b/>
        </w:rPr>
        <w:t>Shared claim-specific concepts:</w:t>
      </w:r>
      <w:r>
        <w:t xml:space="preserve"> contingency, due, thus; EU scope not established. This is a provisional connection, not an outcome finding.</w:t>
      </w:r>
    </w:p>
    <w:p>
      <w:pPr>
        <w:pStyle w:val="SourceNote"/>
      </w:pPr>
      <w:r>
        <w:rPr>
          <w:b/>
        </w:rPr>
        <w:t>Available abstract (not full text):</w:t>
      </w:r>
      <w:r>
        <w:t xml:space="preserve"> Abstract The link between the board of directors and innovation has received increasing interest from scholars, executives, and policymakers in recent years. Nevertheless, it remains somewhat cryptic, mainly due to limitations in terms of analytical frameworks, theoretical constructs, and methodological designs, as well as the absence of an approach that integrates the importance of contingencies. Thus, a systematic literature review at the junction of the highest strategic body (i.e., board of directors) and one of the most strategic organizational outcomes (i.e., innovation) proves to be an opportune exercise both from a scientific and practical perspective. Ultimately, the approach adopted in this study has led to the emergence of an integrative conceptual framework from a contingency perspective and various observations that dissect the impact of the board of directors on innovation based on a corpus of 114 articles published over a period of 33 years. Also, a research agenda and some key recommendations are derived from the in‐depth analysis conducted and constitute solid foundations on which to build tomorrow's studies in this research field.</w:t>
      </w:r>
    </w:p>
    <w:p>
      <w:pPr/>
      <w:r>
        <w:rPr>
          <w:b/>
        </w:rPr>
        <w:t>POSSIBLE 2023:</w:t>
      </w:r>
      <w:r>
        <w:t xml:space="preserve"> The Singular Epidemiology of Plasmacytoma and Multiple Myeloma in French Guiana — https://doi.org/10.3390/cancers16010178</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The objective was to review a decade of plasmacytoma (PC) and multiple myeloma (MM) data from French Guiana, and to study its spatial and temporal trends. METHODS: This was a retrospective study of MM and PC between January 2005 and December 2014 using cancer registry data, including age-standardized incidence and mortality rates. RESULTS: There were 110 cases of PC and MM (62 women and 48 men), representing the eighth most frequent malignancy in French Guiana. PC and MM were much more common in females. In men, 79% of cases occurred at ≥55 years, and in women, 90% of cases occurred at ≥50 years. The median age at diagnosis was 60 years for men and 66 years for women, while it was 72 years for men and 75 years for women in mainland France. The incidence rate standardized to the world population was 5.9 patients of PC and MM per 100,000 men/year and 7.8 per 100,000 women/year. CONCLUSIONS: In our territory, the incidence of PC and MM was higher and patients were diagnosed at a substantially younger age than in mainland France. Women had a greater incidence than men, and there was an increasing temporal trend of incidence among women. African ancestry and the frequency of obesity, notably among women, could have contributed to this observation.</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multiple, population, decline, due;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pStyle w:val="Heading2"/>
      </w:pPr>
      <w:r>
        <w:t>910. Potential of extensification of European agriculture for a more sustainable food system, focusing on nitrogen</w:t>
      </w:r>
    </w:p>
    <w:p>
      <w:pPr>
        <w:pStyle w:val="SourceNote"/>
      </w:pPr>
      <w:r>
        <w:rPr>
          <w:b/>
        </w:rPr>
        <w:t>Original source (2015):</w:t>
      </w:r>
      <w:r>
        <w:t xml:space="preserve"> https://doi.org/10.1088/1748-9326/10/2/025002</w:t>
      </w:r>
    </w:p>
    <w:p>
      <w:pPr/>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POSSIBLE 2026:</w:t>
      </w:r>
      <w:r>
        <w:t xml:space="preserve"> Stranded assets in European agriculture during food system transformations — https://doi.org/10.1038/s43016-025-01283-z</w:t>
      </w:r>
    </w:p>
    <w:p>
      <w:pPr/>
      <w:r>
        <w:rPr>
          <w:b/>
        </w:rPr>
        <w:t>Shared claim-specific concepts:</w:t>
      </w:r>
      <w:r>
        <w:t xml:space="preserve"> eu27, consumption, production, food; EU scope visible. This is a provisional connection, not an outcome finding.</w:t>
      </w:r>
    </w:p>
    <w:p>
      <w:pPr>
        <w:pStyle w:val="SourceNote"/>
      </w:pPr>
      <w:r>
        <w:rPr>
          <w:b/>
        </w:rPr>
        <w:t>Available abstract (not full text):</w:t>
      </w:r>
      <w:r>
        <w:t xml:space="preserve"> Dietary shifts, particularly reduced animal-sourced food (ASF) consumption in high-income countries, risk stranding substantial ASF-related assets. Linking agricultural and economic data to global multi-regional input-output models, we show that ASF assets represent 78% of EU27 + UK fixed agricultural assets, with €158 billion linked to livestock and €100 billion to feed production. We estimate that ASF reductions in EU27 + UK consumption of 9.5%, 60% and 100% could strand 18%, 50% and 77% of these assets, respectively. Current depreciation rates suggest there is generally sufficient time to phase out assets, offering pathways to limit stranding. Policy- and climate-induced stranding risks are intertwined and should both be incorporated into financial modelling as overlapping transition pressures. Given food producers' high exposure to stranding risks cascade throughout supply chains, integrated policy support to repurpose or phase out ASF-related assets is essential to avoid delays in sustainable food system transformations.</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production, products, land;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Environmental impacts from European food consumption can be reduced with carbon pricing or a value-added tax reform — https://doi.org/10.1038/s43016-025-01284-y</w:t>
      </w:r>
    </w:p>
    <w:p>
      <w:pPr/>
      <w:r>
        <w:rPr>
          <w:b/>
        </w:rPr>
        <w:t>Shared claim-specific concepts:</w:t>
      </w:r>
      <w:r>
        <w:t xml:space="preserve"> eu27, consumption, products, food, land; EU scope visible. This is a provisional connection, not an outcome finding.</w:t>
      </w:r>
    </w:p>
    <w:p>
      <w:pPr>
        <w:pStyle w:val="SourceNote"/>
      </w:pPr>
      <w:r>
        <w:rPr>
          <w:b/>
        </w:rPr>
        <w:t>Available abstract (not full text):</w:t>
      </w:r>
      <w:r>
        <w:t xml:space="preserve"> Abstract Food consumption generates significant environmental externalities that remain insufficiently addressed by public policies. This paper explores the global environmental footprints induced by food consumption in the European Union (EU27) based on a multi-regional input-output model and assesses the potential of tax policies for mitigation. Using household expenditure data, we estimate country-specific demand systems on food products and link these to the footprints for the policy analysis. We find that removing current VAT reductions on meat products has the potential to decrease food consumption-related greenhouse gas (GHG) emissions, water consumption, land use, biodiversity loss, nitrogen and phosphorus footprints of EU27 household food consumption by 3.5 to 5.7 percent. A GHG emission price of approximately 52 EUR/tCO2eq on all food products leads to equivalent emission reductions with higher associated environmental co-benefits. Mean net welfare costs of the two policies amount to 12-26 EUR/year per household. JEL Classification: C54 , D12 , D62 , H23 , Q18 , Q56 , Q58</w:t>
      </w:r>
    </w:p>
    <w:p>
      <w:pPr/>
      <w:r>
        <w:rPr>
          <w:b/>
        </w:rPr>
        <w:t>POSSIBLE 2026:</w:t>
      </w:r>
      <w:r>
        <w:t xml:space="preserve"> The green transition at the economic-activity level among the EU27 countries — https://doi.org/10.3897/ap.10.e0043</w:t>
      </w:r>
    </w:p>
    <w:p>
      <w:pPr/>
      <w:r>
        <w:rPr>
          <w:b/>
        </w:rPr>
        <w:t>Shared claim-specific concepts:</w:t>
      </w:r>
      <w:r>
        <w:t xml:space="preserve"> eu27, pollution, health, become; EU scope not established. This is a provisional connection, not an outcome finding.</w:t>
      </w:r>
    </w:p>
    <w:p>
      <w:pPr>
        <w:pStyle w:val="SourceNote"/>
      </w:pPr>
      <w:r>
        <w:rPr>
          <w:b/>
        </w:rPr>
        <w:t>Available abstract (not full text):</w:t>
      </w:r>
      <w:r>
        <w:t xml:space="preserve"> The structural adjustment to a green economy demands that the individualeconomic activities become well-suited to the rising climate challenge. Provided that theEU countries are unable or slow to adapt, negative consequences can ensue in terms ofenvironmental degradation and declining health status of the population. That is why theinitiative for green transformation should focus initially on the activities within NACE Rev. 2that are polluting the most – these are economic activities C. Manufacturing, D. Electricity,gas, steam and air conditioning supply and H. Transportation and storage. Some evidencefor CO2 abatement in these activities is presented, though a concern for a green fatigue israised. FE model is estimated over 2008-2022 to show that the price of carbon emissionshas not contributed sufficiently to curbing the CO2 pollution. In fact, it is needed to accountfor the fact that the higher price induces a direct positive effect on the progress to the 2030target, but also an indirect negative effect engendered from the replacement of closedproduction units with similar non-ecological ones. As a fundamental pillar of the GreenDeal the technological growth is propagated through the import of new capital eased bypositive cyclical conditions. It is of paramount importance that the countries which arethe biggest polluters do more, while the countries with insufficient institu</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reducing, consumption, pollution;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The Dynamics of Public Investment in Education and Debt Under Economic, Digital, and Sustainable Transformation in the EU27 — https://doi.org/10.3390/admsci16070317</w:t>
      </w:r>
    </w:p>
    <w:p>
      <w:pPr/>
      <w:r>
        <w:rPr>
          <w:b/>
        </w:rPr>
        <w:t>Shared claim-specific concepts:</w:t>
      </w:r>
      <w:r>
        <w:t xml:space="preserve"> eu27, consumption, human, become, increased; EU scope visible. This is a provisional connection, not an outcome finding.</w:t>
      </w:r>
    </w:p>
    <w:p>
      <w:pPr>
        <w:pStyle w:val="SourceNote"/>
      </w:pPr>
      <w:r>
        <w:rPr>
          <w:b/>
        </w:rPr>
        <w:t>Available abstract (not full text):</w:t>
      </w:r>
      <w:r>
        <w:t xml:space="preserve"> This article investigates how structural transformations—growth, development, digitalisation, renewable energy consumption, education, and economic freedom—could influence public investment in education and public debt in the EU27. This objective was achieved by taking into consideration suggestive secondary data for the period 2009–2021 and applying the Structural Equation Model (SEM), dynamic panel data (ARDL), and, for robustness, fixed effects (FE) models. Education shows the ability, in structural terms, to relax the public budget, even if, in the very short term, the mandatory education is associated with additional public investment. Growth may create conditions, in the short term, to diminish the public investment in education and to be favourable for less dependence on financial markets, regardless of the period. In contrast, human development is associated with increased investment in education in the very short and long term and with increased public debt in the short and very short term. Education can adjust investment in the sector, especially in the long term, even if tertiary education depresses public investment in the very short term. However, education, regardless of level, has a significant contribution to the economy and society, which qualifies investment in education as being strategic, and education as a sector which must be protected even in complicated </w:t>
      </w:r>
    </w:p>
    <w:p>
      <w:pPr/>
      <w:r>
        <w:rPr>
          <w:b/>
        </w:rPr>
        <w:t>POSSIBLE 2026:</w:t>
      </w:r>
      <w:r>
        <w:t xml:space="preserve"> Impacts of hazardous pesticide reduction in Europe — https://doi.org/10.1186/s40100-026-00525-3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The European Union (EU) has abandoned its proposal to reduce hazardous pesticide use by 50% by 2030 due to opposition from various stakeholders. However, the EU remains committed to reducing pesticide use and balancing food security, economic viability, and environmental sustainability. We assess the impacts of reducing hazardous pesticide use using MAGNET, a computable general equilibrium (CGE) model built on the Global Trade Analysis Project framework. We evaluate two scenarios: (1) an uncompensated scenario with yield and production losses; (2) a compensated scenario substituting hazardous pesticides with low-risk alternatives using the example of double-stranded RNA technology. The results show that a 50% reduction in hazardous pesticide use would reduce production, consumption, and exports in the EU27 agricultural sector while increasing prices and land demand. However, substituting hazardous pesticides with low-risk alternatives substantially mitigates these negative effects, maintaining economic stability while advancing environmental goals. This is the first study that uses a CGE model to capture the heterogeneous impacts of hazardous pesticide reduction and substitution across EU Member States. We provide insights into policy trade-offs, helping inform EU decision-makers on strategies to reduce hazardous pesticide use while ensuring economic and food system re</w:t>
      </w:r>
    </w:p>
    <w:p>
      <w:pPr/>
      <w:r>
        <w:rPr>
          <w:b/>
        </w:rPr>
        <w:t>POSSIBLE 2026:</w:t>
      </w:r>
      <w:r>
        <w:t xml:space="preserve"> European Red List of Bees - Measuring the pulse of European biodiversity — https://doi.org/10.2779/521877</w:t>
      </w:r>
    </w:p>
    <w:p>
      <w:pPr/>
      <w:r>
        <w:rPr>
          <w:b/>
        </w:rPr>
        <w:t>Shared claim-specific concepts:</w:t>
      </w:r>
      <w:r>
        <w:t xml:space="preserve"> health, food, million; EU scope visible. This is a provisional connection, not an outcome finding.</w:t>
      </w:r>
    </w:p>
    <w:p>
      <w:pPr>
        <w:pStyle w:val="SourceNote"/>
      </w:pPr>
      <w:r>
        <w:rPr>
          <w:b/>
        </w:rPr>
        <w:t>Available abstract (not full text):</w:t>
      </w:r>
      <w:r>
        <w:t xml:space="preserve"> Bees are vital pollinators, underpinning ecosystem health and food security. Four out of five crop and wildflower species depend, at least in part, on insect pollination, with wild bees making the largest contribution. The economic value of pollinators to EU agriculture is estimated between €5 and €15 billion annually. Beyond their economic role, bees are keystone species that maintain biodiversity through pollination networks. This 2026 update of the European Red List of Bees delivers the most comprehensive regional assessment yet of Europe’s wild bee species. Building on the 2014 assessment, this edition incorporates new taxonomic insights, extensive distribution data, and updated evaluations of threats, conservation needs, and population trends. In total, 1,928 native or long-established species were assessed across the European continent and 27 Member States of the European Union, supported by a dataset of more than 4.3 million spatial records. The reassessment was coordinated by the University of Mons and IUCN, involving over 200 experts, including data providers.</w:t>
      </w:r>
    </w:p>
    <w:p>
      <w:pPr/>
      <w:r>
        <w:rPr>
          <w:b/>
        </w:rPr>
        <w:t>POSSIBLE 2026:</w:t>
      </w:r>
      <w:r>
        <w:t xml:space="preserve"> Conceptualizing Luxury Services and Consumption Trends in Romania within the European Context — https://doi.org/10.33727/jriss.2026.1.8:69-77</w:t>
      </w:r>
    </w:p>
    <w:p>
      <w:pPr/>
      <w:r>
        <w:rPr>
          <w:b/>
        </w:rPr>
        <w:t>Shared claim-specific concepts:</w:t>
      </w:r>
      <w:r>
        <w:t xml:space="preserve"> consumption, production, products; EU scope visible. This is a provisional connection, not an outcome finding.</w:t>
      </w:r>
    </w:p>
    <w:p>
      <w:pPr>
        <w:pStyle w:val="SourceNote"/>
      </w:pPr>
      <w:r>
        <w:rPr>
          <w:b/>
        </w:rPr>
        <w:t>Available abstract (not full text):</w:t>
      </w:r>
      <w:r>
        <w:t xml:space="preserve"> Luxury represents a complex and multidimensional concept, encompassing economic, sociological, psychological, and marketing perspectives. While the literature on luxury goods is well established, the conceptualization of luxury services remains fragmented, often implicitly derived from theories developed for tangible products. This gap highlights the need for an integrative framework that addresses luxury within the specific context of services, characterized by intangibility, simultaneity of production and consumption, and value co-creation. In contemporary economies increasingly dominated by the service sector, services play a crucial role in enhancing quality of life, while also representing a significant component of household expenditure, GDP formation, and employment. Within this context, luxury services emerge as a distinct segment, reflecting both the diversification of market offerings and the evolving structure of consumption. The expansion of companies providing highly specialized and personalized services suggests the existence of a growing demand, supported by increasing purchasing power among certain consumer segments. These services range from advanced riskmanagement solutions and personalized domestic assistance to high-end medical care delivered in private settings, illustrating the breadth and complexity of luxury service provision. This paper aims to conceptu</w:t>
      </w:r>
    </w:p>
    <w:p>
      <w:pPr/>
      <w:r>
        <w:rPr>
          <w:b/>
        </w:rPr>
        <w:t>POSSIBLE 2026:</w:t>
      </w:r>
      <w:r>
        <w:t xml:space="preserve"> Renewable energy - the engine of the journey to the low carbon economy. A socio-economic perspective for European Union countries — https://doi.org/10.1016/j.renene.2026.125437</w:t>
      </w:r>
    </w:p>
    <w:p>
      <w:pPr/>
      <w:r>
        <w:rPr>
          <w:b/>
        </w:rPr>
        <w:t>Shared claim-specific concepts:</w:t>
      </w:r>
      <w:r>
        <w:t xml:space="preserve"> eu27, reducing, consumption; EU scope visible. This is a provisional connection, not an outcome finding.</w:t>
      </w:r>
    </w:p>
    <w:p>
      <w:pPr>
        <w:pStyle w:val="SourceNote"/>
      </w:pPr>
      <w:r>
        <w:rPr>
          <w:b/>
        </w:rPr>
        <w:t>Available abstract (not full text):</w:t>
      </w:r>
      <w:r>
        <w:t xml:space="preserve"> The countries of the European Union (EU) are deeply engaged in the energy transition process, demonstrating a strong commitment to achieving sustainability and reducing carbon emissions. Public authorities across the member states have made remarkable efforts by developing and implementing comprehensive legal frameworks that encourage and enforce responsible behavior among both companies and consumers. These regulations are designed to facilitate the adoption of renewable energy sources, enhance energy efficiency, and promote innovations in clean technologies. Additionally, the legal measures support initiatives that foster corporate social responsibility and consumer awareness, ensuring that economic growth aligns with environmental protection. In this context, the present study aims to examine the correlations between various socio-economic and environmental factors influencing CO2 emissions across EU member states, with a focus on the often pronounced differences between EU15 and EU27 countries. Using a combination of statistical and machine learning methods, the study explores the relationship between carbon dioxide emissions and relevant indicators: foreign direct investment, energy consumption, urban population, and literacy rates. The goal is to provide insights that will prove useful in crafting actionable strategies at the policy-making level.</w:t>
      </w:r>
    </w:p>
    <w:p>
      <w:pPr/>
      <w:r>
        <w:rPr>
          <w:b/>
        </w:rPr>
        <w:t>POSSIBLE 2025:</w:t>
      </w:r>
      <w:r>
        <w:t xml:space="preserve"> Circularity and Climate Mitigation in the EU27: An Elasticity-Based Scenario Analysis to 2050 — https://doi.org/10.3390/su172411375</w:t>
      </w:r>
    </w:p>
    <w:p>
      <w:pPr/>
      <w:r>
        <w:rPr>
          <w:b/>
        </w:rPr>
        <w:t>Shared claim-specific concepts:</w:t>
      </w:r>
      <w:r>
        <w:t xml:space="preserve"> eu27, consumption, increased; EU scope not established. This is a provisional connection, not an outcome finding.</w:t>
      </w:r>
    </w:p>
    <w:p>
      <w:pPr>
        <w:pStyle w:val="SourceNote"/>
      </w:pPr>
      <w:r>
        <w:rPr>
          <w:b/>
        </w:rPr>
        <w:t>Available abstract (not full text):</w:t>
      </w:r>
      <w:r>
        <w:t xml:space="preserve">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pPr/>
      <w:r>
        <w:rPr>
          <w:b/>
        </w:rPr>
        <w:t>POSSIBLE 2025:</w:t>
      </w:r>
      <w:r>
        <w:t xml:space="preserve"> Trends within Sustainability in Food Loss and Waste in EU27 Countries — https://doi.org/10.2478/crdj-2025-0003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pPr>
        <w:pStyle w:val="Heading2"/>
      </w:pPr>
      <w:r>
        <w:t>911. Predicting Future European Breeding Distributions of British Seabird Species under Climate Change and Unlimited/No Dispersal Scenarios</w:t>
      </w:r>
    </w:p>
    <w:p>
      <w:pPr>
        <w:pStyle w:val="SourceNote"/>
      </w:pPr>
      <w:r>
        <w:rPr>
          <w:b/>
        </w:rPr>
        <w:t>Original source (2015):</w:t>
      </w:r>
      <w:r>
        <w:t xml:space="preserve"> https://doi.org/10.3390/d7040342</w:t>
      </w:r>
    </w:p>
    <w:p>
      <w:pPr/>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climate, data, based;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Combining different views on internal climate variability of temperature over Europe — https://doi.org/10.5194/egusphere-egu26-5489</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Internal climate variability (ICV) is an important source of climate change projections uncertainty. The estimate of ICV can serve as a useful benchmark for assessing climate model performance and the emergence of anthropogenically forced climate change. Nevertheless, estimating the magnitude of ICV is challenging, especially on a regional scale. The ICV itself is state-dependent, which further complicates the assessment under transient climate change conditions. This study aims to quantify the magnitude of ICV using different types of data, i.e., earth system model simulations and observation-based datasets. We focus here on seasonal mean temperature over Europe and confront different methodological approaches: comparison of variability inferred from pre-industrial control simulations with the spread of single-model initial-condition large ensemble, separation of uncertainty sources in CMIP6 transient simulations, and forcing attribution in observed time series. In case of the large ensemble data, we also pay attention to the temporal development of ICV magnitude under changing external forcing.</w:t>
      </w:r>
    </w:p>
    <w:p>
      <w:pPr/>
      <w:r>
        <w:rPr>
          <w:b/>
        </w:rPr>
        <w:t>POSSIBLE 2026:</w:t>
      </w:r>
      <w:r>
        <w:t xml:space="preserve"> Modelling monthly Boundary Layer Height maps combining radiosonde, satellite, and reanalysis over Europe — https://doi.org/10.5194/amt-19-5697-2026</w:t>
      </w:r>
    </w:p>
    <w:p>
      <w:pPr/>
      <w:r>
        <w:rPr>
          <w:b/>
        </w:rPr>
        <w:t>Shared claim-specific concepts:</w:t>
      </w:r>
      <w:r>
        <w:t xml:space="preserve"> data, two; EU scope visible. This is a provisional connection, not an outcome finding.</w:t>
      </w:r>
    </w:p>
    <w:p>
      <w:pPr>
        <w:pStyle w:val="SourceNote"/>
      </w:pPr>
      <w:r>
        <w:rPr>
          <w:b/>
        </w:rPr>
        <w:t>Available abstract (not full text):</w:t>
      </w:r>
      <w:r>
        <w:t xml:space="preserve"> Abstract. The height of the planetary boundary layer directly influences local and regional climatic phenomena, making its study and estimation of vital importance for environmental sciences. The main objective of this work was to create a gridded map of planetary boundary layer height across the European continent, with a spatial resolution of 25 km and monthly mean values at two synoptic hours (12:00 and 00:00 UTC). We implemented the regression kriging method by combining various data sources, including observations, climatic and topographic variables, and reanalysis data (ERA5), and different regression methods (linear, random forest, and gradient boosting) for the 2010–2020 period. In both UTC hours, combining reanalysis and topographic covariates with random forest regression provided the best performance. Then, we compared our seasonal predictions with reanalysis data and found a consistently higher spatio-temporal accuracy than that of the ERA5 reanalysis. For example, at 12:00 UTC, spatial variability in winter showed RMSE values ≤ 100 m, compared with ≥ 200 m for ERA5, while temporal variability in summer reached RMSE values ≤ 250 m, versus ≥ 300 m for ERA5. At 00:00 UTC, spatial variability in autumn achieved RMSE values ≤ 36 m, whereas ERA5 exhibited RMSE values ≥ 130 m. The methodology was applied to a case study over Germany at a daily resolution. We obtained an a</w:t>
      </w:r>
    </w:p>
    <w:p>
      <w:pPr/>
      <w:r>
        <w:rPr>
          <w:b/>
        </w:rPr>
        <w:t>POSSIBLE 2026:</w:t>
      </w:r>
      <w:r>
        <w:t xml:space="preserve"> Modeling soil solution electrical conductivity across Europe — https://doi.org/10.1016/j.scitotenv.2026.182021</w:t>
      </w:r>
    </w:p>
    <w:p>
      <w:pPr/>
      <w:r>
        <w:rPr>
          <w:b/>
        </w:rPr>
        <w:t>Shared claim-specific concepts:</w:t>
      </w:r>
      <w:r>
        <w:t xml:space="preserve"> here, climate, predicted, data, predict;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Quantifying AMOC Uncertainty in European Climate Damage Projections — https://doi.org/10.5194/egusphere-egu26-8370</w:t>
      </w:r>
    </w:p>
    <w:p>
      <w:pPr/>
      <w:r>
        <w:rPr>
          <w:b/>
        </w:rPr>
        <w:t>Shared claim-specific concepts:</w:t>
      </w:r>
      <w:r>
        <w:t xml:space="preserve"> here, combine, climate; EU scope visible. This is a provisional connection, not an outcome finding.</w:t>
      </w:r>
    </w:p>
    <w:p>
      <w:pPr>
        <w:pStyle w:val="SourceNote"/>
      </w:pPr>
      <w:r>
        <w:rPr>
          <w:b/>
        </w:rPr>
        <w:t>Available abstract (not full text):</w:t>
      </w:r>
      <w:r>
        <w:t xml:space="preserve"> Estimates of economic damages from climate change in Europe depend on temperature projections, and they are thereby subject to scenario uncertainty and model uncertainty, as well as damage function uncertainty. An additional, often implicit source of uncertainty is the projected, yet poorly constrained, weakening of the Atlantic Meridional Overturning Circulation (AMOC), which would lower European temperatures. Here, I explicitly quantify the contribution of AMOC uncertainty to total damage uncertainty, with AMOC uncertainty comprising uncertainty about future AMOC developments as well as uncertainty about the cooling pattern that would follow an AMOC weakening. I combine a newly developed pattern-scaling-type emulator of the European cooling response to AMOC weakening — calibrated for different Earth system models (ESMs) — with temperature projections from multiple ESMs and emissions scenarios, alongside several damage functions. This allows me to decompose the total uncertainty in European economic damages into different drivers and estimate the share attributable to the behaviour of the AMOC.</w:t>
      </w:r>
    </w:p>
    <w:p>
      <w:pPr/>
      <w:r>
        <w:rPr>
          <w:b/>
        </w:rPr>
        <w:t>POSSIBLE 2026:</w:t>
      </w:r>
      <w:r>
        <w:t xml:space="preserve"> Public support for climate mitigation and adaptation policies across Europe — https://doi.org/10.31235/osf.io/cpwxt_v2</w:t>
      </w:r>
    </w:p>
    <w:p>
      <w:pPr/>
      <w:r>
        <w:rPr>
          <w:b/>
        </w:rPr>
        <w:t>Shared claim-specific concepts:</w:t>
      </w:r>
      <w:r>
        <w:t xml:space="preserve"> here, combine, climate, two; EU scope visible. This is a provisional connection, not an outcome finding.</w:t>
      </w:r>
    </w:p>
    <w:p>
      <w:pPr>
        <w:pStyle w:val="SourceNote"/>
      </w:pPr>
      <w:r>
        <w:rPr>
          <w:b/>
        </w:rPr>
        <w:t>Available abstract (not full text):</w:t>
      </w:r>
      <w:r>
        <w:t xml:space="preserve"> Understanding the drivers of public support for climate policies is crucial for designing socially feasible policy packages. However, most large-scale public opinion surveys focus primarily on mitigation policies. Here, we combine two representative survey waves from nine European countries (n = 27,910) to directly compare determinants of public support for climate change mitigation versus adaptation measures. We find that respondents support both mitigation and adaptation as policy objectives, but support specific adaptation policies slightly more than specific mitigation measures. Moreover, support for the two is shaped by a different composition of individual characteristics and policy evaluations. While adaptation support is driven primarily by perceived effectiveness, mitigation support is mostly driven by cost salience and politicisation. Our results suggest a stark difference in how Europeans incorporate the costs and benefits of mitigation versus adaptation policies into their support, and suggest avenues for remedying this imbalance.</w:t>
      </w:r>
    </w:p>
    <w:p>
      <w:pPr/>
      <w:r>
        <w:rPr>
          <w:b/>
        </w:rPr>
        <w:t>POSSIBLE 2026:</w:t>
      </w:r>
      <w:r>
        <w:t xml:space="preserve"> Public support for climate mitigation and adaptation policies across Europe — https://doi.org/10.31235/osf.io/cpwxt_v1</w:t>
      </w:r>
    </w:p>
    <w:p>
      <w:pPr/>
      <w:r>
        <w:rPr>
          <w:b/>
        </w:rPr>
        <w:t>Shared claim-specific concepts:</w:t>
      </w:r>
      <w:r>
        <w:t xml:space="preserve"> here, combine, climate, two; EU scope visible. This is a provisional connection, not an outcome finding.</w:t>
      </w:r>
    </w:p>
    <w:p>
      <w:pPr>
        <w:pStyle w:val="SourceNote"/>
      </w:pPr>
      <w:r>
        <w:rPr>
          <w:b/>
        </w:rPr>
        <w:t>Available abstract (not full text):</w:t>
      </w:r>
      <w:r>
        <w:t xml:space="preserve"> Understanding the drivers of public support for climate policies is crucial for designing socially feasible policy packages. However, most large-scale public opinion surveys focus primarily on mitigation policies. Here, we combine two representative survey waves from nine European countries (n = 27,910) to directly compare determinants of public support for climate change mitigation versus adaptation measures. We find that respondents support both mitigation and adaptation as policy objectives, but support specific adaptation policies slightly more than specific mitigation measures. Moreover, support for the two is shaped by a different composition of individual characteristics and policy evaluations. While adaptation support is driven primarily by perceived effectiveness, mitigation support is mostly driven by cost salience and politicisation. Our results suggest a stark difference in how Europeans incorporate the costs and benefits of mitigation versus adaptation policies into their support, and suggest avenues for remedying this imbalance.</w:t>
      </w:r>
    </w:p>
    <w:p>
      <w:pPr/>
      <w:r>
        <w:rPr>
          <w:b/>
        </w:rPr>
        <w:t>POSSIBLE 2025:</w:t>
      </w:r>
      <w:r>
        <w:t xml:space="preserve"> Combining Hierarchical Distribution Models With Dispersal Simulations to Predict the Spread of Invasive Plant Species — https://doi.org/10.1111/geb.70026</w:t>
      </w:r>
    </w:p>
    <w:p>
      <w:pPr/>
      <w:r>
        <w:rPr>
          <w:b/>
        </w:rPr>
        <w:t>Shared claim-specific concepts:</w:t>
      </w:r>
      <w:r>
        <w:t xml:space="preserve"> here, climate, predicted, data, predict, species; EU scope visible. This is a provisional connection, not an outcome finding.</w:t>
      </w:r>
    </w:p>
    <w:p>
      <w:pPr>
        <w:pStyle w:val="SourceNote"/>
      </w:pPr>
      <w:r>
        <w:rPr>
          <w:b/>
        </w:rPr>
        <w:t>Available abstract (not full text):</w:t>
      </w:r>
      <w:r>
        <w:t xml:space="preserve"> ABSTRACT Aim Predicting the future distribution of invasive species is a current challenge for biodiversity assessment. Species distribution models (SDMs) have long been the state‐of‐the‐art to evaluate suitable areas for new invasions, but they may be limited by truncated niches and the uncertainties of species dispersal. Here, we developed a framework based on hierarchical SDMs and dispersal simulations to predict the future distribution and spread of invasive species at the ecoregion level. Location Cantabrian Mixed Forests Ecoregion (SW Europe) with global distribution data. Time Period 1950–2063. Major Taxa Studied Vascular plants. Methods We used occurrence data from 102 invasive species to fit SDMs with machine‐learning algorithms and to simulate species dispersal. We combined habitat suitability models based on species' global climatic niches together with regional models including local variables (topography, landscape features, human activity, soil properties) in a hierarchical approach. Then, we simulated species dispersal across suitable areas over the next 40 years, considering species dispersal limitations and climate change. Results Global climatic niches retained a strong contribution in the hierarchical models, followed by local factors such as human population density, sand content and soil pH. In general, the highest suitability was predicted for warm and hum</w:t>
      </w:r>
    </w:p>
    <w:p>
      <w:pPr/>
      <w:r>
        <w:rPr>
          <w:b/>
        </w:rPr>
        <w:t>POSSIBLE 2025:</w:t>
      </w:r>
      <w:r>
        <w:t xml:space="preserve"> A European monsoon-like climate in a warmhouse world — https://doi.org/10.1038/s41467-025-64241-0</w:t>
      </w:r>
    </w:p>
    <w:p>
      <w:pPr/>
      <w:r>
        <w:rPr>
          <w:b/>
        </w:rPr>
        <w:t>Shared claim-specific concepts:</w:t>
      </w:r>
      <w:r>
        <w:t xml:space="preserve"> here, combine, climate, emission, indicate, based; EU scope visible. This is a provisional connection, not an outcome finding.</w:t>
      </w:r>
    </w:p>
    <w:p>
      <w:pPr>
        <w:pStyle w:val="SourceNote"/>
      </w:pPr>
      <w:r>
        <w:rPr>
          <w:b/>
        </w:rPr>
        <w:t>Available abstract (not full text):</w:t>
      </w:r>
      <w:r>
        <w:t xml:space="preserve"> 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 °C during mild and wet winters, &gt;30 °C during hot and dry spring and autumn seasons, and ~28 °C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w:t>
      </w:r>
    </w:p>
    <w:p>
      <w:pPr/>
      <w:r>
        <w:rPr>
          <w:b/>
        </w:rPr>
        <w:t>POSSIBLE 2025:</w:t>
      </w:r>
      <w:r>
        <w:t xml:space="preserve"> High-resolution modeling of organic aerosol and its components over Europe — https://doi.org/10.5194/egusphere-egu25-17517</w:t>
      </w:r>
    </w:p>
    <w:p>
      <w:pPr/>
      <w:r>
        <w:rPr>
          <w:b/>
        </w:rPr>
        <w:t>Shared claim-specific concepts:</w:t>
      </w:r>
      <w:r>
        <w:t xml:space="preserve"> here, climate, data, based; EU scope visible. This is a provisional connection, not an outcome finding.</w:t>
      </w:r>
    </w:p>
    <w:p>
      <w:pPr>
        <w:pStyle w:val="SourceNote"/>
      </w:pPr>
      <w:r>
        <w:rPr>
          <w:b/>
        </w:rPr>
        <w:t>Available abstract (not full text):</w:t>
      </w:r>
      <w:r>
        <w:t xml:space="preserve"> Aerosol components have distinct health and climate impacts, hence considering them is essential to reduce uncertainty in estimating the health impacts attributed to aerosol. Organic aerosols (OAs) are one of the significant components of aerosol having a substantial share in total aerosol mass in Europe with significant seasonal and spatial variations. OAs are majorly emitted from fossil fuel combustion and generated through secondary aerosol formation too and based on the origin OA components can be categorized into biomass-burning organic aerosol (BBOA), hydrocarbon-like aerosol (HOA), and oxygenated organic aerosol (OOA). OA measurements are limited, and measurements of its components are even more sparse due to the need for highly sophisticated instruments and advanced technical expertise. Additionally, OA and its components are not mandated for monitoring at all sites under government regulations, they are measured only at spatially sparse supersites. Chemical transport modeling provides spatially and temporally continuous OA and OA components with some vested uncertainty, but they are generally done at coarser resolution because of computational constraints. Whereas epidemiologist requires data at a finer resolution to link them with the local scale health data. Hence we are modeling total OA and OA components (BBOA, HOA, and OOA) at a fine resolution over Europe. Here,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predicted, two, species, ecology;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combine, climate,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pStyle w:val="Heading2"/>
      </w:pPr>
      <w:r>
        <w:t>912. Shifts, turning points and inertia exploring long-term industry trends in European transport</w:t>
      </w:r>
    </w:p>
    <w:p>
      <w:pPr>
        <w:pStyle w:val="SourceNote"/>
      </w:pPr>
      <w:r>
        <w:rPr>
          <w:b/>
        </w:rPr>
        <w:t>Original source (2015):</w:t>
      </w:r>
      <w:r>
        <w:t xml:space="preserve"> https://doi.org/10.1007/s40309-015-0070-0</w:t>
      </w:r>
    </w:p>
    <w:p>
      <w:pPr/>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pPr/>
      <w:r>
        <w:rPr>
          <w:b/>
        </w:rPr>
        <w:t>POSSIBLE 2026:</w:t>
      </w:r>
      <w:r>
        <w:t xml:space="preserve"> The European Union and Strategic Autonomy: Political, Economic and Technological Challenges — https://doi.org/10.47459/cndcgs.2026.42</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This paper explores the potentialities and constraints of building the European Union's strategic autonomy in a new geopolitical era marked by the rivalry between the United States and China, the weakening of the multilateral order, and the consequences of the war in Ukraine. The authors primarily focus on the political, economic, and technological dimensions of autonomy, utilising relevant scientific methods within an interdisciplinary research framework, primarily the analytical-synthetic method, content and comparative analysis, as well as the scenario approach. The findings indicate that the EU is capable of progressively reducing its dependency through the diversification of resources, investments in development, research, and innovation, and the strengthening of digital and technological sovereignty. Simultaneously, however, the Union faces serious limitations, the fiscal constraints of the Member States, the fragmentation of its foreign and security policy, and a persistent reliance on the United States in the area of defence. The EU’s future position will therefore hinge on its ability to consolidate its economic and technological potential and transform it into a unified political will and a credible geopolitical power.</w:t>
      </w:r>
    </w:p>
    <w:p>
      <w:pPr/>
      <w:r>
        <w:rPr>
          <w:b/>
        </w:rPr>
        <w:t>POSSIBLE 2026:</w:t>
      </w:r>
      <w:r>
        <w:t xml:space="preserve"> Technological and Urban Innovation in the Context of the New European Bauhaus: The Case of Sunglider — https://doi.org/10.3390/su18031275</w:t>
      </w:r>
    </w:p>
    <w:p>
      <w:pPr/>
      <w:r>
        <w:rPr>
          <w:b/>
        </w:rPr>
        <w:t>Shared claim-specific concepts:</w:t>
      </w:r>
      <w:r>
        <w:t xml:space="preserve"> technological, political, transport; EU scope visible. This is a provisional connection, not an outcome finding.</w:t>
      </w:r>
    </w:p>
    <w:p>
      <w:pPr>
        <w:pStyle w:val="SourceNote"/>
      </w:pPr>
      <w:r>
        <w:rPr>
          <w:b/>
        </w:rPr>
        <w:t>Available abstract (not full text):</w:t>
      </w:r>
      <w:r>
        <w:t xml:space="preserve"> In the face of accelerating climate change and urbanization, sustainable mobility infrastructure plays a critical role in reducing greenhouse gas emissions. This article assesses the Sunglider concept—an elevated, solar-powered transport system—through the New European Bauhaus (NEB) Compass, which emphasizes sustainability, inclusion, and esthetic value. Designed by architect Peter Kuczia and collaborators, Sunglider combines photovoltaic energy generation with modular, parametrically designed wooden pylons to form a lightweight, climate-positive mobility solution. The study evaluates the system’s technological feasibility, environmental performance, and urban integration potential, drawing on existing design documentation and simulation-based estimates. While Sunglider demonstrates strong alignment with NEB principles, including zero-emission operation and material circularity, its implementation is challenged by high initial investment, political and planning complexities, and integration into dense urban environments. Mitigation strategies—such as adaptive routing, visual screening, and universal station access—are proposed to address concerns around privacy, esthetics, and accessibility. The article positions Sunglider as a scalable and replicable model for mid-sized European cities, capable of advancing inclusive, carbon-neutral mobility while enhancing the urban experienc</w:t>
      </w:r>
    </w:p>
    <w:p>
      <w:pPr/>
      <w:r>
        <w:rPr>
          <w:b/>
        </w:rPr>
        <w:t>POSSIBLE 2026:</w:t>
      </w:r>
      <w:r>
        <w:t xml:space="preserve"> The Economic and Technological Resilience in the European Union: Geopolitical Fragmentation, Economic Security and the Future of Competitiveness — https://doi.org/10.3390/world7080135</w:t>
      </w:r>
    </w:p>
    <w:p>
      <w:pPr/>
      <w:r>
        <w:rPr>
          <w:b/>
        </w:rPr>
        <w:t>Shared claim-specific concepts:</w:t>
      </w:r>
      <w:r>
        <w:t xml:space="preserve"> further, technological, industrial; EU scope visible. This is a provisional connection, not an outcome finding.</w:t>
      </w:r>
    </w:p>
    <w:p>
      <w:pPr>
        <w:pStyle w:val="SourceNote"/>
      </w:pPr>
      <w:r>
        <w:rPr>
          <w:b/>
        </w:rPr>
        <w:t>Available abstract (not full text):</w:t>
      </w:r>
      <w:r>
        <w:t xml:space="preserve"> The European Union operates in a highly fragmented international environment shaped by geopolitical rivalry, geoeconomic competition, technological disruption, and growing uncertainty regarding critical external dependencies. These developments have elevated economic security and resilience to the centre of European policymaking, challenging assumptions that traditionally linked economic openness with stability, prosperity, and sustainable development. The purpose of this article is to examine how geopolitical and geoeconomic fragmentation is reshaping the European Union’s approach to economic and technological resilience and to analyse the implications of this transformation for long-term competitiveness and sustainable development. Employing a qualitative research design based on policy analysis and systematic document analysis, supported by secondary statistical evidence from European and international institutional sources, the study investigates three interconnected dimensions of resilience: technological resilience, resource resilience, and competitiveness resilience. The findings indicate that the European Union is moving from an efficiency-oriented model of globalisation towards a resilience-oriented governance framework focused on managing sensitive dependencies in critical technologies, strategic resources, and supply chains. The analysis further demonstrates that res</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focus, economy;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Simulating the Impact of Employment Growth on Poverty: Implications for the European Social Targets — https://doi.org/10.17645/si.9903</w:t>
      </w:r>
    </w:p>
    <w:p>
      <w:pPr/>
      <w:r>
        <w:rPr>
          <w:b/>
        </w:rPr>
        <w:t>Shared claim-specific concepts:</w:t>
      </w:r>
      <w:r>
        <w:t xml:space="preserve"> further, targets, affect; EU scope visible. This is a provisional connection, not an outcome finding.</w:t>
      </w:r>
    </w:p>
    <w:p>
      <w:pPr>
        <w:pStyle w:val="SourceNote"/>
      </w:pPr>
      <w:r>
        <w:rPr>
          <w:b/>
        </w:rPr>
        <w:t>Available abstract (not full text):</w:t>
      </w:r>
      <w:r>
        <w:t xml:space="preserve"> The European Pillar of Social Rights Action Plan sets ambitious targets to be achieved by 2030, including reducing the number of people at risk of poverty or social exclusion (AROPE) by 15 million and raising the employment rate to 78% among the working‐age population. This article investigates the extent to which employment growth to the level of the 2030 employment rate target can deliver on the EU’s 2030 social target. Departing from key theoretical perspectives, we explore five mediating mechanisms that shape the relationship between employment and poverty, including job distribution across households, job quality, and social protection effectiveness. Our twofold analytical strategy first assesses past trends between employment and poverty indicators and then employs shift‐share and regression‐based simulations to estimate how different employment growth scenarios may affect the active‐age population’s at‐risk‐of‐poverty (AROP(a)) and the total population’s at‐risk‐of‐poverty and social exclusion (AROPE) outcomes by 2030. The analysis confirms that employment growth, though it has a strong effect on poverty, is unlikely to deliver the EU’s poverty reduction target without further policy intervention. The full potential of employment growth to reduce poverty depends on, among other things, the distribution of jobs across households. While the EU has long promoted employment </w:t>
      </w:r>
    </w:p>
    <w:p>
      <w:pPr/>
      <w:r>
        <w:rPr>
          <w:b/>
        </w:rPr>
        <w:t>POSSIBLE 2025:</w:t>
      </w:r>
      <w:r>
        <w:t xml:space="preserve"> Social Determinants of Underachievement in Europe and Buffering Aspects — https://doi.org/10.5281/zenodo.17360384</w:t>
      </w:r>
    </w:p>
    <w:p>
      <w:pPr/>
      <w:r>
        <w:rPr>
          <w:b/>
        </w:rPr>
        <w:t>Shared claim-specific concepts:</w:t>
      </w:r>
      <w:r>
        <w:t xml:space="preserve"> steps, further, issues; EU scope visible. This is a provisional connection, not an outcome finding.</w:t>
      </w:r>
    </w:p>
    <w:p>
      <w:pPr>
        <w:pStyle w:val="SourceNote"/>
      </w:pPr>
      <w:r>
        <w:rPr>
          <w:b/>
        </w:rPr>
        <w:t>Available abstract (not full text):</w:t>
      </w:r>
      <w:r>
        <w:t xml:space="preserve"> This publication reports on the work of the SCIREARLY Horizon Europe consortium, which was formed to address the connected issues of early school leaving and underachievement in Europe. SCIREARLY, which was a three-year project funded by the European Commission, focused on enabling children to learn and thrive in school and complete their education. The project recognised the crucial role that schools play in a child’s development and expressed concern over children who struggle or leave school prematurely. This initiative was a collaboration between various institutions from ten different European countries. Its main objectives included conducting research on effective practices in schools and understanding how some educational institutions successfully retain their students, providing them with the best opportunities for learning and well-being. This report is presented as the final outcome of WP1 of the SCIREARLY Project which deals social determinants of educational underachievement in Europe and buffering aspects. The work package set itself the objectives of: • Analysing the social determinants and root causes of underachievement and school dropout at primary and secondary education level. • Mapping successful and less successful policies targeting the achievement gap from a comparative perspective. In the conceptualisation of this work package, it was designed to be a se</w:t>
      </w:r>
    </w:p>
    <w:p>
      <w:pPr/>
      <w:r>
        <w:rPr>
          <w:b/>
        </w:rPr>
        <w:t>POSSIBLE 2025:</w:t>
      </w:r>
      <w:r>
        <w:t xml:space="preserve"> Identifying target areas for agroforestry in European agricultural landscapes based on environmental pressures and socioeconomic contexts — https://doi.org/10.1016/j.tfp.2025.100961</w:t>
      </w:r>
    </w:p>
    <w:p>
      <w:pPr/>
      <w:r>
        <w:rPr>
          <w:b/>
        </w:rPr>
        <w:t>Shared claim-specific concepts:</w:t>
      </w:r>
      <w:r>
        <w:t xml:space="preserve"> steps, further, economy; EU scope visible. This is a provisional connection, not an outcome finding.</w:t>
      </w:r>
    </w:p>
    <w:p>
      <w:pPr>
        <w:pStyle w:val="SourceNote"/>
      </w:pPr>
      <w:r>
        <w:rPr>
          <w:b/>
        </w:rPr>
        <w:t>Available abstract (not full text):</w:t>
      </w:r>
      <w:r>
        <w:t xml:space="preserve"> Agroforestry is a practice where the intentional combination of trees and shrubs, crops and livestock occur on the same land to generate environmental, economic and social benefits. This study identifies target areas in the European Union 27 Member States, United Kingdom, and Switzerland where introducing agroforestry can further enhance environmental benefits and climate change resilience. Using a spatial approach, the methodology involved four steps: selecting suitable agricultural areas, analysing environmental pressures, defining target areas for agroforestry introduction, and characterising the socio-economic context. Fourteen environmental indicators across soil, biodiversity, water, and climate change were analysed using defined threshold values to identify areas where sustainability is compromised. Heat maps highlighted high-pressure areas (6-14 accumulated environmental pressures) as target areas. Socio-economic context was described using six indicators related to demography, farmer training and willingness to change, and economy at the NUTS 2 regional level, defining high, medium, and low-profile regions. Results indicated biodiversity and climate change pressures affected larger areas than soil and water pressures, with hotspots in France, Spain, and Romania. Regions facing greater socio-economic challenges (low-profile) also experienced more environmental pressures</w:t>
      </w:r>
    </w:p>
    <w:p>
      <w:pPr/>
      <w:r>
        <w:rPr>
          <w:b/>
        </w:rPr>
        <w:t>POSSIBLE 2024:</w:t>
      </w:r>
      <w:r>
        <w:t xml:space="preserve"> The State of European Social Rights and European Social Citizenship in the EU — https://doi.org/10.5281/zenodo.10840423</w:t>
      </w:r>
    </w:p>
    <w:p>
      <w:pPr/>
      <w:r>
        <w:rPr>
          <w:b/>
        </w:rPr>
        <w:t>Shared claim-specific concepts:</w:t>
      </w:r>
      <w:r>
        <w:t xml:space="preserve"> further, targets, affect, focus; EU scope visible. This is a provisional connection, not an outcome finding.</w:t>
      </w:r>
    </w:p>
    <w:p>
      <w:pPr>
        <w:pStyle w:val="SourceNote"/>
      </w:pPr>
      <w:r>
        <w:rPr>
          <w:b/>
        </w:rPr>
        <w:t>Available abstract (not full text):</w:t>
      </w:r>
      <w:r>
        <w:t xml:space="preserve"> This Flagship report brings together the research of the EuSocialCit project about the State of European Social Rights and European Social Citizenship. It consists of 12 chapters covering all substantive work packages of the project. After the introduction, chapter 2 presents a novel, multi-level, power resource-based conceptualization of EU social rights that considers a social right as a bundle of three types of individual power resources: normative, instrumental and enforcement power resources. These three power resources are needed for the concrete fruition of the content of social rights by individuals. Chapter 3 discusses the extent to which the EU social rights that emerged after the adoption of the EPSR introduce these three types of power resources or fail to do so. Chapter 4 further develops the concept of instrumental power resources, the most innovative aspect of the conceptualization presented in chapter 2 and crucial for making social rights accessible to citizens. Chapter 5 analyzes the implementation of the EU’s Work-Life Balance Directive in five member states, the extent to which this implementation offers instrumental resources to right holders, and how differences between countries concerning the availability of instrumental resources affect the actual take up of parental leave. Chapter 6 discusses the normative (legal) and instrumental power resources avail</w:t>
      </w:r>
    </w:p>
    <w:p>
      <w:pPr/>
      <w:r>
        <w:rPr>
          <w:b/>
        </w:rPr>
        <w:t>POSSIBLE 2024:</w:t>
      </w:r>
      <w:r>
        <w:t xml:space="preserve"> The intersection of geopolitics and technological innovations: implications for the Central-European region — https://doi.org/10.14267/phd.2024016</w:t>
      </w:r>
    </w:p>
    <w:p>
      <w:pPr/>
      <w:r>
        <w:rPr>
          <w:b/>
        </w:rPr>
        <w:t>Shared claim-specific concepts:</w:t>
      </w:r>
      <w:r>
        <w:t xml:space="preserve"> further, technological, industrial, issues, special, focus; EU scope visible. This is a provisional connection, not an outcome finding.</w:t>
      </w:r>
    </w:p>
    <w:p>
      <w:pPr>
        <w:pStyle w:val="SourceNote"/>
      </w:pPr>
      <w:r>
        <w:rPr>
          <w:b/>
        </w:rPr>
        <w:t>Available abstract (not full text):</w:t>
      </w:r>
      <w:r>
        <w:t xml:space="preserve"> The thesis examines the effects of emerging technological innovations shaping contemporary geopolitics, through their impact on the economy, society, and international relations, with special focus on Hungary and the Central European region. It explores how modern geopolitical theories have evolved over the years and what leading scholars have proposed with regards to the phenomenon of innovation and emerging technologies. The thesis is an article-based dissertation, which includes three published scientific journal articles, that analyse specific findings on subtopics related to the broader scheme of geopolitics and innovation, such as China’s growth prospects in the Fourth Industrial Revolution; the phenomenon of disinformation warfare aided by novel technologies in the Central European region; and the potential of Artificial Intelligence (AI) solutions disrupting industries, and creating economic and social inequalities examined in the Hungarian context. The study wishes to make a contribution to the existing body of research by delving into a contemporary and relatively under-explored topic, offering a consistent theoretical and conceptual foundation and applying an innovative research approach. The thesis finds that there is a need to adapt geopolitical narratives to reflect a world system that is moving away from the traditional model of exclusive state actors and is char</w:t>
      </w:r>
    </w:p>
    <w:p>
      <w:pPr/>
      <w:r>
        <w:rPr>
          <w:b/>
        </w:rPr>
        <w:t>POSSIBLE 2024:</w:t>
      </w:r>
      <w:r>
        <w:t xml:space="preserve"> Tackling social disconnection: an umbrella review of RCT-based interventions targeting social isolation and loneliness — https://doi.org/10.1186/s12889-024-19396-8</w:t>
      </w:r>
    </w:p>
    <w:p>
      <w:pPr/>
      <w:r>
        <w:rPr>
          <w:b/>
        </w:rPr>
        <w:t>Shared claim-specific concepts:</w:t>
      </w:r>
      <w:r>
        <w:t xml:space="preserve"> further, focus; EU scope not established. This is a provisional connection, not an outcome finding.</w:t>
      </w:r>
    </w:p>
    <w:p>
      <w:pPr>
        <w:pStyle w:val="SourceNote"/>
      </w:pPr>
      <w:r>
        <w:rPr>
          <w:b/>
        </w:rPr>
        <w:t>Available abstract (not full text):</w:t>
      </w:r>
      <w:r>
        <w:t xml:space="preserve"> BACKGROUND: Social isolation and loneliness are urgent public health concerns associated with negative physical and mental health outcomes. Understanding effective remedies is crucial in addressing these problems. This umbrella review aimed to synthesize and critically appraise scientific evidence on the effectiveness of social isolation and loneliness interventions overall and across subgroups. We focused on systematic reviews (SRs) of randomized controlled trials (RCTs). METHODS: We searched seven databases (June 2022 and updated June 2023) and supplemented the search with grey literature and reference screening to identify SRs published since 2017. Screening, data extraction, and quality assessment using the AMSTAR2 tool were conducted independently by author pairs, with disagreements resolved through discussion. RESULTS: We included 29 SRs, 16 with meta-analysis and 13 with narrative synthesis. All SRs focused on loneliness, with 12 additionally examining social isolation. Four SRs focused on young people, 11 on all ages, and 14 on older adults. The most frequently examined intervention types were social (social contact, social support), psychological (therapy, psychoeducation, social skills training), and digital (e.g., computer use and online support). Meta-analyses indicated small-to-moderate beneficial effects, while narrative synthesis demonstrated mixed or no effect. </w:t>
      </w:r>
    </w:p>
    <w:p>
      <w:pPr/>
      <w:r>
        <w:rPr>
          <w:b/>
        </w:rPr>
        <w:t>POSSIBLE 2024:</w:t>
      </w:r>
      <w:r>
        <w:t xml:space="preserve"> Risks and Resilience in the European Union’s Regulation of Online Platforms and Artificial Intelligence: Hungary in Digital Europe — https://doi.org/10.1007/978-3-031-70451-2_9</w:t>
      </w:r>
    </w:p>
    <w:p>
      <w:pPr/>
      <w:r>
        <w:rPr>
          <w:b/>
        </w:rPr>
        <w:t>Shared claim-specific concepts:</w:t>
      </w:r>
      <w:r>
        <w:t xml:space="preserve"> steps, further, technological; EU scope visible. This is a provisional connection, not an outcome finding.</w:t>
      </w:r>
    </w:p>
    <w:p>
      <w:pPr>
        <w:pStyle w:val="SourceNote"/>
      </w:pPr>
      <w:r>
        <w:rPr>
          <w:b/>
        </w:rPr>
        <w:t>Available abstract (not full text):</w:t>
      </w:r>
      <w:r>
        <w:t xml:space="preserve"> Abstract The European Union is taking ambitious steps to strengthen regulation in the digital space as part of the Digital Agenda for Europe. As part of this, the digital services regulatory package (Digital Services Act and Digital Markets Act) has been adopted to define the responsibilities of digital platforms, control online content, protect users’ fundamental rights and promote competitiveness in the online space. In addition, an EU regulatory framework for artificial intelligence has been developed (AI Act), which supports a risk-based approach to regulate the technology. One common intersection of these regulations is to maintain transparency. The Digital Services Act aims to fight against filter bubbles and disinformation in social media, where online platforms also use algorithms to provide services. A new challenge in adapting to the accelerating technological development has been the COVID-19 pandemic, which has further increased the penetration of online service providers through mandatory distance and opened up a whole new platform for spreading fake news. The application of the new Digital Europe Regulations raises several questions. Still, these are complemented by application-specific areas for Hungary, such as how Hungarian authorities will act as national authorities or interpret ‘illegal content’ under the European legislation.</w:t>
      </w:r>
    </w:p>
    <w:p>
      <w:pPr/>
      <w:r>
        <w:rPr>
          <w:b/>
        </w:rPr>
        <w:t>POSSIBLE 2024:</w:t>
      </w:r>
      <w:r>
        <w:t xml:space="preserve"> European solidarity and social class. An uneasy alliance — https://doi.org/10.1080/07036337.2024.2318550</w:t>
      </w:r>
    </w:p>
    <w:p>
      <w:pPr/>
      <w:r>
        <w:rPr>
          <w:b/>
        </w:rPr>
        <w:t>Shared claim-specific concepts:</w:t>
      </w:r>
      <w:r>
        <w:t xml:space="preserve"> steps, political; EU scope visible. This is a provisional connection, not an outcome finding.</w:t>
      </w:r>
    </w:p>
    <w:p>
      <w:pPr>
        <w:pStyle w:val="SourceNote"/>
      </w:pPr>
      <w:r>
        <w:rPr>
          <w:b/>
        </w:rPr>
        <w:t>Available abstract (not full text):</w:t>
      </w:r>
      <w:r>
        <w:t xml:space="preserve"> In response to various crises and a growing Eurosceptic electorate, the European Union (EU) has taken steps to implement solidarity measures aimed at mitigating economic risks and inequalities among member states and their citizens. However, the social basis of support for such redistributive policies in a supranational context remains largely unexplored, despite the ongoing relevance of social class for crucial political outcomes related to European integration.To address this gap, this article distinguishes between transnational and member state solidarity, scrutinizing how the post-industrial division of social classes shapes these two dimensions of European solidarity. The research reveals that the post-industrial structure of social classes, significantly affects both forms of European solidarity, independent of attitudes toward redistribution and European integration. Furthermore, it highlights the transformative potential of supranational redistribution in fostering political support and social cohesion among production workers manifesting exclusive national identities.</w:t>
      </w:r>
    </w:p>
    <w:p>
      <w:pPr>
        <w:pStyle w:val="Heading2"/>
      </w:pPr>
      <w:r>
        <w:t>913. TRANSPORT PROJECT EVALUATION: FEASIBILITY RISK ASSESSMENT AND SCENARIO FORECASTING</w:t>
      </w:r>
    </w:p>
    <w:p>
      <w:pPr>
        <w:pStyle w:val="SourceNote"/>
      </w:pPr>
      <w:r>
        <w:rPr>
          <w:b/>
        </w:rPr>
        <w:t>Original source (2015):</w:t>
      </w:r>
      <w:r>
        <w:t xml:space="preserve"> https://doi.org/10.3846/16484142.2015.1063003</w:t>
      </w:r>
    </w:p>
    <w:p>
      <w:pPr/>
      <w:r>
        <w:t>Original wording (abstract; indexed_source_text_not_full_document_verified): Finally, RSF makes use of scenario forecasting where trend scenarios such as economic growth and level of cross-border integration are investigated.</w:t>
      </w:r>
    </w:p>
    <w:p>
      <w:pPr/>
      <w:r>
        <w:rPr>
          <w:b/>
        </w:rPr>
        <w:t>POSSIBLE 2026:</w:t>
      </w:r>
      <w:r>
        <w:t xml:space="preserve"> India and the World Press Freedom Index: A Critical Examination of Media Freedom in the World's Largest Democracy — https://doi.org/10.5281/zenodo.21851588</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This paper examines the state of press freedom in India and evaluates the extent to which political influence, corporate ownership, regulatory weaknesses, and economic pressures have affected the ability of the Indian press to perform its constitutional role as the Fourth Estate. Although freedom of speech and expression is guaranteed under Article 19(1)(a) of the Constitution of India, concerns regarding media independence, journalist safety, concentrated media ownership, misuse of legal provisions, and increasing economic dependence on government and corporate advertising have intensified in recent years. The study analyses India's performance in the World Press Freedom Index published by Reporters Without Borders (RSF), highlighting the country's declining ranking and the factors contributing to this trend. It further explores the relationship between press freedom and democratic governance, emphasizing the role of an independent media in ensuring transparency, accountability, and informed public participation. Through an examination of legal frameworks, media ownership structures, regulatory institutions, and contemporary challenges such as misinformation and journalist harassment, the paper identifies key obstacles to media independence in India. Finally, it proposes legal and policy reforms aimed at strengthening press freedom, improving journalist protection, enhancing r</w:t>
      </w:r>
    </w:p>
    <w:p>
      <w:pPr/>
      <w:r>
        <w:rPr>
          <w:b/>
        </w:rPr>
        <w:t>POSSIBLE 2026:</w:t>
      </w:r>
      <w:r>
        <w:t xml:space="preserve"> Radiative strength functions from the energy-localized Brink-Axel hypothesis — https://doi.org/10.1103/kg6r-t5d1</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Radiative strength functions (RSFs) model the bulk electromagnetic response of highly-excited nuclei and are critical inputs for statistical reaction codes. In this paper, we present a definition of the RSF that is consistent with Hauser-Feshbach reaction codes and that can be efficiently computed with the shell model using the Lanczos strength-function (LSF) method. We introduce a variant of the shell model LSF method that exploits the energy-localized Brink-Axel hypothesis, which makes it possible to compute both electric and magnetic RSFs across all energies relevant to capture reactions. We verify agreement with the conventional definition of RSFs with benchmark calculations of $^{24}$Mg, then present novel results for $^{56}$Fe. For $^{56}$Fe we find that: (i) the M1 RSF shape evolves smoothly with excitation energy, consistent with the energy-localized Brinkl-Axel hypothesis, (ii) both M1 and E1 transitions contribute significantly to the radiative strength below the photo-absorption threshold, and (iii) within the sdpf model space, the strength below 3 MeV observed in Oslo-type experiments cannot be fully reproduced. These results pave the way for a coherent microscopic description of the RSFs and further motivate the use of energy-dependent RSFs in modern reaction codes.</w:t>
      </w:r>
    </w:p>
    <w:p>
      <w:pPr/>
      <w:r>
        <w:rPr>
          <w:b/>
        </w:rPr>
        <w:t>POSSIBLE 2025:</w:t>
      </w:r>
      <w:r>
        <w:t xml:space="preserve"> Intergovernmental Fiscal Transfers and Regional Economic Performance: Evidence from Papua Province, Indonesia — https://doi.org/10.47191/ijmei/v11i9.07</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Economic inequality between regions in Indonesia, particularly between Papua and other regions, remains a strategic issue despite Papua's abundant natural resources. Transfers of funds from the central government, such as the General Allocation Fund (GAF), Revenue Sharing Fund (RSF), and Special Autonomy Fund (SAF), are expected to boost regional economic growth. This study aims to analyze the influence of GAF, RSF, and SAF on Gross Regional Domestic Product (GRDP) of districts/cities in Papua Province. Secondary data were obtained from the Central Statistics Agency (BPS) and the Ministry of Finance for the period 2013–2022. The analysis method used panel data regression with a Fixed Effect Model selected through the Chow and Hausman test. The results show that GAF and RSF have a significant positive effect on GRDP, while SAF has no significant effect. This finding indicates that general transfers and revenue sharing can improve regional economic performance, while special autonomy funds have not yet provided the expected impact, likely due to constraints in governance and utilization effectiveness. Regional governments need to optimize the use of GAF and RSF for productive public spending and improve the SAF management mechanism to make a real contribution to Papua's economic growth.</w:t>
      </w:r>
    </w:p>
    <w:p>
      <w:pPr/>
      <w:r>
        <w:rPr>
          <w:b/>
        </w:rPr>
        <w:t>POSSIBLE 2025:</w:t>
      </w:r>
      <w:r>
        <w:t xml:space="preserve"> Cardiometabolic biomarkers in blood and the risk of cerebrovascular disease — https://doi.org/10.5287/ora-8jnj92pky</w:t>
      </w:r>
    </w:p>
    <w:p>
      <w:pPr/>
      <w:r>
        <w:rPr>
          <w:b/>
        </w:rPr>
        <w:t>Shared claim-specific concepts:</w:t>
      </w:r>
      <w:r>
        <w:t xml:space="preserve"> finally, rsf, makes, use, level; EU scope visible. This is a provisional connection, not an outcome finding.</w:t>
      </w:r>
    </w:p>
    <w:p>
      <w:pPr>
        <w:pStyle w:val="SourceNote"/>
      </w:pPr>
      <w:r>
        <w:rPr>
          <w:b/>
        </w:rPr>
        <w:t>Available abstract (not full text):</w:t>
      </w:r>
      <w:r>
        <w:t xml:space="preserve"> Background: Studies have reported inconsistent associations, with little causal evidence, between metabolites and ischaemic stroke. The aim of this DPhil project is to understand the molecular mechanisms underlying ischaemic stroke and to identify predictive and causal biomarkers based on the sociodemographic, lifestyle, clinical, molecular, and genetic data in UK Biobank (UKB). Methods: I studied 249 plasma metabolites using the nuclear magnetic resonance platform from UKB (N = 274,355, median 13.8 follow-up years). First, I studied the association of each of these metabolites individually with ischaemic stroke using Cox proportional hazards regression adjusting for age, sex, ethnicity, lipid modifying medication, fasting time, spectrometers, assessment centres, smoking status, alcohol intake, dietary supplement use, 13 dietary variables, physical activity, body mass index, prevalent diabetes, and systolic blood pressure. Second, I applied extreme gradient boosting model (XGBoost) and random survival forests (RSF) to assess the additional predictive values of metabolites over traditional risk factors. The Boruta algorithm was used to procure the relevant metabolites related to ischaemic stroke. Finally, bidirectional two-sample Mendelian randomisation (MR) was used to evaluate the causal relationship of identified metabolites with ischaemic stroke. Genome-wide association stud</w:t>
      </w:r>
    </w:p>
    <w:p>
      <w:pPr/>
      <w:r>
        <w:rPr>
          <w:b/>
        </w:rPr>
        <w:t>POSSIBLE 2024:</w:t>
      </w:r>
      <w:r>
        <w:t xml:space="preserve"> Sudan: Rethinking the Conflict Between Sudanese Armed Forces (SAF) and the Rapid Support Forces (RSF) — https://doi.org/10.1177/09749284241264073</w:t>
      </w:r>
    </w:p>
    <w:p>
      <w:pPr/>
      <w:r>
        <w:rPr>
          <w:b/>
        </w:rPr>
        <w:t>Shared claim-specific concepts:</w:t>
      </w:r>
      <w:r>
        <w:t xml:space="preserve"> rsf, integration; EU scope not established. This is a provisional connection, not an outcome finding.</w:t>
      </w:r>
    </w:p>
    <w:p>
      <w:pPr>
        <w:pStyle w:val="SourceNote"/>
      </w:pPr>
      <w:r>
        <w:rPr>
          <w:b/>
        </w:rPr>
        <w:t>Available abstract (not full text):</w:t>
      </w:r>
      <w:r>
        <w:t xml:space="preserve">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pPr/>
      <w:r>
        <w:rPr>
          <w:b/>
        </w:rPr>
        <w:t>POSSIBLE 2024:</w:t>
      </w:r>
      <w:r>
        <w:t xml:space="preserve"> Optimal eco‐emission scheduling of the reconfigurable solar farm‐based combined hydrogen, heat, and power (RSF‐CHHP) — https://doi.org/10.1049/gtd2.13223</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pPr/>
      <w:r>
        <w:rPr>
          <w:b/>
        </w:rPr>
        <w:t>POSSIBLE 2024:</w:t>
      </w:r>
      <w:r>
        <w:t xml:space="preserve"> Fertility Postponement, Economic Uncertainty, and the Increasing Income Prerequisites of Parenthood — https://doi.org/10.1111/padr.12624</w:t>
      </w:r>
    </w:p>
    <w:p>
      <w:pPr/>
      <w:r>
        <w:rPr>
          <w:b/>
        </w:rPr>
        <w:t>Shared claim-specific concepts:</w:t>
      </w:r>
      <w:r>
        <w:t xml:space="preserve"> trend, level; EU scope not established. This is a provisional connection, not an outcome finding.</w:t>
      </w:r>
    </w:p>
    <w:p>
      <w:pPr>
        <w:pStyle w:val="SourceNote"/>
      </w:pPr>
      <w:r>
        <w:rPr>
          <w:b/>
        </w:rPr>
        <w:t>Available abstract (not full text):</w:t>
      </w:r>
      <w:r>
        <w:t xml:space="preserve"> Abstract Rich societies have witnessed a postponement of parenthood over the past two decades, and young adults’ economic conditions are often invoked to explain this trend. However, macro‐level trends in both “subjective” perceptions of economic uncertainty and “objective” measures of actual income provide no satisfactory explanation for the postponement of parenthood. We propose a potential solution to this puzzle by hypothesizing that the economic prerequisites of parenthood have increased over the past two decades. We expect that this has raised the degree of perceived economic certainty and the level of income that people wish to achieve before having a first child. To test this hypothesis, we draw on individual‐level longitudinal data from seven countries from the Comparative Panel File. Our findings show that young adults’ perceived economic uncertainty is not consistently associated with the transition to parenthood. Moreover, the effects of perceived economic uncertainty did not change over time. In contrast, we find consistent evidence that the link between income and first birth has become more strongly positive over the past two decades. This is true mainly for women but also for men, and suggests that increasing income prerequisites are a key mechanism behind the postponement of parenthood.</w:t>
      </w:r>
    </w:p>
    <w:p>
      <w:pPr/>
      <w:r>
        <w:rPr>
          <w:b/>
        </w:rPr>
        <w:t>POSSIBLE 2024:</w:t>
      </w:r>
      <w:r>
        <w:t xml:space="preserve"> Heat-Insulated Regenerated Fibers with UV Resistance: Silk Fibroin/Al2O3 Nanoparticles — https://doi.org/10.3390/molecules29092023</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The various wastes generated by silkworm silk textiles that are no longer in use are increasing, which is causing considerable waste and contamination. This issue has attracted widespread attention in countries that use a lot of silk. Therefore, enhancing the mechanical properties of regenerated silk fibroin (RSF) and enriching the function of silk are important directions to expand the comprehensive utilization of silk products. In this paper, the preparation of RSF/Al2O3 nanoparticles (NPs) hybrid fiber with different Al2O3 NPs contents by wet spinning and its novel performance are reported. It was found that the RSF/Al2O3 NPs hybrid fiber was a multifunctional fiber material with thermal insulation and UV resistance. Natural light tests showed that the temperature rise rate of RSF/Al2O3 NPs hybrid fibers was slower than that of RSF fibers, and the average temperature rose from 29.1 °C to about 35.4 °C in 15 min, while RSF fibers could rise to about 40.1 °C. UV absorption tests showed that the hybrid fiber was resistant to UV radiation. Furthermore, the addition of Al2O3 NPs may improve the mechanical properties of the hybrid fibers. This was because the blending of Al2O3 NPs promoted the self-assembly of β-sheets in the RSF reaction mixture in a dose-dependent manner, which was manifested as the RSF/Al2O3 NPs hybrid fibers had more β-sheets, crystallinity, and a smaller crys</w:t>
      </w:r>
    </w:p>
    <w:p>
      <w:pPr/>
      <w:r>
        <w:rPr>
          <w:b/>
        </w:rPr>
        <w:t>POSSIBLE 2024:</w:t>
      </w:r>
      <w:r>
        <w:t xml:space="preserve"> Trends in enrolment in primary, secondary and tertiary education in Egypt — https://doi.org/10.1787/7b2bf5af-en</w:t>
      </w:r>
    </w:p>
    <w:p>
      <w:pPr/>
      <w:r>
        <w:rPr>
          <w:b/>
        </w:rPr>
        <w:t>Shared claim-specific concepts:</w:t>
      </w:r>
      <w:r>
        <w:t xml:space="preserve"> makes, level; EU scope not established. This is a provisional connection, not an outcome finding.</w:t>
      </w:r>
    </w:p>
    <w:p>
      <w:pPr>
        <w:pStyle w:val="SourceNote"/>
      </w:pPr>
      <w:r>
        <w:rPr>
          <w:b/>
        </w:rPr>
        <w:t>Available abstract (not full text):</w:t>
      </w:r>
      <w:r>
        <w:t xml:space="preserve"> Growth has held up better in Egypt than in neighbouring countries until recently but inflation has reached very high levels and financing conditions have tightened along with foreign currency shortages. In this context, Egypt is stepping up economic reform efforts. The exchange rate needs to become more flexible with monetary policy geared to bring inflation down to target. High public debt makes Egypt more vulnerable to external shocks. Committing to a credible consolidation strategy is key to restore public finance health, which would improve investor confidence and thereby reduce debt servicing costs. While expanding cash transfers to the most vulnerable, broad-based energy subsidies should be phased out, which would also reduce emissions. As public investment has expanded substantially, further efforts to rationalise large-scale construction projects should be pursued, while allocating resources to green investment. To revive private sector growth, the regulatory burden and the state footprint ought to be reduced, and ongoing reforms including the divestment plan should be implemented fully and effectively. As the working-age population will expand with a rising education level, younger generations need to be better integrated into the labour market. This requires reducing labour taxation, enhancing public employment support and better aligning skills to labour market needs</w:t>
      </w:r>
    </w:p>
    <w:p>
      <w:pPr/>
      <w:r>
        <w:rPr>
          <w:b/>
        </w:rPr>
        <w:t>POSSIBLE 2023:</w:t>
      </w:r>
      <w:r>
        <w:t xml:space="preserve"> Exploring the Potential of Innovation on Rice Straw Fluff (RSF) in Roofing System — https://doi.org/10.32722/arcee.v4i02.5235</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pPr/>
      <w:r>
        <w:rPr>
          <w:b/>
        </w:rPr>
        <w:t>POSSIBLE 2023:</w:t>
      </w:r>
      <w:r>
        <w:t xml:space="preserve"> Development and visualization of a risk prediction model for metabolic syndrome: a longitudinal cohort study based on health check-up data in China — https://doi.org/10.3389/fnut.2023.1286654</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Aim: Our study aimed to construct a practical risk prediction model for metabolic syndrome (MetS) based on the longitudinal health check-up data, considering both the baseline level of physical examination indicators and their annual average cumulative exposure, and to provide some theoretical basis for the health management of Mets. Methods: The prediction model was constructed in male and female cohorts, separately. The shared set of predictive variables screened out from 49 important physical examination indicators by the univariate Cox model, Lasso-Cox model and the RSF algorithm collectively was further screened by Cox stepwise regression method. The screened predictors were used to construct prediction model by the Cox proportional hazards regression model and RSF model, respectively. Subsequently, the better method would be selected to develop final MetS predictive model according to comprehensive comparison and evaluation. Finally, the optimal model was validated internally and externally by the time-dependent ROC curve (tdROC) and concordance indexes (C-indexes). The constructed predictive model was converted to a web-based prediction calculator using the "shiny" package of the R4.2.1 software. Results: A total of 15 predictors were screened in the male cohort and 9 predictors in the female cohort. In both male and female cohorts, the prediction error curve of the RSF </w:t>
      </w:r>
    </w:p>
    <w:p>
      <w:pPr/>
      <w:r>
        <w:rPr>
          <w:b/>
        </w:rPr>
        <w:t>POSSIBLE 2023:</w:t>
      </w:r>
      <w:r>
        <w:t xml:space="preserve"> Combining Rigid Cellulose Nanocrystals and Soft Silk Proteins: Revealing Interactions and Alignment in Shear — https://doi.org/10.1002/admi.202300162</w:t>
      </w:r>
    </w:p>
    <w:p>
      <w:pPr/>
      <w:r>
        <w:rPr>
          <w:b/>
        </w:rPr>
        <w:t>Shared claim-specific concepts:</w:t>
      </w:r>
      <w:r>
        <w:t xml:space="preserve"> finally, rsf, investigated; EU scope not established. This is a provisional connection, not an outcome finding.</w:t>
      </w:r>
    </w:p>
    <w:p>
      <w:pPr>
        <w:pStyle w:val="SourceNote"/>
      </w:pPr>
      <w:r>
        <w:rPr>
          <w:b/>
        </w:rPr>
        <w:t>Available abstract (not full text):</w:t>
      </w:r>
      <w:r>
        <w:t xml:space="preserve"> Abstract Natural materials, such as silk and cellulose, have an inspiring set of properties, which have evolved over hundreds of millions of years. In this study, cellulose nanocrystals (CNCs) and regenerated silk fibroin (RSF) are combined to evaluate their suitability for filament formation. This is assessed by tuning and characterizing the interactions between these two materials and finally by studying the alignment of the mixtures under shear. To modify the interactions between CNCs and silk, CNCs with varying surface functionalities (sulfate and/or aminosilane groups) are used. The interactions and compatibility of the two components are investigated using quartz crystal microbalance with dissipation monitoring (QCM‐D) and photothermal atomic force microscopy (AFM‐IR), which show that ionic interactions induce sufficient binding between the two components. Then, the alignment of the CNC and silk mixtures is evaluated by shear‐induced polarized light imaging, which indicates that silk can orientate with the CNCs when not covalently bound. Finally, the potential of the materials for filament formation is tentatively demonstrated using an industrial dry‐spinning environment, where CNCs are expected to bring order and alignment, whereas RSF provides soft and more mobile regions to further facilitate the alignment of the final filament structure.</w:t>
      </w:r>
    </w:p>
    <w:p>
      <w:pPr>
        <w:pStyle w:val="Heading2"/>
      </w:pPr>
      <w:r>
        <w:t>914. Technopolis, shared resources or controlled mobility? A net-based Delphi-study to explore visions of future urban daily mobility in Norway</w:t>
      </w:r>
    </w:p>
    <w:p>
      <w:pPr>
        <w:pStyle w:val="SourceNote"/>
      </w:pPr>
      <w:r>
        <w:rPr>
          <w:b/>
        </w:rPr>
        <w:t>Original source (2015):</w:t>
      </w:r>
      <w:r>
        <w:t xml:space="preserve"> https://doi.org/10.1007/s40309-015-0069-6</w:t>
      </w:r>
    </w:p>
    <w:p>
      <w:pPr/>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POSSIBLE 2026:</w:t>
      </w:r>
      <w:r>
        <w:t xml:space="preserve"> Principal Component Analysis of Economic Factors Affecting Food Consumption and Labor Market Performance in the European Union — https://doi.org/10.35219/eai15840409587</w:t>
      </w:r>
    </w:p>
    <w:p>
      <w:pPr/>
      <w:r>
        <w:rPr>
          <w:b/>
        </w:rPr>
        <w:t>Shared claim-specific concepts:</w:t>
      </w:r>
      <w:r>
        <w:t xml:space="preserve"> principal, component, although; EU scope visible. This is a provisional connection, not an outcome finding.</w:t>
      </w:r>
    </w:p>
    <w:p>
      <w:pPr>
        <w:pStyle w:val="SourceNote"/>
      </w:pPr>
      <w:r>
        <w:rPr>
          <w:b/>
        </w:rPr>
        <w:t>Available abstract (not full text):</w:t>
      </w:r>
      <w:r>
        <w:t xml:space="preserve">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pPr/>
      <w:r>
        <w:rPr>
          <w:b/>
        </w:rPr>
        <w:t>POSSIBLE 2026:</w:t>
      </w:r>
      <w:r>
        <w:t xml:space="preserve"> Exploring asylum patterns in Europe: a focus on Italy — https://doi.org/10.71014/sieds.v80i1.522</w:t>
      </w:r>
    </w:p>
    <w:p>
      <w:pPr/>
      <w:r>
        <w:rPr>
          <w:b/>
        </w:rPr>
        <w:t>Shared claim-specific concepts:</w:t>
      </w:r>
      <w:r>
        <w:t xml:space="preserve"> look, across, groups; EU scope visible. This is a provisional connection, not an outcome finding.</w:t>
      </w:r>
    </w:p>
    <w:p>
      <w:pPr>
        <w:pStyle w:val="SourceNote"/>
      </w:pPr>
      <w:r>
        <w:rPr>
          <w:b/>
        </w:rPr>
        <w:t>Available abstract (not full text):</w:t>
      </w:r>
      <w:r>
        <w:t xml:space="preserve"> In recent years, asylum applications have become a central issue in the European migration context, with varying dynamics across countries. In 2024, Italy ranks third in Europe for number of first-time asylum applicants. Excluding temporary protection requests granted due to the Russia-Ukraine conflict, asylum applications in 2023 and 2024 have returned to the peak levels recorded during the Mediterranean crisis in 2016. This study aims to enhance understanding of the phenomenon through a multi-level approach. At the European level, we implement a descriptive analysis of asylum applications using Eurostat data. The goal is to analyse the distribution of socio-demographic indicators, such as the share of women or young people among applicants, within the European countries. Through multivariate analysis, we look for common patterns in asylum applications and groups of countries with similar profiles. The focus then shifts to Italy, where we investigate the evolution of asylum-seeker inflows, with particular attention to the cohort that entered in 2016, following the Mediterranean crisis. We trace these individuals up to 2024, to assess their presence and the reason for the residence permits they hold. A multinomial regression model is used to analyse the factors associated with permit transitions. The analysis seeks to highlight patterns and potential determinants that shape the</w:t>
      </w:r>
    </w:p>
    <w:p>
      <w:pPr/>
      <w:r>
        <w:rPr>
          <w:b/>
        </w:rPr>
        <w:t>POSSIBLE 2026:</w:t>
      </w:r>
      <w:r>
        <w:t xml:space="preserve"> Measuring and Explaining the Educational Gradient in Health Across Europe : The Role of Individual and Contextual Factors — https://openalex.org/W7198612756</w:t>
      </w:r>
    </w:p>
    <w:p>
      <w:pPr/>
      <w:r>
        <w:rPr>
          <w:b/>
        </w:rPr>
        <w:t>Shared claim-specific concepts:</w:t>
      </w:r>
      <w:r>
        <w:t xml:space="preserve"> applied, although, across, groups; EU scope visible. This is a provisional connection, not an outcome finding.</w:t>
      </w:r>
    </w:p>
    <w:p>
      <w:pPr>
        <w:pStyle w:val="SourceNote"/>
      </w:pPr>
      <w:r>
        <w:rPr>
          <w:b/>
        </w:rPr>
        <w:t>Available abstract (not full text):</w:t>
      </w:r>
      <w:r>
        <w:t xml:space="preserve"> Educational attainment is a powerful determinant of health in later life, operating through multiple channels including access to material resources, health literacy, and social and cognitive reserves. Although the associations between low levels of education and poorer health outcomes are well documented, the extent to which these associations vary across health domains, demographic subgroups, and institutional contexts remains insufficiently understood. In this dissertation, I investigate the magnitude and heterogeneity of educational health inequalities across Europe, with particular attention to functional, sensory, and cognitive health dimensions. Using harmonized data from the Survey of Health, Ageing and Retirement in Europe and comprehensive Finnish population registers, in the dissertation I applied complementary analytical frameworks to examine how health outcomes vary in relation to education, and how these patterns further differ across demographic and national contexts. This dissertation has been assembled from four papers accepted or published in scholarly journals. Study I examines educational differences in disability-free life expectancy across ten European countries, focusing on gendered and regional disparities. Study II assesses educational disparities in the prevalence of age-related hearing loss and hearing aid use across 28 countries, analysing variations</w:t>
      </w:r>
    </w:p>
    <w:p>
      <w:pPr/>
      <w:r>
        <w:rPr>
          <w:b/>
        </w:rPr>
        <w:t>POSSIBLE 2026:</w:t>
      </w:r>
      <w:r>
        <w:t xml:space="preserve"> The Influencing Factors of Fathers’ and Mothers’ School-Based Involvement in a Central and Eastern European Sample — https://doi.org/10.26529/cepsj.2154</w:t>
      </w:r>
    </w:p>
    <w:p>
      <w:pPr/>
      <w:r>
        <w:rPr>
          <w:b/>
        </w:rPr>
        <w:t>Shared claim-specific concepts:</w:t>
      </w:r>
      <w:r>
        <w:t xml:space="preserve"> factor, principal, component, different; EU scope visible. This is a provisional connection, not an outcome finding.</w:t>
      </w:r>
    </w:p>
    <w:p>
      <w:pPr>
        <w:pStyle w:val="SourceNote"/>
      </w:pPr>
      <w:r>
        <w:rPr>
          <w:b/>
        </w:rPr>
        <w:t>Available abstract (not full text):</w:t>
      </w:r>
      <w:r>
        <w:t xml:space="preserve"> Parental involvement has been widely studied internationally and, more recently, in Hungary as well. School-based involvement by mothers or fathers can positively impact a child’s achievement, yet relatively little attention has been paid to the differences between fathers’ and mothers’ involvement. In the present study, we conducted a secondary analysis of a dataset from a questionnaire survey of parents in a Central and Eastern European region, focusing on differences between fathers’ and mothers’ school-based involvement. A further novel aspect of our study is that we also investigated the impact of different school practices on school-based involvement. The dependent variable in our regression analysis is a principal component derived from school-based involvement items. Among the explanatory variables, we emphasised the role of the parent’s relationship to the child (father or mother) and the school’s initiative in fostering involvement. The latter was explored using an exploratory factor analysis, revealing five parent-perceived dimensions of school initiative: Information and Contact, Emphasis on Informal Programmes, Decision-Making Opportunities, Presence of Professional Support, and Online Communication Forums. Our results show that fathers report lower levels of school-based involvement, and that school initiative significantly promotes parental engagement. Parental i</w:t>
      </w:r>
    </w:p>
    <w:p>
      <w:pPr/>
      <w:r>
        <w:rPr>
          <w:b/>
        </w:rPr>
        <w:t>POSSIBLE 2026:</w:t>
      </w:r>
      <w:r>
        <w:t xml:space="preserve"> Exploring Principal Autonomy in the Emirates School Establishment: A Qualitative Case Study — https://doi.org/10.1080/15700763.2026.2636604</w:t>
      </w:r>
    </w:p>
    <w:p>
      <w:pPr/>
      <w:r>
        <w:rPr>
          <w:b/>
        </w:rPr>
        <w:t>Shared claim-specific concepts:</w:t>
      </w:r>
      <w:r>
        <w:t xml:space="preserve"> principal, although, need, across; EU scope not established. This is a provisional connection, not an outcome finding.</w:t>
      </w:r>
    </w:p>
    <w:p>
      <w:pPr>
        <w:pStyle w:val="SourceNote"/>
      </w:pPr>
      <w:r>
        <w:rPr>
          <w:b/>
        </w:rPr>
        <w:t>Available abstract (not full text):</w:t>
      </w:r>
      <w:r>
        <w:t xml:space="preserve"> School principals play a critical role in shaping school culture and leading reform. This study examined the degree of autonomy experienced by public school principals in the United Arab Emirates under the Emirates School Establishment (ESE), and explored the challenges they face within a centralized governance system. A qualitative multi-case study design was employed across eight public schools, involving semi-structured interviews with eleven school leaders (ten principals and one cluster manager). Findings are organized around five themes: executive management constraints on school-level decision-making; limited authority in personnel recruitment; the need for targeted leadership preparation to exercise autonomy effectively; restricted financial discretion; and the role of collaborative decision-making processes. Although participants demonstrated strong leadership capacity and commitment to school improvement, centralized structures were perceived to limit timely, context-responsive decision-making. The study concludes that recalibrating principal autonomy at the policy level—while maintaining clear accountability frameworks and strengthening leadership development systems—may enhance school effectiveness and responsiveness within the current governance model.</w:t>
      </w:r>
    </w:p>
    <w:p>
      <w:pPr/>
      <w:r>
        <w:rPr>
          <w:b/>
        </w:rPr>
        <w:t>POSSIBLE 2026:</w:t>
      </w:r>
      <w:r>
        <w:t xml:space="preserve"> High-resolution modelling of organic aerosol over Europe: exploring spatial and temporal variability and drivers — https://doi.org/10.1016/j.envint.2026.110143</w:t>
      </w:r>
    </w:p>
    <w:p>
      <w:pPr/>
      <w:r>
        <w:rPr>
          <w:b/>
        </w:rPr>
        <w:t>Shared claim-specific concepts:</w:t>
      </w:r>
      <w:r>
        <w:t xml:space="preserve"> component, general, across; EU scope visible. This is a provisional connection, not an outcome finding.</w:t>
      </w:r>
    </w:p>
    <w:p>
      <w:pPr>
        <w:pStyle w:val="SourceNote"/>
      </w:pPr>
      <w:r>
        <w:rPr>
          <w:b/>
        </w:rPr>
        <w:t>Available abstract (not full text):</w:t>
      </w:r>
      <w:r>
        <w:t xml:space="preserve"> Organic aerosol (OA) is a major component of atmospheric particulate matter (PM), affecting both human health and climate. However, high-resolution estimates of OA exposure needed for exposure analysis remain scarce. Here, we integrate a chemical transport model (CAMx) with a random forest (RF) machine learning approach to bias-correct and downscale daily OA concentrations across Europe. CAMx OA simulations at ∼15 km resolution show moderate agreement with observations (r = 0.55). By combining these outputs with high-resolution land-use data and training the RF model on ∼48,000 daily OA measurements from 137 sites, prediction accuracy improved (r = 0.65), with ∼l5% reduction in root mean square error. The resulting maps provide European daily OA concentrations at ∼250 m resolution for alternate years from 2011 to 2019. The model captures key spatial features, including elevated OA in the Po Valley, Southeastern, and Central Europe, as well as intracity variations due to local hotspots. Seasonal analysis reveals higher concentrations in winter, while long-term trends indicate a general decline in OA levels. Exposure estimates show that half of the European population experiences OA levels above 3 µg/m 3 , and ∼50 million people are exposed to more than 5 µg/m 3 , which is the current guideline level recommended by the world health organization for total PM 2.5 . These high-resol</w:t>
      </w:r>
    </w:p>
    <w:p>
      <w:pPr/>
      <w:r>
        <w:rPr>
          <w:b/>
        </w:rPr>
        <w:t>POSSIBLE 2025:</w:t>
      </w:r>
      <w:r>
        <w:t xml:space="preserve"> Exploring intergenerational educational mobility : the role of personal and national factors across Europe — https://openalex.org/W7122348182</w:t>
      </w:r>
    </w:p>
    <w:p>
      <w:pPr/>
      <w:r>
        <w:rPr>
          <w:b/>
        </w:rPr>
        <w:t>Shared claim-specific concepts:</w:t>
      </w:r>
      <w:r>
        <w:t xml:space="preserve"> reveal, like, across; EU scope visible. This is a provisional connection, not an outcome finding.</w:t>
      </w:r>
    </w:p>
    <w:p>
      <w:pPr>
        <w:pStyle w:val="SourceNote"/>
      </w:pPr>
      <w:r>
        <w:rPr>
          <w:b/>
        </w:rPr>
        <w:t>Available abstract (not full text):</w:t>
      </w:r>
      <w:r>
        <w:t xml:space="preserve"> This paper aims at contributing to understand the interplay of personal and structural determinants of educational mobility. This study examines intergenerational educational mobility across 21 European countries, focusing on the role of individual and national factors in fostering upward mobility. Using data from the European Social Survey (2008-2020), the research begins by estimating absolute and relative mobility rates and continues analyzing the impact of individual attributes such as gender, ethnicity, and parental occupation, as well as macroeconomic variables, like income inequality and inflation, on upward educational mobility. The results obtained through regression analysis reveal that upward mobility is more likely among women and those from lower parental occupational backgrounds, whereas the effects of ethnic and immigrant status vary by context. At the national level, higher government education expenditure and household savings prove to be positively associated with mobility, while inflation serves as a barrier. Notably, income inequality's effect on mobility highlights complex regional dynamics.</w:t>
      </w:r>
    </w:p>
    <w:p>
      <w:pPr/>
      <w:r>
        <w:rPr>
          <w:b/>
        </w:rPr>
        <w:t>POSSIBLE 2025:</w:t>
      </w:r>
      <w:r>
        <w:t xml:space="preserve"> Exploring Principals’ Perceptions of Market Orientation in Modern Schools — https://doi.org/10.3390/admsci15050168</w:t>
      </w:r>
    </w:p>
    <w:p>
      <w:pPr/>
      <w:r>
        <w:rPr>
          <w:b/>
        </w:rPr>
        <w:t>Shared claim-specific concepts:</w:t>
      </w:r>
      <w:r>
        <w:t xml:space="preserve"> principal, three, across, stakeholders; EU scope not established. This is a provisional connection, not an outcome finding.</w:t>
      </w:r>
    </w:p>
    <w:p>
      <w:pPr>
        <w:pStyle w:val="SourceNote"/>
      </w:pPr>
      <w:r>
        <w:rPr>
          <w:b/>
        </w:rPr>
        <w:t>Available abstract (not full text):</w:t>
      </w:r>
      <w:r>
        <w:t xml:space="preserve"> Background/Purpose: In an increasingly competitive educational landscape, the school principal’s role has expanded beyond instructional leadership to include strategic marketing responsibilities. Yet the role of marketing in school leadership remains underexplored. Our objective was to investigate how Greek secondary school principals perceive marketing’s key dimensions (Customer Orientation, Competitor Orientation, and Inter-Functional Coordination) within schools, in comparison to other school staff members. Design/Methodology: A cross-sectional survey design was employed, collecting data using a structured questionnaire adapted from Oplatka and Hemsley-Brown. The sample comprised 350 respondents, including school principals and teaching staff. One-way ANOVA, supplemented by Games–Howell and Kruscall–Wallis tests, was employed to examine group differences across the three dimensions of market orientation. Results: Our findings indicate that principals demonstrate a higher level of Customer Orientation than other staff. However, no significant differences were found in Competitor Orientation or Inter-Functional Coordination across roles. Conclusions/Novelty: The findings suggest that while principals play a key role in aligning school functions and engaging with internal stakeholders, their sensitivity to external competition remains limited. The study highlights the evolving </w:t>
      </w:r>
    </w:p>
    <w:p>
      <w:pPr/>
      <w:r>
        <w:rPr>
          <w:b/>
        </w:rPr>
        <w:t>POSSIBLE 2025:</w:t>
      </w:r>
      <w:r>
        <w:t xml:space="preserve"> What factors will shape the future of sustainable and smart cities in Europe? Evidence from the Delphi study — https://doi.org/10.34659/eis.2025.94.3.1272</w:t>
      </w:r>
    </w:p>
    <w:p>
      <w:pPr/>
      <w:r>
        <w:rPr>
          <w:b/>
        </w:rPr>
        <w:t>Shared claim-specific concepts:</w:t>
      </w:r>
      <w:r>
        <w:t xml:space="preserve"> principal, applied, three, urban, across; EU scope visible. This is a provisional connection, not an outcome finding.</w:t>
      </w:r>
    </w:p>
    <w:p>
      <w:pPr>
        <w:pStyle w:val="SourceNote"/>
      </w:pPr>
      <w:r>
        <w:rPr>
          <w:b/>
        </w:rPr>
        <w:t>Available abstract (not full text):</w:t>
      </w:r>
      <w:r>
        <w:t xml:space="preserve"> The article aims to identify and assess the factors shaping the development of sustainable and smart cities in Europe and their interrelationships. With respect to the objective, three research questions were formulated: (I) What are the factors supporting the development of sustainable and smart cities in Europe?, (II) What are the limiting factors (barriers) to the development of sustainable and smart cities in Europe?, (III) What are the main factors influencing the development of sustainable and smart cities in Europe? As part of the research process, the following methods were applied: horizon scanning, STEEPVL analysis, the Delphi method and structural analysis. The study involved 131 experts from 28 countries, whose articles on sustainable and smart cities development are indexed in the Web of Science database. The directions analysed include: smart governance and citizen participation; renewable energy microgrids with decentralised energy trading; delegating decisions to AI-based systems; and urban digital twins. The Delphi results unambiguously indicate three main enabling factors: access to external sources of finance; advanced digital infrastructure together with data integration; and a high level of cybersecurity and data protection. The principal barriers were identified as: a low level of integration across urban systems and a lack of data interoperability; limite</w:t>
      </w:r>
    </w:p>
    <w:p>
      <w:pPr/>
      <w:r>
        <w:rPr>
          <w:b/>
        </w:rPr>
        <w:t>POSSIBLE 2024:</w:t>
      </w:r>
      <w:r>
        <w:t xml:space="preserve"> Monkeypox in Europe: Epidemiology and Risk Factors – A Scoping Review Study — https://doi.org/10.1101/2024.08.28.24312706</w:t>
      </w:r>
    </w:p>
    <w:p>
      <w:pPr/>
      <w:r>
        <w:rPr>
          <w:b/>
        </w:rPr>
        <w:t>Shared claim-specific concepts:</w:t>
      </w:r>
      <w:r>
        <w:t xml:space="preserve"> principal, although, across; EU scope visible. This is a provisional connection, not an outcome finding.</w:t>
      </w:r>
    </w:p>
    <w:p>
      <w:pPr>
        <w:pStyle w:val="SourceNote"/>
      </w:pPr>
      <w:r>
        <w:rPr>
          <w:b/>
        </w:rPr>
        <w:t>Available abstract (not full text):</w:t>
      </w:r>
      <w:r>
        <w:t xml:space="preserve">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pPr/>
      <w:r>
        <w:rPr>
          <w:b/>
        </w:rPr>
        <w:t>POSSIBLE 2024:</w:t>
      </w:r>
      <w:r>
        <w:t xml:space="preserve"> Exploring high school principals' perceptions of essentials factors for high performing administrative teams — https://doi.org/10.17918/00010705</w:t>
      </w:r>
    </w:p>
    <w:p>
      <w:pPr/>
      <w:r>
        <w:rPr>
          <w:b/>
        </w:rPr>
        <w:t>Shared claim-specific concepts:</w:t>
      </w:r>
      <w:r>
        <w:t xml:space="preserve"> factor, principal, three, there; EU scope not established. This is a provisional connection, not an outcome finding.</w:t>
      </w:r>
    </w:p>
    <w:p>
      <w:pPr>
        <w:pStyle w:val="SourceNote"/>
      </w:pPr>
      <w:r>
        <w:rPr>
          <w:b/>
        </w:rPr>
        <w:t>Available abstract (not full text):</w:t>
      </w:r>
      <w:r>
        <w:t xml:space="preserve">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pPr/>
      <w:r>
        <w:rPr>
          <w:b/>
        </w:rPr>
        <w:t>POSSIBLE 2024:</w:t>
      </w:r>
      <w:r>
        <w:t xml:space="preserve"> Exploring tourists' perceptions and influencing factors of creative tourism in Europe — https://doi.org/10.47743/eurint-2024-cli</w:t>
      </w:r>
    </w:p>
    <w:p>
      <w:pPr/>
      <w:r>
        <w:rPr>
          <w:b/>
        </w:rPr>
        <w:t>Shared claim-specific concepts:</w:t>
      </w:r>
      <w:r>
        <w:t xml:space="preserve"> reveal, there, groups; EU scope visible. This is a provisional connection, not an outcome finding.</w:t>
      </w:r>
    </w:p>
    <w:p>
      <w:pPr>
        <w:pStyle w:val="SourceNote"/>
      </w:pPr>
      <w:r>
        <w:rPr>
          <w:b/>
        </w:rPr>
        <w:t>Available abstract (not full text):</w:t>
      </w:r>
      <w:r>
        <w:t xml:space="preserve"> The emergence of co-creative interactions between tourists and touristic activities has extended in Europe generating increased interest, driven by contemporary trends in tourism emphasizing meaningful, authentic experiences and direct engagement with culture and local communities. Our paper aims to reveal insights and nuances in tourists' perceptions of creative destinations in Europe. The findings are based on a literature review on creative tourism and a qualitative methodology of two focus groups carried out with 20 people in total from 13 countries from Europe, including Bulgaria, Croatia, Estonia, Germany, Greece, Italy, Latvia, Lithuania, North Macedonia, Poland, Portugal, Romania and Spain. Within the focus groups there were explored the levels of understanding on the creative tourism concept, European destinations associated with creative tourism, influencing factors that stimulate engagement in creative tourism experiences in Europe as well future perspectives of creative tourism evolving in Europe. A diversity of opinions have emerged in consideration of creative tourism trends and patterns and the idea of a 'one-size-fits-all' model resulted to be particularly inappropriate in terms of creative tourism perceptions and experiences. Our analysis highlights several directions for further information development on the introduction of creative experiences into tourism d</w:t>
      </w:r>
    </w:p>
    <w:p>
      <w:pPr>
        <w:pStyle w:val="Heading2"/>
      </w:pPr>
      <w:r>
        <w:t>915. The Future of Internationalization of Higher Education in Europe</w:t>
      </w:r>
    </w:p>
    <w:p>
      <w:pPr>
        <w:pStyle w:val="SourceNote"/>
      </w:pPr>
      <w:r>
        <w:rPr>
          <w:b/>
        </w:rPr>
        <w:t>Original source (2015):</w:t>
      </w:r>
      <w:r>
        <w:t xml:space="preserve"> https://doi.org/10.6017/ihe.2015.83.9073</w:t>
      </w:r>
    </w:p>
    <w:p>
      <w:pPr/>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POSSIBLE 2026:</w:t>
      </w:r>
      <w:r>
        <w:t xml:space="preserve"> Conclusion and Recommendations — https://doi.org/10.1007/978-3-032-29056-4_7</w:t>
      </w:r>
    </w:p>
    <w:p>
      <w:pPr/>
      <w:r>
        <w:rPr>
          <w:b/>
        </w:rPr>
        <w:t>Shared claim-specific concepts:</w:t>
      </w:r>
      <w:r>
        <w:t xml:space="preserve"> recommendations, higher, national, including; EU scope visible. This is a provisional connection, not an outcome finding.</w:t>
      </w:r>
    </w:p>
    <w:p>
      <w:pPr>
        <w:pStyle w:val="SourceNote"/>
      </w:pPr>
      <w:r>
        <w:rPr>
          <w:b/>
        </w:rPr>
        <w:t>Available abstract (not full text):</w:t>
      </w:r>
      <w:r>
        <w:t xml:space="preserve"> The WRR’s core message is that ageing of the European Union must feature prominently on political and policy agendas, including in the Netherlands. European ageing creates substantial risks—economic stagnation, high government debt and divergence, upward pressure on inflation, and social and political tensions—driven by rising pension and care burdens, labour scarcity, and contested reforms. Because spillovers operate through the internal market and the eurozone, member states must bring both national and European ageing into focus. The report therefore sets out three policy directions and associated recommendations: anticipate an ageing EU through systematic monitoring and partnerships; steer at EU level towards ageing-resilient socio-economic and pension policies centred on higher labour participation and stronger independent institutions; and protect nationally by strengthening domestic resilience, diversifying pension investment globally, and deepening trade ties with countries enjoying a demographic dividend.</w:t>
      </w:r>
    </w:p>
    <w:p>
      <w:pPr/>
      <w:r>
        <w:rPr>
          <w:b/>
        </w:rPr>
        <w:t>POSSIBLE 2026:</w:t>
      </w:r>
      <w:r>
        <w:t xml:space="preserve"> Conclusions and Recommendations — https://doi.org/10.1007/978-3-032-11327-6_6</w:t>
      </w:r>
    </w:p>
    <w:p>
      <w:pPr/>
      <w:r>
        <w:rPr>
          <w:b/>
        </w:rPr>
        <w:t>Shared claim-specific concepts:</w:t>
      </w:r>
      <w:r>
        <w:t xml:space="preserve"> conclusions, recommendations, based; EU scope visible. This is a provisional connection, not an outcome finding.</w:t>
      </w:r>
    </w:p>
    <w:p>
      <w:pPr>
        <w:pStyle w:val="SourceNote"/>
      </w:pPr>
      <w:r>
        <w:rPr>
          <w:b/>
        </w:rPr>
        <w:t>Available abstract (not full text):</w:t>
      </w:r>
      <w:r>
        <w:t xml:space="preserve"> This concluding chapter presents recommendations for government policy to ensure that media’s democratic functions are safeguarded for the future. Based on the preceding analyses, we conclude that new media policy is needed that puts the democratic functions of media center stage and that encompasses the entire spectrum of relevant parties within the media system. To substantiate this new media policy, the Netherlands Scientific Council for Government Policy (WRR) formulates four broad policy recommendations. First, the Dutch government should implement European laws and regulations with urgency and strengthen oversight and enforcement. Second, it should invest in the visibility and findability of all information that is important for democracy. In addition, local and regional journalism should be strengthened sustainably, which presupposes a joint vision and new and neutral funding models. Finally, users should take responsibility for their agency in the media system. Especially those who play visible, public or otherwise significant roles in public information services and the public debate, such as the government and political actors. Acknowledging this media responsibility, presupposes less dependence on commercial platforms for government communication, and reliable and more civilized political communication.</w:t>
      </w:r>
    </w:p>
    <w:p>
      <w:pPr/>
      <w:r>
        <w:rPr>
          <w:b/>
        </w:rPr>
        <w:t>POSSIBLE 2026:</w:t>
      </w:r>
      <w:r>
        <w:t xml:space="preserve"> ENHANCING THE INTERNAL QUALITY ASSURANCE SYSTEM OF VOCATIONAL EDUCATION IN UKRAINE: RECOMMENDATIONS BASED ON THE DUTCH EXPERIENCE — https://doi.org/10.32835/2707-3092.2026.33.82-96</w:t>
      </w:r>
    </w:p>
    <w:p>
      <w:pPr/>
      <w:r>
        <w:rPr>
          <w:b/>
        </w:rPr>
        <w:t>Shared claim-specific concepts:</w:t>
      </w:r>
      <w:r>
        <w:t xml:space="preserve"> conclusions, recommendations, education, based, national, reports; EU scope visible. This is a provisional connection, not an outcome finding.</w:t>
      </w:r>
    </w:p>
    <w:p>
      <w:pPr>
        <w:pStyle w:val="SourceNote"/>
      </w:pPr>
      <w:r>
        <w:rPr>
          <w:b/>
        </w:rPr>
        <w:t>Available abstract (not full text):</w:t>
      </w:r>
      <w:r>
        <w:t xml:space="preserve"> Background. Developing effective internal quality assurance systems (IQAS) in vocational education institutions stands as a strategic priority of Ukraine’s national educational policy in the context of European integration and post-war recovery. Despite an established legislative framework, domestic IQAS practice is characterized by excessive bureaucratization, a deficit in digital analytical culture, formal employer engagement, and low learner agency. Under these circumstances, an objective need arises to examine and adapt successful international experience, particularly that of the Kingdom of the Netherlands, which operates a balanced, decentralized vocational education quality model (MBO sector). Aim. The aim of the study is to conduct a comparative institutional analysis of internal quality assurance systems for vocational education in Ukraine and the Netherlands, and, on this basis, to elaborate evidence-based practical recommendations for transforming the domestic IQAS model. Methods. Theoretical methods: analysis, synthesis, systematization, and generalization to examine the regulatory and legal framework, methodological materials, and scholarly works of domestic and foreign researchers on quality assurance in vocational education; structural-functional analysis to explore the structure and interaction mechanisms of vocational education stakeholders in Ukraine (MES, SQE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conclusions, recommendations, education, reports;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conclusions, internationalization, higher, education, findings;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Conceptualizing ‘quality of education’: an analysis of European political documents on education — https://doi.org/10.3389/feduc.2025.1463412</w:t>
      </w:r>
    </w:p>
    <w:p>
      <w:pPr/>
      <w:r>
        <w:rPr>
          <w:b/>
        </w:rPr>
        <w:t>Shared claim-specific concepts:</w:t>
      </w:r>
      <w:r>
        <w:t xml:space="preserve"> conclusions, recommendations, education, based, national, international; EU scope visible. This is a provisional connection, not an outcome finding.</w:t>
      </w:r>
    </w:p>
    <w:p>
      <w:pPr>
        <w:pStyle w:val="SourceNote"/>
      </w:pPr>
      <w:r>
        <w:rPr>
          <w:b/>
        </w:rPr>
        <w:t>Available abstract (not full text):</w:t>
      </w:r>
      <w:r>
        <w:t xml:space="preserve"> This paper conceptualizes ‘quality of education’ in the European political discourse. The expression ‘education quality’ and its variations are frequently found in literature and policies at supranational, international, national, and local levels but are not explicitly defined. However, it is assumed to be a goal that countries pursue and has gained prominence in the European context. Acknowledging the European agencies’ legislation’s influence on Member-States’ domestic policies, understanding what “education quality” means is of the utmost importance. Based on the content analysis of political documents issued by several European agencies, this paper categorizes, systematizes, and interprets the European political discourse on education to infer aspects that can compose ‘quality of education’ and develop an understanding of the concept. The analysis resulted in the systematization of three aspects that help to conceptualize the ‘quality’ of education: (i) ‘What is expected of education’; (ii) ‘Components of education quality’; (iii) ‘Priorities for Education’. Based on these aspects, a generic definition was formulated stating that education of quality is oriented toward preparing people to contribute to the social and political project, acquiring knowledge, skills, and competences to be productive; needing motivated and well-prepared teachers and leaders, adequate condition</w:t>
      </w:r>
    </w:p>
    <w:p>
      <w:pPr/>
      <w:r>
        <w:rPr>
          <w:b/>
        </w:rPr>
        <w:t>POSSIBLE 2025:</w:t>
      </w:r>
      <w:r>
        <w:t xml:space="preserve"> Empowering Tomorrow's Leaders: An Inclusive Study of Innovation, Entrepreneurship, and Internationalization in Higher Education Across South-Eastern Europe — https://doi.org/10.2139/ssrn.5287015</w:t>
      </w:r>
    </w:p>
    <w:p>
      <w:pPr/>
      <w:r>
        <w:rPr>
          <w:b/>
        </w:rPr>
        <w:t>Shared claim-specific concepts:</w:t>
      </w:r>
      <w:r>
        <w:t xml:space="preserve"> internationalization, higher, education;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Evidence-Based Pathways for the Internationalization of Taijiquan — https://doi.org/10.57612/js25.jts.04.06</w:t>
      </w:r>
    </w:p>
    <w:p>
      <w:pPr/>
      <w:r>
        <w:rPr>
          <w:b/>
        </w:rPr>
        <w:t>Shared claim-specific concepts:</w:t>
      </w:r>
      <w:r>
        <w:t xml:space="preserve"> internationalization, based, among, international; EU scope visible. This is a provisional connection, not an outcome finding.</w:t>
      </w:r>
    </w:p>
    <w:p>
      <w:pPr>
        <w:pStyle w:val="SourceNote"/>
      </w:pPr>
      <w:r>
        <w:rPr>
          <w:b/>
        </w:rPr>
        <w:t>Available abstract (not full text):</w:t>
      </w:r>
      <w:r>
        <w:t xml:space="preserve"> Taijiquan embodies martial, health-promoting, and cultural values. In recent years, Evidence-Based Medicine (EBM) has provided a scientific framework to validate its health benefits. A growing body of randomized controlled trials (RCTs) and systematic reviews/meta-analyses has demonstrated robust evidence for Taijiquan in fall prevention, balance enhancement, blood pressure regulation, and mental health among older adults, with additional promising signals in Parkinson’s disease, stroke rehabilitation, cancer recovery, and chronic disease management. Within the EBM framework, this paper systematically reviews the existing evidence, compares research and dissemination pathways across the United States, Europe, and China, and analyzes methodological limitations, instructor training, data sharing, and policy barriers. Based on this analysis, six major internationalization pathways are proposed: academic institutionalization, educational integration, societal adoption, medical incorporation, and collaborative research communities. Overall, Taijiquan is undergoing a critical transition from cultural heritage to evidence-based intervention. Its scientific and international development holds strong potential to contribute to healthy aging and global public health goals.</w:t>
      </w:r>
    </w:p>
    <w:p>
      <w:pPr/>
      <w:r>
        <w:rPr>
          <w:b/>
        </w:rPr>
        <w:t>POSSIBLE 2025:</w:t>
      </w:r>
      <w:r>
        <w:t xml:space="preserve"> Designing Metaverse-Based Learning Environments for Elementary Education in Europe — https://openalex.org/W7221261502</w:t>
      </w:r>
    </w:p>
    <w:p>
      <w:pPr/>
      <w:r>
        <w:rPr>
          <w:b/>
        </w:rPr>
        <w:t>Shared claim-specific concepts:</w:t>
      </w:r>
      <w:r>
        <w:t xml:space="preserve"> recommendations, education, findings; EU scope visible. This is a provisional connection, not an outcome finding.</w:t>
      </w:r>
    </w:p>
    <w:p>
      <w:pPr>
        <w:pStyle w:val="SourceNote"/>
      </w:pPr>
      <w:r>
        <w:rPr>
          <w:b/>
        </w:rPr>
        <w:t>Available abstract (not full text):</w:t>
      </w:r>
      <w:r>
        <w:t xml:space="preserve"> This paper explores the design and evaluation of a metaverse-based learning platform tailored for elementary schoolchildren in Europe. With immersive technologies such as virtual reality (VR) and augmented reality (AR) gaining traction in education, this study examines student engagement, usability, and perceived learning outcomes. A mixed-methods approach involving 240 students (aged 8–11) and 30 teachers across five European countries was employed. The findings reveal high levels of engagement (87%), moderate technical barriers, and positive teacher perceptions of pedagogical potential. The paper concludes with design recommendations and policy considerations for broader adoption.</w:t>
      </w:r>
    </w:p>
    <w:p>
      <w:pPr/>
      <w:r>
        <w:rPr>
          <w:b/>
        </w:rPr>
        <w:t>POSSIBLE 2025:</w:t>
      </w:r>
      <w:r>
        <w:t xml:space="preserve"> EXPERIENCES OF FOREIGN STUDENTS IN SILESIA: KEY CONCLUSIONS FOR THE INTERNATIONALIZATION OF UNIVERSITIES AND THE REGION — https://doi.org/10.29119/1641-3466.2025.217.11</w:t>
      </w:r>
    </w:p>
    <w:p>
      <w:pPr/>
      <w:r>
        <w:rPr>
          <w:b/>
        </w:rPr>
        <w:t>Shared claim-specific concepts:</w:t>
      </w:r>
      <w:r>
        <w:t xml:space="preserve"> conclusions, internationalization, education, among, international, key; EU scope not established. This is a provisional connection, not an outcome finding.</w:t>
      </w:r>
    </w:p>
    <w:p>
      <w:pPr>
        <w:pStyle w:val="SourceNote"/>
      </w:pPr>
      <w:r>
        <w:rPr>
          <w:b/>
        </w:rPr>
        <w:t>Available abstract (not full text):</w:t>
      </w:r>
      <w:r>
        <w:t xml:space="preserve"> The article analyzes the internationalization of Silesian universities and the region, emphasizing the importance of collaboration between academic institutions and the local community.This synergy is essential for creating a supportive environment for international students, facilitating their adaptation and integration.The study of international students' experiences provides insights into the impact of internationalization on fostering an open and diverse academic community.Design/methodology/approach: The study employed an online survey conducted during the 2024/2025 academic year among international students at Silesian universities.The questionnaire combined closed-ended questions for quantitative analysis with open-ended questions to explore students' experiences in depth. Findings:The results reveal a variety of experiences among international students, highlighting both opportunities and challenges.Students appreciate the quality of education and affordability in the region but encounter administrative difficulties, language barriers, and challenges with social integration.These findings underscore the need to enhance internationalization strategies and foster a more inclusive academic environment. Research limitations/implications:The study was conducted on a pilot sample of 54 students, which limits its scope.Further research with a larger sample is required.Addition</w:t>
      </w:r>
    </w:p>
    <w:p>
      <w:pPr/>
      <w:r>
        <w:rPr>
          <w:b/>
        </w:rPr>
        <w:t>POSSIBLE 2025:</w:t>
      </w:r>
      <w:r>
        <w:t xml:space="preserve"> Hiring a Consulting Firm for Internationalization - The Role of Consulting in Decision-Making about Internationalization Processes from the Perspective of CH Group — https://openalex.org/W7112896486</w:t>
      </w:r>
    </w:p>
    <w:p>
      <w:pPr/>
      <w:r>
        <w:rPr>
          <w:b/>
        </w:rPr>
        <w:t>Shared claim-specific concepts:</w:t>
      </w:r>
      <w:r>
        <w:t xml:space="preserve"> internationalization, based, international, key, findings; EU scope visible. This is a provisional connection, not an outcome finding.</w:t>
      </w:r>
    </w:p>
    <w:p>
      <w:pPr>
        <w:pStyle w:val="SourceNote"/>
      </w:pPr>
      <w:r>
        <w:rPr>
          <w:b/>
        </w:rPr>
        <w:t>Available abstract (not full text):</w:t>
      </w:r>
      <w:r>
        <w:t xml:space="preserve"> This report investigates the strategic role of consulting firms in the internationalization enterprises, based on the experience gained during a curricular internship at Grupo CH.Through direct involvement in three distinct projects -TISSOA (focused on IT services and shared services outsourcing to Asia), SAVEURS du PORTUGAL (centered on the international promotion of agri-food products), and the reverse mission from Sweden and Scandinavian countries (supporting the natural stone sector) -the internship provided insights into how consulting firms help overcome key internationalization barriers.The report combines academic frameworks, such as the Uppsala Model, Dunning's Eclectic Paradigm, and network-based approaches, with practical consulting activities, highlighting the multidimensional role of consultants in reducing uncertainty, building capabilities, activating networks, and translating strategic goals into actionable plans.Ultimately, the findings confirm that internationalization consulting, when tailored to SMEs' constraints and sectoral realities, plays a crucial role in enabling sustainable and competitive global expansion.</w:t>
      </w:r>
    </w:p>
    <w:p>
      <w:pPr/>
      <w:r>
        <w:rPr>
          <w:b/>
        </w:rPr>
        <w:t>POSSIBLE 2025:</w:t>
      </w:r>
      <w:r>
        <w:t xml:space="preserve"> The internationalization of renewable energy finance — https://doi.org/10.1016/j.isci.2025.112367</w:t>
      </w:r>
    </w:p>
    <w:p>
      <w:pPr/>
      <w:r>
        <w:rPr>
          <w:b/>
        </w:rPr>
        <w:t>Shared claim-specific concepts:</w:t>
      </w:r>
      <w:r>
        <w:t xml:space="preserve"> internationalization, international, findings; EU scope not established. This is a provisional connection, not an outcome finding.</w:t>
      </w:r>
    </w:p>
    <w:p>
      <w:pPr>
        <w:pStyle w:val="SourceNote"/>
      </w:pPr>
      <w:r>
        <w:rPr>
          <w:b/>
        </w:rPr>
        <w:t>Available abstract (not full text):</w:t>
      </w:r>
      <w:r>
        <w:t xml:space="preserve"> Mitigating climate change necessitates vast investments in clean energy technologies globally, requiring internationalization not only of knowledge, production, and policies but also finance. This article examines 42,291 renewable energy investment deals across OECD countries from 2004 to 2022, revealing highly international capital flows. Results show that $US 45.4B annually (45%) is invested across borders, with varying degrees between countries. Further, renewable energy investments increasingly mirror general foreign direct investment (89% correlation), indicating financial mainstreaming, which can contribute to rapid deployment. These results are primarily driven by onshore wind and solar photovoltaic (PV). While all technologies experienced increased international capital mobility, offshore wind leads with 76% of capital exiting borders, whereas biomass is largely financed domestically (36% international). In sum, while international capital mobility has been crucial for growth in RE deployment, substantial country and technology differences exist. Our findings offer insights for novel low-carbon technologies and inform future research.</w:t>
      </w:r>
    </w:p>
    <w:p>
      <w:pPr>
        <w:pStyle w:val="Heading2"/>
      </w:pPr>
      <w:r>
        <w:t>916. The impact of EU Climate/Energy policies on Belgium’s energy dependence up to 2050</w:t>
      </w:r>
    </w:p>
    <w:p>
      <w:pPr>
        <w:pStyle w:val="SourceNote"/>
      </w:pPr>
      <w:r>
        <w:rPr>
          <w:b/>
        </w:rPr>
        <w:t>Original source (2015):</w:t>
      </w:r>
      <w:r>
        <w:t xml:space="preserve"> https://doi.org/10.3917/rpve.541.0021</w:t>
      </w:r>
    </w:p>
    <w:p>
      <w:pPr/>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POSSIBLE 2026:</w:t>
      </w:r>
      <w:r>
        <w:t xml:space="preserve"> Cabanes, huttes, cases et autres chaumières… Les mots et les images de l’“infra-construction” dans l’Antiquité — https://doi.org/10.4000/15na1</w:t>
      </w:r>
    </w:p>
    <w:p>
      <w:pPr/>
      <w:r>
        <w:rPr>
          <w:b/>
        </w:rPr>
        <w:t>Shared claim-specific concepts:</w:t>
      </w:r>
      <w:r>
        <w:t xml:space="preserve"> les, pour, ici; EU scope not established. This is a provisional connection, not an outcome finding.</w:t>
      </w:r>
    </w:p>
    <w:p>
      <w:pPr>
        <w:pStyle w:val="SourceNote"/>
      </w:pPr>
      <w:r>
        <w:rPr>
          <w:b/>
        </w:rPr>
        <w:t>Available abstract (not full text):</w:t>
      </w:r>
      <w:r>
        <w:t xml:space="preserve"> Dans l’Antiquité, à côté de la construction “noble” en pierre, maçonnée, l’archéologie révèle de nombreux types de construction, en général en matériaux périssables (terre et bois), pour des bâtiments destinés à des usages divers, y compris d’habitation. On propose de qualifier ici ces édifices “modestes” d’infra-construction, un concept emprunté à l’ethnographie. Peut-on évaluer la part de cette plus humble architecture à travers sa perception par leurs contemporains, dans le monde antique – et notamment en Gaule – ? On propose ici, à l’attention des historiens et archéologues, de rechercher les occurrences de cette “infra-construction” dans les textes grecs et latins, voire l’épigraphie, ainsi que dans la documentation iconographique, avec toutes les précautions d’usage pour la mise en œuvre de telles sources : reliefs, mosaïques, peintures murales… Les données sont rassemblées dans les corpus proposés en annexe.</w:t>
      </w:r>
    </w:p>
    <w:p>
      <w:pPr/>
      <w:r>
        <w:rPr>
          <w:b/>
        </w:rPr>
        <w:t>POSSIBLE 2026:</w:t>
      </w:r>
      <w:r>
        <w:t xml:space="preserve"> Le miracle de la jambe noire ou La chair (re)composée comme idéal du corps chrétien dans les églises de la couronne de Castille au xvie siècle — https://doi.org/10.35562/theia.497</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Patrons des chirurgiens, les saints Côme et Damien sont vénérés depuis le ive siècle dans l’Église d’Occident pour une série de miracles et de guérisons posthumes attachés à leur culte. Parmi eux, le miracle dit « de la jambe noire » se diffuse particulièrement par l’image, devenant le principal évènement associé à leur invocation, notamment dans les royaumes de Castille où l’interprétation artistique du récit prend alors un tournant particulier. Echo politique à la situation esclavagiste et coloniale au xvie siècle ou vision thaumaturgique des progrès médicaux dans un contexte épidémique majeur, le traitement iconographique de la greffe opère un basculement dans la vision du corps idéal chrétien, désormais perçu dans son morcellement hybride comme l’incarnation du corps universel et fidèle de l’Église, porteur à l’image du Christ, des stigmates irréversibles de l’intervention céleste sur la chair.</w:t>
      </w:r>
    </w:p>
    <w:p>
      <w:pPr/>
      <w:r>
        <w:rPr>
          <w:b/>
        </w:rPr>
        <w:t>POSSIBLE 2025:</w:t>
      </w:r>
      <w:r>
        <w:t xml:space="preserve"> Considérations sur les limites des privatisations en droit espagnol — https://doi.org/10.35562/droit-public-compare.768</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Ce travail vise à analyser, sous l’angle juridique, le phénomène de la privatisation en Espagne et ses limites. Pour ce faire, il propose, dans un premier temps, une distinction conceptuelle entre la privatisation stricto sensu et la privatisation lato sensu, afin de rendre compte des manifestations d’un phénomène qui a pris de l’ampleur ces dernières années : l’expansion progressive du champ d’action des entités privées dans des secteurs ou à des activités qui étaient traditionnellement réservés aux pouvoirs publics. Dans un second temps, l’article s’interroge sur les éventuelles limites juridiques applicables à ce type de pratiques, à la lumière de la Constitution et des récents développements de la jurisprudence du Tribunal Supremo sur la question.</w:t>
      </w:r>
    </w:p>
    <w:p>
      <w:pPr/>
      <w:r>
        <w:rPr>
          <w:b/>
        </w:rPr>
        <w:t>POSSIBLE 2025:</w:t>
      </w:r>
      <w:r>
        <w:t xml:space="preserve"> Le droit d’être marchande à Marseille dans la seconde moitié de l’Ancien Régime — https://doi.org/10.35562/melete.191</w:t>
      </w:r>
    </w:p>
    <w:p>
      <w:pPr/>
      <w:r>
        <w:rPr>
          <w:b/>
        </w:rPr>
        <w:t>Shared claim-specific concepts:</w:t>
      </w:r>
      <w:r>
        <w:t xml:space="preserve"> tudie, les, pour, cet, article, mesure; EU scope not established. This is a provisional connection, not an outcome finding.</w:t>
      </w:r>
    </w:p>
    <w:p>
      <w:pPr>
        <w:pStyle w:val="SourceNote"/>
      </w:pPr>
      <w:r>
        <w:rPr>
          <w:b/>
        </w:rPr>
        <w:t>Available abstract (not full text):</w:t>
      </w:r>
      <w:r>
        <w:t xml:space="preserve"> Cet article étudie les pratiques économiques des femmes à l’aune du droit provençal et de sa jurisprudence aux xviie et xviiie siècles. La ville et le port de Marseille, alors en plein essor économique, permettent de comprendre en quoi les femmes marchandes font l’objet d’un traitement particulier et dans quelle mesure cela peut entraver la bonne marche de leurs affaires. Ainsi, il peut être difficile de se voir reconnaitre le statut de marchande et plus encore de percevoir des bénéfices pour les épouses de marchands.</w:t>
      </w:r>
    </w:p>
    <w:p>
      <w:pPr/>
      <w:r>
        <w:rPr>
          <w:b/>
        </w:rPr>
        <w:t>POSSIBLE 2025:</w:t>
      </w:r>
      <w:r>
        <w:t xml:space="preserve"> Impact du changement climatique sur les régimes hydrologiques des cantons du Jura et de Neuchâtel — https://openalex.org/W7222859641</w:t>
      </w:r>
    </w:p>
    <w:p>
      <w:pPr/>
      <w:r>
        <w:rPr>
          <w:b/>
        </w:rPr>
        <w:t>Shared claim-specific concepts:</w:t>
      </w:r>
      <w:r>
        <w:t xml:space="preserve"> nario, les, pour, une, ici; EU scope not established. This is a provisional connection, not an outcome finding.</w:t>
      </w:r>
    </w:p>
    <w:p>
      <w:pPr>
        <w:pStyle w:val="SourceNote"/>
      </w:pPr>
      <w:r>
        <w:rPr>
          <w:b/>
        </w:rPr>
        <w:t>Available abstract (not full text):</w:t>
      </w:r>
      <w:r>
        <w:t xml:space="preserve"> Ce travail s’intéresse aux conséquences du changement climatique actuel sur les régimes hydrologiques. L’objectif est d’identifier les impacts attendus sur les débits, et ce, principalement pour les débits extrêmes (étiage et crue). Pour les bassins versants des cantons du Jura et de Neuchâtel en Suisse, des modèles Pluie-Débit ont été créés, calibrés et validés. Ils ont permis de constituer des jeux de données de débits futurs (1981-2099) pour trois scénarios d’émissions (RCP2.6, RCP4.5 et RCP8.5). Ce travail révèle une diminution des débits d’étiage d’ici à la fin du siècle, et ce, principalement sous le scénario d’émission RCP8.5. L’impact du changement climatique sur les crues n’a pas pu être décelé avec cette méthodologie. Cela est principalement dû au pas de temps journalier des jeux de données utilisés et créés. Finalement, la diminution du stock d’eau sous forme de neige et de glace provoque un décalage saisonnier dans l’apparition des événements d’étiage et de crue.</w:t>
      </w:r>
    </w:p>
    <w:p>
      <w:pPr/>
      <w:r>
        <w:rPr>
          <w:b/>
        </w:rPr>
        <w:t>POSSIBLE 2025:</w:t>
      </w:r>
      <w:r>
        <w:t xml:space="preserve"> Les facteurs associés à la présence de trouble de stress post-traumatique chez la population générale en contexte de pandémie de COVID-19 — https://doi.org/10.71892/11143/1494</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La position socioéconomique peut contribuer aux inégalités sociales en matière de trouble de stress post-traumatique (TSPT) en raison d'une exposition différentielle aux déterminants sociaux de la santé. Nous avons examiné les différences entre les identités de genre et les revenus dans les associations entre les déterminants sociaux de la santé et le diagnostic médical autodéclaré de TSPT avant ou pendant la pandémie de COVID-19. Les données proviennent de 17 179 adultes âgés de 35 ans et plus ayant participé aux enquêtes sur la santé du Partenariat canadien pour la santé de demain (CanPath) en 2020 et 2021. Des analyses de régression logistique multivariables ont été utilisées pour examiner les associations entre le diagnostic de TSPT et les indicateurs de position socioéconomique, de conditions matérielles, ainsi que les déterminants biologiques, comportementaux, psychosociaux et liés au système de santé. Les analyses ont été stratifiées selon le genre et le niveau de revenu, et les termes d'interaction ont été testés. La prévalence des diagnostics de TSPT autodéclarés était de 3,0 % (n = 518). Dans les analyses ajustées, le diagnostic de TSPT était associé à l'incapacité de travailler en raison d'une maladie ou d'un handicap, à des symptômes d'anxiété ou de dépression et à la multimorbidité. Parmi les facteurs modifiables, le diagnostic de TSPT était associé à la consommati</w:t>
      </w:r>
    </w:p>
    <w:p>
      <w:pPr/>
      <w:r>
        <w:rPr>
          <w:b/>
        </w:rPr>
        <w:t>POSSIBLE 2025:</w:t>
      </w:r>
      <w:r>
        <w:t xml:space="preserve"> Andreï Roublev de Tarkovski : une hagiographie filmique ? — https://doi.org/10.66488/ulqg8172</w:t>
      </w:r>
    </w:p>
    <w:p>
      <w:pPr/>
      <w:r>
        <w:rPr>
          <w:b/>
        </w:rPr>
        <w:t>Shared claim-specific concepts:</w:t>
      </w:r>
      <w:r>
        <w:t xml:space="preserve"> lui, les, pour, une, cet, article; EU scope visible. This is a provisional connection, not an outcome finding.</w:t>
      </w:r>
    </w:p>
    <w:p>
      <w:pPr>
        <w:pStyle w:val="SourceNote"/>
      </w:pPr>
      <w:r>
        <w:rPr>
          <w:b/>
        </w:rPr>
        <w:t>Available abstract (not full text):</w:t>
      </w:r>
      <w:r>
        <w:t xml:space="preserve"> Andreï Roublev (xive-xve siècles), le plus célèbre des iconographes russes, semble auréolé de mysticisme dans le film que Tarkovski lui consacre en 1966. Pour autant, Andreï Roublev fait-il l’objet d’un traitement hagiographique dans le film ? En mettant en parallèle l’œuvre de Tarkovski avec le genre médiéval de l’hagiographie, cet article tente d’analyser les mécanismes qui contribuent à cette impression. Mais ces résonances hagiographiques sont très libres, et ont surtout une vocation esthétique. Un élément clé des Vies de saints est la distinction entre centre et périphérie, qui permet de conférer au protagoniste un statut exceptionnel. Ce schéma, en partie reconstruit dans le film, sert moins à faire d’Andreï un saint qu’à en faire un génie – un choix peu étonnant eu égard au contexte de création du film. Pourtant, alors que l’historiographie soviétique oppose strictement ces deux concepts du saint et du génie (comme en témoignent les biographies de Roublev écrites du temps de Tarkovski), le cinéaste tend à les réconcilier. Il emprunte le langage de l’hagiographie pour parler d’un artiste et, inversement, recourt à la figure de l’artiste pour évoquer le transcendant.</w:t>
      </w:r>
    </w:p>
    <w:p>
      <w:pPr/>
      <w:r>
        <w:rPr>
          <w:b/>
        </w:rPr>
        <w:t>POSSIBLE 2025:</w:t>
      </w:r>
      <w:r>
        <w:t xml:space="preserve"> Du cinéma au baccalauréat ? Définir une « matière cinéma » au lycée (1984-1995) — https://doi.org/10.4000/155qy</w:t>
      </w:r>
    </w:p>
    <w:p>
      <w:pPr/>
      <w:r>
        <w:rPr>
          <w:b/>
        </w:rPr>
        <w:t>Shared claim-specific concepts:</w:t>
      </w:r>
      <w:r>
        <w:t xml:space="preserve"> les, une, article; EU scope visible. This is a provisional connection, not an outcome finding.</w:t>
      </w:r>
    </w:p>
    <w:p>
      <w:pPr>
        <w:pStyle w:val="SourceNote"/>
      </w:pPr>
      <w:r>
        <w:rPr>
          <w:b/>
        </w:rPr>
        <w:t>Available abstract (not full text):</w:t>
      </w:r>
      <w:r>
        <w:t xml:space="preserve"> Le présent article se propose d’analyser la création et la pérennisation des options Cinéma et audiovisuel au lycée entre 1984 et 1995 en France. À partir d’un corpus de sources diverses, notamment une dizaine d’entretiens réalisés auprès d’enseignants ayant participé à ces premières « classes cinéma », il s’agit d’analyser la naissance d’un réseau spécifique autour des « premiers » professeurs de cinéma, mais également l’offre de formation qui leur est proposée, la conception des programmes, des évaluations et le choix des films étudiés, ainsi que les différents débats que suscite l’introduction de cette nouvelle « matière cinéma » au baccalauréat. Cette reconnaissance officielle est ainsi une étape majeure dans le long processus de légitimation du statut artistique du cinéma qui tend à devenir, du moins en principe, un enseignement à part entière, au même titre que la musique, le théâtre ou les arts plastiques.</w:t>
      </w:r>
    </w:p>
    <w:p>
      <w:pPr/>
      <w:r>
        <w:rPr>
          <w:b/>
        </w:rPr>
        <w:t>POSSIBLE 2025:</w:t>
      </w:r>
      <w:r>
        <w:t xml:space="preserve"> Développement de stratégies de production écrite en FLE à travers un dispositif hybride — https://doi.org/10.70675/19c50e6cz500dz4fa5z842fz1410618132f3</w:t>
      </w:r>
    </w:p>
    <w:p>
      <w:pPr/>
      <w:r>
        <w:rPr>
          <w:b/>
        </w:rPr>
        <w:t>Shared claim-specific concepts:</w:t>
      </w:r>
      <w:r>
        <w:t xml:space="preserve"> second, nario, les, cadre, pour, une; EU scope not established. This is a provisional connection, not an outcome finding.</w:t>
      </w:r>
    </w:p>
    <w:p>
      <w:pPr>
        <w:pStyle w:val="SourceNote"/>
      </w:pPr>
      <w:r>
        <w:rPr>
          <w:b/>
        </w:rPr>
        <w:t>Available abstract (not full text):</w:t>
      </w:r>
      <w:r>
        <w:t xml:space="preserve"> Cette recherche empirique s’inscrit dans le domaine de la didactique du français langue étrangère (FLE). Elle a pour objet l’enseignement explicite des stratégies de production écrite (SPE), au sein d’une formation hybride en langues (FHL) dédiée à la préparation du DELF B1 en contexte universitaire à Mexico. La question de recherche qu’elle poursuit est de savoir de quelle manière les apprenants mobilisent et développent ces stratégies au cours de la formation. Afin d’y répondre, nous avons, dans un premier temps, conçu un scénario pédagogique hybride centré sur l’explicitation et l’enseignement des stratégies d’écriture, aligné sur la perspective actionnelle et en adéquation avec le cadre théorique établi. Une étude de cas multiples nous a, dans un second temps, permis de recueillir des données, le tout en appui sur une posture de praticien-chercheur.La conception de la formation hybride est partie de constats issus de l’observation des pratiques d’enseignement de la production écrite dans l’établissement, marquées par une focalisation sur la correction grammaticale et orthographique, une attention limitée au processus de planification et de révision, ainsi qu’un écart entre les orientations institutionnels et les pratiques effectives des enseignants. À partir de ces constats, la formation a fait évoluer un enseignement de l’écrit préexistant, majoritairement focalisé sur le </w:t>
      </w:r>
    </w:p>
    <w:p>
      <w:pPr/>
      <w:r>
        <w:rPr>
          <w:b/>
        </w:rPr>
        <w:t>POSSIBLE 2025:</w:t>
      </w:r>
      <w:r>
        <w:t xml:space="preserve"> Developing Writing Strategies in French as a Foreign Language through a Blended Learning Program — https://openalex.org/W7140154779</w:t>
      </w:r>
    </w:p>
    <w:p>
      <w:pPr/>
      <w:r>
        <w:rPr>
          <w:b/>
        </w:rPr>
        <w:t>Shared claim-specific concepts:</w:t>
      </w:r>
      <w:r>
        <w:t xml:space="preserve"> second, nario, les, cadre, pour, une; EU scope not established. This is a provisional connection, not an outcome finding.</w:t>
      </w:r>
    </w:p>
    <w:p>
      <w:pPr>
        <w:pStyle w:val="SourceNote"/>
      </w:pPr>
      <w:r>
        <w:rPr>
          <w:b/>
        </w:rPr>
        <w:t>Available abstract (not full text):</w:t>
      </w:r>
      <w:r>
        <w:t xml:space="preserve"> Cette recherche empirique s’inscrit dans le domaine de la didactique du français langue étrangère (FLE). Elle a pour objet l’enseignement explicite des stratégies de production écrite (SPE), au sein d’une formation hybride en langues (FHL) dédiée à la préparation du DELF B1 en contexte universitaire à Mexico. La question de recherche qu’elle poursuit est de savoir de quelle manière les apprenants mobilisent et développent ces stratégies au cours de la formation. Afin d’y répondre, nous avons, dans un premier temps, conçu un scénario pédagogique hybride centré sur l’explicitation et l’enseignement des stratégies d’écriture, aligné sur la perspective actionnelle et en adéquation avec le cadre théorique établi. Une étude de cas multiples nous a, dans un second temps, permis de recueillir des données, le tout en appui sur une posture de praticien-chercheur.La conception de la formation hybride est partie de constats issus de l’observation des pratiques d’enseignement de la production écrite dans l’établissement, marquées par une focalisation sur la correction grammaticale et orthographique, une attention limitée au processus de planification et de révision, ainsi qu’un écart entre les orientations institutionnels et les pratiques effectives des enseignants. À partir de ces constats, la formation a fait évoluer un enseignement de l’écrit préexistant, majoritairement focalisé sur le </w:t>
      </w:r>
    </w:p>
    <w:p>
      <w:pPr/>
      <w:r>
        <w:rPr>
          <w:b/>
        </w:rPr>
        <w:t>POSSIBLE 2024:</w:t>
      </w:r>
      <w:r>
        <w:t xml:space="preserve"> Le droit public comparé en Amérique latine — https://doi.org/10.35562/droit-public-compare.168</w:t>
      </w:r>
    </w:p>
    <w:p>
      <w:pPr/>
      <w:r>
        <w:rPr>
          <w:b/>
        </w:rPr>
        <w:t>Shared claim-specific concepts:</w:t>
      </w:r>
      <w:r>
        <w:t xml:space="preserve"> les, pour, une, cet, article, mesure; EU scope not established. This is a provisional connection, not an outcome finding.</w:t>
      </w:r>
    </w:p>
    <w:p>
      <w:pPr>
        <w:pStyle w:val="SourceNote"/>
      </w:pPr>
      <w:r>
        <w:rPr>
          <w:b/>
        </w:rPr>
        <w:t>Available abstract (not full text):</w:t>
      </w:r>
      <w:r>
        <w:t xml:space="preserve"> L’Amérique latine est indéniablement une terre de comparatisme. Ce constat est particulièrement vrai en droit public, dans la mesure où, dans les différents pays de la zone, cette branche du droit s’est souvent construite à travers l’importation d’objets juridiques étrangers. Malgré cette historicité, la pratique de la comparaison y demeure hétérogène, compliquant toute entreprise de systématisation. Pour contourner cet obstacle, l’article propose une approche plus exploratoire, à travers l’analyse des cinq grands traits de ce droit public comparé. Celui-ci apparaît congénital (c’est-à-dire, intrinsèquement lié à son contexte de naissance), total (dans le sens où tout y est comparé car tout est comparable), instrumental (dans la mesure où la comparaison y a des finalités claires), mais aussi, à certains égards, pathologique (puisqu’il a pu conduire à des impasses), expliquant les efforts plus récents de renouvellement (avec une prise en compte accrue des cultures juridiques nationales).</w:t>
      </w:r>
    </w:p>
    <w:p>
      <w:pPr/>
      <w:r>
        <w:rPr>
          <w:b/>
        </w:rPr>
        <w:t>POSSIBLE 2024:</w:t>
      </w:r>
      <w:r>
        <w:t xml:space="preserve"> Analyse des données actimétriques et prédiction par LSTM des phases de sommeil chez une population âgée institutionnalisée — https://doi.org/10.70675/d5cdad44z81b7z4a07zb318ze626e7fb2d8b</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pStyle w:val="Heading2"/>
      </w:pPr>
      <w:r>
        <w:t>917. The pitfalls of ecological forecasting</w:t>
      </w:r>
    </w:p>
    <w:p>
      <w:pPr>
        <w:pStyle w:val="SourceNote"/>
      </w:pPr>
      <w:r>
        <w:rPr>
          <w:b/>
        </w:rPr>
        <w:t>Original source (2015):</w:t>
      </w:r>
      <w:r>
        <w:t xml:space="preserve"> https://doi.org/10.1111/bij.12579</w:t>
      </w:r>
    </w:p>
    <w:p>
      <w:pPr/>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POSSIBLE 2026:</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r>
        <w:rPr>
          <w:b/>
        </w:rPr>
        <w:t>Shared claim-specific concepts:</w:t>
      </w:r>
      <w:r>
        <w:t xml:space="preserve"> long-term, biological, data, other; EU scope not established. This is a provisional connection, not an outcome finding.</w:t>
      </w:r>
    </w:p>
    <w:p>
      <w:pPr>
        <w:pStyle w:val="SourceNote"/>
      </w:pPr>
      <w:r>
        <w:rPr>
          <w:b/>
        </w:rPr>
        <w:t>Available abstract (not full text):</w:t>
      </w:r>
      <w:r>
        <w:t xml:space="preserve">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pPr/>
      <w:r>
        <w:rPr>
          <w:b/>
        </w:rPr>
        <w:t>POSSIBLE 2026:</w:t>
      </w:r>
      <w:r>
        <w:t xml:space="preserve"> Increasing Inclusivity in Biological Recording in the United Kingdom: Progress to Date and Future Priorities — https://doi.org/10.5334/cstp.894</w:t>
      </w:r>
    </w:p>
    <w:p>
      <w:pPr/>
      <w:r>
        <w:rPr>
          <w:b/>
        </w:rPr>
        <w:t>Shared claim-specific concepts:</w:t>
      </w:r>
      <w:r>
        <w:t xml:space="preserve"> biological, recording, schemes, data, ecological, other; EU scope not established. This is a provisional connection, not an outcome finding.</w:t>
      </w:r>
    </w:p>
    <w:p>
      <w:pPr>
        <w:pStyle w:val="SourceNote"/>
      </w:pPr>
      <w:r>
        <w:rPr>
          <w:b/>
        </w:rPr>
        <w:t>Available abstract (not full text):</w:t>
      </w:r>
      <w:r>
        <w:t xml:space="preserve">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pPr/>
      <w:r>
        <w:rPr>
          <w:b/>
        </w:rPr>
        <w:t>POSSIBLE 2026:</w:t>
      </w:r>
      <w:r>
        <w:t xml:space="preserve"> Long-term nutrient management reshapes soil carbon fractions and biological fertility: Evidence from a 43-year semi-arid Vertisol experiment — https://doi.org/10.14719/pst.15338</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Improving soil carbon quality and biological fertility through long-term nutrient management is essential for sustaining productivity, reducing input dependence and enhancing climate resilience in rainfed Vertisols. This study evaluated the effects of nine treatments including control, inorganic fertilisation (50 % RDF, 100 % RDF, RDF + Zn), organic amendments [farmyard manure (FYM) (50 % NFYM, sole FYM), crop residues (CR) (50 % NCR)] and integrated nutrient management (INMFYM, INMCR) on soil carbon pools, oxidisable carbon fractions, carbon management indices (CMI) and enzyme activities in a permanent manurial experiment. Soil organic carbon (SOC) ranged from 5.66 (control) to 11.19 g kg-1 (INMFYM), both in the cotton phase. Inorganic treatments enhanced soil inorganic carbon (SIC), suggesting an inverse relationship with organic inputs. Sole FYM enriched the very labile fraction, whereas INM enhanced the labile and less labile fractions and non-labile carbon was highest under RDF + Zn. CMI ranged from 136.7–307.1 and was highest under sole FYM. The 50 % NFYM recorded higher permanganate oxidisable carbon (POXC) and microbial biomass carbon (MBC) than 100 % RDF despite lower SOC, highlighting the importance of substrate quality. Enzyme activities were consistently lower in the cotton phase. Structural equation modelling indicated that SOC was associated with dehydrogenase act</w:t>
      </w:r>
    </w:p>
    <w:p>
      <w:pPr/>
      <w:r>
        <w:rPr>
          <w:b/>
        </w:rPr>
        <w:t>POSSIBLE 2026:</w:t>
      </w:r>
      <w:r>
        <w:t xml:space="preserve"> The Last Evolutionary Transition? Artificial Consciousness, Post-Biological Humanity, and the Long-Term Fate of Technological Civilizations — https://doi.org/10.5281/zenodo.22143695</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This conceptual paper examines whether the long-term transition toward interstellar civilization may require not only more capable spacecraft, but a transformation of the traveler itself. Human intelligence emerged in biological organisms adapted to terrestrial conditions. Rather than assuming that this biological form remains fixed indefinitely, the paper explores possible transitions from biological and trans-biological existence toward post-biological forms of intelligence, including synthetic embodiment, human–AI integration, distributed cognition, and hypothetical substrate migration. A central distinction is developed between replacement and continuation. Artificial systems may simply outlive their biological creators, or biological and artificial cognition may progressively converge until the distinction between creator and creation no longer adequately describes the resulting civilization. This possibility leads directly to unresolved problems of personal identity and phenomenal consciousness: functional duplication, memory preservation, or gradual neural replacement do not by themselves establish continuity of first-person experience. The analysis extends these questions to agency, motivational persistence, value drift, mortality, civilizational fragmentation, and the distinction between causal and normative continuity. It asks not merely whether a technological lineag</w:t>
      </w:r>
    </w:p>
    <w:p>
      <w:pPr/>
      <w:r>
        <w:rPr>
          <w:b/>
        </w:rPr>
        <w:t>POSSIBLE 2026:</w:t>
      </w:r>
      <w:r>
        <w:t xml:space="preserve"> Cropping systems and agricultural sustainability: the role of long-term field experiments in the Mediterranean region — https://openalex.org/W7214567362</w:t>
      </w:r>
    </w:p>
    <w:p>
      <w:pPr/>
      <w:r>
        <w:rPr>
          <w:b/>
        </w:rPr>
        <w:t>Shared claim-specific concepts:</w:t>
      </w:r>
      <w:r>
        <w:t xml:space="preserve"> long-term, biological, rather, experiments, data, drivers; EU scope visible. This is a provisional connection, not an outcome finding.</w:t>
      </w:r>
    </w:p>
    <w:p>
      <w:pPr>
        <w:pStyle w:val="SourceNote"/>
      </w:pPr>
      <w:r>
        <w:rPr>
          <w:b/>
        </w:rPr>
        <w:t>Available abstract (not full text):</w:t>
      </w:r>
      <w:r>
        <w:t xml:space="preserve"> This thesis examines the role of Long-Term Field Experiments (LTEs) in characterising the agronomic sustainability of Mediterranean rainfed cereal-based cropping systems. It combines a national database of Italian LTEs—developed to harmonise information on the experiments and their associated publications, and to assess their comparability and thematic coverage—with a multi-year analysis of differences between conventional and organic management in durum wheat and weed responses along agrometeorological and edaphic drivers. The multi-year analysis was conducted in the MASCOT (Mediterranean Arable Systems Comparison Trial) case study, located at the ‘Enrico Avanzi’ Centre for Agro-Environmental Research of the University of Pisa, using data collected from 2002 to 2016. The database systematised information on 27 LTEs, distributed across 10 regions, and 111 associated publications, revealing a marked concentration in northern Italy and thematic coverage predominantly focused on soil chemical quality and productivity, with soil biological and physical quality and greenhouse gas emissions being less represented. Within MASCOT, the associations linking growing degree days and cumulative rainfall to durum wheat and weed responses were strongly phase-specific and differed between management systems; crop-cycle length also highlighted trade-offs among grain yield, grain nitrogen conten</w:t>
      </w:r>
    </w:p>
    <w:p>
      <w:pPr/>
      <w:r>
        <w:rPr>
          <w:b/>
        </w:rPr>
        <w:t>POSSIBLE 2026:</w:t>
      </w:r>
      <w:r>
        <w:t xml:space="preserve"> Biocompatible Lubricant-Coated Flexible Neural Probes with Enhanced Long-Term Recording Stability — https://doi.org/10.1021/acsabm.5c02232</w:t>
      </w:r>
    </w:p>
    <w:p>
      <w:pPr/>
      <w:r>
        <w:rPr>
          <w:b/>
        </w:rPr>
        <w:t>Shared claim-specific concepts:</w:t>
      </w:r>
      <w:r>
        <w:t xml:space="preserve"> long-term, biological, recording, because, however; EU scope not established. This is a provisional connection, not an outcome finding.</w:t>
      </w:r>
    </w:p>
    <w:p>
      <w:pPr>
        <w:pStyle w:val="SourceNote"/>
      </w:pPr>
      <w:r>
        <w:rPr>
          <w:b/>
        </w:rPr>
        <w:t>Available abstract (not full text):</w:t>
      </w:r>
      <w:r>
        <w:t xml:space="preserve"> Implantable neural probes enable high-resolution, multi-unit recordings and are essential tools for studying neurological disorders and developing brain-machine interface (BMI) technologies. However, conventional metal- or silicon-based probes exhibit significant mechanical mismatch with brain tissue, both of which elicit inflammatory responses and compromise long-term recording stability. Here, we introduce a flexible neural probe fabricated through a commercial flexible printed circuit board (FPCB) process and functionalized with a biocompatible lubricant coating to overcome these challenges. The inherent flexibility of the FPCB minimizes mechanical mismatch with brain tissue, while the coating enhances surface hydrophobicity and reduces insertion friction, thereby minimizing tissue damage during implantation. Its resistance to water ingress contributes to maintaining the probe's electrical insulation stability, supporting stable long-term performance. In chronic mouse hippocampal implants, lubricant-coated probes maintained consistent neural signal quality for several weeks, while immunohistochemical analysis revealed markedly reduced astrocytic and microglial activation (GFAP/Iba1) compared with uncoated controls, indicating effective mitigation of neuroinflammation. In vitro cell viability assays further confirmed the high biocompatibility of the coated devices. Importantl</w:t>
      </w:r>
    </w:p>
    <w:p>
      <w:pPr/>
      <w:r>
        <w:rPr>
          <w:b/>
        </w:rPr>
        <w:t>POSSIBLE 2026:</w:t>
      </w:r>
      <w:r>
        <w:t xml:space="preserve"> Insights from Lithuanian long-term soil management experiments: soil organic matter stability and carbon sequestration — https://openalex.org/W7213488999</w:t>
      </w:r>
    </w:p>
    <w:p>
      <w:pPr/>
      <w:r>
        <w:rPr>
          <w:b/>
        </w:rPr>
        <w:t>Shared claim-specific concepts:</w:t>
      </w:r>
      <w:r>
        <w:t xml:space="preserve"> long-term, biological, rather, experiments, provide, drivers; EU scope visible. This is a provisional connection, not an outcome finding.</w:t>
      </w:r>
    </w:p>
    <w:p>
      <w:pPr>
        <w:pStyle w:val="SourceNote"/>
      </w:pPr>
      <w:r>
        <w:rPr>
          <w:b/>
        </w:rPr>
        <w:t>Available abstract (not full text):</w:t>
      </w:r>
      <w:r>
        <w:t xml:space="preserve"> The study presents the findings of long-term soil management experiments established in Lithuania since 1967 and 2000. These experiments provide valuable insights into soil organic matter (SOM) transformation, stability, and carbon (C) sequestration under contrasting agrotechnological systems. The research evaluated the long-term effects of deep ploughing; no-till systems combined with cover crops and straw incorporation; and mineral and organic fertilisation, monoculture, and diversified crop rotations on soil physicochemical, biological, and spectroscopic properties. Deep ploughing significantly increased CO₂ emissions from the soil surface for 1.5–2 months after fulfilment due to enhanced soil aeration. It accelerated SOM mineralisation compared to no-till with or without cover crops. In contrast, no-till systems promoted greater accumulation of total organic carbon and stable humin fractions in the topsoil. The integration of cover crops and residue retention further strengthened these effects by sustaining continuous organic matter inputs and improving soil structural stability. Intensive crop rotations enriched with legumes, perennial grasses, and organic fertilisation significantly enhanced soil biological activity and enzyme functioning compared with continuous bare fallow and unfertilised monoculture systems. Saccharase activity increased up to 6.2-fold and urease acti</w:t>
      </w:r>
    </w:p>
    <w:p>
      <w:pPr/>
      <w:r>
        <w:rPr>
          <w:b/>
        </w:rPr>
        <w:t>POSSIBLE 2026:</w:t>
      </w:r>
      <w:r>
        <w:t xml:space="preserve"> Seasonal dynamics of soil biological properties under long‐term cereal rye cover cropping in a no‐till corn–soybean rotation in Southeastern Indiana — https://doi.org/10.1002/saj2.70325</w:t>
      </w:r>
    </w:p>
    <w:p>
      <w:pPr/>
      <w:r>
        <w:rPr>
          <w:b/>
        </w:rPr>
        <w:t>Shared claim-specific concepts:</w:t>
      </w:r>
      <w:r>
        <w:t xml:space="preserve"> biological, rather; EU scope not established. This is a provisional connection, not an outcome finding.</w:t>
      </w:r>
    </w:p>
    <w:p>
      <w:pPr>
        <w:pStyle w:val="SourceNote"/>
      </w:pPr>
      <w:r>
        <w:rPr>
          <w:b/>
        </w:rPr>
        <w:t>Available abstract (not full text):</w:t>
      </w:r>
      <w:r>
        <w:t xml:space="preserve"> Abstract Cover crops are widely used in corn ( Zea mays L.)–soybean ( Glycine max ) systems to improve soil health, yet seasonally dynamic responses of soil biological properties to long‐term cover cropping remain not fully understood, particularly in the low‐organic matter Alfisols of the eastern Corn Belt. We evaluated the effects of more than a decade of cereal rye ( Secale cereale L.) cover cropping on soil biological properties in a no‐till corn–soybean rotation in southeastern Indiana in a field experiment established in 2011. Soil samples were collected at two depths (0–10 and 10–20 cm) during fall, spring, and summer in 2023–2024 and analyzed for microbial biomass carbon and nitrogen (soil microbial biomass carbon [SMBC] and soil microbial biomass nitrogen [SMBN]), potentially mineralizable carbon (PMC), permanganate‐oxidizable carbon (POXC), autoclaved citrate‐extractable (ACE) protein, and enzyme activities associated with carbon (C), nitrogen (N), and phosphorus (P) cycling. Cover cropping increased SMBC, SMBN, and PMC, with treatment effects varying by season and soil depth. Cover crop effects on microbial biomass and PMC were most pronounced during spring and were largely confined to the 0–10 cm. In contrast, POXC, ACE protein, and enzyme responses were indicator‐specific; acid phosphatase activity increased under cover cropping and peaked in summer, whereas POXC, </w:t>
      </w:r>
    </w:p>
    <w:p>
      <w:pPr/>
      <w:r>
        <w:rPr>
          <w:b/>
        </w:rPr>
        <w:t>POSSIBLE 2026:</w:t>
      </w:r>
      <w:r>
        <w:t xml:space="preserve"> Plant Crude Polysaccharide‐Enabled Hydrogel Electrodes for Long‐Term Stable EMG Recording — https://doi.org/10.1002/adfm.79041</w:t>
      </w:r>
    </w:p>
    <w:p>
      <w:pPr/>
      <w:r>
        <w:rPr>
          <w:b/>
        </w:rPr>
        <w:t>Shared claim-specific concepts:</w:t>
      </w:r>
      <w:r>
        <w:t xml:space="preserve"> recording, often, interactions, however, incorporating; EU scope not established. This is a provisional connection, not an outcome finding.</w:t>
      </w:r>
    </w:p>
    <w:p>
      <w:pPr>
        <w:pStyle w:val="SourceNote"/>
      </w:pPr>
      <w:r>
        <w:rPr>
          <w:b/>
        </w:rPr>
        <w:t>Available abstract (not full text):</w:t>
      </w:r>
      <w:r>
        <w:t xml:space="preserve"> ABSTRACT Conductive hydrogels with high conductivity, flexibility, skin compatibility, and long‐term stability are essential for reliable bioelectrical signal recording in flexible bioelectronic interfaces for wearable health monitoring and human‐machine interaction. However, additive‐based enhancement often disrupts the intrinsic hydrogel network, leading to trade‐offs among conductivity, flexibility, biocompatibility, and long‐term stability. To address this challenge, we propose a conductive hydrogel formation strategy based on the endogenous synergy of plant‐derived polysaccharides. As a representative system, we constructed a gelatin/PCA‐Na hydrogel incorporating safflower crude polysaccharides, which was denoted as GPP. Plant‐derived polysaccharide systems contain abundant hydrophilic groups and active components, including phenolic and ketone groups, which introduce multiple hydrogen bonds and non‐covalent interactions into the hydrogel network. As a result, GPP exhibits strong overall performance, with an adhesion strength of 50.1 kPa and a conductivity of 6.3 S m −1 . Moreover, it enables repeated EMG recordings during 7‐day continuous wear, with the signal‐to‐noise ratio remaining above 30 dB, indicating stable skin contact and reliable signal output. In addition, the endogenous synergy mechanism was extended to Prunella vulgaris crude polysaccharides. Overall, this w</w:t>
      </w:r>
    </w:p>
    <w:p>
      <w:pPr/>
      <w:r>
        <w:rPr>
          <w:b/>
        </w:rPr>
        <w:t>POSSIBLE 2026:</w:t>
      </w:r>
      <w:r>
        <w:t xml:space="preserve"> Quantifying soybean biological nitrogen fixation using long-term isotope enrichment — https://doi.org/10.1007/s11104-026-08810-2</w:t>
      </w:r>
    </w:p>
    <w:p>
      <w:pPr/>
      <w:r>
        <w:rPr>
          <w:b/>
        </w:rPr>
        <w:t>Shared claim-specific concepts:</w:t>
      </w:r>
      <w:r>
        <w:t xml:space="preserve"> long-term, biological, however; EU scope not established. This is a provisional connection, not an outcome finding.</w:t>
      </w:r>
    </w:p>
    <w:p>
      <w:pPr>
        <w:pStyle w:val="SourceNote"/>
      </w:pPr>
      <w:r>
        <w:rPr>
          <w:b/>
        </w:rPr>
        <w:t>Available abstract (not full text):</w:t>
      </w:r>
      <w:r>
        <w:t xml:space="preserve"> Abstract Background and aims Biological nitrogen fixation (BNF) supplies much of soybean ( Glycine max (L.) Merr.) nitrogen (N) demand, but reported fixation rates vary widely, leading to uncertainty in the soybean N cycle. We quantified whole-plant soybean BNF and N allocation using long-term 15 N labeling to assess whether BNF can offset grain N removal in a high-yielding system, and to quantify root contributions to fixed N. Methods Field mesocosms in Iowa, USA received three legacy fertilizer N rates as 2 atom% 15 N-enriched urea for four prior seasons of maize ( Zea mays L.) production. In 2024, N-fixing and non-N-fixing soybeans were grown to physiological maturity. Grain, aboveground biomass, and roots were analyzed to quantify BNF and to estimate whole-plant N budget. Results Soybean derived 81.8% ± 1% (SE) of total plant N from BNF. Legacy N rate had no effect on whole-plant N accumulation, BNF, or N partitioning among tissues (p &gt; 0.05). Roots contained ~2% of total fixed N, with most BNF-derived N allocated to grain. High grain N removal was largely offset by BNF (174.7 ± 8.9 kg N ha −1 ), resulting in a near-neutral partial N balance (−5.7 ± 2 kg N ha⁻ 1 ). Conclusion From this one-season mesocosm study, our finding of negligible fixed N in soybean roots indicates that neglecting root BNF does not necessarily bias conclusions about soybean N cycle. However, the comb</w:t>
      </w:r>
    </w:p>
    <w:p>
      <w:pPr/>
      <w:r>
        <w:rPr>
          <w:b/>
        </w:rPr>
        <w:t>POSSIBLE 2026:</w:t>
      </w:r>
      <w:r>
        <w:t xml:space="preserve"> HEEPidermis: A Versatile SoC for BioZ Recording — https://doi.org/10.1109/lascas67804.2026.11457136</w:t>
      </w:r>
    </w:p>
    <w:p>
      <w:pPr/>
      <w:r>
        <w:rPr>
          <w:b/>
        </w:rPr>
        <w:t>Shared claim-specific concepts:</w:t>
      </w:r>
      <w:r>
        <w:t xml:space="preserve"> long-term, biological, recording, experiments; EU scope not established. This is a provisional connection, not an outcome finding.</w:t>
      </w:r>
    </w:p>
    <w:p>
      <w:pPr>
        <w:pStyle w:val="SourceNote"/>
      </w:pPr>
      <w:r>
        <w:rPr>
          <w:b/>
        </w:rPr>
        <w:t>Available abstract (not full text):</w:t>
      </w:r>
      <w:r>
        <w:t xml:space="preserve"> Biological impedance (BioZ) is an information-packed modality that allows for non-invasive monitoring of health and emotional state. Currently, most research involving tissue impedance is based on bulky or fixed-purpose hardware, which limits the scope of research and the possibilities of experiments. In this work, we present HEEPidermis: a System-on-Chip (SoC) which integrates all the blocks needed for tissue impedance measurement, including two 8-bit, arbitrary-signal current DACs, two VCO-based ADCs, and a RISC-V CPU to enable on-chip feature extraction for closed-loop operation. An event-based sub-sampler improves storage and energy efficiency for long-term recording. In addition to the versatile SoC, the digital back-end and behavioral models of the analog front-end are open-source, allowing fast system-level simulations or repurposing. The SoC was taped out on TSMC 65 nm LP process.</w:t>
      </w:r>
    </w:p>
    <w:p>
      <w:pPr/>
      <w:r>
        <w:rPr>
          <w:b/>
        </w:rPr>
        <w:t>POSSIBLE 2025:</w:t>
      </w:r>
      <w:r>
        <w:t xml:space="preserve"> Biological recording underpins the conservation assessment of designated species: the recent case studies of the endangered white-clawed crayfish and near threatened otter — https://openalex.org/W7135647641</w:t>
      </w:r>
    </w:p>
    <w:p>
      <w:pPr/>
      <w:r>
        <w:rPr>
          <w:b/>
        </w:rPr>
        <w:t>Shared claim-specific concepts:</w:t>
      </w:r>
      <w:r>
        <w:t xml:space="preserve"> long-term, biological, recording, data; EU scope visible. This is a provisional connection, not an outcome finding.</w:t>
      </w:r>
    </w:p>
    <w:p>
      <w:pPr>
        <w:pStyle w:val="SourceNote"/>
      </w:pPr>
      <w:r>
        <w:rPr>
          <w:b/>
        </w:rPr>
        <w:t>Available abstract (not full text):</w:t>
      </w:r>
      <w:r>
        <w:t xml:space="preserve">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pPr>
        <w:pStyle w:val="Heading2"/>
      </w:pPr>
      <w:r>
        <w:t>918. Three scenarios for industrial relations in Europe</w:t>
      </w:r>
    </w:p>
    <w:p>
      <w:pPr>
        <w:pStyle w:val="SourceNote"/>
      </w:pPr>
      <w:r>
        <w:rPr>
          <w:b/>
        </w:rPr>
        <w:t>Original source (2015):</w:t>
      </w:r>
      <w:r>
        <w:t xml:space="preserve"> https://doi.org/10.1111/j.1564-913x.2015.00221.x</w:t>
      </w:r>
    </w:p>
    <w:p>
      <w:pPr/>
      <w:r>
        <w:t>Original wording (abstract; indexed_source_text_not_full_document_verified):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POSSIBLE 2026:</w:t>
      </w:r>
      <w:r>
        <w:t xml:space="preserve"> Building a European Understanding of Police-Academic Relations — https://doi.org/10.5553/ejps.2026.31</w:t>
      </w:r>
    </w:p>
    <w:p>
      <w:pPr/>
      <w:r>
        <w:rPr>
          <w:b/>
        </w:rPr>
        <w:t>Shared claim-specific concepts:</w:t>
      </w:r>
      <w:r>
        <w:t xml:space="preserve"> relations, second; EU scope visible. This is a provisional connection, not an outcome finding.</w:t>
      </w:r>
    </w:p>
    <w:p>
      <w:pPr>
        <w:pStyle w:val="SourceNote"/>
      </w:pPr>
      <w:r>
        <w:rPr>
          <w:b/>
        </w:rPr>
        <w:t>Available abstract (not full text):</w:t>
      </w:r>
      <w:r>
        <w:t xml:space="preserve"> This double special issue builds on a 2018 EJPS special issue titled “Police-academic partnerships: Working with the police in policing,” edited by Matthew Bacon, Joanna Shapland and Layla Skinns, and a subsequent article in Evidence &amp; Policy by Bacon, Shapland, Skinns, and White (2021) on the fragility and sustainability of police-academic partnerships. As such, the present issue advances global discussions of how police-academic relations develop and function across different contexts, highlighting the challenges and opportunities they create and exploring how they are shaped by power, trust, funding and local political dynamics. While Bacon and colleagues’ (2018) special issue featured contributions from England, Scotland, Belgium, Australia and Canada, the present issue builds on the English, Scottish and Belgian experiences and extends the discussion through new reflections from Iceland, Germany, Poland and Norway. As part of a broader project by the European Society of Criminology Working Group on Policing (ESC WGP), this issue provides an important reflective space for scholars to examine the status of police-academic relations in their respective countries and consider how these could develop in the future. This introduction contextualizes this special issue’s unique contribution. It begins by highlighting what sets it apart from previous work on police-academic relatio</w:t>
      </w:r>
    </w:p>
    <w:p>
      <w:pPr/>
      <w:r>
        <w:rPr>
          <w:b/>
        </w:rPr>
        <w:t>POSSIBLE 2025:</w:t>
      </w:r>
      <w:r>
        <w:t xml:space="preserve"> Digital Currencies in Context: A Cross-Regional Study of Blockchain Adoption in the U.S. and Europe — https://doi.org/10.33423/jabe.v27i6.7943</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This article examines the adoption of blockchain and cryptocurrency within the digital transformation of the U.S. and European economies. It analyzes external and internal factors limiting diffusion and outlines three schools of thought among economists—from skeptics to advocates of technological growth. Using theoretical analysis, empirical data, and assessments from international organizations, the study finds that blockchain and cryptocurrencies hold significant yet delayed potential as drivers of structural economic transformation. The authors emphasize the importance of institutional maturity, regulatory harmonization, and the development of digital literacy to achieve a macro-level impact.</w:t>
      </w:r>
    </w:p>
    <w:p>
      <w:pPr/>
      <w:r>
        <w:rPr>
          <w:b/>
        </w:rPr>
        <w:t>POSSIBLE 2025:</w:t>
      </w:r>
      <w:r>
        <w:t xml:space="preserve"> The future of the colonial system as assessed by experts of the Council on Foreign Relations during the Second World War — https://doi.org/10.48015/2076-7404-2025-17-1-141-161</w:t>
      </w:r>
    </w:p>
    <w:p>
      <w:pPr/>
      <w:r>
        <w:rPr>
          <w:b/>
        </w:rPr>
        <w:t>Shared claim-specific concepts:</w:t>
      </w:r>
      <w:r>
        <w:t xml:space="preserve"> author, outlines, relations, second; EU scope visible. This is a provisional connection, not an outcome finding.</w:t>
      </w:r>
    </w:p>
    <w:p>
      <w:pPr>
        <w:pStyle w:val="SourceNote"/>
      </w:pPr>
      <w:r>
        <w:rPr>
          <w:b/>
        </w:rPr>
        <w:t>Available abstract (not full text):</w:t>
      </w:r>
      <w:r>
        <w:t xml:space="preserve"> During World War II, the colonial issue was at the forefront of both the fight of the anti-Hitler coalition against the Axis powers and the inter-allied discussion of the prospects for the post-war world order. In this context, the perspectives of the U.S. experts affiliated with the Council on Foreign Relations deserve special attention. Having brought together government officials, bankers, industrialists, Wall Street lawyers, and Ivy League professors, the Council turned into a unique expert platform that exerted a significant influence not only on the course of public discussions about the future world order, but also on the foreign policy decision-making in the United States itself. This article identifies the specific features of experts’ perspectives on the prospects of the development and transformation of the colonial system after World War II. The first section profiles the Council’s members who actively participated in the discussion of these issues. The second section outlines the two main approaches of the Council’s experts to resolving the colonial issue, which involved either reforming the existing colonial system or significantly revising it. At the same time, as the author notes, all experts recognized that the positions of the European colonial powers would be inevitably weakened by the end of World War II and emphasized the need for the U.S. to play a more ac</w:t>
      </w:r>
    </w:p>
    <w:p>
      <w:pPr/>
      <w:r>
        <w:rPr>
          <w:b/>
        </w:rPr>
        <w:t>POSSIBLE 2025:</w:t>
      </w:r>
      <w:r>
        <w:t xml:space="preserve"> European Contexts of Minority-Majority Relations in Upper Silesia — https://doi.org/10.14746/rie.2025.19.20</w:t>
      </w:r>
    </w:p>
    <w:p>
      <w:pPr/>
      <w:r>
        <w:rPr>
          <w:b/>
        </w:rPr>
        <w:t>Shared claim-specific concepts:</w:t>
      </w:r>
      <w:r>
        <w:t xml:space="preserve"> author, outlines, relations, succeed; EU scope visible. This is a provisional connection, not an outcome finding.</w:t>
      </w:r>
    </w:p>
    <w:p>
      <w:pPr>
        <w:pStyle w:val="SourceNote"/>
      </w:pPr>
      <w:r>
        <w:rPr>
          <w:b/>
        </w:rPr>
        <w:t>Available abstract (not full text):</w:t>
      </w:r>
      <w:r>
        <w:t xml:space="preserve"> In the first part of the article, the author introduces the concept of contestation. He then outlines the key legal frameworks arising from Poland’s membership in the Council of Europe and the European Union, which Upper Silesian regionalists may invoke in their efforts to preserve, strengthen, and develop the region’s socio-cultural identity. The migration processes that unfolded after 1945 had a profound impact on the transformations within Upper Silesia. However, it was only after 1989 that Poles, Germans, and Silesians were able to engage freely in a public discussion about the region’s multicultural character. The preservation of Upper Silesia’s distinctiveness ultimately depends on whether regionalists succeed in engaging the new residents, who now form the majority population, in pursuing this shared goal.</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three, relations;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2025:</w:t>
      </w:r>
      <w:r>
        <w:t xml:space="preserve"> European Spatial Visions – Reflections from a practice perspective (The case of Austria) — https://doi.org/10.1080/02513625.2025.2518860</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The paper emphasizes the importance of spatial planning, argues for a reconceptualization of Europe’s internal stability and its role as a global actor. It outlines three steps for strengthening European spatial development: documenting and analyzing spatial development, presenting the spatial impact of sector policies, and adopting a decision-making role through integrated spatial development. The paper highlights the need for active participation in societal debates, the use of strategic visions, and the development of competences and resources to address future challenges. The transformation of the energy system and the design of equitable spatial development serve as illustrative examples that underscore the significance of these issues. From the perspective of planning practice, the authors draw conclusions about the (re-)formulation of spatial visions for Europe in 2050.</w:t>
      </w:r>
    </w:p>
    <w:p>
      <w:pPr/>
      <w:r>
        <w:rPr>
          <w:b/>
        </w:rPr>
        <w:t>POSSIBLE 2025:</w:t>
      </w:r>
      <w:r>
        <w:t xml:space="preserve"> U.S. approaches to economic development of Western Europe in the 1940s–1950s — https://doi.org/10.48015/2076-7404-2025-17-1-54-88</w:t>
      </w:r>
    </w:p>
    <w:p>
      <w:pPr/>
      <w:r>
        <w:rPr>
          <w:b/>
        </w:rPr>
        <w:t>Shared claim-specific concepts:</w:t>
      </w:r>
      <w:r>
        <w:t xml:space="preserve"> author, outlines, relations, second, according, financial; EU scope visible. This is a provisional connection, not an outcome finding.</w:t>
      </w:r>
    </w:p>
    <w:p>
      <w:pPr>
        <w:pStyle w:val="SourceNote"/>
      </w:pPr>
      <w:r>
        <w:rPr>
          <w:b/>
        </w:rPr>
        <w:t>Available abstract (not full text):</w:t>
      </w:r>
      <w:r>
        <w:t xml:space="preserve"> During World War II, the United States gained superpower status, which implied the active participation of American diplomacy in the establishment of the post-war world order. In this context, one of the cornerstones of U.S. foreign policy was the strengthening of relations with the countries of Western Europe, which found themselves on the front lines of the nascent Soviet-American confrontation. This article attempts to place the evolution of American approaches to the economic development of Western Europe in the 1940s–1950s into a broader context of the U.S. plans to build a global liberal economic order. The study of the American post-war policy toward Europe is particularly relevant, as it can help to better comprehend the current logic of trade and economic relations between the United States and the European Union. The first section of the article outlines the main milestones in the history of post-war international trade and financial institutions: the International Monetary Fund (IMF), the International Bank for Reconstruction and Development (IBRD), and the General Agreement on Tariffs and Trade (GATT). The author notes that during this period, the United States, taking advantage of the weakness and dependence of European countries, was able to effectively impose its vision of a global economic order on them. At the same time, the U.S. leadership soon realized that t</w:t>
      </w:r>
    </w:p>
    <w:p>
      <w:pPr/>
      <w:r>
        <w:rPr>
          <w:b/>
        </w:rPr>
        <w:t>POSSIBLE 2024:</w:t>
      </w:r>
      <w:r>
        <w:t xml:space="preserve"> Three idiosyncratic registers — https://openalex.org/W7112475832</w:t>
      </w:r>
    </w:p>
    <w:p>
      <w:pPr/>
      <w:r>
        <w:rPr>
          <w:b/>
        </w:rPr>
        <w:t>Shared claim-specific concepts:</w:t>
      </w:r>
      <w:r>
        <w:t xml:space="preserve"> author, outlines, three; EU scope visible. This is a provisional connection, not an outcome finding.</w:t>
      </w:r>
    </w:p>
    <w:p>
      <w:pPr>
        <w:pStyle w:val="SourceNote"/>
      </w:pPr>
      <w:r>
        <w:rPr>
          <w:b/>
        </w:rPr>
        <w:t>Available abstract (not full text):</w:t>
      </w:r>
      <w:r>
        <w:t xml:space="preserve"> This paper outlines three public academic registers of a single author, Professor Donna Rose Miller. Miller has had significant impact on the Systemic Functional Linguistics (SFL) community, particularly but by no means exclusively in Europe, through her contributions to discussion lists, through her involvement on the European SFL Association (ESFLA) committee, and through her numerous publications. Texts from these three strands form the focus of the analysis of her idiosyncratic registers in this paper.</w:t>
      </w:r>
    </w:p>
    <w:p>
      <w:pPr/>
      <w:r>
        <w:rPr>
          <w:b/>
        </w:rPr>
        <w:t>POSSIBLE 2024:</w:t>
      </w:r>
      <w:r>
        <w:t xml:space="preserve"> Three Exercises in the Regionalization of Europe — https://doi.org/10.1002/9781394284375.ch11</w:t>
      </w:r>
    </w:p>
    <w:p>
      <w:pPr/>
      <w:r>
        <w:rPr>
          <w:b/>
        </w:rPr>
        <w:t>Shared claim-specific concepts:</w:t>
      </w:r>
      <w:r>
        <w:t xml:space="preserve"> three, relations, second; EU scope visible. This is a provisional connection, not an outcome finding.</w:t>
      </w:r>
    </w:p>
    <w:p>
      <w:pPr>
        <w:pStyle w:val="SourceNote"/>
      </w:pPr>
      <w:r>
        <w:rPr>
          <w:b/>
        </w:rPr>
        <w:t>Available abstract (not full text):</w:t>
      </w:r>
      <w:r>
        <w:t xml:space="preserve"> The identification of Europe with a larger whole than the state is due to the advanced interweaving of national territories in terms of the circulation of wealth, linguistic practices and international mobility. The institutional inclusion of European states in supranational structures is complex. This chapter proposes three empirical illustrations of Europe through the systems of relations between states in a space. The first illustration deals with the position of European states within diplomatic relations through the establishment of embassies. The second illustration proposes a reflection on Turkey's membership in supranational entities, a state in an interface position between an integrated Europe and other regional spaces invested by Turkish diplomacy, such as the Black Sea area or the Turkish-speaking world of Central Asia. The third illustration poses the links between European states and macro-regional geographical objects in the text of highly consulted newspapers, considered as references, in the French media landscape.</w:t>
      </w:r>
    </w:p>
    <w:p>
      <w:pPr/>
      <w:r>
        <w:rPr>
          <w:b/>
        </w:rPr>
        <w:t>POSSIBLE 2024:</w:t>
      </w:r>
      <w:r>
        <w:t xml:space="preserve"> Queen Jadwiga of Anjou’s relations with the episcopate of Gniezno and Halych Archdioceses — an outline — https://doi.org/10.15633/fhc.30206</w:t>
      </w:r>
    </w:p>
    <w:p>
      <w:pPr/>
      <w:r>
        <w:rPr>
          <w:b/>
        </w:rPr>
        <w:t>Shared claim-specific concepts:</w:t>
      </w:r>
      <w:r>
        <w:t xml:space="preserve"> author, outlines, relations, second, given; EU scope visible. This is a provisional connection, not an outcome finding.</w:t>
      </w:r>
    </w:p>
    <w:p>
      <w:pPr>
        <w:pStyle w:val="SourceNote"/>
      </w:pPr>
      <w:r>
        <w:rPr>
          <w:b/>
        </w:rPr>
        <w:t>Available abstract (not full text):</w:t>
      </w:r>
      <w:r>
        <w:t xml:space="preserve"> The author presents the relations between Queen Jadwiga of Anjou (1384–1399) with the episcopate of Gniezno and Halych Archdioceses during her reign in Poland and the Great Duchy of Lithuania with Władysław Jagiełło. In speeches delivered by such intellectuals as Stanisław of Skarbimierz, she appears as a monarch respectful of bishops and concerned with the welfare of the Church. On the other hand, Jadwiga and her husband are known to have followed a consistent ecclesiastical policy, having control over episcopal nominations in the Polish-Lithuanian state, frequently against the will of local chapters and even the Holy See amidst the Western Schism crisis. The author points out that historiographers often too hastily credited Jadwiga with initiative and control over bishops’ nominations in a given area. In reality, the initiative came from both royal spouses and, whenever different candidates were proposed, it was the queen who acquiesced to her husband. The second part of the article outlines the nature of Jadwiga’s relations with key members of the episcopate, with special emphasis on the queen’s close relations with bishops of Krakow: Jan Radlica and Piotr Wysz, with whom she cooperated to further the University of Krakow’s restoration.</w:t>
      </w:r>
    </w:p>
    <w:p>
      <w:pPr/>
      <w:r>
        <w:rPr>
          <w:b/>
        </w:rPr>
        <w:t>POSSIBLE 2024:</w:t>
      </w:r>
      <w:r>
        <w:t xml:space="preserve"> ELECTIONS TO THE EUROPEAN PARLIAMENT AS A FORM OF CIVIC EXPRESSION — https://doi.org/10.15211/vestnikieran6202489100</w:t>
      </w:r>
    </w:p>
    <w:p>
      <w:pPr/>
      <w:r>
        <w:rPr>
          <w:b/>
        </w:rPr>
        <w:t>Shared claim-specific concepts:</w:t>
      </w:r>
      <w:r>
        <w:t xml:space="preserve"> author, three; EU scope visible. This is a provisional connection, not an outcome finding.</w:t>
      </w:r>
    </w:p>
    <w:p>
      <w:pPr>
        <w:pStyle w:val="SourceNote"/>
      </w:pPr>
      <w:r>
        <w:rPr>
          <w:b/>
        </w:rPr>
        <w:t>Available abstract (not full text):</w:t>
      </w:r>
      <w:r>
        <w:t xml:space="preserve"> The article examines the positions of non-governmental organizations before the 2024 parliamentary elections in the European Union. The author shows that the European Union has created quite effective mechanisms that encourage the transformation of public spaces into civic self-expression, such as «Public Consultations», «Open Requests» and «European Citizens’ Initiatives». The article notes that there is clearly expressed dissatisfaction with the activities of the previous composition of the European Parliament in society, in connection with which, during the preelection period, strict demands of civil society to the authorities in the social sphere were outlined. The requirements of leading non-governmental organizations in the field of ecology are considered. It is also noted that public organizations are concerned about the «increasing militarism» in the countries of the European Union. In the run-up to the parliamentary elections, they demanded that the European Union «defend human rights against the militarization» of society. These organizations make a clear choice in favor of «a commitment to peace, cooperation, human rights, and not to rearmament, militarization and war». The author concludes that since the three main proEuropean groups – the European People’s Party, the Socialists and Democrats and the Renewal of Europe – retained their majority in the European Parlia</w:t>
      </w:r>
    </w:p>
    <w:p>
      <w:pPr/>
      <w:r>
        <w:rPr>
          <w:b/>
        </w:rPr>
        <w:t>POSSIBLE 2024:</w:t>
      </w:r>
      <w:r>
        <w:t xml:space="preserve"> 20 Years of the European Arrest Warrant under a German Perspective — https://doi.org/10.22329/tclr.v3i1.8622</w:t>
      </w:r>
    </w:p>
    <w:p>
      <w:pPr/>
      <w:r>
        <w:rPr>
          <w:b/>
        </w:rPr>
        <w:t>Shared claim-specific concepts:</w:t>
      </w:r>
      <w:r>
        <w:t xml:space="preserve"> three, second, reform, according, importance; EU scope visible. This is a provisional connection, not an outcome finding.</w:t>
      </w:r>
    </w:p>
    <w:p>
      <w:pPr>
        <w:pStyle w:val="SourceNote"/>
      </w:pPr>
      <w:r>
        <w:rPr>
          <w:b/>
        </w:rPr>
        <w:t>Available abstract (not full text):</w:t>
      </w:r>
      <w:r>
        <w:t xml:space="preserve"> Germany has often been in the focus when it comes to questions of experiences and challenges after 20 years of application of the European Arrest Warrant. The authors shed light on the challenges the EAW brought in Germany under three perspectives: The first one relates to the implementation of the instrument which is described by way of an outline. This part includes the history of the implementation legislation and provides insights into some specialities of the surrender proceedings according to German law which are currently also under the discussion for reform. The second perspective deals with the impact of the EAW on German practice and workload. By way of analysing statistical data on the handling of the EAW in Germany and comparing them with data for all EU Member States, the authors demonstrate how the EAW affected resources and structures in Germany and to which extent grounds for refusal gained importance in recent years. The third perspective addresses the obviously major issue of concrete application of the EAW: The discussion on the ground for refusal based on fundamental rights. Since this issue has not only been predominant in fierce debates among German scholars even from the outset of the EAW, but also has high practical relevance in Germany and led to a spat between the German Federal Constitutional Court and the Court of Justice of the European Union, an in</w:t>
      </w:r>
    </w:p>
    <w:p>
      <w:pPr>
        <w:pStyle w:val="Heading2"/>
      </w:pPr>
      <w:r>
        <w:t>919. Time banks, co-production and foresight: intertwined towards an alternative future</w:t>
      </w:r>
    </w:p>
    <w:p>
      <w:pPr>
        <w:pStyle w:val="SourceNote"/>
      </w:pPr>
      <w:r>
        <w:rPr>
          <w:b/>
        </w:rPr>
        <w:t>Original source (2015):</w:t>
      </w:r>
      <w:r>
        <w:t xml:space="preserve"> https://doi.org/10.1108/fs-05-2014-0035</w:t>
      </w:r>
    </w:p>
    <w:p>
      <w:pPr/>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POSSIBLE 2026:</w:t>
      </w:r>
      <w:r>
        <w:t xml:space="preserve"> Willingness, motivators and barriers to time bank participation: A scoping review — https://doi.org/10.1371/journal.pone.0322760</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pPr/>
      <w:r>
        <w:rPr>
          <w:b/>
        </w:rPr>
        <w:t>POSSIBLE 2026:</w:t>
      </w:r>
      <w:r>
        <w:t xml:space="preserve"> Implementation and Impacts of Taiwan’s Time Bank Multi-Empowerment Program Across Six Townships — https://doi.org/10.33790/jswwp1100180</w:t>
      </w:r>
    </w:p>
    <w:p>
      <w:pPr/>
      <w:r>
        <w:rPr>
          <w:b/>
        </w:rPr>
        <w:t>Shared claim-specific concepts:</w:t>
      </w:r>
      <w:r>
        <w:t xml:space="preserve"> time, particularly, different, impacts; EU scope not established. This is a provisional connection, not an outcome finding.</w:t>
      </w:r>
    </w:p>
    <w:p>
      <w:pPr>
        <w:pStyle w:val="SourceNote"/>
      </w:pPr>
      <w:r>
        <w:rPr>
          <w:b/>
        </w:rPr>
        <w:t>Available abstract (not full text):</w:t>
      </w:r>
      <w:r>
        <w:t xml:space="preserve">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pPr/>
      <w:r>
        <w:rPr>
          <w:b/>
        </w:rPr>
        <w:t>POSSIBLE 2026:</w:t>
      </w:r>
      <w:r>
        <w:t xml:space="preserve"> A Time Credit Based Community Service Exchange Platform — https://doi.org/10.55041/isjem08201</w:t>
      </w:r>
    </w:p>
    <w:p>
      <w:pPr/>
      <w:r>
        <w:rPr>
          <w:b/>
        </w:rPr>
        <w:t>Shared claim-specific concepts:</w:t>
      </w:r>
      <w:r>
        <w:t xml:space="preserve"> time, particularly, they, different, people; EU scope not established. This is a provisional connection, not an outcome finding.</w:t>
      </w:r>
    </w:p>
    <w:p>
      <w:pPr>
        <w:pStyle w:val="SourceNote"/>
      </w:pPr>
      <w:r>
        <w:rPr>
          <w:b/>
        </w:rPr>
        <w:t>Available abstract (not full text):</w:t>
      </w:r>
      <w:r>
        <w:t xml:space="preserve">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pPr/>
      <w:r>
        <w:rPr>
          <w:b/>
        </w:rPr>
        <w:t>POSSIBLE 2026:</w:t>
      </w:r>
      <w:r>
        <w:t xml:space="preserve"> Reaction of European bank and non-bank financial equities to physical climate risk: Evidence from quantile dependence and time-varying predictability — https://doi.org/10.55214/2576-8484.v10i2.12260</w:t>
      </w:r>
    </w:p>
    <w:p>
      <w:pPr/>
      <w:r>
        <w:rPr>
          <w:b/>
        </w:rPr>
        <w:t>Shared claim-specific concepts:</w:t>
      </w:r>
      <w:r>
        <w:t xml:space="preserve"> banks, particularly, impacts, coverage; EU scope visible. This is a provisional connection, not an outcome finding.</w:t>
      </w:r>
    </w:p>
    <w:p>
      <w:pPr>
        <w:pStyle w:val="SourceNote"/>
      </w:pPr>
      <w:r>
        <w:rPr>
          <w:b/>
        </w:rPr>
        <w:t>Available abstract (not full text):</w:t>
      </w:r>
      <w:r>
        <w:t xml:space="preserve"> This study analyses the pricing of physical climate risk in European financial equity markets by looking at the differentiated responses of banks and non-bank financial institutions. Daily data from December 2012 to December 2023 are used to study the predictive, causal, and distributional effects of physical climate risk on sectoral equity returns. The measurement of physical climate hazard is through a new text-based Physical Climate Risk Index, created from coverage in European financial media, which captures real-time investor attention to climate-related hazards. In terms of methodology, it employs an extensive econometric framework that integrates the wild-bootstrap likelihood ratio test for assessing return predictability, time-varying causal changes, and cross-quantilograms for studying asymmetric quantile-dependent dependencies at short, medium, and long-run horizons. The results provide strong evidence that physical climate risk has a statistically significant adverse predictive effect on both banking and non-bank financial equity returns, with more pronounced impacts for non-bank institutions. Time-varying causality intensifies in periods of heightened climate stress, particularly around major heat waves, droughts, and wildfire episodes within Europe. Further cross-quantilogram results reveal substantial asymmetries, stronger downside effects in the short run, and ev</w:t>
      </w:r>
    </w:p>
    <w:p>
      <w:pPr/>
      <w:r>
        <w:rPr>
          <w:b/>
        </w:rPr>
        <w:t>POSSIBLE 2026:</w:t>
      </w:r>
      <w:r>
        <w:t xml:space="preserve"> Interest Rates and Service Quality as Factors Influencing Customers’ Decisions to Choose Time Deposits at Bank Perekonomian Rakyat — https://doi.org/10.60079/amar.v4i3.940</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Purpose: This study aims to analyze the effects of interest rates and service quality on customers’ decisions to choose time deposits at BPR Monta Baru in Dompu Regency, Indonesia. Research Method: This study employs a quantitative approach grounded in positivist philosophy, with a population of 200 deposit account holders. Using the simple random sampling technique and the Slovin formula, a sample of 67 respondents was selected. Primary data were collected using a questionnaire and subsequently analyzed using multiple linear regression in SPSS. Results and Discussion: The research findings indicate that interest rates and service quality—both individually and jointly—positively and significantly influence customers’ decisions when choosing deposit products. Implications: These findings can serve as a basis for BPR management in formulating strategies to enhance the company’s competitiveness by offering competitive interest rates and improving service quality standards to maintain customer loyalty. Originality: The novelty of this study lies in its integration of Consumer Behavior Theory and the Marketing Mix to examine the factors influencing customer decisions at rural credit banks (BPRs) in regional areas, particularly following the implementation of nomenclature changes under Law No. 4 of 2023.</w:t>
      </w:r>
    </w:p>
    <w:p>
      <w:pPr/>
      <w:r>
        <w:rPr>
          <w:b/>
        </w:rPr>
        <w:t>POSSIBLE 2026:</w:t>
      </w:r>
      <w:r>
        <w:t xml:space="preserve"> Centralized Blood Bank Management System Using Integrated Cloud Services and Real-Time Analytics — https://doi.org/10.22214/ijraset.2026.78046</w:t>
      </w:r>
    </w:p>
    <w:p>
      <w:pPr/>
      <w:r>
        <w:rPr>
          <w:b/>
        </w:rPr>
        <w:t>Shared claim-specific concepts:</w:t>
      </w:r>
      <w:r>
        <w:t xml:space="preserve"> time, banks, services, all, people; EU scope not established. This is a provisional connection, not an outcome finding.</w:t>
      </w:r>
    </w:p>
    <w:p>
      <w:pPr>
        <w:pStyle w:val="SourceNote"/>
      </w:pPr>
      <w:r>
        <w:rPr>
          <w:b/>
        </w:rPr>
        <w:t>Available abstract (not full text):</w:t>
      </w:r>
      <w:r>
        <w:t xml:space="preserve"> it is a simple web-based website that helps connect and coordinate blood donors with hospitals and blood banks. When someone needs blood, the system suggests the doners and contact details who are eligible to help. Doners can sign up on the website and provide their blood type and personal information. Hospitals and blood banks can request blood whenever there is a need. The system then identifies suitable donors and immediately suggests the doner contact details and nearest blood banks. This process helps save valuable time during emergencies. The website stores information about all donors and blood banks in one centralized place, making it easy to locate blood quickly when required. It reduces waiting time, prevents blood wastage, and connects doners, hospitals, and blood banks efficiently. The user-friendly design encourages more people to donate blood and ultimately helps save lives.</w:t>
      </w:r>
    </w:p>
    <w:p>
      <w:pPr/>
      <w:r>
        <w:rPr>
          <w:b/>
        </w:rPr>
        <w:t>POSSIBLE 2026:</w:t>
      </w:r>
      <w:r>
        <w:t xml:space="preserve"> Time as currency: Delay discounting in time banks and policy implications — https://doi.org/10.1016/j.jbef.2026.101207</w:t>
      </w:r>
    </w:p>
    <w:p>
      <w:pPr/>
      <w:r>
        <w:rPr>
          <w:b/>
        </w:rPr>
        <w:t>Shared claim-specific concepts:</w:t>
      </w:r>
      <w:r>
        <w:t xml:space="preserve"> time, banks, services, value, different, types; EU scope not established. This is a provisional connection, not an outcome finding.</w:t>
      </w:r>
    </w:p>
    <w:p>
      <w:pPr>
        <w:pStyle w:val="SourceNote"/>
      </w:pPr>
      <w:r>
        <w:rPr>
          <w:b/>
        </w:rPr>
        <w:t>Available abstract (not full text):</w:t>
      </w:r>
      <w:r>
        <w:t xml:space="preserve"> Time banks, which allow individuals to earn time credits redeemable for equivalent services from others, provide a unique context for examining intertemporal decision-making beyond monetary rewards. This study investigates the psychological mechanisms underlying time-based decision-making, with a particular focus on the subjective fungibility of time, whether one hour of service today is equivalent to one hour in the future, and its potential behavioral effects across different types of labor. In quasi-experiments ( N = 677), we found that, unlike the much stronger monetary delay discounting, time-based discounting exhibited a “one-third phenomenon” of subjective time fungibility, in which more than one-third of participants viewed future time credit as either equivalent to or more valuable than the present time deposit. Computational modeling demonstrated that the hyperbolic model most accurately captured time-discounting preferences. Importantly, machine learning analyses identified future anxiety, life-history strategy, prosocial tendencies, and perceived time scarcity as key predictors of individual differences in delay discounting. These findings suggest that temporal, social, and personal factors shape how people value future time credits in time-based exchange, offering theoretical insights and practical guidance for designing more effective and sustainable time bank sys</w:t>
      </w:r>
    </w:p>
    <w:p>
      <w:pPr/>
      <w:r>
        <w:rPr>
          <w:b/>
        </w:rPr>
        <w:t>POSSIBLE 2026:</w:t>
      </w:r>
      <w:r>
        <w:t xml:space="preserve"> Beyond compliance: Decoding the time effects of banking regulations on credit risk in the EEA banks — https://doi.org/10.15678/ier.2026.1201.06</w:t>
      </w:r>
    </w:p>
    <w:p>
      <w:pPr/>
      <w:r>
        <w:rPr>
          <w:b/>
        </w:rPr>
        <w:t>Shared claim-specific concepts:</w:t>
      </w:r>
      <w:r>
        <w:t xml:space="preserve"> time, banks, particularly, value, impacts; EU scope not established. This is a provisional connection, not an outcome finding.</w:t>
      </w:r>
    </w:p>
    <w:p>
      <w:pPr>
        <w:pStyle w:val="SourceNote"/>
      </w:pPr>
      <w:r>
        <w:rPr>
          <w:b/>
        </w:rPr>
        <w:t>Available abstract (not full text):</w:t>
      </w:r>
      <w:r>
        <w:t xml:space="preserve"> Objective: The article aims to determine whether banks promptly react to risk-related regulatory changes or if there is a delayed response. Considering the complexities of the financial system, our study underscores the need to examine the time-sensitive impact of banking regulations on credit risk. Separating intricate dynamics, measuring responsiveness, and assessing compliance, we probe this research to find the assumptions for strengthening financial resilience in a dynamic landscape. Research Design &amp; Methods: The research design in this study is quantitative. We collected the initial data through desk research, sourcing information from regulatory documents, financial reports, and other relevant documents related to banking supervision rules. We used a dynamic panel data model to analyse the collected data, specifically examining the relationship between regulatory changes and banks’ responses to these changes. The study’s sample size involves quantitative data from multiple banks over time, allowing for an assessment of regulatory pressure’s effects on credit risk and the tPime required for banks to achieve compliance. Findings: The article sheds light on how alterations in regulatory policies for risk influence the responsiveness of systemically important banks (SIBs). We explored how long it takes for banks to comply fully with regulatory changes regarding risk. The re</w:t>
      </w:r>
    </w:p>
    <w:p>
      <w:pPr/>
      <w:r>
        <w:rPr>
          <w:b/>
        </w:rPr>
        <w:t>POSSIBLE 2026:</w:t>
      </w:r>
      <w:r>
        <w:t xml:space="preserve"> Machine Learning Techniques for Real-Time Fraud Detection and Prevention in Ghanaian Banks — https://doi.org/10.24940/theijst/2026/v14/i5/st2605-003</w:t>
      </w:r>
    </w:p>
    <w:p>
      <w:pPr/>
      <w:r>
        <w:rPr>
          <w:b/>
        </w:rPr>
        <w:t>Shared claim-specific concepts:</w:t>
      </w:r>
      <w:r>
        <w:t xml:space="preserve"> banks, particularly, they, not; EU scope not established. This is a provisional connection, not an outcome finding.</w:t>
      </w:r>
    </w:p>
    <w:p>
      <w:pPr>
        <w:pStyle w:val="SourceNote"/>
      </w:pPr>
      <w:r>
        <w:rPr>
          <w:b/>
        </w:rPr>
        <w:t>Available abstract (not full text):</w:t>
      </w:r>
      <w:r>
        <w:t xml:space="preserve"> Fraud remains a significant challenge in the global financial industry, with Ghanaian banks increasingly vulnerable due to rapid digitization, high transaction volumes, and evolving cyber threats. This study, titled “Machine Learning Techniques for Real-Time Fraud Detection and Prevention in Ghanaian Banks.”, explores how advanced machine learning (ML) models can be applied to strengthen fraud detection and prevention mechanisms. The research employed a mixed-methods approach, combining a comprehensive literature review, secondary data analysis, and the design of predictive models, including Deep Neural Networks (DNNs) and XGBoost. Evaluation metrics such as precision, recall, and F1-score were used to assess performance. Findings revealed that while traditional rule-based systems in Ghanaian banks provide a baseline level of protection, they lack adaptability to emerging fraud patterns, often resulting in false positives and delayed responses. The experimental results demonstrated that ML models, particularly XGBoost and DNN, significantly outperformed traditional methods, achieving higher recall and F1 Scores, thereby enhancing real-time detection of fraudulent activities. Additionally, the study highlighted practical challenges, including data imbalance, model interpretability, and regulatory compliance requirements, that must be addressed for successful deployment in Ghana’</w:t>
      </w:r>
    </w:p>
    <w:p>
      <w:pPr/>
      <w:r>
        <w:rPr>
          <w:b/>
        </w:rPr>
        <w:t>POSSIBLE 2026:</w:t>
      </w:r>
      <w:r>
        <w:t xml:space="preserve"> How the FDIC Sourced Crisis-Time Fed Funding through the Failed Banks of 2023 — https://doi.org/10.17132/2693-3179.1679</w:t>
      </w:r>
    </w:p>
    <w:p>
      <w:pPr/>
      <w:r>
        <w:rPr>
          <w:b/>
        </w:rPr>
        <w:t>Shared claim-specific concepts:</w:t>
      </w:r>
      <w:r>
        <w:t xml:space="preserve"> banks, particularly, all; EU scope not established. This is a provisional connection, not an outcome finding.</w:t>
      </w:r>
    </w:p>
    <w:p>
      <w:pPr>
        <w:pStyle w:val="SourceNote"/>
      </w:pPr>
      <w:r>
        <w:rPr>
          <w:b/>
        </w:rPr>
        <w:t>Available abstract (not full text):</w:t>
      </w:r>
      <w:r>
        <w:t xml:space="preserve"> During the Banking Crisis of 2023, the Federal Deposit Insurance Corporation (FDIC) had to contend with the liquidity demands of the second-, third-, and fourth-largest bank failures in US history, all in a compressed timeframe. Facing uncertainty over its liquidity needs, particularly if additional banks were to fail, and optics and political challenges over accessing its standing credit lines with the Treasury—which itself was brushing against the federal debt ceiling—the FDIC relied on two creative forms of financing itself. First, the agency kept open the Federal Reserve (Fed) loans taken on by the failed banks, eschewing its standard practice of immediately paying down the Fed loans of banks in receivership. The FDIC kept these loans despite selling the underlying collateral that the failed banks had posted to the Fed; it accomplished this by replacing the collateral at the Fed with FDIC corporate guarantees. Second, the FDIC used the failed banks’ FDIC-run bridge banks to obtain new and, in one case, uncollateralized loans from the Fed—again securing the Fed with an FDIC guarantee that the loans would be paid back. In taking these steps, the FDIC implemented a novel mechanism to supplement its liquidity in crises, notwithstanding the other potential motivations for making expansive use of this funding strategy and the legal uncertainties around it. However, the costs and </w:t>
      </w:r>
    </w:p>
    <w:p>
      <w:pPr/>
      <w:r>
        <w:rPr>
          <w:b/>
        </w:rPr>
        <w:t>POSSIBLE 2026:</w:t>
      </w:r>
      <w:r>
        <w:t xml:space="preserve"> THE EFFECT OF RISK GOVERNANCE ON BANK PERFORMANCE: EVIDENCE FROM INDONESIAN BANKS — https://doi.org/10.35508/jom.v19i1.26957</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This study investigates the impact of risk governance on banking performance in Indonesia using a quantitative approach. Panel data regression is applied to 235 bank-year observations from 47 commercial banks over the 2018–2022 period, with the sample selected through purposive sampling based on data availability and governance disclosures. Bank performance is measured using Return on Assets (ROA) and Return on Equity (ROE), while risk governance is proxied by the Risk Governance Index (RGOV), constructed from risk governance disclosures in annual reports. The empirical findings demonstrate that risk governance has a positive and statistically significant effect on both ROA and ROE, thereby supporting the proposed hypotheses. These results indicate that banks with stronger risk governance frameworks tend to achieve more efficient asset utilization and generate higher returns for shareholders, even after controlling for bank-specific characteristics and time effects. This evidence underscores the importance of robust risk oversight mechanisms in enhancing managerial discipline and operational effectiveness. The study contributes to the corporate governance literature by providing empirical evidence from an emerging market context, particularly within the Indonesian banking sector. From a practical standpoint, the findings suggest that bank management and regulators such as Otori</w:t>
      </w:r>
    </w:p>
    <w:p>
      <w:pPr/>
      <w:r>
        <w:rPr>
          <w:b/>
        </w:rPr>
        <w:t>POSSIBLE 2026:</w:t>
      </w:r>
      <w:r>
        <w:t xml:space="preserve"> Prototype bank‐driven test‐time adaptation for medical ultrasound image segmentation — https://doi.org/10.1002/mp.70280</w:t>
      </w:r>
    </w:p>
    <w:p>
      <w:pPr/>
      <w:r>
        <w:rPr>
          <w:b/>
        </w:rPr>
        <w:t>Shared claim-specific concepts:</w:t>
      </w:r>
      <w:r>
        <w:t xml:space="preserve"> time, particularly, address, does, not; EU scope not established. This is a provisional connection, not an outcome finding.</w:t>
      </w:r>
    </w:p>
    <w:p>
      <w:pPr>
        <w:pStyle w:val="SourceNote"/>
      </w:pPr>
      <w:r>
        <w:rPr>
          <w:b/>
        </w:rPr>
        <w:t>Available abstract (not full text):</w:t>
      </w:r>
      <w:r>
        <w:t xml:space="preserve"> BACKGROUND: Deep learning has achieved remarkable success in medical image segmentation, particularly in ultrasound imaging, where deep neural networks have demonstrated near-expert performance. However, these models typically assume that training and test data follow the same distribution-an assumption that often fails in real-world clinical practice due to domain shifts caused by variations in imaging devices, acquisition protocols, and operator techniques. These discrepancies can significantly degrade model performance. Existing solutions-such as supervised fine-tuning, unsupervised domain adaptation, and domain generalization-require either costly labeled data or access to source domain data, limiting their scalability and clinical applicability. PURPOSE: To address domain shift in real-world ultrasound image segmentation, this study proposes a test-time adaptation (TTA) framework that eliminates the need for source data or target labels, while ensuring robustness against distributional drift and catastrophic forgetting. METHODS: We present Prototype Bank-Driven Test-Time Adaptation (PBTTA), a novel TTA framework consisting of two key modules: (1) the Dynamic Statistics Fusion Module (DSFM), which enables domain-level adaptation by dynamically adjusting batch normalization layers using fused statistics from the test sample and source domain; and (2) the Prototype Bank-Guide</w:t>
      </w:r>
    </w:p>
    <w:p>
      <w:pPr>
        <w:pStyle w:val="Heading2"/>
      </w:pPr>
      <w:r>
        <w:t>920. Transport demand evolution in Europe – factors of change, scenarios and challenges</w:t>
      </w:r>
    </w:p>
    <w:p>
      <w:pPr>
        <w:pStyle w:val="SourceNote"/>
      </w:pPr>
      <w:r>
        <w:rPr>
          <w:b/>
        </w:rPr>
        <w:t>Original source (2015):</w:t>
      </w:r>
      <w:r>
        <w:t xml:space="preserve"> https://doi.org/10.1007/s40309-015-0072-y</w:t>
      </w:r>
    </w:p>
    <w:p>
      <w:pPr/>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POSSIBLE 2026:</w:t>
      </w:r>
      <w:r>
        <w:t xml:space="preserve"> Digital transformation of port activities in the context of investment-driven development of water transport — https://doi.org/10.63341/econ/2.2026.21</w:t>
      </w:r>
    </w:p>
    <w:p>
      <w:pPr/>
      <w:r>
        <w:rPr>
          <w:b/>
        </w:rPr>
        <w:t>Shared claim-specific concepts:</w:t>
      </w:r>
      <w:r>
        <w:t xml:space="preserve"> transport, sector, investments, work; EU scope not established. This is a provisional connection, not an outcome finding.</w:t>
      </w:r>
    </w:p>
    <w:p>
      <w:pPr>
        <w:pStyle w:val="SourceNote"/>
      </w:pPr>
      <w:r>
        <w:rPr>
          <w:b/>
        </w:rPr>
        <w:t>Available abstract (not full text):</w:t>
      </w:r>
      <w:r>
        <w:t xml:space="preserve"> The global maritime sector shifted from traditional port modernisation to systemic digital integration, which required new economic frameworks to justify smart technology investments while ensuring financial security. The purpose of the study was to substantiate the methodological foundations of the digital transformation of port activities in the context of investment-driven development of water transport. The research employed a comprehensive methodological approach, including system analysis, comparative and structural analysis, and economic-statistical modelling to assess investment efficiency through cash flow indicators, profitability, and risk evaluation. The findings demonstrated that digitalisation functioned as a multidimensional economic driver, reducing administrative and documentation costs by 20-30%, vessel turnaround time by up to 25%, and cargo dwell time by approximately 40%. The study proposed an enhanced investment appraisal methodology integrating Real Options Valuation to account for strategic flexibility and introduced a digital premium that adjusted the discount rate based on increased operational transparency. A key innovation was the incorporation of a technological lag coefficient into payback period calculations, aligning capital recovery with the shorter cycle of digital obsolescence. The results indicated that digital investments generated non-linea</w:t>
      </w:r>
    </w:p>
    <w:p>
      <w:pPr/>
      <w:r>
        <w:rPr>
          <w:b/>
        </w:rPr>
        <w:t>POSSIBLE 2026:</w:t>
      </w:r>
      <w:r>
        <w:t xml:space="preserve"> Tracking sustainability dynamics in EU transport sector: Bayesian latent change-score analysis study — https://doi.org/10.1016/j.trd.2026.105579</w:t>
      </w:r>
    </w:p>
    <w:p>
      <w:pPr/>
      <w:r>
        <w:rPr>
          <w:b/>
        </w:rPr>
        <w:t>Shared claim-specific concepts:</w:t>
      </w:r>
      <w:r>
        <w:t xml:space="preserve"> transport, sector, inertia; EU scope visible. This is a provisional connection, not an outcome finding.</w:t>
      </w:r>
    </w:p>
    <w:p>
      <w:pPr>
        <w:pStyle w:val="SourceNote"/>
      </w:pPr>
      <w:r>
        <w:rPr>
          <w:b/>
        </w:rPr>
        <w:t>Available abstract (not full text):</w:t>
      </w:r>
      <w:r>
        <w:t xml:space="preserve"> This study examines the structural drivers of greenhouse gas emissions in the European Union’s transport sector by integrating freight activity and logistics performance within a Bayesian Latent Change Score framework. This approach, rarely applied in transport-emissions research, captures dynamic feedback, measurement error, and period-specific effects across three policy intervals (2007–2012, 2012–2018, and 2018–2023). Results show a stable and positive effect of freight activity on emissions, indicating persistent structural inertia in the sector. In contrast, the influence of logistics performance is time-varying, becoming increasingly negative as EU environmental regulation strengthens. This suggests that logistics efficiency contributes to decarbonization only once supportive governance and market conditions are in place. By combining longitudinal EU-27 data with an advanced dynamic modeling strategy, the study provides novel empirical evidence on how logistics systems and policy environments jointly shape transport-sector emission trajectories and informs long-term decarbonization strategies.</w:t>
      </w:r>
    </w:p>
    <w:p>
      <w:pPr/>
      <w:r>
        <w:rPr>
          <w:b/>
        </w:rPr>
        <w:t>POSSIBLE 2026:</w:t>
      </w:r>
      <w:r>
        <w:t xml:space="preserve"> Reading the forest through patents: A Europe-wide sector analysis — https://doi.org/10.1016/j.forpol.2026.103929</w:t>
      </w:r>
    </w:p>
    <w:p>
      <w:pPr/>
      <w:r>
        <w:rPr>
          <w:b/>
        </w:rPr>
        <w:t>Shared claim-specific concepts:</w:t>
      </w:r>
      <w:r>
        <w:t xml:space="preserve"> sector, identify; EU scope visible. This is a provisional connection, not an outcome finding.</w:t>
      </w:r>
    </w:p>
    <w:p>
      <w:pPr>
        <w:pStyle w:val="SourceNote"/>
      </w:pPr>
      <w:r>
        <w:rPr>
          <w:b/>
        </w:rPr>
        <w:t>Available abstract (not full text):</w:t>
      </w:r>
      <w:r>
        <w:t xml:space="preserve"> Innovation will shape how Europe's Forest sector responds to growing demand for low-carbon materials and bio-based products. However, the technological composition and geographical distribution of recent patenting activity in the sector remain insufficiently documented. This study examines 372 patent families associated with applicants from the defined European study area and with earliest publication years between 2019 and 2023. Descriptive indicators and a sector-specific topical taxonomy were used to characterize the thematic composition of the corpus. Patent families were assigned to all applicable International Patent Classification (IPC) sections using full counting, while Correspondence Analysis was used descriptively to examine differences in IPC profiles across applicant types, countries, and macro-regions. Patent-family counts increased descriptively across the observed earliest publication years. Companies accounted for most filings, while academic and research institutions contributed a smaller but technologically distinctive share. Forest Products represented the largest share of full-counted topical assignments, particularly in engineered wood, secondary processing, packaging, biorefineries, and new materials. IPC-section assignments were concentrated primarily in Performing Operations and Transporting (IPC B), Human Necessities (IPC A), Chemistry and Metallurgy (</w:t>
      </w:r>
    </w:p>
    <w:p>
      <w:pPr/>
      <w:r>
        <w:rPr>
          <w:b/>
        </w:rPr>
        <w:t>POSSIBLE 2026:</w:t>
      </w:r>
      <w:r>
        <w:t xml:space="preserve"> Climate mitigation and adaptation strategies tailored for different types of European cities: a typology and associated systematic review — https://doi.org/10.1088/1748-9326/ae7e97</w:t>
      </w:r>
    </w:p>
    <w:p>
      <w:pPr/>
      <w:r>
        <w:rPr>
          <w:b/>
        </w:rPr>
        <w:t>Shared claim-specific concepts:</w:t>
      </w:r>
      <w:r>
        <w:t xml:space="preserve"> inertia, need, identify, challenges; EU scope visible. This is a provisional connection, not an outcome finding.</w:t>
      </w:r>
    </w:p>
    <w:p>
      <w:pPr>
        <w:pStyle w:val="SourceNote"/>
      </w:pPr>
      <w:r>
        <w:rPr>
          <w:b/>
        </w:rPr>
        <w:t>Available abstract (not full text):</w:t>
      </w:r>
      <w:r>
        <w:t xml:space="preserve"> Abstract Amidst escalating climate impacts and continued emissions, numerous case studies have examined how cities can mitigate and adapt to climate change. Yet, systematic cross-sectoral and cross-impact assessments that identify which climate actions are relevant to which types of cities remain limited. This study addresses this gap for Europe through a data-driven analysis of European cities, categorising them into four distinct city types ( Shrinking cities, Growing cities, Established cities, Metropolises ), quantitatively analysing their need and capacity to act on climate change, and providing a systematic overview of effective climate action strategies for each of these clusters. Based on harmonised data for all 1263 cities in Europe, we identify sectoral and climate impact hotspots requiring concerted climate action across the four city types. These include reducing building- and transport-related greenhouse gas emissions in Metropolises and Established cities , heat and drought risk in Growing cities , and flood risk in Shrinking cities . Drawing on the existing case study literature comprising 1613 climate action assessments, we provide context-specific recommendations for addressing these climate hotspots and unlocking co-benefits by overcoming reported implementation challenges such as limited finance, local governance capacity, behavioural inertia and distribution</w:t>
      </w:r>
    </w:p>
    <w:p>
      <w:pPr/>
      <w:r>
        <w:rPr>
          <w:b/>
        </w:rPr>
        <w:t>POSSIBLE 2026:</w:t>
      </w:r>
      <w:r>
        <w:t xml:space="preserve"> Institutional inertia and labor market adjustment in a late-reforming emerging economy — https://doi.org/10.14254/2071-789x.2026/19-2/3</w:t>
      </w:r>
    </w:p>
    <w:p>
      <w:pPr/>
      <w:r>
        <w:rPr>
          <w:b/>
        </w:rPr>
        <w:t>Shared claim-specific concepts:</w:t>
      </w:r>
      <w:r>
        <w:t xml:space="preserve"> inertia, need, identify; EU scope visible. This is a provisional connection, not an outcome finding.</w:t>
      </w:r>
    </w:p>
    <w:p>
      <w:pPr>
        <w:pStyle w:val="SourceNote"/>
      </w:pPr>
      <w:r>
        <w:rPr>
          <w:b/>
        </w:rPr>
        <w:t>Available abstract (not full text):</w:t>
      </w:r>
      <w:r>
        <w:t xml:space="preserve"> Structural transformation in emerging economies often proceeds without a clear movement of labor into high-productivity sectors. This paper examines that pattern through Uzbekistan, a late-reforming economy in Central Asia, and reads its labor market trajectory against the wider post-socialist experience, drawing on Kazakhstan and Poland as contextual benchmarks. Using shift-share decomposition together with matched domain-specific and pooled panel regressions, we identify the sectors that drove employment change and assess how the supply of graduates relates to sectoral labor absorption. Employment change has followed a mainly service-led path, with manufacturing playing only a limited role in net job creation. The link between education and employment is uneven across sectors. Absorption is stronger in a few knowledge-intensive and highly skilled activities and weaker across several broader training areas. This pattern raises the question of whether labor reallocation is productivity-enhancing and underscores the need to align the expansion of higher education with the changing structure of labor demand.</w:t>
      </w:r>
    </w:p>
    <w:p>
      <w:pPr/>
      <w:r>
        <w:rPr>
          <w:b/>
        </w:rPr>
        <w:t>POSSIBLE 2026:</w:t>
      </w:r>
      <w:r>
        <w:t xml:space="preserve"> How do collective identities influence sector‐wide digital transformations? Insights from the European cooperative sector — https://doi.org/10.1111/emre.70057</w:t>
      </w:r>
    </w:p>
    <w:p>
      <w:pPr/>
      <w:r>
        <w:rPr>
          <w:b/>
        </w:rPr>
        <w:t>Shared claim-specific concepts:</w:t>
      </w:r>
      <w:r>
        <w:t xml:space="preserve"> sector, perspective, focusing; EU scope visible. This is a provisional connection, not an outcome finding.</w:t>
      </w:r>
    </w:p>
    <w:p>
      <w:pPr>
        <w:pStyle w:val="SourceNote"/>
      </w:pPr>
      <w:r>
        <w:rPr>
          <w:b/>
        </w:rPr>
        <w:t>Available abstract (not full text):</w:t>
      </w:r>
      <w:r>
        <w:t xml:space="preserve"> Abstract This paper applies the multilevel perspective (MLP) theory to investigate how collective identities influence sector‐wide digital transformations, focusing on the cooperative sector in Europe. By employing a wide mix of primary and secondary data from platform and incumbent cooperatives, our analysis showed that collective identities facilitate sector‐wide digital transformations by mobilizing resources and enhancing the legitimacy of niche innovations. However, they can also act as a source of friction across the different phases theorized by the MLP. Drawing on these findings, we propose a novel framework that links the influence of collective identities with overarching narratives framing digital transformation as either a threat, an inevitable tendency, or an opportunity to reaffirm collective identities. In addition to expanding current theorization on the role of collective identities, narratives, and intermediaries in sociotechnical transitions, our analysis urges managers and intermediary organizations to take the lead on the co‐creation of sector‐specific digital transformation narratives, reconciling collective identities with transition processes (and vice versa).</w:t>
      </w:r>
    </w:p>
    <w:p>
      <w:pPr/>
      <w:r>
        <w:rPr>
          <w:b/>
        </w:rPr>
        <w:t>POSSIBLE 2026:</w:t>
      </w:r>
      <w:r>
        <w:t xml:space="preserve"> Polish transport in a changing Europe – 20 years of change — https://doi.org/10.18559/978-83-8211-309-9/9</w:t>
      </w:r>
    </w:p>
    <w:p>
      <w:pPr/>
      <w:r>
        <w:rPr>
          <w:b/>
        </w:rPr>
        <w:t>Shared claim-specific concepts:</w:t>
      </w:r>
      <w:r>
        <w:t xml:space="preserve"> transport, investments, made; EU scope visible. This is a provisional connection, not an outcome finding.</w:t>
      </w:r>
    </w:p>
    <w:p>
      <w:pPr>
        <w:pStyle w:val="SourceNote"/>
      </w:pPr>
      <w:r>
        <w:rPr>
          <w:b/>
        </w:rPr>
        <w:t>Available abstract (not full text):</w:t>
      </w:r>
      <w:r>
        <w:t xml:space="preserve"> Two decades of EU membership are used to evaluate how infrastructure funding has transformed Polish transport. The chapter combines a literature review, EU funding data, statistical indicators and selected case studies of major road, rail, urban transport and waterway investments. Road and rail systems receive particular attention because they reveal the tangible effects of cohesion-policy financing. EU funds made possible projects that exceeded domestic financing capacity, including express roads, railway modernisation, rolling-stock purchases, tram routes and the Warsaw metro. Observable outcomes include expanded infrastructure, improved road safety, and fewer casualties and strong growth in railway passenger numbers, despite the interruption caused by the COVID-19 pandemic. The chapter reveals a clear connection between investment and transport quality. Continued funding can further support decarbonisation, accessibility and competitiveness across the Polish economy.</w:t>
      </w:r>
    </w:p>
    <w:p>
      <w:pPr/>
      <w:r>
        <w:rPr>
          <w:b/>
        </w:rPr>
        <w:t>POSSIBLE 2025:</w:t>
      </w:r>
      <w:r>
        <w:t xml:space="preserve"> Barriers to women’s employment in the transport sector in Europe — https://doi.org/10.12688/openreseurope.16123.1</w:t>
      </w:r>
    </w:p>
    <w:p>
      <w:pPr/>
      <w:r>
        <w:rPr>
          <w:b/>
        </w:rPr>
        <w:t>Shared claim-specific concepts:</w:t>
      </w:r>
      <w:r>
        <w:t xml:space="preserve"> transport, sector, very, work; EU scope visible. This is a provisional connection, not an outcome finding.</w:t>
      </w:r>
    </w:p>
    <w:p>
      <w:pPr>
        <w:pStyle w:val="SourceNote"/>
      </w:pPr>
      <w:r>
        <w:rPr>
          <w:b/>
        </w:rPr>
        <w:t>Available abstract (not full text):</w:t>
      </w:r>
      <w:r>
        <w:t xml:space="preserve">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pPr/>
      <w:r>
        <w:rPr>
          <w:b/>
        </w:rPr>
        <w:t>POSSIBLE 2025:</w:t>
      </w:r>
      <w:r>
        <w:t xml:space="preserve"> A Multi-Level Perspective on Transition to Renewable Energy in the Indonesian Transport Sector — https://doi.org/10.3390/en18215723</w:t>
      </w:r>
    </w:p>
    <w:p>
      <w:pPr/>
      <w:r>
        <w:rPr>
          <w:b/>
        </w:rPr>
        <w:t>Shared claim-specific concepts:</w:t>
      </w:r>
      <w:r>
        <w:t xml:space="preserve"> transport, sector, perspective, focusing, evolution, challenges; EU scope not established. This is a provisional connection, not an outcome finding.</w:t>
      </w:r>
    </w:p>
    <w:p>
      <w:pPr>
        <w:pStyle w:val="SourceNote"/>
      </w:pPr>
      <w:r>
        <w:rPr>
          <w:b/>
        </w:rPr>
        <w:t>Available abstract (not full text):</w:t>
      </w:r>
      <w:r>
        <w:t xml:space="preserve"> A transition from fossil fuels to renewable energy is underway to achieve net-zero emissions. The institutional arrangements in Indonesia’s energy transportation sector are crucial for various stakeholders involved in the energy transition. This study combines historical institutionalism with a multi-level perspective to analyze how policy formulation, critical junctures, and path dependence shape institutional changes toward sustainable mobility. The evolution of institutional arrangements can be categorized into three phases: the establishment of fuel-oil-based infrastructure and dependency (1970–2003); the diversification of cleaner fuels through compressed natural gas and biofuels (2004–2014); and the development of affordable and clean energy, focusing on biofuels and electrification (2015 to present). In parallel, a quantitative total cost of ownership analysis of vehicles using different fuel types demonstrates how institutional reforms, fiscal incentives, and regulatory support reshape the economic feasibility of low-carbon technologies. Landscape pressures—such as global decarbonization, fuel import dependence, and energy security challenges—interact with niche innovations, including biofuels, electric vehicles, and hybrid systems, to drive systemic transformation. The findings indicate that institutional changes, supported by quantitative economic evidence and technol</w:t>
      </w:r>
    </w:p>
    <w:p>
      <w:pPr/>
      <w:r>
        <w:rPr>
          <w:b/>
        </w:rPr>
        <w:t>POSSIBLE 2025:</w:t>
      </w:r>
      <w:r>
        <w:t xml:space="preserve"> LEGAL ASPECTS OF INDUSTRIAL SYMBIOSIS IN THE TRANSPORT SECTOR — https://openalex.org/W7131341140</w:t>
      </w:r>
    </w:p>
    <w:p>
      <w:pPr/>
      <w:r>
        <w:rPr>
          <w:b/>
        </w:rPr>
        <w:t>Shared claim-specific concepts:</w:t>
      </w:r>
      <w:r>
        <w:t xml:space="preserve"> transport, sector, like, very, related, industrial; EU scope visible. This is a provisional connection, not an outcome finding.</w:t>
      </w:r>
    </w:p>
    <w:p>
      <w:pPr>
        <w:pStyle w:val="SourceNote"/>
      </w:pPr>
      <w:r>
        <w:rPr>
          <w:b/>
        </w:rPr>
        <w:t>Available abstract (not full text):</w:t>
      </w:r>
      <w:r>
        <w:t xml:space="preserve"> Transport has a significant harmful impact on the environment, contributing to air, water and soil pollution, greenhouse gas emissions, and climate change. Burning fossil fuels in transportation means releases large amounts of CO₂ and other pollutants, degrading air quality and contributing to global warming. Transport also causes noise pollution and habitat destruction due to infrastructure development like roads and highways. On the other hand, sustainable transport seeks to minimise these negative effects by promoting cleaner technologies, such as electric and hydrogen-powered vehicles, and improving fuel efficiency. Industrial symbiosis in the transport sector refers to collaborative efforts between companies to optimise resources, reduce waste, and improve energy efficiency. Industrial symbiosis in the transport sector can include recycling vehicles and their parts, using alternative fuels, sharing infrastructure, etc. There are several successful practical examples of industrial symbiosis in the transport sector. While no single legal framework is dedicated solely to industrial symbiosis in transport, the legal aspects of this concept are covered through broader regulations related to sustainability, the circular economy, and emissions reduction. These legal frameworks include European Union directives and Member States' national laws as well as international treaties and</w:t>
      </w:r>
    </w:p>
    <w:p>
      <w:pPr/>
      <w:r>
        <w:rPr>
          <w:b/>
        </w:rPr>
        <w:t>POSSIBLE 2025:</w:t>
      </w:r>
      <w:r>
        <w:t xml:space="preserve"> Evaluating the European transportation sector via energy and climate change mitigation perspectives — https://doi.org/10.1016/j.sftr.2025.100652</w:t>
      </w:r>
    </w:p>
    <w:p>
      <w:pPr/>
      <w:r>
        <w:rPr>
          <w:b/>
        </w:rPr>
        <w:t>Shared claim-specific concepts:</w:t>
      </w:r>
      <w:r>
        <w:t xml:space="preserve"> transport, sector, decision; EU scope visible. This is a provisional connection, not an outcome finding.</w:t>
      </w:r>
    </w:p>
    <w:p>
      <w:pPr>
        <w:pStyle w:val="SourceNote"/>
      </w:pPr>
      <w:r>
        <w:rPr>
          <w:b/>
        </w:rPr>
        <w:t>Available abstract (not full text):</w:t>
      </w:r>
      <w:r>
        <w:t xml:space="preserve"> Transportation is essential to a country's economic growth. However, it is one of the most energy-intensive processes, and its negative environmental consequences are expected to worsen with time. Without successful climate change mitigation measures, it is predicted that transportation's negative environmental consequences will worsen, accelerating global warming. Enhancing energy efficiency and fostering sustainable practices in transportation have become urgent priorities to mitigate climate change. It is essential to evaluate to what extent European Union (EU) countries perform efficiently in terms of transport sustainability. Hence, we use Multi-Criteria Decision Making (MCDM) and slack-based Data Envelopment Analysis (DEA) tto evaluate the energy performance in the transportation sector of the EU. As per the analysis results, those countries with high Gross Domestic Product (GDP) levels, such as Germany, France, and Italy have performed better in both MCDM and DEA. Further, the outcomes of our study suggest that the EU members still have an opportunity for efficiency growth. To the best of our knowledge, this is one of the rare studies that comparatively focus on the performance of the EU transport sector.</w:t>
      </w:r>
    </w:p>
    <w:p>
      <w:pPr/>
      <w:r>
        <w:rPr>
          <w:b/>
        </w:rPr>
        <w:t>POSSIBLE 2025:</w:t>
      </w:r>
      <w:r>
        <w:t xml:space="preserve"> PRICES, MARKETS, CORPORATIZATION: GAME-THEORETIC MODELING OF STRATEGIES FOR CORPORATIZED STATE-OWNED ENTERPRISES IN UKRAINE’S TRANSPORT SECTOR — https://doi.org/10.26565/2524-2547-2025-69-01</w:t>
      </w:r>
    </w:p>
    <w:p>
      <w:pPr/>
      <w:r>
        <w:rPr>
          <w:b/>
        </w:rPr>
        <w:t>Shared claim-specific concepts:</w:t>
      </w:r>
      <w:r>
        <w:t xml:space="preserve"> transport, sector, investments, challenges; EU scope not established. This is a provisional connection, not an outcome finding.</w:t>
      </w:r>
    </w:p>
    <w:p>
      <w:pPr>
        <w:pStyle w:val="SourceNote"/>
      </w:pPr>
      <w:r>
        <w:rPr>
          <w:b/>
        </w:rPr>
        <w:t>Available abstract (not full text):</w:t>
      </w:r>
      <w:r>
        <w:t xml:space="preserve"> The article focuses on the topical issue of corporatization of state-owned enterprises in Ukraine’s transport sector, particularly Ukrainian Railways (UZ) and the Ukrainian Sea Ports Authority (USPA), in the context of their adaptation to new global challenges and post-war economic recovery. Based on an analysis of contemporary scientific literature, the study substantiates the feasibility of applying game theory tools to model strategic interactions among key stakeholders (government, enterprise management, regulators, investors, and consumers) in the corporatization process. The research aims to assess the potential consequences of completing the corporatization of UZ and USPA for corporate pricing policies, market efficiency, and public welfare using game-theoretic modeling and comparative analysis. The research methodology combines methods of descriptive statistics, systematic literature review, case studies, game-theoretic modeling, and scenario analysis. The developed game-theoretic model allows formalizing strategic interactions among players, evaluating the impact of various corporatization scenarios on key performance indicators, and formulating recommendations for optimizing UZ and USPA’s pricing strategies to balance commercial and public interests. The study argues that transitioning to «infrastructure holding company» models for railways and «landlord port» models </w:t>
      </w:r>
    </w:p>
    <w:p>
      <w:pPr>
        <w:pStyle w:val="Heading2"/>
      </w:pPr>
      <w:r>
        <w:t>921. Wild cards in transport</w:t>
      </w:r>
    </w:p>
    <w:p>
      <w:pPr>
        <w:pStyle w:val="SourceNote"/>
      </w:pPr>
      <w:r>
        <w:rPr>
          <w:b/>
        </w:rPr>
        <w:t>Original source (2015):</w:t>
      </w:r>
      <w:r>
        <w:t xml:space="preserve"> https://doi.org/10.1007/s40309-015-0066-9</w:t>
      </w:r>
    </w:p>
    <w:p>
      <w:pPr/>
      <w:r>
        <w:t>Original wording (abstract; indexed_source_text_not_full_document_verified): Several Wild Cards reach high likelihood in 2040 or beyond, while the time by which full impact is reached varies.</w:t>
      </w:r>
    </w:p>
    <w:p>
      <w:pPr/>
      <w:r>
        <w:rPr>
          <w:b/>
        </w:rPr>
        <w:t>POSSIBLE 2026:</w:t>
      </w:r>
      <w:r>
        <w:t xml:space="preserve"> Mapping Wild Boar Capture Likelihood Using Public Surveillance Records: A Maxent-Based Case Study in Northern Nara, Japan — https://doi.org/10.48084/etasr.18889</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Wild boar populations have expanded across Japan, increasing agricultural and residential damage and necessitating spatially explicit risk-management strategies. While habitat suitability and conflict risk mapping for wild boar have been reported in several regions, research on developing operationally oriented, fine-resolution prioritization workflows using publicly available surveillance capture records in Japan remains limited. Therefore, we aimed to estimate the spatial distribution of the likelihood of wild boar capture in northern Nara Prefecture using a presence-only Maxent model. Capture locations were compiled from publicly available classical swine fever (CSF) surveillance records (2022–2024), and environmental predictors were derived from open geospatial datasets representing climate, topography, land cover, vegetation, soil type, human presence, and accessibility. All predictors were processed to a 100-m grid; road length was downscaled from 1-km data using a uniform distribution, and duplicate records within the same 100-m cell were merged at the cell centroid to reduce spatial clustering. Model performance was evaluated using year-based cross-validation, and discrimination performance was assessed using the receiver operating characteristic curve and the Area Under the Curve (AUC). The model achieved high discrimination (mean AUC = 0.856 for training and 0.830 for</w:t>
      </w:r>
    </w:p>
    <w:p>
      <w:pPr/>
      <w:r>
        <w:rPr>
          <w:b/>
        </w:rPr>
        <w:t>POSSIBLE 2026:</w:t>
      </w:r>
      <w:r>
        <w:t xml:space="preserve"> Arboreal stone tool use in wild chimpanzees — https://doi.org/10.1016/j.anbehav.2026.123731</w:t>
      </w:r>
    </w:p>
    <w:p>
      <w:pPr/>
      <w:r>
        <w:rPr>
          <w:b/>
        </w:rPr>
        <w:t>Shared claim-specific concepts:</w:t>
      </w:r>
      <w:r>
        <w:t xml:space="preserve"> several, wild, likelihood; EU scope not established. This is a provisional connection, not an outcome finding.</w:t>
      </w:r>
    </w:p>
    <w:p>
      <w:pPr>
        <w:pStyle w:val="SourceNote"/>
      </w:pPr>
      <w:r>
        <w:rPr>
          <w:b/>
        </w:rPr>
        <w:t>Available abstract (not full text):</w:t>
      </w:r>
      <w:r>
        <w:t xml:space="preserve"> The transition from an arboreal to a terrestrial lifestyle drove significant changes in hominin evolution including the development of complex technologies. Nonhuman primates reveal a similar trend, where more terrestrial species exhibit greater technological complexity. Percussive stone tool use, such as nut cracking, is known across several primate species as a complex, terrestrial activity. However, western chimpanzees, Pan troglodytes verus , also perform arboreal nut cracking, a behaviour so far described only in the North group of the Taï Chimpanzee Project (TCP) and still understudied. Here, we investigated how chimpanzees’ efficiency at nut cracking is affected in arboreal settings in comparison to terrestrial settings, and how seasonality, sex and hammerstone weight influence Coula edulis arboreal nut-cracking likelihood. We monitored the Djouroutou community in the Taï National Park over 10 months and compared their behaviour to existing data from the nonadjacent South TCP group. Our results show that, in arboreal settings, chimpanzees across groups required more strikes to open a nut, indicating lower efficiency compared to terrestrial nut cracking. However, they did not open fewer nuts per minute in trees. As expected, this behaviour occurred mainly at the beginning of the C. edulis season when nuts are still attached to branches. Although females tended to crack mo</w:t>
      </w:r>
    </w:p>
    <w:p>
      <w:pPr/>
      <w:r>
        <w:rPr>
          <w:b/>
        </w:rPr>
        <w:t>POSSIBLE 2025:</w:t>
      </w:r>
      <w:r>
        <w:t xml:space="preserve"> Virome landscape of wild rodents and shrews in Central China — https://doi.org/10.1186/s40168-025-02059-0</w:t>
      </w:r>
    </w:p>
    <w:p>
      <w:pPr/>
      <w:r>
        <w:rPr>
          <w:b/>
        </w:rPr>
        <w:t>Shared claim-specific concepts:</w:t>
      </w:r>
      <w:r>
        <w:t xml:space="preserve"> several, wild, high, likelihood, full; EU scope not established. This is a provisional connection, not an outcome finding.</w:t>
      </w:r>
    </w:p>
    <w:p>
      <w:pPr>
        <w:pStyle w:val="SourceNote"/>
      </w:pPr>
      <w:r>
        <w:rPr>
          <w:b/>
        </w:rPr>
        <w:t>Available abstract (not full text):</w:t>
      </w:r>
      <w:r>
        <w:t xml:space="preserve"> BACKGROUND: Wild rodents and shrews serve as vital sentinel species for monitoring zoonotic viruses due to their close interaction with human environments and role as natural reservoirs for diverse viral pathogens. Although several studies have explored viral diversity and assessed pathogenic risks in wild rodents and shrews, the full extent of this diversity remains insufficiently understood. RESULTS: We conducted high-throughput sequencing on 1113 small mammals collected from 97 townships across seven cities in Hubei Province during 2021, supplemented by publicly available data from 2014 and 2016-2017. This analysis revealed a diverse array of novel viruses spanning several viral families, including Arenaviridae, Hepeviridae, Chuviridae, Paramyxoviridae, Arteriviridae, Nodaviridae, Rhabdoviridae, Dicistroviridae, Astroviridae, and Picornaviridae. Phylogenetic analysis and genome structure characterization highlighted the discovery of these novel viruses, enhancing our understanding of viral diversity and evolution. Key host species such as Chodsigoa smithii, Anourosorex squamipes, Niviventer niviventer, and Apodemus agrarius were identified as significant contributors to viral circulation, making them crucial targets for future surveillance. Additionally, the central Plain of Hubei Province was recognized as a critical geographic hub for viral transmission, underscoring its i</w:t>
      </w:r>
    </w:p>
    <w:p>
      <w:pPr/>
      <w:r>
        <w:rPr>
          <w:b/>
        </w:rPr>
        <w:t>POSSIBLE 2025:</w:t>
      </w:r>
      <w:r>
        <w:t xml:space="preserve"> Outcomes of orangutan wild-to-wild translocations reveal conservation and welfare risks — https://doi.org/10.1371/journal.pone.0317862</w:t>
      </w:r>
    </w:p>
    <w:p>
      <w:pPr/>
      <w:r>
        <w:rPr>
          <w:b/>
        </w:rPr>
        <w:t>Shared claim-specific concepts:</w:t>
      </w:r>
      <w:r>
        <w:t xml:space="preserve"> wild, high, likelihood, time; EU scope not established. This is a provisional connection, not an outcome finding.</w:t>
      </w:r>
    </w:p>
    <w:p>
      <w:pPr>
        <w:pStyle w:val="SourceNote"/>
      </w:pPr>
      <w:r>
        <w:rPr>
          <w:b/>
        </w:rPr>
        <w:t>Available abstract (not full text):</w:t>
      </w:r>
      <w:r>
        <w:t xml:space="preserve"> Wild orangutans (Pongo spp.) are captured and moved (wild-to-wild translocated) primarily to prevent crop foraging or out of concern for orangutans' survival in fragmented habitat. Little is known about wild-to-wild translocation frequency, circumstances, and possible species conservation and individual welfare outcomes. We investigated orangutan wild-to-wild translocations in Indonesia from 2005 to 2022 using primarily data from public sources and consultation with practitioners. At least 988 wild orangutans were captured for translocation during the study period, including many reproductively valuable resident females and adult males removed from unprotected fragmented forests and forest patches. Data on health condition (n = 808) indicated 81.7% were reported as healthy at time of capture. Information on post-capture disposition (n = 268) showed that only 23% were translocated immediately. Mean estimated killing combined with reported translocation removals was calculated to affect 3.3% of orangutans in Kalimantan, and 11.6% in Sumatra, both higher than the threshold of mortality from human actions expected to drive populations to extinction. Negative impacts are likely compounded where multiple individuals are translocated from the same area, and for the Tapanuli orangutan (P. tapanuliensis), which has the smallest population and range of all orangutan species. Data on reas</w:t>
      </w:r>
    </w:p>
    <w:p>
      <w:pPr/>
      <w:r>
        <w:rPr>
          <w:b/>
        </w:rPr>
        <w:t>POSSIBLE 2024:</w:t>
      </w:r>
      <w:r>
        <w:t xml:space="preserve"> From worshipping Tyche to playing with wild cards — https://doi.org/10.1111/1468-5973.12543</w:t>
      </w:r>
    </w:p>
    <w:p>
      <w:pPr/>
      <w:r>
        <w:rPr>
          <w:b/>
        </w:rPr>
        <w:t>Shared claim-specific concepts:</w:t>
      </w:r>
      <w:r>
        <w:t xml:space="preserve"> wild, cards, likelihood; EU scope not established. This is a provisional connection, not an outcome finding.</w:t>
      </w:r>
    </w:p>
    <w:p>
      <w:pPr>
        <w:pStyle w:val="SourceNote"/>
      </w:pPr>
      <w:r>
        <w:rPr>
          <w:b/>
        </w:rPr>
        <w:t>Available abstract (not full text):</w:t>
      </w:r>
      <w:r>
        <w:t xml:space="preserve">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pPr/>
      <w:r>
        <w:rPr>
          <w:b/>
        </w:rPr>
        <w:t>POSSIBLE 2024:</w:t>
      </w:r>
      <w:r>
        <w:t xml:space="preserve"> Luojiu Hua and Its Archive: Index Cards and Wild Cards — https://doi.org/10.4467/23531991kk.24.027.20862</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pPr/>
      <w:r>
        <w:rPr>
          <w:b/>
        </w:rPr>
        <w:t>POSSIBLE 2024:</w:t>
      </w:r>
      <w:r>
        <w:t xml:space="preserve"> In defense of wild meat’s place at the table — https://doi.org/10.1146/knowable-050924-2</w:t>
      </w:r>
    </w:p>
    <w:p>
      <w:pPr/>
      <w:r>
        <w:rPr>
          <w:b/>
        </w:rPr>
        <w:t>Shared claim-specific concepts:</w:t>
      </w:r>
      <w:r>
        <w:t xml:space="preserve"> several, wild, cards, full; EU scope visible. This is a provisional connection, not an outcome finding.</w:t>
      </w:r>
    </w:p>
    <w:p>
      <w:pPr>
        <w:pStyle w:val="SourceNote"/>
      </w:pPr>
      <w:r>
        <w:rPr>
          <w:b/>
        </w:rPr>
        <w:t>Available abstract (not full text):</w:t>
      </w:r>
      <w:r>
        <w:t xml:space="preserve"> For the past 25 years, conservation scientist E.J. Milner-Gulland of the University of Oxford in the UK has studied the often-opaque trade in wild animal meat, hides, horns, tusks, scales, bones and more, across Africa and Asia. Her initial interest was in understanding how much hunting would be sustainable — without causing worrying declines in wild animal populations — but she soon realized that understanding hunters and the people who eat wild meat was equally important.When some conservation and animal welfare organizations started calling for a ban on wild meat during the Covid-19 pandemic, citing health risks and conservation concerns, Milner-Gulland and over a dozen colleagues protested. They argued that while certain hunting practices create unacceptable risks for endangered animals and human health, other forms of hunting are largely sustainable and crucial to people's livelihoods.CREDIT: JAMES PROVOST (CC BY-ND)Conservation scientist E.J. Milner-GullandUniversity of OxfordBased on their studies, they believe that blanket bans on wild meat hunting, trade and consumption would be both unfair and unlikely to benefit conservation efforts. Bans might make hunting and trading harder to monitor by pushing it underground, they think, and force people to shift to potentially more damaging activities.Milner-Gulland thinks we should treat wild meat like we do other kinds of meat</w:t>
      </w:r>
    </w:p>
    <w:p>
      <w:pPr/>
      <w:r>
        <w:rPr>
          <w:b/>
        </w:rPr>
        <w:t>POSSIBLE 2023:</w:t>
      </w:r>
      <w:r>
        <w:t xml:space="preserve"> Wild rodents harbour high diversity of Arthroderma — https://doi.org/10.3767/persoonia.2023.50.02</w:t>
      </w:r>
    </w:p>
    <w:p>
      <w:pPr/>
      <w:r>
        <w:rPr>
          <w:b/>
        </w:rPr>
        <w:t>Shared claim-specific concepts:</w:t>
      </w:r>
      <w:r>
        <w:t xml:space="preserve"> several, wild, high; EU scope visible. This is a provisional connection, not an outcome finding.</w:t>
      </w:r>
    </w:p>
    <w:p>
      <w:pPr>
        <w:pStyle w:val="SourceNote"/>
      </w:pPr>
      <w:r>
        <w:rPr>
          <w:b/>
        </w:rPr>
        <w:t>Available abstract (not full text):</w:t>
      </w:r>
      <w:r>
        <w:t xml:space="preserve"> Arthroderma is the most diverse genus of dermatophytes, and its natural reservoir is considered to be soil enriched by keratin sources. During a study on the diversity of dermatophytes in wild small rodents in the Czech Republic, we isolated several strains of Arthroderma. To explore the diversity and ecological significance of these isolates from rodents (n = 29), we characterised the strains genetically (i. e., sequenced ITS, tubb and tef1α), morphologically, physiologically, and by conducting mating experiments. We then compared the rodent-derived strains to existing ITS sequence data from GenBank and the Global Fungi Database to further investigate biogeography and the association of Arthroderma species with different types of environments. In total, eight Arthroderma species were isolated from rodents, including four previously described species (A. crocatum, A. cuniculi, A. curreyi, A. quadrifidum) and four new species proposed herein, i. e., A. rodenticum, A. simile, A. zoogenum and A. psychro— philum. The geographical distribution of these newly described species was not restricted to the Czech Republic nor rodents. Additional isolates were obtained from bats and other mammals, reptiles, and soil from Europe, North America, and Asia. Data mining showed that the genus has a diverse ecology, with some lineages occurring relatively frequently in soil, whereas others appear</w:t>
      </w:r>
    </w:p>
    <w:p>
      <w:pPr/>
      <w:r>
        <w:rPr>
          <w:b/>
        </w:rPr>
        <w:t>POSSIBLE 2023:</w:t>
      </w:r>
      <w:r>
        <w:t xml:space="preserve"> High temperatures are associated with reduced cognitive performance in wild southern pied babblers — https://doi.org/10.1098/rspb.2023.1077</w:t>
      </w:r>
    </w:p>
    <w:p>
      <w:pPr/>
      <w:r>
        <w:rPr>
          <w:b/>
        </w:rPr>
        <w:t>Shared claim-specific concepts:</w:t>
      </w:r>
      <w:r>
        <w:t xml:space="preserve"> wild, high, reached; EU scope not established. This is a provisional connection, not an outcome finding.</w:t>
      </w:r>
    </w:p>
    <w:p>
      <w:pPr>
        <w:pStyle w:val="SourceNote"/>
      </w:pPr>
      <w:r>
        <w:rPr>
          <w:b/>
        </w:rPr>
        <w:t>Available abstract (not full text):</w:t>
      </w:r>
      <w:r>
        <w:t xml:space="preserve"> Global temperatures are increasing rapidly. While considerable research is accumulating regarding the lethal and sublethal effects of heat on wildlife, its potential impact on animal cognition has received limited attention. Here, we tested wild southern pied babblers ( Turdoides bicolor ) on three cognitive tasks (associative learning, reversal learning and inhibitory control) under naturally occurring heat stress and non-heat stress conditions. We determined whether cognitive performance was explained by temperature, heat dissipation behaviours, individual and social attributes, or proxies of motivation. We found that temperature, but not heat dissipation behaviours, predicted variation in associative learning performance. Individuals required on average twice as many trials to learn an association when the maximum temperature during testing exceeded 38°C compared with moderate temperatures. Higher temperatures during testing were also associated with reduced inhibitory control performance, but only in females. By contrast, we found no temperature-related decline in performance in the reversal learning task, albeit individuals reached learning criterion in only 14 reversal learning tests. Our findings provide novel evidence of temperature-mediated cognitive impairment in a wild animal and indicate that its occurrence depends on the cognitive trait examined and individual sex.</w:t>
      </w:r>
    </w:p>
    <w:p>
      <w:pPr/>
      <w:r>
        <w:rPr>
          <w:b/>
        </w:rPr>
        <w:t>POSSIBLE 2023:</w:t>
      </w:r>
      <w:r>
        <w:t xml:space="preserve"> Cards against gamification: Using a role-playing game to tell alternative futures in the gig economy — https://doi.org/10.1177/00380261231184755</w:t>
      </w:r>
    </w:p>
    <w:p>
      <w:pPr/>
      <w:r>
        <w:rPr>
          <w:b/>
        </w:rPr>
        <w:t>Shared claim-specific concepts:</w:t>
      </w:r>
      <w:r>
        <w:t xml:space="preserve"> several, cards, reach, beyond; EU scope not established. This is a provisional connection, not an outcome finding.</w:t>
      </w:r>
    </w:p>
    <w:p>
      <w:pPr>
        <w:pStyle w:val="SourceNote"/>
      </w:pPr>
      <w:r>
        <w:rPr>
          <w:b/>
        </w:rPr>
        <w:t>Available abstract (not full text):</w:t>
      </w:r>
      <w:r>
        <w:t xml:space="preserve"> The discussions on the future of work are pulled between technological optimism and the increasing concerns regarding the precarity brought about by the gig economy. Often, these scenarios fail to meaningfully engage and account for the workers’ experiences, whose agency in effectively shaping their working future is denied and obscured behind discourses of autonomy, entrepreneurship and individual responsibility. In the context of the increased use of gamification strategies by platforms to both monitor and incentivise couriers, this article examines the capacity of playful methods to act as effective forms of engagement and mobilisation amongst gig workers. A workshop with this aim was run online in April 2021, at the end of the third Covid lockdown in the UK, using a role-playing card game with food couriers in Manchester. It drew on ethnographic data to explore how to support empathy and solidarity amongst couriers, how to facilitate the creation of a shared pool of knowledge about the job and how to reconfigure other stakeholders’ roles to improve working conditions. We finally offer some ideas to take the game beyond the workshop space suggesting several pathways for the future: a face-to-face game using printed cards, an open-source version of the game and collaborating with trade unions to reach more couriers.</w:t>
      </w:r>
    </w:p>
    <w:p>
      <w:pPr/>
      <w:r>
        <w:rPr>
          <w:b/>
        </w:rPr>
        <w:t>POSSIBLE 2022:</w:t>
      </w:r>
      <w:r>
        <w:t xml:space="preserve"> High prevalence of straying in a wild brown trout (Salmo trutta) population in a fjord system — https://doi.org/10.1093/icesjms/fsac079</w:t>
      </w:r>
    </w:p>
    <w:p>
      <w:pPr/>
      <w:r>
        <w:rPr>
          <w:b/>
        </w:rPr>
        <w:t>Shared claim-specific concepts:</w:t>
      </w:r>
      <w:r>
        <w:t xml:space="preserve"> several, wild, high, likelihood, time; EU scope not established. This is a provisional connection, not an outcome finding.</w:t>
      </w:r>
    </w:p>
    <w:p>
      <w:pPr>
        <w:pStyle w:val="SourceNote"/>
      </w:pPr>
      <w:r>
        <w:rPr>
          <w:b/>
        </w:rPr>
        <w:t>Available abstract (not full text):</w:t>
      </w:r>
      <w:r>
        <w:t xml:space="preserve"> Abstract Natal homing is a prevalent life-history strategy among salmonids. However, not all individuals return to their natal river, a behaviour known as straying. In this study, we investigated the prevalence of straying and its connection to different life-history characteristics in an anadromous brown trout (Salmo trutta) population. In total, 21 538 juvenile out-migrating brown trout were tagged with Passive Integrated Transponder (PIT) tags in two years. Individuals were grouped according to their developmental status (parr, pre-smolt, and smolt) at the time of out-migration to investigate the effect of such life-history characteristic on the likelihood of straying. High number of anadromous brown trout (36%) were detected in non-natal rivers. Individuals spending longer time at sea were less likely to stray. Additionally, the likelihood of straying was dependent on the developmental status during out-migration, with parr having lower likelihood to stray compared to pre-smolt and smolt. However, the latter is further dependent on length and timing of juvenile out-migration. These results indicate that straying is an inherent part of this anadromous brown trout population and it is influenced by several life-history characteristics at different life stages. This may have significant implications to genetic structure within and between populations and to population dynamics</w:t>
      </w:r>
    </w:p>
    <w:p>
      <w:pPr/>
      <w:r>
        <w:rPr>
          <w:b/>
        </w:rPr>
        <w:t>POSSIBLE 2022:</w:t>
      </w:r>
      <w:r>
        <w:t xml:space="preserve"> Effect of Response Cards on Academic Outcomes — https://doi.org/10.57709/2058654</w:t>
      </w:r>
    </w:p>
    <w:p>
      <w:pPr/>
      <w:r>
        <w:rPr>
          <w:b/>
        </w:rPr>
        <w:t>Shared claim-specific concepts:</w:t>
      </w:r>
      <w:r>
        <w:t xml:space="preserve"> cards, high, time; EU scope not established. This is a provisional connection, not an outcome finding.</w:t>
      </w:r>
    </w:p>
    <w:p>
      <w:pPr>
        <w:pStyle w:val="SourceNote"/>
      </w:pPr>
      <w:r>
        <w:rPr>
          <w:b/>
        </w:rPr>
        <w:t>Available abstract (not full text):</w:t>
      </w:r>
      <w:r>
        <w:t xml:space="preserve"> Response cards (RC) support effective teaching strategies such as maintaining a brisk pace of instruction, increased opportunities to respond, immediate and frequent corrective feedback, and high rates of behavior specific praise statements; all of which have been effective in increasing student engagement for students with and without emotional and behavioral disorders (E/BD) (Emmer &amp; Stough, 2001; Simonsen et al., 2008; Sutherland, Wehby, &amp; Copeland, 2000). RC during academic instruction are successful in decreasing disruptive behavior, increasing student participation, and increasing academic achievement from the elementary school level to the university level. This study examined teacher implementation of RC at the high school level for students without disabilities and students with disabilities with a history of challenging behaviors (i.e., students with a disability and a behavior intervention plan) in general education classes required for high school graduation. The purpose of this study was to evaluate the effect of RC compared to hand raising (HR) in inclusive general education classrooms. An alternating treatment design was implemented to examine the potential functional relation between the use of RC, student engagement, and academic achievement. RC (i.e., 8? x 11? laminated write -on cards) were randomly alternated with the more traditional method of HR which allo</w:t>
      </w:r>
    </w:p>
    <w:p>
      <w:pPr>
        <w:pStyle w:val="Heading2"/>
      </w:pPr>
      <w:r>
        <w:t>922. A scenario-planning approach to human resources for health: the case of community pharmacists in Portugal</w:t>
      </w:r>
    </w:p>
    <w:p>
      <w:pPr>
        <w:pStyle w:val="SourceNote"/>
      </w:pPr>
      <w:r>
        <w:rPr>
          <w:b/>
        </w:rPr>
        <w:t>Original source (2014):</w:t>
      </w:r>
      <w:r>
        <w:t xml:space="preserve"> https://doi.org/10.1186/1478-4491-12-58</w:t>
      </w:r>
    </w:p>
    <w:p>
      <w:pPr/>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POSSIBLE 2026:</w:t>
      </w:r>
      <w:r>
        <w:t xml:space="preserve"> Burnout in Galician Community Pharmacists — https://doi.org/10.33620/fc.2173-9218.(2026).21</w:t>
      </w:r>
    </w:p>
    <w:p>
      <w:pPr/>
      <w:r>
        <w:rPr>
          <w:b/>
        </w:rPr>
        <w:t>Shared claim-specific concepts:</w:t>
      </w:r>
      <w:r>
        <w:t xml:space="preserve"> design, three, community, pharmacists, opportunity, develop; EU scope not established. This is a provisional connection, not an outcome finding.</w:t>
      </w:r>
    </w:p>
    <w:p>
      <w:pPr>
        <w:pStyle w:val="SourceNote"/>
      </w:pPr>
      <w:r>
        <w:rPr>
          <w:b/>
        </w:rPr>
        <w:t>Available abstract (not full text):</w:t>
      </w:r>
      <w:r>
        <w:t xml:space="preserve"> JustificationThere is a lack of studies on the physical wear and mental exhaustion experienced by community pharmacists (CPs) in the workplace, so we consider it necessary to assess its relevance. ObjectiveTo analyze the prevalence and significance of occupational burnout syndrome in community pharmacies in Galicia, its risk factors, and its association with work-related and demographic variables.Methods Design: Cross-sectional observational study conducted from September to December 2025.Approved by the Galicia Research Ethics Committee (CEIC Galicia).Subjects: Pharmacists practicing in community pharmacies.Sample size: For a precision of 10.0% in estimating a proportion, assuming a prevalence of 50.0% and a total population size of 3,984, it will be necessary to include 94 participants in the study.Variables: Proportion of CPs affected by burnout syndrome and mean level of affectation according to the total score of the Maslach Burnout Inventory (MBI-HSS).Scores for the sections on considerations and expectations regarding professional practice: frequency (%).Procedure: An online questionnaire was created using Microsoft Forms®.The sample was stratified by province and place of practice according to the classification established by the Xunta de Galicia into three population zone types: densely populated, intermediate, and sparsely populated.Pharmacies will be contacted by ph</w:t>
      </w:r>
    </w:p>
    <w:p>
      <w:pPr/>
      <w:r>
        <w:rPr>
          <w:b/>
        </w:rPr>
        <w:t>POSSIBLE 2026:</w:t>
      </w:r>
      <w:r>
        <w:t xml:space="preserve"> Interprofessional Collaboration Between Community Health Workers and Pharmacists — https://doi.org/10.1111/hex.70538</w:t>
      </w:r>
    </w:p>
    <w:p>
      <w:pPr/>
      <w:r>
        <w:rPr>
          <w:b/>
        </w:rPr>
        <w:t>Shared claim-specific concepts:</w:t>
      </w:r>
      <w:r>
        <w:t xml:space="preserve"> design, community, pharmacists, role, health, conclusions; EU scope not established. This is a provisional connection, not an outcome finding.</w:t>
      </w:r>
    </w:p>
    <w:p>
      <w:pPr>
        <w:pStyle w:val="SourceNote"/>
      </w:pPr>
      <w:r>
        <w:rPr>
          <w:b/>
        </w:rPr>
        <w:t>Available abstract (not full text):</w:t>
      </w:r>
      <w:r>
        <w:t xml:space="preserve"> BACKGROUND: Community health workers (CHWs) can bridge the gap between health and social services and the communities they serve. CHWs can work collaboratively with healthcare professionals, such as pharmacists, in addressing peoples' social determinants of health. However, little is known about how CHWs and pharmacists collaborate. We aimed to explore the interprofessional collaboration between pharmacists and CHWs in Australia and New Zealand and identify the challenges and strategies in their collaborative practice. METHODS: Semi-structured interviews were conducted with pharmacists and CHWs in Australia and New Zealand, to explore (i) CHW-pharmacist interprofessional collaboration experiences, (ii) how pharmacists perceived CHWs' roles and vice-versa, (iii), challenges to collaborative practices and (iv) strategies to foster their collaboration. Interviews took around half-an-hour and were audio-recorded, transcribed verbatim, and inductively thematically analysed. RESULTS: Twenty-nine participants (16 pharmacists and 13 CHWs) were interviewed, 19 worked in Australia and 10 in New Zealand. Participants reported that CHWs connected the patient and the pharmacist and helped bridge cultural gaps, shared patient-related information with the pharmacist, supported patient medication management and adherence, and referred patients to pharmacists. CHWs helped patients to take up ph</w:t>
      </w:r>
    </w:p>
    <w:p>
      <w:pPr/>
      <w:r>
        <w:rPr>
          <w:b/>
        </w:rPr>
        <w:t>POSSIBLE 2026:</w:t>
      </w:r>
      <w:r>
        <w:t xml:space="preserve"> Patient satisfaction towards pharmacists’ services in the community pharmacies in the Hail region — https://doi.org/10.1371/journal.pone.0354731</w:t>
      </w:r>
    </w:p>
    <w:p>
      <w:pPr/>
      <w:r>
        <w:rPr>
          <w:b/>
        </w:rPr>
        <w:t>Shared claim-specific concepts:</w:t>
      </w:r>
      <w:r>
        <w:t xml:space="preserve"> three, community, pharmacists, health, all, pharmaceutical; EU scope not established. This is a provisional connection, not an outcome finding.</w:t>
      </w:r>
    </w:p>
    <w:p>
      <w:pPr>
        <w:pStyle w:val="SourceNote"/>
      </w:pPr>
      <w:r>
        <w:rPr>
          <w:b/>
        </w:rPr>
        <w:t>Available abstract (not full text):</w:t>
      </w:r>
      <w:r>
        <w:t xml:space="preserve"> OBJECTIVES: Research on patient satisfaction with community pharmacy services in Saudi Arabia has mostly concentrated on large cities, leaving a significant gap in understanding these services within the Hail region. Evaluating patient satisfaction in Hail is essential to address regional service gaps in privacy and counseling. Thus, this study was designed to assess the patient satisfaction with community pharmacy services in the Hail region. METHODS: This cross-sectional study targeting the community pharmacy visitors in Hail region was conducted among 200 participants for a duration of three months (i.e., from 14 June 2024-29 September 2024). Patient satisfaction was assessed by a reliable and valid questionnaire. The instrument consisted of 17 items; and all of them were 5-point Likert scale responses (Poor = 1, Fair = 2, Good = 3, Very good = 4, Excellent = 5). To guarantee diverse geographic representation, 20 community pharmacies were purposefully chosen from several Hail City districts. In order to achieve balanced sample across all sites, a total of 200 participants were recruited, with roughly 10 patients joined from each Pharmacy. The data was analyzed for descriptive statistics using the SPSS, version 29.0. RESULTS: The majority of the 200 participants in this study (mean age of 37.5 years) were married (60.5%) and male (56.5%). More than half had only completed hig</w:t>
      </w:r>
    </w:p>
    <w:p>
      <w:pPr/>
      <w:r>
        <w:rPr>
          <w:b/>
        </w:rPr>
        <w:t>POSSIBLE 2026:</w:t>
      </w:r>
      <w:r>
        <w:t xml:space="preserve"> Towards an inclusive curriculum? Comparing the curricular regimes of three European countries — https://doi.org/10.1080/08856257.2026.2692090</w:t>
      </w:r>
    </w:p>
    <w:p>
      <w:pPr/>
      <w:r>
        <w:rPr>
          <w:b/>
        </w:rPr>
        <w:t>Shared claim-specific concepts:</w:t>
      </w:r>
      <w:r>
        <w:t xml:space="preserve"> design, three, role, all; EU scope visible. This is a provisional connection, not an outcome finding.</w:t>
      </w:r>
    </w:p>
    <w:p>
      <w:pPr>
        <w:pStyle w:val="SourceNote"/>
      </w:pPr>
      <w:r>
        <w:rPr>
          <w:b/>
        </w:rPr>
        <w:t>Available abstract (not full text):</w:t>
      </w:r>
      <w:r>
        <w:t xml:space="preserve"> This paper examines the evolution, status, and enactment of curricular regimes in relation to inclusive and special education policies in Austria, Cyprus and Sweden. While curricula are widely recognised as a central interface between policy and practice, their role in fostering or hindering inclusive education has received limited attention in comparative research. Drawing on structured country case studies, we trace national trajectories since the 1960s, highlighting how historical legacies, governance structures and international discourses shaped curricular approaches for students with disabilities. Our analysis shows that despite differing paths (Austria’s impairment-specific special school curricula, Cyprus’ ostensible ‘curriculum for all’, and Sweden’s early moves towards curricular alignment followed by renewed differentiation) all three regimes reproduce forms of segregation, most prominently for students with intellectual disabilities. Moreover, recent reforms aiming to harmonise curricula across settings often perpetuate ableist categorisations, particularly in the interplay of curricula, special educational needs frameworks and individualised education plans. We argue that curricular design and enactment remain key to understanding the tensions between inclusive rhetoric and exclusionary practices. By comparing national regimes, we identify shared patterns of path d</w:t>
      </w:r>
    </w:p>
    <w:p>
      <w:pPr/>
      <w:r>
        <w:rPr>
          <w:b/>
        </w:rPr>
        <w:t>POSSIBLE 2025:</w:t>
      </w:r>
      <w:r>
        <w:t xml:space="preserve"> Design Policy Mapping in Europe — https://openalex.org/W7215223829</w:t>
      </w:r>
    </w:p>
    <w:p>
      <w:pPr/>
      <w:r>
        <w:rPr>
          <w:b/>
        </w:rPr>
        <w:t>Shared claim-specific concepts:</w:t>
      </w:r>
      <w:r>
        <w:t xml:space="preserve"> design, environment, beyond;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Adverse drug reaction reporting by New Zealand pharmacists: a cross-sectional investigation of community and hospital pharmacists — https://doi.org/10.1093/ijpp/riaf017</w:t>
      </w:r>
    </w:p>
    <w:p>
      <w:pPr/>
      <w:r>
        <w:rPr>
          <w:b/>
        </w:rPr>
        <w:t>Shared claim-specific concepts:</w:t>
      </w:r>
      <w:r>
        <w:t xml:space="preserve"> community, pharmacists, system, conclusions; EU scope visible. This is a provisional connection, not an outcome finding.</w:t>
      </w:r>
    </w:p>
    <w:p>
      <w:pPr>
        <w:pStyle w:val="SourceNote"/>
      </w:pPr>
      <w:r>
        <w:rPr>
          <w:b/>
        </w:rPr>
        <w:t>Available abstract (not full text):</w:t>
      </w:r>
      <w:r>
        <w:t xml:space="preserve"> OBJECTIVES: The study aimed to investigate the factors influencing adverse drug reaction (ADR) reporting among New Zealand's community and hospital pharmacists. METHODS: Two surveys were created for distinct practice settings, with the demographics section tailored to each setting while the core content remained consistent. The surveys included six sections: demographics, reporting practices, attitudes and behaviours towards reporting, barriers, facilitators to reporting, and future improvements. Sections 3-6 used Likert scale questions to measure agreement. Participants were identified from a list of registered pharmacists in New Zealand who had consented to participate in research during their practice license renewal, obtained from the Pharmacy Council. The surveys were emailed to 2762 pharmacists with a 23% (n = 632) response rate. The collected data underwent descriptive statistical analysis using SPSS® and inferential statistics were applied. Fisher's exact test determined relationships between responses and practice setting and Relative Importance Index (RII) quantified statement importance. KEY FINDINGS: The majority of the participants were female (74.8%), European (63%), and aged 31-40 years. Analysis revealed time as the main influence on ADR reporting. While both groups had positive attitudes towards reporting, they identified the time-consuming nature as the most s</w:t>
      </w:r>
    </w:p>
    <w:p>
      <w:pPr/>
      <w:r>
        <w:rPr>
          <w:b/>
        </w:rPr>
        <w:t>POSSIBLE 2025:</w:t>
      </w:r>
      <w:r>
        <w:t xml:space="preserve"> Trade-offs in the collaborative design of a B2B eco-label for the European railway sector — https://doi.org/10.1016/j.procir.2025.08.025</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As the European railway sector is committed to improving its sustainability, a consortium of railway organizations for the European Union is working on the development of an eco-label for the sector. This paper explores the design choices that present themselves during the co-design of this label, which aims to track improvements, communicate and share, and push suppliers to improve with respect to the three indicators: GHG/CO2 emissions, circularity, and energy efficiency. The findings highlight the inherent trade-offs in the design of an eco-label and discuss ways to improve the intuitive understanding of these trade-offs within the context of co-design.</w:t>
      </w:r>
    </w:p>
    <w:p>
      <w:pPr/>
      <w:r>
        <w:rPr>
          <w:b/>
        </w:rPr>
        <w:t>POSSIBLE 2025:</w:t>
      </w:r>
      <w:r>
        <w:t xml:space="preserve"> Law by design obligations: The future of regulating digital technologies in Europe? — https://doi.org/10.1016/j.clsr.2025.106232</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Law by design obligations refer to a growing, dynamic approach in European technology law. This article examines this trend by establishing a definition of law by design obligations based on three key elements: their focus on the creation and development of technologies throughout the lifecycle, their aim to incorporate and achieve legal goals in these processes, and the discretion they afford in complying with such obligations. The study shows an evolving practice with legal roots in 1970s data protection. Initially focused on data protection and security, such obligations have expanded to 45 design goals in European legislation. This growth in breadth and depth indicates their increased importance, which has not been previously examined. The analysis of regulatory practice uncovers significant choices that shape how these obligations function: this includes the legal scope defining applicability through various limitations and thresholds; goals establishing how principles serve as aims with different levels of detail and potential conflicts; procedural dimensions organizing iterative processes of assessment, measures, and proportionality; collective dimensions of knowledge governance enabling learning within and across organizations; and accountability dimensions ensuring compliance through documentation, specialized roles, and enforcement mechanisms. These choices demonstrat</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design, three, changing;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Analgesics misuse and the community pharmacists’ possible interventions — https://doi.org/10.51847/zoz0xnv82l</w:t>
      </w:r>
    </w:p>
    <w:p>
      <w:pPr/>
      <w:r>
        <w:rPr>
          <w:b/>
        </w:rPr>
        <w:t>Shared claim-specific concepts:</w:t>
      </w:r>
      <w:r>
        <w:t xml:space="preserve"> aims, community, pharmacists, role, all; EU scope not established. This is a provisional connection, not an outcome finding.</w:t>
      </w:r>
    </w:p>
    <w:p>
      <w:pPr>
        <w:pStyle w:val="SourceNote"/>
      </w:pPr>
      <w:r>
        <w:rPr>
          <w:b/>
        </w:rPr>
        <w:t>Available abstract (not full text):</w:t>
      </w:r>
      <w:r>
        <w:t xml:space="preserve"> Analgesics possess the capacity to induce substantial negative consequences. Given that potent analgesics are not subject to medical oversight and can be acquired by the general public without a prescription, it is imperative to concentrate all precautions and disciplines to modify consumer conduct concerning these medications through interventions targeted at pharmacists. This study aims to evaluate the main recorded adverse events coming from analgesic misuse and assess the role of community p</w:t>
      </w:r>
    </w:p>
    <w:p>
      <w:pPr/>
      <w:r>
        <w:rPr>
          <w:b/>
        </w:rPr>
        <w:t>POSSIBLE 2025:</w:t>
      </w:r>
      <w:r>
        <w:t xml:space="preserve"> Evaluating the Perceptions, Expectations, and Concerns of Community Pharmacists in Germany Regarding Prescribing by Pharmacists — https://doi.org/10.3390/healthcare13192490</w:t>
      </w:r>
    </w:p>
    <w:p>
      <w:pPr/>
      <w:r>
        <w:rPr>
          <w:b/>
        </w:rPr>
        <w:t>Shared claim-specific concepts:</w:t>
      </w:r>
      <w:r>
        <w:t xml:space="preserve"> community, pharmacists, role, system, conclusions, all; EU scope visible. This is a provisional connection, not an outcome finding.</w:t>
      </w:r>
    </w:p>
    <w:p>
      <w:pPr>
        <w:pStyle w:val="SourceNote"/>
      </w:pPr>
      <w:r>
        <w:rPr>
          <w:b/>
        </w:rPr>
        <w:t>Available abstract (not full text):</w:t>
      </w:r>
      <w:r>
        <w:t xml:space="preserve"> Background: Expanding the role of healthcare professionals could improve patient care. Workforce shortages and financial challenges within the healthcare system have led to non-medical prescribing models, such as pharmacist prescribing in several countries. However, in Germany, the prescribing authority remains with medical professionals, leaving pharmacist prescribing unexplored. Objectives: The aim of this study was to assess community pharmacists’ perceptions of the concept of prescribing by pharmacists, to investigate general concerns, and to evaluate the overall readiness and willingness of community pharmacists to take on prescribing responsibilities. Methods: A cross-sectional anonymous online survey of community pharmacists was conducted between August and October 2023. The 22-item questionnaire included demographic characteristics, daily work routines, and statements regarding the concept of prescribing by pharmacists. The data were coded and analyzed using IBM SPSS Statistics version 28.0.1. Results: The key finding was that attitudes toward prescribing by pharmacists were generally very positive, regardless of the pharmacists’ age and the size of the city in which the pharmacy was located. This positive perception was reflected by 82.3% of the participants, indicating support for the concept of prescribing by pharmacists in Germany. Additionally, 81.8% expressed conf</w:t>
      </w:r>
    </w:p>
    <w:p>
      <w:pPr/>
      <w:r>
        <w:rPr>
          <w:b/>
        </w:rPr>
        <w:t>POSSIBLE 2025:</w:t>
      </w:r>
      <w:r>
        <w:t xml:space="preserve"> Interprofessional collaboration between pharmacists and community health workers: a scoping review — https://doi.org/10.1186/s12939-025-02377-7</w:t>
      </w:r>
    </w:p>
    <w:p>
      <w:pPr/>
      <w:r>
        <w:rPr>
          <w:b/>
        </w:rPr>
        <w:t>Shared claim-specific concepts:</w:t>
      </w:r>
      <w:r>
        <w:t xml:space="preserve"> aims, community, pharmacists, role, play, health; EU scope not established. This is a provisional connection, not an outcome finding.</w:t>
      </w:r>
    </w:p>
    <w:p>
      <w:pPr>
        <w:pStyle w:val="SourceNote"/>
      </w:pPr>
      <w:r>
        <w:rPr>
          <w:b/>
        </w:rPr>
        <w:t>Available abstract (not full text):</w:t>
      </w:r>
      <w:r>
        <w:t xml:space="preserve"> INTRODUCTION: Community health workers (CHWs) help bridge the cultural gap between health services and the communities they serve. CHWs work with physicians, nurses and social workers, but little is known about their collaboration with pharmacists. This scoping review aims to describe the interprofessional collaboration between CHWs and pharmacists, the types of interventions they deliver and CHWs' and pharmacists' specific roles within these interventions. METHOD: The scientific literature published in PubMed, Embase, MEDLINE, Scopus, Web of Science, PsycInfo, CINAHL and the grey literature were searched. Inclusion criteria were that the research (i) involved pharmacists and CHWs working collaboratively and (ii) included an intervention, service or program. One researcher screened all articles, and two reviewers screened 6% of articles (20/340) assessed for eligibility, using the software Covidence. After the discrepancies were resolved, data from the included articles were extracted using a customized template for data extraction and synthesized narratively. RESULTS: Eighteen studies met the inclusion criteria. Most were conducted in the USA (14/18) and were published since 2020 (12/18). Most interventions involved medication reviews, support for medication adherence, disease prevention or addressing the social determinants of health. Pharmacists had primarily clinical roles </w:t>
      </w:r>
    </w:p>
    <w:p>
      <w:pPr>
        <w:pStyle w:val="Heading2"/>
      </w:pPr>
      <w:r>
        <w:t>923. A vibrant European labor market with full employment</w:t>
      </w:r>
    </w:p>
    <w:p>
      <w:pPr>
        <w:pStyle w:val="SourceNote"/>
      </w:pPr>
      <w:r>
        <w:rPr>
          <w:b/>
        </w:rPr>
        <w:t>Original source (2014):</w:t>
      </w:r>
      <w:r>
        <w:t xml:space="preserve"> https://doi.org/10.1186/2193-9012-3-10</w:t>
      </w:r>
    </w:p>
    <w:p>
      <w:pPr/>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pPr/>
      <w:r>
        <w:rPr>
          <w:b/>
        </w:rPr>
        <w:t>POSSIBLE 2026:</w:t>
      </w:r>
      <w:r>
        <w:t xml:space="preserve"> A Critical Assessment of the EU’s Digital Omnibus Regulation Proposal and its Impact on the GDPR — https://doi.org/10.1163/15718093-bja10181</w:t>
      </w:r>
    </w:p>
    <w:p>
      <w:pPr/>
      <w:r>
        <w:rPr>
          <w:b/>
        </w:rPr>
        <w:t>Shared claim-specific concepts:</w:t>
      </w:r>
      <w:r>
        <w:t xml:space="preserve"> hope, affect, union, commission; EU scope visible. This is a provisional connection, not an outcome finding.</w:t>
      </w:r>
    </w:p>
    <w:p>
      <w:pPr>
        <w:pStyle w:val="SourceNote"/>
      </w:pPr>
      <w:r>
        <w:rPr>
          <w:b/>
        </w:rPr>
        <w:t>Available abstract (not full text):</w:t>
      </w:r>
      <w:r>
        <w:t xml:space="preserve"> Abstract In this article we assess the European Commission’s recent proposal for a Digital Omnibus Regulation, which seeks to encourage economic growth and innovation in the EU while simultaneously protecting the fundamental rights of Europeans, including promotion of data protection, safety, and fairness. We focus on the proposal insofar as it seeks to ‘simplify existing rules’ of the EU’s General Data Protection Regulation ( GDPR ), and in particular aspects that we think are problematic in light of our expertise in the areas of health and scientific research. We find that many of changes proposed to the GDPR within in the Digital Omnibus Regulation proposal are a retrograde step in fundamental rights protection and, as currently drafted, they will fail to boost research and innovation in the health and medical sectors in the EU. We argue that several propositions in fact substantially change the GDPR , including aspects of which appear to deviate from or misinterpret judgments of the Court of Justice of the European Union, and these changes therefore materially affect the level of protection afforded to data subjects. We express hope that as the Digital Omnibus Regulation is considered during the ‘trilogue’ negotiations at the Council and Parliamentary levels, these limitations will be addressed and aspects of the GDPR that do genuinely need reform are taken up, but with a c</w:t>
      </w:r>
    </w:p>
    <w:p>
      <w:pPr/>
      <w:r>
        <w:rPr>
          <w:b/>
        </w:rPr>
        <w:t>POSSIBLE 2026:</w:t>
      </w:r>
      <w:r>
        <w:t xml:space="preserve"> Britain and the European Union — https://doi.org/10.4324/9781003563365</w:t>
      </w:r>
    </w:p>
    <w:p>
      <w:pPr/>
      <w:r>
        <w:rPr>
          <w:b/>
        </w:rPr>
        <w:t>Shared claim-specific concepts:</w:t>
      </w:r>
      <w:r>
        <w:t xml:space="preserve"> debate, union, also; EU scope visible. This is a provisional connection, not an outcome finding.</w:t>
      </w:r>
    </w:p>
    <w:p>
      <w:pPr>
        <w:pStyle w:val="SourceNote"/>
      </w:pPr>
      <w:r>
        <w:rPr>
          <w:b/>
        </w:rPr>
        <w:t>Available abstract (not full text):</w:t>
      </w:r>
      <w:r>
        <w:t xml:space="preserve"> This timely and engaging third edition offers the student and general reader a compact, highly readable analysis of British membership of the European Union (EU). With detailed coverage of the period from 1973 up until the present day, it also examines the 1945–1972 period to account for Britain's absence from the formation of the EU. Providing a highly distilled and accessible overview of some of the parameters and recurring features of Britain’s membership, it touches on all the major facets at this critical time in Britain’s relationship with Europe. Key features of the new edition: unrivalled combination of breadth and depth in its multidimensional treatment of Britain and the EU 1945–2026 on the tenth anniversary of the 2016 referendum. detailed coverage of the impact of Brexit since 2020, and current – and likely future – issues and topics. the constant and changing character, problems, and paradoxes of the British relationship with the EU. exploratory, balanced, and questioning, providing questions and perspectives for debate and discussion. full of illuminating insights, vivid detail, a rich variety of sources, and a large array of explanations/interpretations. This book will be of key interest to scholars, students and the generally interested reader in the areas of European Politics/Studies, British Politics, EU Politics/Studies, Area Studies, and International Relati</w:t>
      </w:r>
    </w:p>
    <w:p>
      <w:pPr/>
      <w:r>
        <w:rPr>
          <w:b/>
        </w:rPr>
        <w:t>POSSIBLE 2025:</w:t>
      </w:r>
      <w:r>
        <w:t xml:space="preserve"> Hope and Positivity — https://doi.org/10.1093/oso/9780197618240.003.0014</w:t>
      </w:r>
    </w:p>
    <w:p>
      <w:pPr/>
      <w:r>
        <w:rPr>
          <w:b/>
        </w:rPr>
        <w:t>Shared claim-specific concepts:</w:t>
      </w:r>
      <w:r>
        <w:t xml:space="preserve"> hope, proposals, about; EU scope not established. This is a provisional connection, not an outcome finding.</w:t>
      </w:r>
    </w:p>
    <w:p>
      <w:pPr>
        <w:pStyle w:val="SourceNote"/>
      </w:pPr>
      <w:r>
        <w:rPr>
          <w:b/>
        </w:rPr>
        <w:t>Available abstract (not full text):</w:t>
      </w:r>
      <w:r>
        <w:t xml:space="preserve">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pPr/>
      <w:r>
        <w:rPr>
          <w:b/>
        </w:rPr>
        <w:t>POSSIBLE 2025:</w:t>
      </w:r>
      <w:r>
        <w:t xml:space="preserve"> Format of emergency department electronic health records in Europe. The European initiative and the eCREAM proposal — https://doi.org/10.3389/femer.2025.1558208</w:t>
      </w:r>
    </w:p>
    <w:p>
      <w:pPr/>
      <w:r>
        <w:rPr>
          <w:b/>
        </w:rPr>
        <w:t>Shared claim-specific concepts:</w:t>
      </w:r>
      <w:r>
        <w:t xml:space="preserve"> affect, about, also; EU scope visible. This is a provisional connection, not an outcome finding.</w:t>
      </w:r>
    </w:p>
    <w:p>
      <w:pPr>
        <w:pStyle w:val="SourceNote"/>
      </w:pPr>
      <w:r>
        <w:rPr>
          <w:b/>
        </w:rPr>
        <w:t>Available abstract (not full text):</w:t>
      </w:r>
      <w:r>
        <w:t xml:space="preserve">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pPr/>
      <w:r>
        <w:rPr>
          <w:b/>
        </w:rPr>
        <w:t>POSSIBLE 2024:</w:t>
      </w:r>
      <w:r>
        <w:t xml:space="preserve"> Language as Hope — https://doi.org/10.1017/9781009306508</w:t>
      </w:r>
    </w:p>
    <w:p>
      <w:pPr/>
      <w:r>
        <w:rPr>
          <w:b/>
        </w:rPr>
        <w:t>Shared claim-specific concepts:</w:t>
      </w:r>
      <w:r>
        <w:t xml:space="preserve"> hope, about, also; EU scope not established. This is a provisional connection, not an outcome finding.</w:t>
      </w:r>
    </w:p>
    <w:p>
      <w:pPr>
        <w:pStyle w:val="SourceNote"/>
      </w:pPr>
      <w:r>
        <w:rPr>
          <w:b/>
        </w:rPr>
        <w:t>Available abstract (not full text):</w:t>
      </w:r>
      <w:r>
        <w:t xml:space="preserve"> Although it feels like we live in a time of seeming hopelessness, this pioneering book illustrates what language can teach us about the practice, logic, and feasibility of hope in the twenty-ﬁrst century. Silva and Lee highlight how people living in Brazilian urban peripheries, who have grown accustomed to unrelenting prejudice and violence on an everyday basis, use language to survive and imagine futures that are worth aspiring to. In so doing, this book foregrounds how language becomes a matter of survival for these communities. It provides a thorough theorization of how language can produce conditions of hope, moving away from the idea of language merely as a tool of communication and toward something that can meaningfully impact social realities. Innovative and engaging, it is essential reading for researchers and students in applied linguistics, sociolinguistics and linguistic anthropology. This title is also available as open access on Cambridge Core.</w:t>
      </w:r>
    </w:p>
    <w:p>
      <w:pPr/>
      <w:r>
        <w:rPr>
          <w:b/>
        </w:rPr>
        <w:t>POSSIBLE 2024:</w:t>
      </w:r>
      <w:r>
        <w:t xml:space="preserve"> Hope in a paranoid place? Critique, utopianism and prefigurative policy reform — https://doi.org/10.1017/s0047279424000321</w:t>
      </w:r>
    </w:p>
    <w:p>
      <w:pPr/>
      <w:r>
        <w:rPr>
          <w:b/>
        </w:rPr>
        <w:t>Shared claim-specific concepts:</w:t>
      </w:r>
      <w:r>
        <w:t xml:space="preserve"> hope, affect, also, role; EU scope not established. This is a provisional connection, not an outcome finding.</w:t>
      </w:r>
    </w:p>
    <w:p>
      <w:pPr>
        <w:pStyle w:val="SourceNote"/>
      </w:pPr>
      <w:r>
        <w:rPr>
          <w:b/>
        </w:rPr>
        <w:t>Available abstract (not full text):</w:t>
      </w:r>
      <w:r>
        <w:t xml:space="preserve"> Abstract We are living through cruel and frightening times. How should a progressive policy studies respond? Critique undoubtedly plays a role: the task of exposing the structural conditions, political interests and power asymmetries that lie beneath the ‘prosaic surface’ of policy is an urgent one. But are these primarily deconstructive efforts enough? Can they lead us out of this quagmire, alone? In this article, we argue that something additional – something more generative and hopeful – is also required. In response, we introduce ‘critical utopian policy analysis’ (CUPA) a methodological elaboration of critical policy analysis (CPA) designed to support its use in both deconstructive and reconstructive policy efforts. This approach builds on the theoretical offerings of critical policy analysis, utopianism and prefiguration, to posit a methodological embrace of critique, imagination, enactment and play. It seeks to mobilise a complex nexus of affect – including heartbreak and hope – to motivate and support a range of intellectual undertakings and emancipatory politics.</w:t>
      </w:r>
    </w:p>
    <w:p>
      <w:pPr/>
      <w:r>
        <w:rPr>
          <w:b/>
        </w:rPr>
        <w:t>POSSIBLE 2024:</w:t>
      </w:r>
      <w:r>
        <w:t xml:space="preserve"> Portugal in the European Union — https://doi.org/10.4324/9781003488033-10</w:t>
      </w:r>
    </w:p>
    <w:p>
      <w:pPr/>
      <w:r>
        <w:rPr>
          <w:b/>
        </w:rPr>
        <w:t>Shared claim-specific concepts:</w:t>
      </w:r>
      <w:r>
        <w:t xml:space="preserve"> union, also, role; EU scope visible. This is a provisional connection, not an outcome finding.</w:t>
      </w:r>
    </w:p>
    <w:p>
      <w:pPr>
        <w:pStyle w:val="SourceNote"/>
      </w:pPr>
      <w:r>
        <w:rPr>
          <w:b/>
        </w:rPr>
        <w:t>Available abstract (not full text):</w:t>
      </w:r>
      <w:r>
        <w:t xml:space="preserve"> Europeanization explains how member states are transformed as a result of European Union&amp;s;s membership (top-down), and how they help to shape changes at the supranational level (bottom-up). Being a continuous negotiation process, the EU governance system offers member states, regardless of their size or wealth, the opportunity to play a significant role, as agenda-setters or agreement brokers. In this chapter we analyse if Portugal has been able to move from a follower position to a leading role in shaping this new form of polity in the 21st century. We also discuss future opportunities for the country considering the challenges (e.g., climate change, energy, security) ahead. The analysis focuses on Portugal&amp;s;s (actual and anticipated) input into chief European Union&amp;s;s policy areas (internal and external).</w:t>
      </w:r>
    </w:p>
    <w:p>
      <w:pPr/>
      <w:r>
        <w:rPr>
          <w:b/>
        </w:rPr>
        <w:t>POSSIBLE 2024:</w:t>
      </w:r>
      <w:r>
        <w:t xml:space="preserve"> Introduction: the political philosophy of hope — https://doi.org/10.1080/13698230.2024.2344380</w:t>
      </w:r>
    </w:p>
    <w:p>
      <w:pPr/>
      <w:r>
        <w:rPr>
          <w:b/>
        </w:rPr>
        <w:t>Shared claim-specific concepts:</w:t>
      </w:r>
      <w:r>
        <w:t xml:space="preserve"> hope, about, role; EU scope not established. This is a provisional connection, not an outcome finding.</w:t>
      </w:r>
    </w:p>
    <w:p>
      <w:pPr>
        <w:pStyle w:val="SourceNote"/>
      </w:pPr>
      <w:r>
        <w:rPr>
          <w:b/>
        </w:rPr>
        <w:t>Available abstract (not full text):</w:t>
      </w:r>
      <w:r>
        <w:t xml:space="preserve"> Hope is in a twofold crises in Western societies: perceived as unavailable by some and as undesirable by others. Against this background, this introduction argues that there is a need to ask anew what (if anything) citizens should hope for. After some introductory remarks both about the current role of hope in the public arena and important developments in recent philosophical debates, I provide an overview of the contributions to the Special Issue. Through a variety of theoretical lenses and from a variety of theoretical backgrounds, the contributors systematically ask which hopes (if any) we should cultivate or whether it may sometimes be necessary to let go of certain hopes. While they agree that hope is indispensable as a way of dealing with our fragility and sustaining our resolve, it is not without dangers. What emerges is a profile of hope as a complex and ambivalent attitude that has so far received too little attention by political philosophers, despite its prominent and increasingly contested role in political practice.</w:t>
      </w:r>
    </w:p>
    <w:p>
      <w:pPr/>
      <w:r>
        <w:rPr>
          <w:b/>
        </w:rPr>
        <w:t>POSSIBLE 2023:</w:t>
      </w:r>
      <w:r>
        <w:t xml:space="preserve"> Strategic partner election: proposal for a Binary Logistic Model for the European Union — https://doi.org/10.1057/s41599-023-02121-y</w:t>
      </w:r>
    </w:p>
    <w:p>
      <w:pPr/>
      <w:r>
        <w:rPr>
          <w:b/>
        </w:rPr>
        <w:t>Shared claim-specific concepts:</w:t>
      </w:r>
      <w:r>
        <w:t xml:space="preserve"> union, also, regard; EU scope visible. This is a provisional connection, not an outcome finding.</w:t>
      </w:r>
    </w:p>
    <w:p>
      <w:pPr>
        <w:pStyle w:val="SourceNote"/>
      </w:pPr>
      <w:r>
        <w:rPr>
          <w:b/>
        </w:rPr>
        <w:t>Available abstract (not full text):</w:t>
      </w:r>
      <w:r>
        <w:t xml:space="preserve"> Abstract The European Union awarded the special status of strategic partner to ten states. Its key partners are dissimilar in political philosophies and structure, power status, ethical values, economic development, unequal in size and mineral reserves. Some of them are traditional Post-Second World War partners while the others have established recent partnerships in a new multipolar world order. However, from the very beginning the EU Conception of Strategic Partnership was just an assemblage of political statements without any official definition and clear established criteria for being chosen as a strategic partner. In this regard, this paper aims to analyze the strategic partnership phenomenon in EU Foreign Policy and provide our own definition of the term with a view to underpin it subsequently by common criteria. Based upon obtained main components the Binary Logistic Model was applied, which not only did allow to make the election of EU strategic partners more science-based but also propose the potential EU partners.</w:t>
      </w:r>
    </w:p>
    <w:p>
      <w:pPr/>
      <w:r>
        <w:rPr>
          <w:b/>
        </w:rPr>
        <w:t>POSSIBLE 2023:</w:t>
      </w:r>
      <w:r>
        <w:t xml:space="preserve"> Bosnia and Herzegovina’s Hopes of European Union Accession: A Safeguard against the Country’s Implosion? — https://doi.org/10.32559/et.2023.2.8</w:t>
      </w:r>
    </w:p>
    <w:p>
      <w:pPr/>
      <w:r>
        <w:rPr>
          <w:b/>
        </w:rPr>
        <w:t>Shared claim-specific concepts:</w:t>
      </w:r>
      <w:r>
        <w:t xml:space="preserve"> union, also, pivotal; EU scope visible. This is a provisional connection, not an outcome finding.</w:t>
      </w:r>
    </w:p>
    <w:p>
      <w:pPr>
        <w:pStyle w:val="SourceNote"/>
      </w:pPr>
      <w:r>
        <w:rPr>
          <w:b/>
        </w:rPr>
        <w:t>Available abstract (not full text):</w:t>
      </w:r>
      <w:r>
        <w:t xml:space="preserve"> The prospect of Bosnia and Herzegovina’s accession to the European Union encapsulates a pivotal chapter in the nation’s trajectory. As the country navigates the intricate path toward EU membership, it faces a myriad of challenges and opportunities that extend beyond mere geopolitical realignment. This journey involves addressing complex issues such as political stability, governance reforms, rule of law and economic development. The significance of this process lies not only in its potential to reshape Bosnia and Herzegovina’s political and economic landscape but also in the broader implications for regional stability and the consolidation of European values in the Western Balkans. In this context, the journey towards EU accession for Bosnia and Herzegovina is a multifaceted endeavour, reflecting both the aspirations and complexities inherent in the pursuit of a European future.</w:t>
      </w:r>
    </w:p>
    <w:p>
      <w:pPr/>
      <w:r>
        <w:rPr>
          <w:b/>
        </w:rPr>
        <w:t>POSSIBLE 2023:</w:t>
      </w:r>
      <w:r>
        <w:t xml:space="preserve"> A Perceptual Theory of Hope — https://doi.org/10.32920/24624681</w:t>
      </w:r>
    </w:p>
    <w:p>
      <w:pPr/>
      <w:r>
        <w:rPr>
          <w:b/>
        </w:rPr>
        <w:t>Shared claim-specific concepts:</w:t>
      </w:r>
      <w:r>
        <w:t xml:space="preserve"> hope, about, regard; EU scope not established. This is a provisional connection, not an outcome finding.</w:t>
      </w:r>
    </w:p>
    <w:p>
      <w:pPr>
        <w:pStyle w:val="SourceNote"/>
      </w:pPr>
      <w:r>
        <w:rPr>
          <w:b/>
        </w:rPr>
        <w:t>Available abstract (not full text):</w:t>
      </w:r>
      <w:r>
        <w:t xml:space="preserve"> This paper addresses the question of what the attitude of hope consists in. We argue that shortcomings in recent theories of hope have methodological roots in that they proceed with little regard for the rich body of literature on the emotions. Taking insights from work in the philosophy of emotions, we argue that hope involves a kind of normative perception. We then develop a strategy for determining the content of this perception, arguing that hope is a perception of practical reasons. Our proposal stands in contrast with familiar views on which hope is fundamentally about the good. We conclude by considering the increasingly popular idea that some hopes are non-intentional and thus, by implication, non-perceptual. We reply by arguing that our perceptual theory plausibly generalizes to these instances of hope.</w:t>
      </w:r>
    </w:p>
    <w:p>
      <w:pPr/>
      <w:r>
        <w:rPr>
          <w:b/>
        </w:rPr>
        <w:t>POSSIBLE 2023:</w:t>
      </w:r>
      <w:r>
        <w:t xml:space="preserve"> Mitigating the adverse effects of AI with the European Union's artificial intelligence act: Hype or hope? — https://doi.org/10.1002/joe.22238</w:t>
      </w:r>
    </w:p>
    <w:p>
      <w:pPr/>
      <w:r>
        <w:rPr>
          <w:b/>
        </w:rPr>
        <w:t>Shared claim-specific concepts:</w:t>
      </w:r>
      <w:r>
        <w:t xml:space="preserve"> hope, about, union; EU scope visible. This is a provisional connection, not an outcome finding.</w:t>
      </w:r>
    </w:p>
    <w:p>
      <w:pPr>
        <w:pStyle w:val="SourceNote"/>
      </w:pPr>
      <w:r>
        <w:rPr>
          <w:b/>
        </w:rPr>
        <w:t>Available abstract (not full text):</w:t>
      </w:r>
      <w:r>
        <w:t xml:space="preserve"> Abstract In light of the rise of generative AI and recent debates about the socio‐political implications of large‐language models, chatbots, and the like, this paper analyzes the E.U.’s Artificial Intelligence Act (AIA), the world's first comprehensive attempt by a government body to address and mitigate the potentially negative impacts of AI technologies. The paper critically analyzes the AIA from a business and computer ethics point of view—a perspective currently lacking in the academic (e.g., GBOE‐related) literature. It evaluates, in particular, the AIA's strengths and weaknesses and proposes reform measures that could help to strengthen the AIA. Among the AIA's strengths are its legally binding character, extra‐territoriality, ability to address data quality and discrimination risks, and institutional innovations such as the AI Board and publicly accessible logs and database for AI systems. Among its main weaknesses are its lack of effective enforcement, oversight, and control, absence of procedural rights and remedy mechanisms, inadequate worker protection, institutional ambiguities, insufficient funding and staffing, and inadequate consideration of sustainability issues. Reform suggestions include establishing independent conformity assessment procedures, strengthening democratic accountability and judicial oversight, introducing redress and complaint mechanisms, ensuri</w:t>
      </w:r>
    </w:p>
    <w:p>
      <w:pPr>
        <w:pStyle w:val="Heading2"/>
      </w:pPr>
      <w:r>
        <w:t>924. An Agent-Based Assessment of Land Use and Ecosystem Changes in Traditional Agricultural Landscape of Portugal</w:t>
      </w:r>
    </w:p>
    <w:p>
      <w:pPr>
        <w:pStyle w:val="SourceNote"/>
      </w:pPr>
      <w:r>
        <w:rPr>
          <w:b/>
        </w:rPr>
        <w:t>Original source (2014):</w:t>
      </w:r>
      <w:r>
        <w:t xml:space="preserve"> https://doi.org/10.4236/iim.2014.62008</w:t>
      </w:r>
    </w:p>
    <w:p>
      <w:pPr/>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pPr/>
      <w:r>
        <w:rPr>
          <w:b/>
        </w:rPr>
        <w:t>POSSIBLE 2026:</w:t>
      </w:r>
      <w:r>
        <w:t xml:space="preserve"> Spatiotemporal analysis of montado land cover dynamics in southern Portugal: the influence of anthropogenic and natural disturbances — https://doi.org/10.1007/s10457-026-01564-x</w:t>
      </w:r>
    </w:p>
    <w:p>
      <w:pPr/>
      <w:r>
        <w:rPr>
          <w:b/>
        </w:rPr>
        <w:t>Shared claim-specific concepts:</w:t>
      </w:r>
      <w:r>
        <w:t xml:space="preserve"> show, area, montado, but, land, use; EU scope visible. This is a provisional connection, not an outcome finding.</w:t>
      </w:r>
    </w:p>
    <w:p>
      <w:pPr>
        <w:pStyle w:val="SourceNote"/>
      </w:pPr>
      <w:r>
        <w:rPr>
          <w:b/>
        </w:rPr>
        <w:t>Available abstract (not full text):</w:t>
      </w:r>
      <w:r>
        <w:t xml:space="preserve">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pPr/>
      <w:r>
        <w:rPr>
          <w:b/>
        </w:rPr>
        <w:t>POSSIBLE 2026:</w:t>
      </w:r>
      <w:r>
        <w:t xml:space="preserve"> Adapting Mediterranean Agroforestry to Global Change: Trade-Offs and Lessons from the Montado — https://doi.org/10.3390/su18062725</w:t>
      </w:r>
    </w:p>
    <w:p>
      <w:pPr/>
      <w:r>
        <w:rPr>
          <w:b/>
        </w:rPr>
        <w:t>Shared claim-specific concepts:</w:t>
      </w:r>
      <w:r>
        <w:t xml:space="preserve"> montado, but, resilience; EU scope not established. This is a provisional connection, not an outcome finding.</w:t>
      </w:r>
    </w:p>
    <w:p>
      <w:pPr>
        <w:pStyle w:val="SourceNote"/>
      </w:pPr>
      <w:r>
        <w:rPr>
          <w:b/>
        </w:rPr>
        <w:t>Available abstract (not full text):</w:t>
      </w:r>
      <w:r>
        <w:t xml:space="preserve">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pPr/>
      <w:r>
        <w:rPr>
          <w:b/>
        </w:rPr>
        <w:t>POSSIBLE 2026:</w:t>
      </w:r>
      <w:r>
        <w:t xml:space="preserve"> MAPPING SOIL MOISTURE AND CARBON HOTSPOTS IN A MONTADO ECOSYSTEM: A CASE STUDY IN COMPANHIA DAS LEZÍRIAS, PORTUGAL — https://doi.org/10.26471/cjees/2026/021/382</w:t>
      </w:r>
    </w:p>
    <w:p>
      <w:pPr/>
      <w:r>
        <w:rPr>
          <w:b/>
        </w:rPr>
        <w:t>Shared claim-specific concepts:</w:t>
      </w:r>
      <w:r>
        <w:t xml:space="preserve"> montado, case, resilience; EU scope visible. This is a provisional connection, not an outcome finding.</w:t>
      </w:r>
    </w:p>
    <w:p>
      <w:pPr>
        <w:pStyle w:val="SourceNote"/>
      </w:pPr>
      <w:r>
        <w:rPr>
          <w:b/>
        </w:rPr>
        <w:t>Available abstract (not full text):</w:t>
      </w:r>
      <w:r>
        <w:t xml:space="preserve"> Montado landscapes in Portugal are high-nature-value agro-silvo-pastoral systems that provide multiple ecosystem services. These systems face increasing pressures from climate change, land-use transformations, and declining tree regeneration. Soil health plays a central role in ecosystem resilience and carbon storage. This study investigates the spatial and temporal relationships between soil moisture and carbon stocks in the Companhia das Lezírias eLTER site using Landsat-8-derived Soil Moisture Index (SMI) for the period 2017–2024 and field soil sampling across three depths (0–10, 10–20, 20–30 cm) in 13 plots. The objective of the study is to quantify drought-related changes in the soil system, focusing on carbon stocks, and associate them with information derived from remote sensing data by mapping moisture regimes and detecting soil hotspots. Results reveal persistent soil moisture patterns, with distinct carbon-rich and carbon-poor zones. Pearson correlation connecting carbon stocks to summer soil moisture suggests that wetter areas in the montado system accumulate more carbon. Spatial patterns of soil carbon, mapped using kriging interpolation, align with persistent moisture regimes, identifying drought-prone hotspots. The findings underscore the importance of hydrological drivers for carbon dynamics in montado ecosystems and suggest that integrated monitoring using remot</w:t>
      </w:r>
    </w:p>
    <w:p>
      <w:pPr/>
      <w:r>
        <w:rPr>
          <w:b/>
        </w:rPr>
        <w:t>POSSIBLE 2026:</w:t>
      </w:r>
      <w:r>
        <w:t xml:space="preserve"> Temporal and spatial patterns of the Sealed-to-Artificial area Ratio in European urban areas — https://doi.org/10.1016/j.landusepol.2026.108321</w:t>
      </w:r>
    </w:p>
    <w:p>
      <w:pPr/>
      <w:r>
        <w:rPr>
          <w:b/>
        </w:rPr>
        <w:t>Shared claim-specific concepts:</w:t>
      </w:r>
      <w:r>
        <w:t xml:space="preserve"> show, area, significantly, land, indicating; EU scope visible. This is a provisional connection, not an outcome finding.</w:t>
      </w:r>
    </w:p>
    <w:p>
      <w:pPr>
        <w:pStyle w:val="SourceNote"/>
      </w:pPr>
      <w:r>
        <w:rPr>
          <w:b/>
        </w:rPr>
        <w:t>Available abstract (not full text):</w:t>
      </w:r>
      <w:r>
        <w:t xml:space="preserve"> Land take is primarily driven by urbanisation and infrastructure development and is closely linked to soil sealing, which involves covering soil with impervious materials. Over recent decades, both processes have steadily increased in European urban areas, significantly impacting ecosystem services. To stop these processes, the European Commission has set two distinct targets: "no net land take" and ”no net soil sealing”. To examine the relationship between the two processes, we introduce the Sealed-to-Artificial area Ratio (SAR), a novel indicator defined as the ratio between sealed areas and artificial areas in a certain region. We computed SAR for 661 Functional Urban Areas (FUAs) in the 27 countries of the European Union plus the UK, and its change between 2012 and 2018. Two hypotheses were tested: (1) SAR tends to decrease in FUAs with predominant agricultural land cover, as opposed to artificial; and (2) SAR tends to increase as urban form becomes more compact, as opposed to sprawling. Results show a general decrease in SAR (median of –0.36), indicating a possible trend toward lower-intensity urban development. However, regional variations emerge, with the UK-Ireland showing a greater decrease and the Southern region a smaller reduction. As expected, SAR increased in FUAs with a high share of artificial land cover and a tendency towards a more compact urban form, while th</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show, area, significantly, but, remains, land;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2026:</w:t>
      </w:r>
      <w:r>
        <w:t xml:space="preserve"> Mapping grassland and pastoral land use with livestock-density and grazing-presence proxies across Europe — https://doi.org/10.1088/2976-601x/ae8e7e</w:t>
      </w:r>
    </w:p>
    <w:p>
      <w:pPr/>
      <w:r>
        <w:rPr>
          <w:b/>
        </w:rPr>
        <w:t>Shared claim-specific concepts:</w:t>
      </w:r>
      <w:r>
        <w:t xml:space="preserve"> area, but, land, use; EU scope visible. This is a provisional connection, not an outcome finding.</w:t>
      </w:r>
    </w:p>
    <w:p>
      <w:pPr>
        <w:pStyle w:val="SourceNote"/>
      </w:pPr>
      <w:r>
        <w:rPr>
          <w:b/>
        </w:rPr>
        <w:t>Available abstract (not full text):</w:t>
      </w:r>
      <w:r>
        <w:t xml:space="preserve"> Abstract Grasslands and other grazed habitats play an important role in European agricultural systems, yet they are being degraded through under- and overgrazing, abandonment, and conversion to other land uses. Supporting more sustainable grassland and pastoral land use requires spatially explicit information on grazing presence, livestock density and related land-cover types, but harmonized data remain limited at high spatial and temporal resolution. In this paper, we present high-resolution maps of grassland and pastoral land-use proxy classes for the EU27+ countries for 2000, 2010 and 2018. The maps combine Corine Land Cover (CLC) with livestock-density data and modelled estimates of grazing, indoor or non-grazing livestock, and grazing in semi-natural areas. These inputs are used as the best currently available pan-European proxies for distinguishing broad livestock-density gradients and likely grazing presence across grassland and related pastoral land-cover classes. The maps were evaluated through a qualitative consultation with European grassland experts, who provided feedback on the broad spatial patterns represented in their countries. We also compared the 2018 map with mowing-event data for Austria, Germany and the EU, including data from the Copernicus high resolution layer on Vegetated land cover characteristics, to assess whether mowing events were more prevalent i</w:t>
      </w:r>
    </w:p>
    <w:p>
      <w:pPr/>
      <w:r>
        <w:rPr>
          <w:b/>
        </w:rPr>
        <w:t>POSSIBLE 2025:</w:t>
      </w:r>
      <w:r>
        <w:t xml:space="preserve"> Esa-Ecosystemadapt, a Tool for Decision Support and Management of Montado Areas — https://openalex.org/W7163629007</w:t>
      </w:r>
    </w:p>
    <w:p>
      <w:pPr/>
      <w:r>
        <w:rPr>
          <w:b/>
        </w:rPr>
        <w:t>Shared claim-specific concepts:</w:t>
      </w:r>
      <w:r>
        <w:t xml:space="preserve"> montado, resilience; EU scope not established. This is a provisional connection, not an outcome finding.</w:t>
      </w:r>
    </w:p>
    <w:p>
      <w:pPr>
        <w:pStyle w:val="SourceNote"/>
      </w:pPr>
      <w:r>
        <w:rPr>
          <w:b/>
        </w:rPr>
        <w:t>Available abstract (not full text):</w:t>
      </w:r>
      <w:r>
        <w:t xml:space="preserve">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pPr/>
      <w:r>
        <w:rPr>
          <w:b/>
        </w:rPr>
        <w:t>POSSIBLE 2025:</w:t>
      </w:r>
      <w:r>
        <w:t xml:space="preserve"> The impact of protected areas on mammal conservation in Europe — https://openalex.org/W7135676786</w:t>
      </w:r>
    </w:p>
    <w:p>
      <w:pPr/>
      <w:r>
        <w:rPr>
          <w:b/>
        </w:rPr>
        <w:t>Shared claim-specific concepts:</w:t>
      </w:r>
      <w:r>
        <w:t xml:space="preserve"> show, significantly, but; EU scope visible. This is a provisional connection, not an outcome finding.</w:t>
      </w:r>
    </w:p>
    <w:p>
      <w:pPr>
        <w:pStyle w:val="SourceNote"/>
      </w:pPr>
      <w:r>
        <w:rPr>
          <w:b/>
        </w:rPr>
        <w:t>Available abstract (not full text):</w:t>
      </w:r>
      <w:r>
        <w:t xml:space="preserve"> This bachelor thesis focuses on the impact of protected areas on mammal conservation in Europe and assesses how significantly these areas contribute to positive trends in populations of different mammal groups. It also considers the effectiveness of protected areas in addressing the impacts of threatening factors such as climate change, disease and human activities. The thesis also looks at the principles of conservation through protected areas, their effectiveness and differences in their impact between different mammal groups such as ungulates, carnivores and rodents. The results show that protected areas are a key conservation tool, but their effectiveness is often influenced by other factors, requiring a combination of conservation measures with adaptive management and broader ecological strategies. Based on these findings, the thesis proposes recommendations for improving mammal conservation in Europe. Specifically Europe should focus on strengthening cross- border cooperation in nature conservation to ensure the connectivity of habitats and migration corridors. It is also essential to invest in research on the impact of climate change on mammal populations and to develop strategies to adapt to these changes. Minimizing landscape fragmentation caused by transport infrastructure and promoting...</w:t>
      </w:r>
    </w:p>
    <w:p>
      <w:pPr/>
      <w:r>
        <w:rPr>
          <w:b/>
        </w:rPr>
        <w:t>POSSIBLE 2025:</w:t>
      </w:r>
      <w:r>
        <w:t xml:space="preserve"> Pasture Floristic Composition as an Indicator of Soil pH Correction and Sheep Stocking Rate in Montado Ecosystem — https://doi.org/10.3390/environments12100385</w:t>
      </w:r>
    </w:p>
    <w:p>
      <w:pPr/>
      <w:r>
        <w:rPr>
          <w:b/>
        </w:rPr>
        <w:t>Shared claim-specific concepts:</w:t>
      </w:r>
      <w:r>
        <w:t xml:space="preserve"> show, area, montado, significantly, but; EU scope visible. This is a provisional connection, not an outcome finding.</w:t>
      </w:r>
    </w:p>
    <w:p>
      <w:pPr>
        <w:pStyle w:val="SourceNote"/>
      </w:pPr>
      <w:r>
        <w:rPr>
          <w:b/>
        </w:rPr>
        <w:t>Available abstract (not full text):</w:t>
      </w:r>
      <w:r>
        <w:t xml:space="preserve"> The application of dolomitic limestone is a recommended practice for improving pastures established on acidic soils. On the other hand, pasture availability should determine the adjustment of the biotic load. The aim of this study is to evaluate the potential of pasture plant community composition as an indicator to assess the effects of intensification strategies in the Montado ecosystem, specifically soil pH correction and/or increasing animal stocking rate. Forty-eight sampling areas of a biodiverse pasture were monitored on a 4-ha plot located at the Mitra farm (Évora district; southern Portugal). The experimental design included four treatments: with and without limestone application (respectively, DL and WDL) × traditional low stocking rate (LSR, 7 sheep ha−1) and high stocking rate (HSR, 18 sheep ha−1). Floristic composition, structural parameters, and diversity metrics were recorded and analyzed using multivariate statistical tools. Pasture diversity was assessed through the computation of richness indices, with plant species identified as ecological indicators representative of each study area. The results showed Rumex pulcher, Trifolium subterraneum, Plantago lanceolata, and Lolium rigidum as botanical indicators of the four treatments of this study, respectively, LSR in untreated soil, HSR in untreated soil, HSR in treated soil, and LSR in treated soil. The results a</w:t>
      </w:r>
    </w:p>
    <w:p>
      <w:pPr/>
      <w:r>
        <w:rPr>
          <w:b/>
        </w:rPr>
        <w:t>POSSIBLE 2025:</w:t>
      </w:r>
      <w:r>
        <w:t xml:space="preserve"> Gender Equality Plans and Inclusiveness in the European Research Area — https://doi.org/10.17645/si.10092</w:t>
      </w:r>
    </w:p>
    <w:p>
      <w:pPr/>
      <w:r>
        <w:rPr>
          <w:b/>
        </w:rPr>
        <w:t>Shared claim-specific concepts:</w:t>
      </w:r>
      <w:r>
        <w:t xml:space="preserve"> show, area, significantly; EU scope visible. This is a provisional connection, not an outcome finding.</w:t>
      </w:r>
    </w:p>
    <w:p>
      <w:pPr>
        <w:pStyle w:val="SourceNote"/>
      </w:pPr>
      <w:r>
        <w:rPr>
          <w:b/>
        </w:rPr>
        <w:t>Available abstract (not full text):</w:t>
      </w:r>
      <w:r>
        <w:t xml:space="preserve"> Gender equality is a key objective of the European Research Area. The arsenal of gender equality concepts has expanded considerably over the past decades—from gender mainstreaming in the 1990s to the current inclusion, diversity, and intersectionality approaches. Gender equality plans (GEPs) are key to increasing gender equality. With the launch of Horizon Europe, the European Union’s research and innovation program 2021–2027, the European Commission introduced a new eligibility criterion: To be eligible, any research‐performing organization (RPO) applying for funding, except private companies, must have a GEP in place. There is little evidence on the prevalence of GEPs at RPOs, and if they incorporate concepts about inclusiveness, which is increasingly intended. To address this knowledge gap, we present the first results of a unique mixed‐method study that combines online survey data (𝑁 = 270) and web‐scraping data (𝑁 = 6,475). Almost half of the studied organizations (41%) have a GEP. Our results show differences for organization types, i.e., private companies are less likely to have one (6%). Moreover, the intersectionality approach (14%) is less frequently used in GEPs than inclusion (76%) and diversity (80%). Diversity as an approach is significantly more widespread in Northwestern Europe compared to Central Eastern and Southern European countries. Based on our study, we r</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show, area, significantly, but, remains;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Perspective Chapter: Sustainability of the Extensive Livestock Production – The Role of Precision Agriculture in Mediterranean Montado Ecosystem — https://doi.org/10.5772/intechopen.114169</w:t>
      </w:r>
    </w:p>
    <w:p>
      <w:pPr/>
      <w:r>
        <w:rPr>
          <w:b/>
        </w:rPr>
        <w:t>Shared claim-specific concepts:</w:t>
      </w:r>
      <w:r>
        <w:t xml:space="preserve"> montado, land, use, case, resilience; EU scope not established. This is a provisional connection, not an outcome finding.</w:t>
      </w:r>
    </w:p>
    <w:p>
      <w:pPr>
        <w:pStyle w:val="SourceNote"/>
      </w:pPr>
      <w:r>
        <w:rPr>
          <w:b/>
        </w:rPr>
        <w:t>Available abstract (not full text):</w:t>
      </w:r>
      <w:r>
        <w:t xml:space="preserve"> Grassland ecosystems are one of the most common land use types worldwide. The sustainability of extensive livestock production systems requires the optimization of soil management, pasture production and animal grazing. Montado is an agro-silvo-pastoral system characterized by a high complexity as a result of the interactions between climate, soil, pasture, trees and animals. It is in this highly unpredictable context that dynamic management decisions have to be made, for example with respect to soil fertilization or pH correction, grazing or animal supplementation. This study shows, through case studies, the potential of the application of Precision Agriculture (PA) strategies and technologies for monitoring indicators of the Mediterranean Montado multifunctional ecosystem, specific environmental results, namely on soil health and functionality or pasture productivity, quality, or biodiversity, in a holistic and sustainable approach. The use, calibration and validation of soil and pasture proximal sensors, animal GPS (global positioning system) receivers and satellite images opens perspectives to explore new solutions to respond to the new economic and environmental challenges and ensures the resilience of this ecosystem.</w:t>
      </w:r>
    </w:p>
    <w:p>
      <w:pPr>
        <w:pStyle w:val="Heading2"/>
      </w:pPr>
      <w:r>
        <w:t>925. Assessing the prospective resource base for enhanced geothermal systems in Europe</w:t>
      </w:r>
    </w:p>
    <w:p>
      <w:pPr>
        <w:pStyle w:val="SourceNote"/>
      </w:pPr>
      <w:r>
        <w:rPr>
          <w:b/>
        </w:rPr>
        <w:t>Original source (2014):</w:t>
      </w:r>
      <w:r>
        <w:t xml:space="preserve"> https://doi.org/10.5194/gtes-2-55-2014</w:t>
      </w:r>
    </w:p>
    <w:p>
      <w:pPr/>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POSSIBLE 2026:</w:t>
      </w:r>
      <w:r>
        <w:t xml:space="preserve"> Seismic interplay during the GRT-1 stimulation series of the Rittershoffen EGS reservoir — https://doi.org/10.3389/feart.2026.1738377</w:t>
      </w:r>
    </w:p>
    <w:p>
      <w:pPr/>
      <w:r>
        <w:rPr>
          <w:b/>
        </w:rPr>
        <w:t>Shared claim-specific concepts:</w:t>
      </w:r>
      <w:r>
        <w:t xml:space="preserve"> egs, geothermal, applying, different; EU scope visible. This is a provisional connection, not an outcome finding.</w:t>
      </w:r>
    </w:p>
    <w:p>
      <w:pPr>
        <w:pStyle w:val="SourceNote"/>
      </w:pPr>
      <w:r>
        <w:rPr>
          <w:b/>
        </w:rPr>
        <w:t>Available abstract (not full text):</w:t>
      </w:r>
      <w:r>
        <w:t xml:space="preserve">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pPr/>
      <w:r>
        <w:rPr>
          <w:b/>
        </w:rPr>
        <w:t>POSSIBLE 2026:</w:t>
      </w:r>
      <w:r>
        <w:t xml:space="preserve"> Policy levers and technological opportunities to achieve decarbonisation in Europe at minimal cost — https://doi.org/10.7488/era/7048</w:t>
      </w:r>
    </w:p>
    <w:p>
      <w:pPr/>
      <w:r>
        <w:rPr>
          <w:b/>
        </w:rPr>
        <w:t>Shared claim-specific concepts:</w:t>
      </w:r>
      <w:r>
        <w:t xml:space="preserve"> egs, enhanced, geothermal, systems, economically, different; EU scope visible. This is a provisional connection, not an outcome finding.</w:t>
      </w:r>
    </w:p>
    <w:p>
      <w:pPr>
        <w:pStyle w:val="SourceNote"/>
      </w:pPr>
      <w:r>
        <w:rPr>
          <w:b/>
        </w:rPr>
        <w:t>Available abstract (not full text):</w:t>
      </w:r>
      <w:r>
        <w:t xml:space="preserve"> Energy systems must shift their supply from fossil fuels to carbon-neutral technologies. At the same time, they are subject to substantial economic pressure, as only minimal to moderate consumer cost increases can erode most of the energy transition’s political support. Rapid cost reductions in solar photovoltaics and wind generators have rendered them the transition’s backbone, pulling electrification into transport and heating, but also increasing system complexity through inter-sectoral energy flows and non-dispatchable generators. Therefore, whole-system energy research, focused on minimising transition costs, also faces new complexities through the interplay of heterogeneous technologies, intermittency, and spatial constraints, all in the context of evolving policy frameworks. Models that can address these problems are essential for high-level decisions because technology competitiveness, infrastructure roll-out, and market designs may need, or are already undergoing, a fundamental overhaul as a result of the changing nature of energy supply. Such energy-system research is sometimes conducted with proprietary, GUI-oriented software and associated workflows, which can be less well suited to large-scale, reproducible analysis. Two aspects are particularly relevant. First, these workflows do not always take full advantage of the highly optimised, programmatic tooling that has</w:t>
      </w:r>
    </w:p>
    <w:p>
      <w:pPr/>
      <w:r>
        <w:rPr>
          <w:b/>
        </w:rPr>
        <w:t>POSSIBLE 2026:</w:t>
      </w:r>
      <w:r>
        <w:t xml:space="preserve"> Geothermal-fluids-derived critical raw materials for a sustainable and independent European supply — https://doi.org/10.1016/j.rser.2026.117166</w:t>
      </w:r>
    </w:p>
    <w:p>
      <w:pPr/>
      <w:r>
        <w:rPr>
          <w:b/>
        </w:rPr>
        <w:t>Shared claim-specific concepts:</w:t>
      </w:r>
      <w:r>
        <w:t xml:space="preserve"> resource, geothermal, systems, techno-economic, yield; EU scope visible. This is a provisional connection, not an outcome finding.</w:t>
      </w:r>
    </w:p>
    <w:p>
      <w:pPr>
        <w:pStyle w:val="SourceNote"/>
      </w:pPr>
      <w:r>
        <w:rPr>
          <w:b/>
        </w:rPr>
        <w:t>Available abstract (not full text):</w:t>
      </w:r>
      <w:r>
        <w:t xml:space="preserve"> Geothermal fluids, conventionally exploited for heat and power, represent an underutilized source of critical raw materials (CRMs) with potential to support European resource security. This review provides an integrated, European-scale assessment linking geothermal fluid characteristics with suitable CRM extraction technologies. A fluid–technology matching framework is developed to correlate brine composition, thermodynamic conditions, and geochemical evolution with process selection, with particular emphasis on membrane-based systems coupled with chemical and electrochemical operations. The novelty of this work lies in the systematic integration of geochemistry, process engineering, and techno-economic considerations into a unified evaluation framework, moving beyond prior studies focused on single elements, technologies, or isolated case studies. The analysis demonstrates that extraction performance is strongly governed by site-specific factors, including salinity, scaling behaviour, and redox dynamics, which preclude universal process solutions and instead require tailored, modular flowsheets. Quantitative estimates indicate that high-grade geothermal systems can yield CRM values of several USD·m −3 , with lithium dominating the economic potential and individual installations capable of producing approximately 1−3 kt·y −1 of lithium carbonate equivalent. Economic viability i</w:t>
      </w:r>
    </w:p>
    <w:p>
      <w:pPr/>
      <w:r>
        <w:rPr>
          <w:b/>
        </w:rPr>
        <w:t>POSSIBLE 2026:</w:t>
      </w:r>
      <w:r>
        <w:t xml:space="preserve"> Geothermal Energy and Data Centres in Spain: An Exploratory Framework for Sustainable and Efficient Digital Infrastructures — https://doi.org/10.1007/978-981-95-7302-8_29</w:t>
      </w:r>
    </w:p>
    <w:p>
      <w:pPr/>
      <w:r>
        <w:rPr>
          <w:b/>
        </w:rPr>
        <w:t>Shared claim-specific concepts:</w:t>
      </w:r>
      <w:r>
        <w:t xml:space="preserve"> resource, egs, geothermal; EU scope visible. This is a provisional connection, not an outcome finding.</w:t>
      </w:r>
    </w:p>
    <w:p>
      <w:pPr>
        <w:pStyle w:val="SourceNote"/>
      </w:pPr>
      <w:r>
        <w:rPr>
          <w:b/>
        </w:rPr>
        <w:t>Available abstract (not full text):</w:t>
      </w:r>
      <w:r>
        <w:t xml:space="preserve"> The rapid expansion of data centres poses challenges for energy planning and urban resilience. This study presents a reproducible, exploratory multi-criteria framework (Tier-0) to assess the suitability of geothermal energy for siting data centres across Spain’s 17 regions. Five dimensions were normalised on a 0–2 scale: geothermal resource (shallow; medium/high enthalpy), electrical and digital infrastructure, data centre demand, climate exposure, and territorial/social constraints, and integrated into two composite indices: GS_index (shallow) and GA_index (medium/high enthalpy or EGS). The indices were equally weighted and represented by terciles of the index scores. The results show that the GS_index ranges between 0.6–1.4 and GA_index between 0.8–1.6. Aragon, Asturias, and Cantabria are located in the upper tercile for GS; Aragon and Cantabria for GA, while Asturias (GS) and the Canary Islands (GA) illustrate cases of specialisation. Shallow geothermal energy depends less on resource availability, which is widely distributed, than on infrastructure and climate exposure (both with r ≈ 0.54 relative to GS). By contrast, deep resource availability is decisive for GA (ρ ≈ 0.53), reinforced by infrastructure and demand. The framework aligns with European decarbonisation and digitalisation strategies and contributes to the design of smart and resilient cities through evidence-bas</w:t>
      </w:r>
    </w:p>
    <w:p>
      <w:pPr/>
      <w:r>
        <w:rPr>
          <w:b/>
        </w:rPr>
        <w:t>POSSIBLE 2026:</w:t>
      </w:r>
      <w:r>
        <w:t xml:space="preserve"> Geothermal Energy for Resilient Energy Systems — https://doi.org/10.56442/ijble.v7i2.1544</w:t>
      </w:r>
    </w:p>
    <w:p>
      <w:pPr/>
      <w:r>
        <w:rPr>
          <w:b/>
        </w:rPr>
        <w:t>Shared claim-specific concepts:</w:t>
      </w:r>
      <w:r>
        <w:t xml:space="preserve"> resource, geothermal, systems; EU scope not established. This is a provisional connection, not an outcome finding.</w:t>
      </w:r>
    </w:p>
    <w:p>
      <w:pPr>
        <w:pStyle w:val="SourceNote"/>
      </w:pPr>
      <w:r>
        <w:rPr>
          <w:b/>
        </w:rPr>
        <w:t>Available abstract (not full text):</w:t>
      </w:r>
      <w:r>
        <w:t xml:space="preserve"> This systematic literature review investigates how geothermal energy contributes to energy resilience across electricity, heating, cooling, urban infrastructure, and industrial applications. Guided by PRISMA 2020, the review identified 365 Scopus records using geothermal- and resilience/sustainability-related terms. After filtering English-language journal articles published during 2015–2025 and screening titles, abstracts, full texts, and accessibility, 10 studies were included. Thematic synthesis identified four resilience pathways: dependable baseload and thermal supply; long-term resource stewardship through reinjection and thermal recharge; technological adaptability through ground-source heat pumps, aquifer modelling, hybrid systems, and repurposed wells; and economic-environmental robustness through lower emissions, reduced fuel-price exposure, and infrastructure reuse. Persistent constraints include high upfront costs, geological uncertainty, reservoir degradation, fragmented regulation, and limited social acceptance. Geothermal energy is therefore a strategic resilience asset, but its benefits depend on integrated technical, financial, institutional, and community-governance arrangements.</w:t>
      </w:r>
    </w:p>
    <w:p>
      <w:pPr/>
      <w:r>
        <w:rPr>
          <w:b/>
        </w:rPr>
        <w:t>POSSIBLE 2026:</w:t>
      </w:r>
      <w:r>
        <w:t xml:space="preserve"> Assessment and Potential of Geothermal Energy in Romania: A Path to Sustainable Heating Solutions — https://doi.org/10.3390/eng7070361</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paper explores the underutilized potential of geothermal energy in Romania, focusing on both shallow and deep geothermal systems as sustainable alternatives for heating applications. Romania’s unique geological features, particularly the Pannonian Depression, offer significant geothermal resources, yet these remain largely untapped in many regions. This study presents an analysis of the country’s geothermal reservoirs, highlighting their spatial distribution, thermophysical properties, and technical potential. In-depth data on aquifer characteristics, including temperatures, depths, and capacities, supports a comprehensive assessment of the energy output achievable from these natural systems. Current applications of geothermal resources are reviewed, including successful projects in Oradea and Timiș County, which demonstrate the viability of geothermal systems for residential and commercial heating. Furthermore, this study discusses Romania’s regulatory landscape and incentive frameworks aligned with European Union standards, identifying key barriers and opportunities for growth. With a robust foundation of technical and spatial data, this paper underscores the strategic role geothermal energy can play in Romania’s transition to a low-carbon economy, supporting both environmental sustainability and energy resilience. The results demonstrate how geomatics-based resource mapp</w:t>
      </w:r>
    </w:p>
    <w:p>
      <w:pPr/>
      <w:r>
        <w:rPr>
          <w:b/>
        </w:rPr>
        <w:t>POSSIBLE 2025:</w:t>
      </w:r>
      <w:r>
        <w:t xml:space="preserve"> Feasibility of Enhanced Geothermal Systems (EGS) Development at Bradys Hot Springs, Nevada — https://doi.org/10.2172/3021439</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pPr/>
      <w:r>
        <w:rPr>
          <w:b/>
        </w:rPr>
        <w:t>POSSIBLE 2025:</w:t>
      </w:r>
      <w:r>
        <w:t xml:space="preserve"> CRM-geothermal Database: Geoscientific and Geochemical Data on Geothermal Systems, with Emphasis on Fluids and Critical Raw Materials in Europe and Eastern Africa — https://doi.org/10.5880/fidgeo.2026.012</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CRM-geothermal database was created within the Horizon Europe CRM-geothermal project (Grant Agreement No. 101058163) to support the assessment of geothermal systems as sources of both renewable energy and critical raw materials (CRMs). The primary purpose of data collection was to compile, harmonise, and make openly available geoscientific and geochemical data relevant to the occurrence, enrichment, and potential co-production of CRMs from geothermal environments in Europe and East Africa. The database integrates legacy data compiled from peer-reviewed literature, national geological and geothermal databases, and previous European research projects (notably REFLECT), together with new data generated by project partners through field sampling and laboratory analyses. Sampling campaigns targeted geothermal wells and surface manifestations in selected regions, including Türkiye, the East African Rift (Kenya, Tanzania, Malawi), Cornwall (UK), and Iceland. Laboratory analyses include major ion chemistry, trace and critical element concentrations, mineralogical composition, and gas data, determined using methods such as ICP-MS, XRF, and XRD. All records were harmonised using a unified metadata schema, standardised units, and consistent reporting formats. Quality control involved automated validation routines and manual expert review. Each record includes spatial coordinates, samp</w:t>
      </w:r>
    </w:p>
    <w:p>
      <w:pPr/>
      <w:r>
        <w:rPr>
          <w:b/>
        </w:rPr>
        <w:t>POSSIBLE 2025:</w:t>
      </w:r>
      <w:r>
        <w:t xml:space="preserve"> The Horizon Europe CRM-geothermal project: Deliverable 1.3 – Online GIS-based CRM-geothermal Fluid Atlas for Europe and Eastern Africa — https://doi.org/10.5281/zenodo.17497574</w:t>
      </w:r>
    </w:p>
    <w:p>
      <w:pPr/>
      <w:r>
        <w:rPr>
          <w:b/>
        </w:rPr>
        <w:t>Shared claim-specific concepts:</w:t>
      </w:r>
      <w:r>
        <w:t xml:space="preserve"> resource, geothermal, systems, different; EU scope visible. This is a provisional connection, not an outcome finding.</w:t>
      </w:r>
    </w:p>
    <w:p>
      <w:pPr>
        <w:pStyle w:val="SourceNote"/>
      </w:pPr>
      <w:r>
        <w:rPr>
          <w:b/>
        </w:rPr>
        <w:t>Available abstract (not full text):</w:t>
      </w:r>
      <w:r>
        <w:t xml:space="preserve"> Deliverable D1.3 presents the CRM-geothermal Fluid Atlas, an interactive, GIS-based online platform that visualises and integrates geospatial and geochemical data related to geothermal fluids and associated critical raw materials (CRMs) across Europe and Eastern Africa. The Atlas represents the third major outcome of Work Package 1, building directly upon the data harmonisation (D1.1) (Seres et al. 2024) and database publication (D1.2) (Seres et al. 2025). It transforms the harmonised datasets of the CRM-geothermal database into a spatially oriented, user-friendly tool that enables exploration, comparison, and interpretation of CRM-relevant geothermal data in a geoscientific context. The Atlas combines legacy data from literature and previous projects with newly generated datasets obtained during CRM-geothermal field campaigns and laboratory analyses. It provides an integrated visualisation of geochemical, geological, and geothermal information across regions of strategic interest for CRM recovery and geothermal development. The CRM-geothermal Fluid Atlas integrates and visualises multiple data layers, including site locations, geothermal wells, fluid samples, rock and scale compositions, and selected CRM concentrations. Each data point on the map is linked to its corresponding metadata record and DOI, enabling users to trace data provenance, citation, and licensing information</w:t>
      </w:r>
    </w:p>
    <w:p>
      <w:pPr/>
      <w:r>
        <w:rPr>
          <w:b/>
        </w:rPr>
        <w:t>POSSIBLE 2025:</w:t>
      </w:r>
      <w:r>
        <w:t xml:space="preserve"> Enhanced geothermal systems for clean firm energy generation — https://doi.org/10.1038/s44359-024-00019-9</w:t>
      </w:r>
    </w:p>
    <w:p>
      <w:pPr/>
      <w:r>
        <w:rPr>
          <w:b/>
        </w:rPr>
        <w:t>Shared claim-specific concepts:</w:t>
      </w:r>
      <w:r>
        <w:t xml:space="preserve"> egs, enhanced, geothermal, systems, constrained, mwh; EU scope visible. This is a provisional connection, not an outcome finding.</w:t>
      </w:r>
    </w:p>
    <w:p>
      <w:pPr>
        <w:pStyle w:val="SourceNote"/>
      </w:pPr>
      <w:r>
        <w:rPr>
          <w:b/>
        </w:rPr>
        <w:t>Available abstract (not full text):</w:t>
      </w:r>
      <w:r>
        <w:t xml:space="preserve"> Geothermal energy provides clean, steady and renewable electricity and heat, but the use of geothermal energy has conventionally been constrained to locations with adequate subsurface heat and fluid flow. Enhanced geothermal systems (EGS) enable geothermal energy usage in unconventional areas by enhancing the subsurface permeability and increasing fluid flow, which is then extracted as a carrier of the thermal energy. In this Review, we discuss the development of EGS and its role in providing energy. Some EGS are operating commercially in Europe and provide heat and/or electricity, but technical issues and concerns over induced seismicity have historically hindered the broader expansion of EGS. Adaptation of advanced drilling techniques (including the use of polycrystalline diamond compact bits, multiwell drilling pads, horizontal drilling and multistage stimulation) is enabling an increase in scale and decrease in cost of EGS projects. As a result, in the USA, enhanced geothermal is expected to achieve plant capital costs (US$4,500 kW−1) and a levelized cost of electricity (US$80 MWh−1) that are competitive with market electricity prices by 2027. With further development of EGS to manage induced seismicity risk and increase system flexibility, EGS could provide stable baseload and potentially dispatchable electricity in clean energy systems. Enhanced geothermal systems can pro</w:t>
      </w:r>
    </w:p>
    <w:p>
      <w:pPr/>
      <w:r>
        <w:rPr>
          <w:b/>
        </w:rPr>
        <w:t>POSSIBLE 2025:</w:t>
      </w:r>
      <w:r>
        <w:t xml:space="preserve"> Two Examples of New Possibilities for Geothermal Energy: CEEGS and CRM-Geothermal Projects — https://doi.org/10.3997/2214-4609.2025101206</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Summary Innovative projects like CEEGS (CO2-based Electrothermal Energy and Geological Storage Systems) and CRM-Geothermal projects are a part of exploring and expanding new applications for geothermal energy, in line with the EU priorities of reducing fossil fuel consumption and achieving zero CO2 emissions by integrating renewable resources into the energy mix. CEEGS focuses on using a transcritical CO2 cycle for underground energy storage and CO2 sequestration, aiming for a negative carbon footprint and versatile energy applications. It consists of three development phases: demonstrating feasibility, building a powerful demonstrator, and achieving commercial viability. On the other hand, CRM-Geothermal seeks to extract critical raw materials from geothermal fluids. This method addresses the EU’s need for strategic resource autonomy while minimizing environmental impacts and carbon footprints compared to conventional mining. The project will develop a comprehensive database of critical raw materials and establish sustainable extraction technologies. Both projects highlight the broader potential of geothermal energy for sustainable development, aligning with the European Green Deal and climate change initiatives. The CEEGS project aims to enhance energy storage solutions, while CRM-Geothermal integrates raw material extraction with geothermal energy utilization. Together, they</w:t>
      </w:r>
    </w:p>
    <w:p>
      <w:pPr/>
      <w:r>
        <w:rPr>
          <w:b/>
        </w:rPr>
        <w:t>POSSIBLE 2025:</w:t>
      </w:r>
      <w:r>
        <w:t xml:space="preserve"> Numerical Modeling of Potential CO2-Fed Enhanced Geothermal System (CO2-EGS) in the Gorzów Block, Poland — https://doi.org/10.3390/en18184825</w:t>
      </w:r>
    </w:p>
    <w:p>
      <w:pPr/>
      <w:r>
        <w:rPr>
          <w:b/>
        </w:rPr>
        <w:t>Shared claim-specific concepts:</w:t>
      </w:r>
      <w:r>
        <w:t xml:space="preserve"> egs, enhanced, geothermal; EU scope visible. This is a provisional connection, not an outcome finding.</w:t>
      </w:r>
    </w:p>
    <w:p>
      <w:pPr>
        <w:pStyle w:val="SourceNote"/>
      </w:pPr>
      <w:r>
        <w:rPr>
          <w:b/>
        </w:rPr>
        <w:t>Available abstract (not full text):</w:t>
      </w:r>
      <w:r>
        <w:t xml:space="preserve"> This article presents the results of numerical modeling for a hypothetical CO2-EGS system in the volcanic rocks of the Gorzów Block, Poland. Modeling was carried out in the following stages: in phase 0, modeling of the fracturing process was performed, as a result of which the permeability distribution for the newly created fractured zone was obtained. Next, the process of saturating the EGS reservoir with CO2 was modeled until pure CO2 could enter the production well (phase 1). Then, a multi-variant simulation of heat production was performed (phase 2). The obtained results allowed for drawing interesting conclusions: (1) the duration of phase 1 may take several years unless a sufficiently high injection rate of CO2 is supplied, (2) the higher the injection rate of CO2, the lower the cumulative storage ratio of CO2, and (3) most of the CO2 storage in the formation takes place in phase 1, while even 92% of the CO2 injected in phase 2 can be recovered via the production well. Despite the environmental benefits connected with structural trapping of CO2, the Gorzów Block has probably too low formation temperature (145 °C) and too low stimulated volume (~0.1 km3) to deliver satisfactory and stable thermal output.</w:t>
      </w:r>
    </w:p>
    <w:p>
      <w:pPr>
        <w:pStyle w:val="Heading2"/>
      </w:pPr>
      <w:r>
        <w:t>926. Climate change signal of future climate projections for Aachen, Germany, in terms of temperature and precipitation</w:t>
      </w:r>
    </w:p>
    <w:p>
      <w:pPr>
        <w:pStyle w:val="SourceNote"/>
      </w:pPr>
      <w:r>
        <w:rPr>
          <w:b/>
        </w:rPr>
        <w:t>Original source (2014):</w:t>
      </w:r>
      <w:r>
        <w:t xml:space="preserve"> https://doi.org/10.1127/0941-2948/2014/0549</w:t>
      </w:r>
    </w:p>
    <w:p>
      <w:pPr/>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ensemble, regional, climate, temperature, precipitation;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2026:</w:t>
      </w:r>
      <w:r>
        <w:t xml:space="preserve"> New gridded large multi-model ensembles of empirical-statistical downscaling results — https://doi.org/10.5194/ems2026-443</w:t>
      </w:r>
    </w:p>
    <w:p>
      <w:pPr/>
      <w:r>
        <w:rPr>
          <w:b/>
        </w:rPr>
        <w:t>Shared claim-specific concepts:</w:t>
      </w:r>
      <w:r>
        <w:t xml:space="preserve"> multi-model, ensemble, regional, climate, terms, temperature; EU scope visible. This is a provisional connection, not an outcome finding.</w:t>
      </w:r>
    </w:p>
    <w:p>
      <w:pPr>
        <w:pStyle w:val="SourceNote"/>
      </w:pPr>
      <w:r>
        <w:rPr>
          <w:b/>
        </w:rPr>
        <w:t>Available abstract (not full text):</w:t>
      </w:r>
      <w:r>
        <w:t xml:space="preserve"> Downscaled multi-model ensemble mean and standard deviation through empirical-statistical downscaling have been gridded to a 5 arc-minute spatial resolution (~5km) for key seasonal temperature and precipitation statistics for the Barents Sea region, the Nordic countries, Europe, and other parts of the world. The downscaling has made use of a common EOF basis for ensuring a good representation of the predictors in terms of their spatio-temporal covariance structure, and for facilitating a quality control of the predictors. The downscaled key statistical parameters provide information about daily variables, such as the number of days with heavy precipitation. One objective has been to derive robust and reliable data, and ensemble sizes of hundreds of runs based on multiple global climate models provide a basis for robust estimates, since the addition of exclusion of a few runs don’t change the results significantly. The downscaled results also provide reliable information on temperature and precipitation, and the reliability of the results is tested against ensemble spread properties as well as the consistency between the ensemble members and the observed evolution for a common historical period. Three diagnostics are included in the netCDF files which indicate how close the ensemble spread is to being normal, how similar the historical trends are, and how the observed interannua</w:t>
      </w:r>
    </w:p>
    <w:p>
      <w:pPr/>
      <w:r>
        <w:rPr>
          <w:b/>
        </w:rPr>
        <w:t>POSSIBLE 2026:</w:t>
      </w:r>
      <w:r>
        <w:t xml:space="preserve"> The PROMES Regional Climate Model: Three Decades of Development and Contributions to Regional Climate Ensemble Research — https://doi.org/10.3390/geosciences16100423</w:t>
      </w:r>
    </w:p>
    <w:p>
      <w:pPr/>
      <w:r>
        <w:rPr>
          <w:b/>
        </w:rPr>
        <w:t>Shared claim-specific concepts:</w:t>
      </w:r>
      <w:r>
        <w:t xml:space="preserve"> multi-model, ensemble, regional, climate, projections, signal; EU scope visible. This is a provisional connection, not an outcome finding.</w:t>
      </w:r>
    </w:p>
    <w:p>
      <w:pPr>
        <w:pStyle w:val="SourceNote"/>
      </w:pPr>
      <w:r>
        <w:rPr>
          <w:b/>
        </w:rPr>
        <w:t>Available abstract (not full text):</w:t>
      </w:r>
      <w:r>
        <w:t xml:space="preserve"> Regional climate models (RCMs) have become established as essential dynamical downscaling tools, providing physically consistent, high-resolution climate information where global climate models (GCMs) are unable to resolve. Added value is obtained over heterogeneous vegetation, coastal, urban or orographically complex zones. Temperature, precipitation or wind benefit whenever fine-scale processes govern the climate signal, as with extreme events. CORDEX initiative (since 2009) has further consolidated RCM research with coordinated multi-model ensembles covering all continental regions, enabling systematic uncertainty quantification of regional climate projections. PROMES RCM has been an active scientific contributor across three decades to the modelling community ensemble. This review synthesizes and documents PROMES’s development, performance across Europe, West Africa and South America, and assesses its scientific contributions. This includes climate change projections features, extreme events (droughts, heat waves, or Mediterranean tropical-like cyclones) or land surface–atmosphere studies. Its behaviour within the more relevant international multi-model ensembles (from PRUDENCE to EuroCORDEX), with structurally independent characteristics, represents a scientific asset for uncertainty characterization beyond the model’s individual results, offering a legacy argument for pre</w:t>
      </w:r>
    </w:p>
    <w:p>
      <w:pPr/>
      <w:r>
        <w:rPr>
          <w:b/>
        </w:rPr>
        <w:t>POSSIBLE 2026:</w:t>
      </w:r>
      <w:r>
        <w:t xml:space="preserve"> me4soc: a multi-model ensemble interface for soil organic carbon predictions — https://doi.org/10.1016/j.ecolmodel.2026.111716</w:t>
      </w:r>
    </w:p>
    <w:p>
      <w:pPr/>
      <w:r>
        <w:rPr>
          <w:b/>
        </w:rPr>
        <w:t>Shared claim-specific concepts:</w:t>
      </w:r>
      <w:r>
        <w:t xml:space="preserve"> multi-model, ensemble, climate, used, estimate; EU scope visible. This is a provisional connection, not an outcome finding.</w:t>
      </w:r>
    </w:p>
    <w:p>
      <w:pPr>
        <w:pStyle w:val="SourceNote"/>
      </w:pPr>
      <w:r>
        <w:rPr>
          <w:b/>
        </w:rPr>
        <w:t>Available abstract (not full text):</w:t>
      </w:r>
      <w:r>
        <w:t xml:space="preserve"> Model predictions are paramount to understanding climate and land management effects on soil organic carbon (SOC) stocks and greenhouse gas (GHG) emissions in forests. However, SOC models remain highly uncertain, and multi-model ensembles can be used to evaluate the level of uncertainty of the predictions due to model choice. One major barrier to the use of multiple models is data availability and the time-scale consistency across models.In this work, we present me4soc, a Multi-model Ensemble interface For Soil Organic Carbon predictions. This open-source software offers a complete environment to launch six SOC models widely used by the soil community to predict the dynamics of SOC stocks and GHG fluxes (CO2, CH4, and N2O) in forests. It allows users to explore the effect of nature-based climate solutions over multiple decades under climate and land-use changes. The models can be run with either user-provided observational data or data automatically extracted from large-scale open-source datasets for the European region. Available earth system model predictions are used to simulate climate and land-use change scenarios. The tool has been developed in Shiny, a R-based package for simple web application developments.The obtained results showed the ability of me4soc to simulate the temporal dynamics of SOC stocks and GHG emissions at site-scale under different climate, land-use, a</w:t>
      </w:r>
    </w:p>
    <w:p>
      <w:pPr/>
      <w:r>
        <w:rPr>
          <w:b/>
        </w:rPr>
        <w:t>POSSIBLE 2026:</w:t>
      </w:r>
      <w:r>
        <w:t xml:space="preserve"> Impact of climate change on potato crop in India: Using multi-model ensemble climate projection — https://doi.org/10.54302/kb6jjx69</w:t>
      </w:r>
    </w:p>
    <w:p>
      <w:pPr/>
      <w:r>
        <w:rPr>
          <w:b/>
        </w:rPr>
        <w:t>Shared claim-specific concepts:</w:t>
      </w:r>
      <w:r>
        <w:t xml:space="preserve"> multi-model, ensemble, regional, climate, temperature; EU scope not established. This is a provisional connection, not an outcome finding.</w:t>
      </w:r>
    </w:p>
    <w:p>
      <w:pPr>
        <w:pStyle w:val="SourceNote"/>
      </w:pPr>
      <w:r>
        <w:rPr>
          <w:b/>
        </w:rPr>
        <w:t>Available abstract (not full text):</w:t>
      </w:r>
      <w:r>
        <w:t xml:space="preserve"> Potato is an important food crop in India, to quantifying the impacts of climate change on potato production is necessary to develop proper strategies to ensure food security under changing climatic conditions. This study employed the validated SUBSTOR-Potato crop model and downscaled climate data from various Regional Climate Models (RCMs) to project the impact of climate change on potato yields for 2040-2069 (mid-future) and 2070-2099 (far-future). Results indicated the increasing trend of maximum and minimum temperature while diurnal temperature range (DTR) shows decreasing trend over the study area. Without elevated CO2, tuber yields could decrease by 3.6% to 20.5%, depending on the scenario and time period. However, with elevated CO2, yields could increase by 28.7% to 36.5% under optimistic conditions and 34.4% to 35.9% under pessimistic conditions. The potato growing season would increase under a warming climate. Overall, the future warming with elevated CO2 concentration across the states showed positive impact (maximum in Madhya Pradesh +36.5%), while without elevated CO2 concentration, a negative effect has been observed over the states except in Madhya Pradesh where +4.6% to +13.5% increase in yield have been observed. However, uncertainties in this study might arise from the choice of different RCMs selection but the results are important for the scientific community</w:t>
      </w:r>
    </w:p>
    <w:p>
      <w:pPr/>
      <w:r>
        <w:rPr>
          <w:b/>
        </w:rPr>
        <w:t>POSSIBLE 2026:</w:t>
      </w:r>
      <w:r>
        <w:t xml:space="preserve"> NUKLEUS – A First Kilometre Scale Multi-model Climate Ensemble for Germany: Evaluation — https://doi.org/10.5194/egusphere-2026-1024</w:t>
      </w:r>
    </w:p>
    <w:p>
      <w:pPr/>
      <w:r>
        <w:rPr>
          <w:b/>
        </w:rPr>
        <w:t>Shared claim-specific concepts:</w:t>
      </w:r>
      <w:r>
        <w:t xml:space="preserve"> multi-model, ensemble, regional, climate, temperature, precipitation; EU scope visible. This is a provisional connection, not an outcome finding.</w:t>
      </w:r>
    </w:p>
    <w:p>
      <w:pPr>
        <w:pStyle w:val="SourceNote"/>
      </w:pPr>
      <w:r>
        <w:rPr>
          <w:b/>
        </w:rPr>
        <w:t>Available abstract (not full text):</w:t>
      </w:r>
      <w:r>
        <w:t xml:space="preserve"> Abstract. This study presents the evaluation of NUKLEUS, the first kilometre-scale, multi-model convection-permitting regional climate ensemble (CPM) for Germany. Three state-of-the-art regional climate models (ICON-CLM, COSMO-CLM, and REMO) were run at ~3 km horizontal resolution using a two-step downscaling chain driven by ERA5 reanalysis. The ensemble provides high-resolution climate information for Central Europe. In particular, we evaluate the CPM simulation results for Germany with a focus on six representative pilot regions selected within the German RegIKlim programme. Temperature, precipitation, global radiation, and near-surface wind, including their spatial patterns, annual and diurnal cycles, distributional characteristics, are compared to observational datasets. Moreover, selected climate indices relevant for heat and precipitation extremes are analysed. Overall, the ensemble demonstrates substantial added value compared to coarser-scale regional climate modelling, particularly in capturing regional climatic features and fine-scale variability. Temperature is reproduced with small biases (mostly within ± 0.5 K), with ICON-CLM performing best, while COSMO-CLM shows a weak cold bias and REMO a warm bias in parts of southern Germany. The CPM models realistically capture daily temperature distributions, though REMO underestimates minimum-temperature extremes. The annua</w:t>
      </w:r>
    </w:p>
    <w:p>
      <w:pPr/>
      <w:r>
        <w:rPr>
          <w:b/>
        </w:rPr>
        <w:t>POSSIBLE 2026:</w:t>
      </w:r>
      <w:r>
        <w:t xml:space="preserve"> Adaptive multi-model ensembles for improved epidemic projections and decision support — https://doi.org/10.64898/2026.06.26.26356648</w:t>
      </w:r>
    </w:p>
    <w:p>
      <w:pPr/>
      <w:r>
        <w:rPr>
          <w:b/>
        </w:rPr>
        <w:t>Shared claim-specific concepts:</w:t>
      </w:r>
      <w:r>
        <w:t xml:space="preserve"> multi-model, ensemble, projections, combination; EU scope not established. This is a provisional connection, not an outcome finding.</w:t>
      </w:r>
    </w:p>
    <w:p>
      <w:pPr>
        <w:pStyle w:val="SourceNote"/>
      </w:pPr>
      <w:r>
        <w:rPr>
          <w:b/>
        </w:rPr>
        <w:t>Available abstract (not full text):</w:t>
      </w:r>
      <w:r>
        <w:t xml:space="preserve"> In recent years, the use of multi-model ensemble projections in infectious disease modeling has become an established methodological approach to account for and integrate across uncertainties and structural differences present in individual models. However, the creation of long-term ensemble projections through these coordinated efforts is resource-intensive, demanding the input of multiple research teams and substantial computational power. This typically limits the ability to refine projections, update the selection of plausible epidemic trajectories, or expand the number of scenarios that can be assessed, even as new empirical data become available. To address this challenge, we define an adaptive ensemble approach that, analogously to a multi-model particle filtering method, dynamically selects individual model trajectories based on observed data throughout the epidemic projection period. We demonstrate the effectiveness of this methodology using the U.S. Flu Scenario Modeling Hub (SMH) projections for influenza hospitalizations in the United States during the 2023-2024 and 2024-2025 winter seasons. Our findings show that the adaptive ensemble yields improved predictive accuracy with respect to the original SMH ensemble projections across several scoring rules and geographical resolutions. Furthermore, the adaptive ensemble approach offers two additional applications: i) th</w:t>
      </w:r>
    </w:p>
    <w:p>
      <w:pPr/>
      <w:r>
        <w:rPr>
          <w:b/>
        </w:rPr>
        <w:t>POSSIBLE 2026:</w:t>
      </w:r>
      <w:r>
        <w:t xml:space="preserve"> Multi-Model Ensemble Approaches in Air Quality Prediction: A Comprehensive Review from Chemical Transport Models to Hybrid Machine Learning — https://doi.org/10.3390/atmos17070689</w:t>
      </w:r>
    </w:p>
    <w:p>
      <w:pPr/>
      <w:r>
        <w:rPr>
          <w:b/>
        </w:rPr>
        <w:t>Shared claim-specific concepts:</w:t>
      </w:r>
      <w:r>
        <w:t xml:space="preserve"> multi-model, ensemble, regional, high; EU scope visible. This is a provisional connection, not an outcome finding.</w:t>
      </w:r>
    </w:p>
    <w:p>
      <w:pPr>
        <w:pStyle w:val="SourceNote"/>
      </w:pPr>
      <w:r>
        <w:rPr>
          <w:b/>
        </w:rPr>
        <w:t>Available abstract (not full text):</w:t>
      </w:r>
      <w:r>
        <w:t xml:space="preserve"> Over the past two decades, air-quality prediction has moved from a mainly single-model paradigm toward ensemble systems that make explicit use of diversity across models, observations, and data streams. This review connects developments that are often treated separately: chemical transport model (CTM) ensembles, tree-based and hybrid machine learning ensembles, deep learning architectures, physics-informed neural networks, and distributed approaches such as federated learning. Evidence summarized from recent systematic reviews and coordinated modeling initiatives indicates that, within comparable validation settings, ensembles often outperform individual models for PM2.5, PM10, O3, NO2, CO, and SO2 across a broad range of spatial scales and standard error metrics, including RMSE, MAE, and correlation. Operational CTM ensembles, such as the Copernicus Atmosphere Monitoring Service (CAMS) European system with eleven regional models, improve both forecast skill and uncertainty characterization for ozone and particulate matter. In data-driven applications, tree-based ensembles (Random Forest, gradient boosting, XGBoost, LightGBM) and hybrid deep architectures (CNN–LSTM models, attention-based multi-branch networks, graph neural networks) now form a core part of the state of the art for AQI (Air Quality Index) and particulate-matter estimation from structured and multi-source data. </w:t>
      </w:r>
    </w:p>
    <w:p>
      <w:pPr/>
      <w:r>
        <w:rPr>
          <w:b/>
        </w:rPr>
        <w:t>POSSIBLE 2026:</w:t>
      </w:r>
      <w:r>
        <w:t xml:space="preserve"> Interpretable machine learning for CMIP6 multi-model ensembles — https://doi.org/10.1017/eds.2026.10044</w:t>
      </w:r>
    </w:p>
    <w:p>
      <w:pPr/>
      <w:r>
        <w:rPr>
          <w:b/>
        </w:rPr>
        <w:t>Shared claim-specific concepts:</w:t>
      </w:r>
      <w:r>
        <w:t xml:space="preserve"> multi-model, ensemble, climate, used, temperature, precipitation; EU scope not established. This is a provisional connection, not an outcome finding.</w:t>
      </w:r>
    </w:p>
    <w:p>
      <w:pPr>
        <w:pStyle w:val="SourceNote"/>
      </w:pPr>
      <w:r>
        <w:rPr>
          <w:b/>
        </w:rPr>
        <w:t>Available abstract (not full text):</w:t>
      </w:r>
      <w:r>
        <w:t xml:space="preserve"> Abstract Multi-model ensembles are widely used in climate science, yet Coupled Model Intercomparison Project Phase 6 (CMIP6) models are neither independent nor equally skillful. We present a framework for interpretable ensemble learning that improves prediction while making model contributions explicit. Using monthly CMIP6 near-surface temperature and precipitation (1948–2014) against ERA5, we compare arithmetic multi-model ensemble (AMME) averaging with Ridge regression, random forest, and a continuous gating mixture that adaptively interpolates between them. On held-out test years (2006–2014), gating achieves the best temperature performance and improves precipitation distributional behavior relative to both AMME and individual learners. We trace these gains back to individual models and space: dominant-cluster and dominant-model maps show that gating reallocates trust in regionally coherent patterns rather than collapsing to a single best model, while entropy-based diagnostics quantify where trust is concentrated versus distributed. These analyses provide a practical pathway for transparent ensemble learning that supports both predictive skill and scientific accountability.</w:t>
      </w:r>
    </w:p>
    <w:p>
      <w:pPr/>
      <w:r>
        <w:rPr>
          <w:b/>
        </w:rPr>
        <w:t>POSSIBLE 2026:</w:t>
      </w:r>
      <w:r>
        <w:t xml:space="preserve"> Developing Guidelines for working with Multi-Model Ensembles in CMIP — https://doi.org/10.5194/esd-17-495-2026</w:t>
      </w:r>
    </w:p>
    <w:p>
      <w:pPr/>
      <w:r>
        <w:rPr>
          <w:b/>
        </w:rPr>
        <w:t>Shared claim-specific concepts:</w:t>
      </w:r>
      <w:r>
        <w:t xml:space="preserve"> multi-model, ensemble, climate, projections; EU scope not established. This is a provisional connection, not an outcome finding.</w:t>
      </w:r>
    </w:p>
    <w:p>
      <w:pPr>
        <w:pStyle w:val="SourceNote"/>
      </w:pPr>
      <w:r>
        <w:rPr>
          <w:b/>
        </w:rPr>
        <w:t>Available abstract (not full text):</w:t>
      </w:r>
      <w:r>
        <w:t xml:space="preserve"> Abstract. Earth System Models (ESMs) are the key tool for studying the climate under changing conditions. Over recent decades, it has been established to not only rely on projections of a single model but to combine various ESMs in multi-model ensembles (MMEs) to improve robustness and quantify the uncertainty of the projections. The data access for MME studies has been fundamentally facilitated by the World Climate Research Programme's Coupled Model Intercomparison Project (CMIP) - a collaborative effort bringing together ESMs from modelling communities all over the world. Despite the CMIP standardisation processes, addressing specific research questions using MMEs requires unique ensemble design, analysis, and interpretation choices. Based on the collective expertise within the Fresh Eyes on CMIP initiative, mainly composed of early-career researchers engaged in CMIP, we have identified common issues and questions encountered while working with climate MMEs. In this project, we provide a comprehensive literature review addressing these questions. We provide statistics tracing the development of the climate MMEs analysis field throughout the last decades, and, synthesising existing studies, we outline guidelines regarding model evaluation, model dependence, weighting methods, and uncertainty treatment. We summarize a collection of useful resources for MME studies, we review co</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multi-model, ensemble, regional, climate, precipitation, germany;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Added value of a multi-model ensemble of convection-permitting rainfall reanalyses over Italy — https://doi.org/10.1016/j.atmosres.2025.108402</w:t>
      </w:r>
    </w:p>
    <w:p>
      <w:pPr/>
      <w:r>
        <w:rPr>
          <w:b/>
        </w:rPr>
        <w:t>Shared claim-specific concepts:</w:t>
      </w:r>
      <w:r>
        <w:t xml:space="preserve"> multi-model, ensemble, regional, climate, terms, precipitation; EU scope visible. This is a provisional connection, not an outcome finding.</w:t>
      </w:r>
    </w:p>
    <w:p>
      <w:pPr>
        <w:pStyle w:val="SourceNote"/>
      </w:pPr>
      <w:r>
        <w:rPr>
          <w:b/>
        </w:rPr>
        <w:t>Available abstract (not full text):</w:t>
      </w:r>
      <w:r>
        <w:t xml:space="preserve"> Regional convection-permitting meteorological reanalyses substantially improve the atmospheric representation compared to convection-parameterized counterparts. This holds particularly for multi-scale driven variables such as precipitation in terms of spatial structures, intensity and frequency rates, or the timing and peak of its summer diurnal cycle. However, the simulation of convective-related phenomena is highly model-dependent, implying the inability to sample the full range of natural variability with single-model experiments. This challenge is exacerbated for km-scale simulations owing to the intrinsic chaotic nature underlying convection. Multi-model ensembles of high-resolution climate models demonstrate to reduce the simulation errors associated with individual model outputs over Europe. When applied to retrospective estimates, such ensemble approach could then offer a comprehensive, homogeneous, and optimized assessment of past atmospheric states. This study presents the first multi-model ensemble of regional reanalyses over Italy considering four recently produced datasets to assess the added value of their joint use. These products are derived by dynamically downscaling the global reanalysis ERA5 with different numerical models: MERIDA_HRES, MOLOCH, SPHERA and VHR-REA_IT. The reference dataset for comparison is the pluviometer-based hourly analysis GRIPHO. The inv</w:t>
      </w:r>
    </w:p>
    <w:p>
      <w:pPr>
        <w:pStyle w:val="Heading2"/>
      </w:pPr>
      <w:r>
        <w:t>927. Douglas‐fir plantations in Europe: a retrospective test of assisted migration to address climate change</w:t>
      </w:r>
    </w:p>
    <w:p>
      <w:pPr>
        <w:pStyle w:val="SourceNote"/>
      </w:pPr>
      <w:r>
        <w:rPr>
          <w:b/>
        </w:rPr>
        <w:t>Original source (2014):</w:t>
      </w:r>
      <w:r>
        <w:t xml:space="preserve"> https://doi.org/10.1111/gcb.12604</w:t>
      </w:r>
    </w:p>
    <w:p>
      <w:pPr/>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conclude, applying, climate, observed, over;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Climate change and energy: the development dimension in Greece and the European Union — https://doi.org/10.26258/heal.hua.537</w:t>
      </w:r>
    </w:p>
    <w:p>
      <w:pPr/>
      <w:r>
        <w:rPr>
          <w:b/>
        </w:rPr>
        <w:t>Shared claim-specific concepts:</w:t>
      </w:r>
      <w:r>
        <w:t xml:space="preserve"> climate, over, central; EU scope visible. This is a provisional connection, not an outcome finding.</w:t>
      </w:r>
    </w:p>
    <w:p>
      <w:pPr>
        <w:pStyle w:val="SourceNote"/>
      </w:pPr>
      <w:r>
        <w:rPr>
          <w:b/>
        </w:rPr>
        <w:t>Available abstract (not full text):</w:t>
      </w:r>
      <w:r>
        <w:t xml:space="preserve"> This thesis provides an in-depth examination of the complex and multidimensional relationship between climate change, energy policy, and sustainable economic development, with a particular focus on Greece and the European Union. The need to transition to a new model of energy production and consumption—one that ensures a reduction in greenhouse gas emissions without undermining competitiveness and economic growth—constitutes the central axis of the analysis. The study develops an extensive theoretical framework, exploring the longstanding debate on the compatibility between economic growth and environmental protection, the impacts of climate change on urban areas, the importance of the energy transition, and the role of renewable energy sources in the contemporary development paradigm. At the empirical level, the analysis employs panel data for the 27 European Union Member States over the period 2005–2023 and applies a fixed-effects econometric model in order to investigate the contribution of green investments, energy efficiency, and the penetration of renewable energy sources to per capita GDP and competitiveness. The results indicate that green energy constitutes a key driver of sustainable development, offering not only environmental benefits but also significant economic and social prospects, particularly in countries that systematically invest in low-carbon technologies a</w:t>
      </w:r>
    </w:p>
    <w:p>
      <w:pPr/>
      <w:r>
        <w:rPr>
          <w:b/>
        </w:rPr>
        <w:t>POSSIBLE 2026:</w:t>
      </w:r>
      <w:r>
        <w:t xml:space="preserve"> Anthropogenic aerosol forcing of European windstorms in CMIP6 climate models — https://doi.org/10.5194/nhess-26-4663-2026</w:t>
      </w:r>
    </w:p>
    <w:p>
      <w:pPr/>
      <w:r>
        <w:rPr>
          <w:b/>
        </w:rPr>
        <w:t>Shared claim-specific concepts:</w:t>
      </w:r>
      <w:r>
        <w:t xml:space="preserve"> validated, climate, three, decades; EU scope visible. This is a provisional connection, not an outcome finding.</w:t>
      </w:r>
    </w:p>
    <w:p>
      <w:pPr>
        <w:pStyle w:val="SourceNote"/>
      </w:pPr>
      <w:r>
        <w:rPr>
          <w:b/>
        </w:rPr>
        <w:t>Available abstract (not full text):</w:t>
      </w:r>
      <w:r>
        <w:t xml:space="preserve"> A recently developed set of historical storm reconstructions were extensively validated by insurance loss data and revealed how European windstorm damages were three times higher in the 1980s and '90s compared to a few decades before and since. A better understanding of these slower fluctuations could improve how this costly risk is managed. Here, we explore the impacts of anthropogenic aerosols (AA) on European property damage using results from DAMIP (Detection and Attribution Model Intercomparison Project) climate model experiments. Multimodel mean DAMIP results indicate AA boosted European wind losses by 45 % in the late 20th century relative to preindustrial times, with the signal varying from zero to 100 % between the six models. A validation of these modelling results using independent data from previous climate studies suggested the signal is more likely to be at the higher end of this range. While this evidence suggests AA forcing contributed significantly to recent multidecadal changes in European windstorm losses, there remains significant uncertainties in model responses and the observational data used in their validation. Further research would benefit those exposed to this hazard.</w:t>
      </w:r>
    </w:p>
    <w:p>
      <w:pPr/>
      <w:r>
        <w:rPr>
          <w:b/>
        </w:rPr>
        <w:t>POSSIBLE 2025:</w:t>
      </w:r>
      <w:r>
        <w:t xml:space="preserve"> Plural Values of Culture in Europe — https://openalex.org/W7137507789</w:t>
      </w:r>
    </w:p>
    <w:p>
      <w:pPr/>
      <w:r>
        <w:rPr>
          <w:b/>
        </w:rPr>
        <w:t>Shared claim-specific concepts:</w:t>
      </w:r>
      <w:r>
        <w:t xml:space="preserve"> applying, three, decades, current;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Outpacing climate change: adaptation to heatwaves in Europe — https://doi.org/10.1007/s00484-025-02872-0</w:t>
      </w:r>
    </w:p>
    <w:p>
      <w:pPr/>
      <w:r>
        <w:rPr>
          <w:b/>
        </w:rPr>
        <w:t>Shared claim-specific concepts:</w:t>
      </w:r>
      <w:r>
        <w:t xml:space="preserve"> climate, observed, current;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Selecting CMIP6 models to assess the impact of climate change on energy need for heating and cooling in Europe — https://doi.org/10.1007/s00704-024-05263-4</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Abstract The CMIP project has reached the end of its sixth phase, with a large set of simulations: 30 research entities, 40 different climate models, and 8 socio-economic scenarios. All the simulations represent a very large volume of data amounting to more than 30 Petabytes. The exploitation of all the simulations in impact studies would be extremely costly in computing time and storage. Moreover, these models suffer from several sources of uncertainties (coarse spatial resolution, physical parameterizations, ...) which produce large systematic biases when they are compared to observations. This study details an approach developed for the selection of a subset of simulations from the CMIP6 multi-model ensemble to assess the impact of climate change on the energy demand in Europe. At a climatic time scale, besides socio-economic factors, energy demand variability and evolution depend mainly on air temperature (and to a lesser extent, wind speed, and humidity). The developed process of selection combines two main criteria applied to the daily mean, maximum, and minimum air temperature from all CMIP6 simulations where these variables are available. The first one consists of choosing a subset of models that represents the whole range of possible temperature changes in the future compared to the historical climate. The second criterion considers the skills of the CMIP6 historical s</w:t>
      </w:r>
    </w:p>
    <w:p>
      <w:pPr/>
      <w:r>
        <w:rPr>
          <w:b/>
        </w:rPr>
        <w:t>POSSIBLE 2024:</w:t>
      </w:r>
      <w:r>
        <w:t xml:space="preserve"> Modelling the effects of climate and management on the distribution of deadwood in European forests — https://doi.org/10.1016/j.jenvman.2024.120382</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Deadwood is a key old-growth element in European forests and a cornerstone of biodiversity conservation practices in the region, recognized as an important indicator of sustainable forest management. Despite its importance as a legacy element for biodiversity, uncertainties remain on the drivers of deadwood potentials, its spatial distribution in European forests and how it may change in the future due to management and climate change. To fill this gap, we combined a comprehensive deadwood dataset to fit a machine learning and a Bayesian hurdle-lognormal model against multiple environmental and socio-economic predictors. We deployed the models on the gridded predictors to forecast changes in deadwood volumes in Europe under alternative climate (RCP4.5 and RCP8.5) and management scenarios (biodiversity-oriented and production-oriented strategies). Our results show deadwood hotspots in montane forests of central Europe and unmanaged forests in Scandinavia. Future climate conditions may reduce deadwood potentials up to 13% under a mid-century climate, with regional losses amounting to up to 22% in Southern Europe. Nevertheless, changes in management towards more biodiversity-oriented strategies, including an increase in the share of mixed forests and extended rotation lengths, may mitigate this loss to a 4% reduction in deadwood potentials. We conclude that adaptive management can</w:t>
      </w:r>
    </w:p>
    <w:p>
      <w:pPr/>
      <w:r>
        <w:rPr>
          <w:b/>
        </w:rPr>
        <w:t>POSSIBLE 2024:</w:t>
      </w:r>
      <w:r>
        <w:t xml:space="preserve"> Past, present and future rainfall erosivity in central Europe based on convection-permitting climate simulations — https://doi.org/10.5194/hess-28-87-2024</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Abstract. Heavy rainfall is the main driver of soil erosion by water, which is a threat to soil and water resources across the globe. As a consequence of climate change, precipitation – especially extreme precipitation – is increasing in a warmer world, leading to an increase in rainfall erosivity. However, conventional global climate models struggle to represent extreme rain events and cannot provide precipitation data at the high spatiotemporal resolution that is needed for an accurate estimation of future rainfall erosivity. Convection-permitting simulations (CPSs), on the other hand, provide high-resolution precipitation data and a better representation of extreme rain events, but they are mostly limited to relatively small spatial extents and short time periods. Here, we present, for the first time, rainfall erosivity in a large modeling domain such as central Europe based on high-resolution CPS climate data generated with the regional climate model COSMO-CLM using the Representative Concentration Pathway 8.5 (RCP8.5) emission scenario. We calculated rainfall erosivity for the past (1971–2000), present (2001–2019), near future (2031–2060) and far future (2071–2100). Our results showed that future increases in rainfall erosivity in central Europe can be up to 84 % in the region's river basins. These increases are much higher than previously estimated based on regression wit</w:t>
      </w:r>
    </w:p>
    <w:p>
      <w:pPr/>
      <w:r>
        <w:rPr>
          <w:b/>
        </w:rPr>
        <w:t>POSSIBLE 2024:</w:t>
      </w:r>
      <w:r>
        <w:t xml:space="preserve"> Exacerbated summer European warming not captured by climate models neglecting long-term aerosol changes — https://doi.org/10.1038/s43247-024-01332-8</w:t>
      </w:r>
    </w:p>
    <w:p>
      <w:pPr/>
      <w:r>
        <w:rPr>
          <w:b/>
        </w:rPr>
        <w:t>Shared claim-specific concepts:</w:t>
      </w:r>
      <w:r>
        <w:t xml:space="preserve"> climate, observed, over, three; EU scope visible. This is a provisional connection, not an outcome finding.</w:t>
      </w:r>
    </w:p>
    <w:p>
      <w:pPr>
        <w:pStyle w:val="SourceNote"/>
      </w:pPr>
      <w:r>
        <w:rPr>
          <w:b/>
        </w:rPr>
        <w:t>Available abstract (not full text):</w:t>
      </w:r>
      <w:r>
        <w:t xml:space="preserve"> Abstract In much of western-central Europe, summer temperatures have surged three times faster than the global mean warming since 1980, yet this is not captured by most climate model simulations. Here we disentangle this warming into thermodynamic and circulation-induced contributions, and show that the latter is the main reason why numerically simulated warming is weaker than observed. Crucially, regional climate models from the Coordinated Regional Downscaling Experiment with constant aerosol forcings systematically show the strongest discrepancies from observations: in these simulations, the regional brightening and associated thermodynamic warming due to aerosol reductions is not represented. We estimate an effect of ~0.5 °C over western-central Europe for our model ensemble, and the discrepancy to climate models with evolving aerosols increases in future projections. To better reap the benefits of regional high-resolution simulations, it is thus imperative to represent the relevant external forcings and associated responses across the entire climate model chain.</w:t>
      </w:r>
    </w:p>
    <w:p>
      <w:pPr/>
      <w:r>
        <w:rPr>
          <w:b/>
        </w:rPr>
        <w:t>POSSIBLE 2024:</w:t>
      </w:r>
      <w:r>
        <w:t xml:space="preserve"> Stakeholder-driven research in the European Climate and Energy Modelling Forum — https://doi.org/10.48550/arxiv.2406.01640</w:t>
      </w:r>
    </w:p>
    <w:p>
      <w:pPr/>
      <w:r>
        <w:rPr>
          <w:b/>
        </w:rPr>
        <w:t>Shared claim-specific concepts:</w:t>
      </w:r>
      <w:r>
        <w:t xml:space="preserve"> climate, current, use; EU scope visible. This is a provisional connection, not an outcome finding.</w:t>
      </w:r>
    </w:p>
    <w:p>
      <w:pPr>
        <w:pStyle w:val="SourceNote"/>
      </w:pPr>
      <w:r>
        <w:rPr>
          <w:b/>
        </w:rPr>
        <w:t>Available abstract (not full text):</w:t>
      </w:r>
      <w:r>
        <w:t xml:space="preserve"> A fast-paced policy context is characteristic of energy and climate research, which strives to develop solutions to wicked problems such as climate change. Funding agencies in the European Union recognize the importance of linking research and policy in climate and energy research. This calls for an increased understanding of how stakeholder engagement can effectively be used to co-design research questions that include stakeholders' concerns. This paper reviews the current literature on stakeholder engagement, from which we create a set of criteria. These are used to critically assess recent and relevant papers on stakeholder engagement in climate and energy projects. We obtained the papers from a scoping review of stakeholder engagement through workshops in EU climate and energy research. With insights from the literature and current EU climate and energy projects, we developed a workshop programme for stakeholder engagement. This programme was applied to the European Climate and Energy Modelling Forum project, aiming to co-design the most pressing and urgent research questions according to European stakeholders. The outcomes include 82 co-designed and ranked research questions for nine specific climate and energy research themes. Findings from the scoping review indicate that papers rarely define the term 'stakeholder'. Additionally, the concepts of co-creation, co-design, a</w:t>
      </w:r>
    </w:p>
    <w:p>
      <w:pPr/>
      <w:r>
        <w:rPr>
          <w:b/>
        </w:rPr>
        <w:t>POSSIBLE 2024:</w:t>
      </w:r>
      <w:r>
        <w:t xml:space="preserve"> How many drugs are repositioned each year in Europe? — https://doi.org/10.1111/jwip.12327</w:t>
      </w:r>
    </w:p>
    <w:p>
      <w:pPr/>
      <w:r>
        <w:rPr>
          <w:b/>
        </w:rPr>
        <w:t>Shared claim-specific concepts:</w:t>
      </w:r>
      <w:r>
        <w:t xml:space="preserve"> conclude, over, last, decades, use; EU scope visible. This is a provisional connection, not an outcome finding.</w:t>
      </w:r>
    </w:p>
    <w:p>
      <w:pPr>
        <w:pStyle w:val="SourceNote"/>
      </w:pPr>
      <w:r>
        <w:rPr>
          <w:b/>
        </w:rPr>
        <w:t>Available abstract (not full text):</w:t>
      </w:r>
      <w:r>
        <w:t xml:space="preserve"> Abstract For two decades, commentators have argued for law and policy reform to incentivise organisations to develop new indications for (already) authorised drugs, an area of drug development known as ‘repositioning’. In short, they argue that hurdles in patent and pharmaceutical law hinder repositioning and, therefore, reform is required to increase its use. Yet, these arguments are made primarily on anecdotes; the empirical evidence is scant. One foundational question is how many drugs are repositioned each year in Europe. This study develops a method to examine the number authorised each year. The results show a marked increase in repositioning over the last 3 years, and that the number per year is comparable, though slightly fewer than, the number of new compounds, indicating modest to higher‐than‐expected activity. This study considers what the results mean for four suggested reform options, including the EU Commission's recent proposal. We conclude that the reforms may not achieve their goals or that further evidence is required before we can know whether they will be effective. Lastly, this paper explains how the method and data in this study could serve as a benchmark for evaluating the success of future reforms.</w:t>
      </w:r>
    </w:p>
    <w:p>
      <w:pPr/>
      <w:r>
        <w:rPr>
          <w:b/>
        </w:rPr>
        <w:t>POSSIBLE 2024:</w:t>
      </w:r>
      <w:r>
        <w:t xml:space="preserve"> Environmental niche modelling of the Chinese pond mussel invasion in Europe under climate change scenarios — https://doi.org/10.37828/em.2024.72.20</w:t>
      </w:r>
    </w:p>
    <w:p>
      <w:pPr/>
      <w:r>
        <w:rPr>
          <w:b/>
        </w:rPr>
        <w:t>Shared claim-specific concepts:</w:t>
      </w:r>
      <w:r>
        <w:t xml:space="preserve"> climate, three; EU scope visible. This is a provisional connection, not an outcome finding.</w:t>
      </w:r>
    </w:p>
    <w:p>
      <w:pPr>
        <w:pStyle w:val="SourceNote"/>
      </w:pPr>
      <w:r>
        <w:rPr>
          <w:b/>
        </w:rPr>
        <w:t>Available abstract (not full text):</w:t>
      </w:r>
      <w:r>
        <w:t xml:space="preserve"> In this paper, we modelled the Chinese pond mussel distribution in the European subcontinent under the recent climatic conditions and two climate change scenarios. Using species records of Sinanodonta woodiana (Bivalvia: Unionidae) in Europe and a set of bioclimatic variables, we applied the maximum entropy approach provided by MaxEnt to build the species distribution models and investigate how each climatic variable affects the species distribution. We found that winter temperatures had the largest contribution to the species distribution in all three scenarios (recent, RCP 4.5, RCP 8.5). We applied the minimum training presence threshold, as a less stringent, and 10th percentile training presence threshold, as more stringent, to map the potential area of the species occurrence. The models show that the climatically optimal range, depicted by the stricter threshold, will be expanded eastwards under all three scenarios. At the same time, the area of minimally suitable environments, represented by the less stringent threshold, will be contracted in the future climate. The species distribution models highlight that the climatic conditions of the British Isles and the Azov-Kuban Lowland are the most suitable, among the uninvaded regions, for further S. woodiana invasion.</w:t>
      </w:r>
    </w:p>
    <w:p>
      <w:pPr>
        <w:pStyle w:val="Heading2"/>
      </w:pPr>
      <w:r>
        <w:t>928. Ensemble projections of future streamflow droughts in Europe</w:t>
      </w:r>
    </w:p>
    <w:p>
      <w:pPr>
        <w:pStyle w:val="SourceNote"/>
      </w:pPr>
      <w:r>
        <w:rPr>
          <w:b/>
        </w:rPr>
        <w:t>Original source (2014):</w:t>
      </w:r>
      <w:r>
        <w:t xml:space="preserve"> https://doi.org/10.5194/hess-18-85-2014</w:t>
      </w:r>
    </w:p>
    <w:p>
      <w:pPr/>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POSSIBLE 2026:</w:t>
      </w:r>
      <w:r>
        <w:t xml:space="preserve"> Towards improved flood prediction: a review of deterministic hydrologic-hydraulic model coupling — https://doi.org/10.1007/s11069-026-07992-3</w:t>
      </w:r>
    </w:p>
    <w:p>
      <w:pPr/>
      <w:r>
        <w:rPr>
          <w:b/>
        </w:rPr>
        <w:t>Shared claim-specific concepts:</w:t>
      </w:r>
      <w:r>
        <w:t xml:space="preserve"> coupling, hydrological; EU scope visible. This is a provisional connection, not an outcome finding.</w:t>
      </w:r>
    </w:p>
    <w:p>
      <w:pPr>
        <w:pStyle w:val="SourceNote"/>
      </w:pPr>
      <w:r>
        <w:rPr>
          <w:b/>
        </w:rPr>
        <w:t>Available abstract (not full text):</w:t>
      </w:r>
      <w:r>
        <w:t xml:space="preserve">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pPr/>
      <w:r>
        <w:rPr>
          <w:b/>
        </w:rPr>
        <w:t>POSSIBLE 2026:</w:t>
      </w:r>
      <w:r>
        <w:t xml:space="preserve"> Coupling water balance and vegetation carbon dynamics in a parsimonious global hydrologic model — https://doi.org/10.1016/j.jhydrol.2026.136520</w:t>
      </w:r>
    </w:p>
    <w:p>
      <w:pPr/>
      <w:r>
        <w:rPr>
          <w:b/>
        </w:rPr>
        <w:t>Shared claim-specific concepts:</w:t>
      </w:r>
      <w:r>
        <w:t xml:space="preserve"> coupling, water; EU scope not established. This is a provisional connection, not an outcome finding.</w:t>
      </w:r>
    </w:p>
    <w:p>
      <w:pPr>
        <w:pStyle w:val="SourceNote"/>
      </w:pPr>
      <w:r>
        <w:rPr>
          <w:b/>
        </w:rPr>
        <w:t>Available abstract (not full text):</w:t>
      </w:r>
      <w:r>
        <w:t xml:space="preserve">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pPr/>
      <w:r>
        <w:rPr>
          <w:b/>
        </w:rPr>
        <w:t>POSSIBLE 2026:</w:t>
      </w:r>
      <w:r>
        <w:t xml:space="preserve"> Ecosystem service trade-offs of upstream afforestation: an integrated hydrological-economic assessment in the Sorraia basin, Portugal — https://doi.org/10.3389/fenvs.2026.1838037</w:t>
      </w:r>
    </w:p>
    <w:p>
      <w:pPr/>
      <w:r>
        <w:rPr>
          <w:b/>
        </w:rPr>
        <w:t>Shared claim-specific concepts:</w:t>
      </w:r>
      <w:r>
        <w:t xml:space="preserve"> hydrological, climate, water, use, streamflow; EU scope visible. This is a provisional connection, not an outcome finding.</w:t>
      </w:r>
    </w:p>
    <w:p>
      <w:pPr>
        <w:pStyle w:val="SourceNote"/>
      </w:pPr>
      <w:r>
        <w:rPr>
          <w:b/>
        </w:rPr>
        <w:t>Available abstract (not full text):</w:t>
      </w:r>
      <w:r>
        <w:t xml:space="preserve"> Introduction Across Europe, river basins face growing pressures from pollution, hydrological alteration, water abstraction and climate change, with many failing to achieve good ecological status. Southern Europe is particularly vulnerable due to seasonal water scarcity, erosion-prone soils and intensive land use. Upstream afforestation can improve ecosystem functioning, although outcomes depend on species choice and management, and resulting environmental and economic trade-offs are poorly understood. Methods Using the Sorraia basin (Portugal) as a case study, this study presents a hydrological–economic assessment of upstream afforestation scenarios: expanding eucalyptus plantations (EUCINT) versus restoring native cork-oak forests (RESTOAK) under current and mid-century climate conditions, focusing on streamflow, sediment and phosphorus loads (modelled using SWAT) and related ecosystem services, including agricultural production, reservoir sediment management, water purification and recreation, alongside direct economic returns associated with land-use change. Results The results show that afforestation has limited effects on streamflow (+1% under RESTOAK; up to −9% under EUCINT) compared to projected climate change impacts, but substantially influences sediment and nutrient dynamics. Sediment loads into reservoirs increase by 85–185% under EUCINT but decrease by 36–75% under </w:t>
      </w:r>
    </w:p>
    <w:p>
      <w:pPr/>
      <w:r>
        <w:rPr>
          <w:b/>
        </w:rPr>
        <w:t>POSSIBLE 2026:</w:t>
      </w:r>
      <w:r>
        <w:t xml:space="preserve"> Sixteen models, fewer than two voices: measuring ensemble dispersion where no answer is uniquely correct — https://doi.org/10.48550/arxiv.2608.00285</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Sixteen language models drawn from ten families produced, on average, the semantic diversity of 1.69 distinct formulations of a psychotherapeutic case, against a single-model baseline of 1.43 from one model's own runs. Ensembles place more than one reading before a decision-maker on the premise that several models supply several perspectives. Dispersion over their outputs is measured both as diversity and as uncertainty, and both traditions validate it against a correctness criterion that this task does not admit. Measuring diversity is a solved problem: the Vendi Score, the exponential of the von Neumann entropy of a similarity matrix, is an effective number of distinct elements. What a single aggregate does not say is where the diversity comes from. We define a per-model dissent contribution, the complement of a model's mean similarity to the other members of its ensemble: a magnitude from the same matrix, not a decomposition of the spectral index, whose maximum identifies the most divergent voice. Crossing model and case, we test as a preregistered hypothesis whether model identity accounts for a non-zero share of the variance in dissent, and characterise the structure that test detects. The panel formulated fifteen stratified vignettes, yielding 7,082 formulations for analysis. Model identity was a detectable structuring factor of the dissent that remained, but the usual ca</w:t>
      </w:r>
    </w:p>
    <w:p>
      <w:pPr/>
      <w:r>
        <w:rPr>
          <w:b/>
        </w:rPr>
        <w:t>POSSIBLE 2026:</w:t>
      </w:r>
      <w:r>
        <w:t xml:space="preserve"> Quantifying driving ensemble influence on operational convection‐permitting ensemble spread — https://doi.org/10.1002/qj.70125</w:t>
      </w:r>
    </w:p>
    <w:p>
      <w:pPr/>
      <w:r>
        <w:rPr>
          <w:b/>
        </w:rPr>
        <w:t>Shared claim-specific concepts:</w:t>
      </w:r>
      <w:r>
        <w:t xml:space="preserve"> ensemble, use, uncertainty; EU scope not established. This is a provisional connection, not an outcome finding.</w:t>
      </w:r>
    </w:p>
    <w:p>
      <w:pPr>
        <w:pStyle w:val="SourceNote"/>
      </w:pPr>
      <w:r>
        <w:rPr>
          <w:b/>
        </w:rPr>
        <w:t>Available abstract (not full text):</w:t>
      </w:r>
      <w:r>
        <w:t xml:space="preserve"> Abstract Convection‐permitting ensembles (CPEs) are a common short‐range forecasting tool designed to quantify the uncertainty in convective‐scale processes, but their usefulness is limited by insufficient spread. Though most efforts to improve spread have targeted the CPE itself, previous studies have shown that the “parent” driving ensemble can exert a strong influence over the “child” CPE. Few studies have examined the parent–child relationship for precipitation patterns, which are important for forecast guidance production but require the use of neighbourhood‐based metrics for robust evaluation. By comparing spatial statistics between an operational CPE and the global ensemble used to drive it, we investigate the lead times and regimes under which the CPE diverges from the driving ensemble and link this to the spread–skill relationship. As a complement to existing methods, we introduce the parent–child fractions skill score (pcFSS) that directly compares precipitation patterns between the two ensembles. Both ensembles are similarly underspread under mobile regimes and at lead times when the boundaries dominate. Under convective regimes, the CPE shows the potential for larger forecast differences compared with the global ensemble. CPE spread is also larger in these regimes compared with others, but it also suffers from lower skill. Ultimately, we show that using the pcFSS in</w:t>
      </w:r>
    </w:p>
    <w:p>
      <w:pPr/>
      <w:r>
        <w:rPr>
          <w:b/>
        </w:rPr>
        <w:t>POSSIBLE 2026:</w:t>
      </w:r>
      <w:r>
        <w:t xml:space="preserve"> Coupling hydrological, geotechnical and machine learning models to enhance landslide prediction for an early warning system: application to Upper Garonne River Basin, Pyrenees, Spain — https://doi.org/10.1007/s10346-025-02685-7</w:t>
      </w:r>
    </w:p>
    <w:p>
      <w:pPr/>
      <w:r>
        <w:rPr>
          <w:b/>
        </w:rPr>
        <w:t>Shared claim-specific concepts:</w:t>
      </w:r>
      <w:r>
        <w:t xml:space="preserve"> coupling, hydrological, use, generated; EU scope visible. This is a provisional connection, not an outcome finding.</w:t>
      </w:r>
    </w:p>
    <w:p>
      <w:pPr>
        <w:pStyle w:val="SourceNote"/>
      </w:pPr>
      <w:r>
        <w:rPr>
          <w:b/>
        </w:rPr>
        <w:t>Available abstract (not full text):</w:t>
      </w:r>
      <w:r>
        <w:t xml:space="preserve"> Abstract Landslide Early Warning Systems (LEWS) aim to anticipate slope failures by identifying critical hydrometeorological conditions, but their accuracy is often limited by simplified approaches that do not fully capture subsurface hydrological processes. To strengthen planning and management strategies for landslide hazard-prone areas in alpine regions, we developed the SCLAM model, which integrates the SNOW-17 snowmelt model, the coupled routing and excess storage (CREST) hydrological model, and a landslide model that combines the infinite slope method with a random forest approach. The SCLAM model was validated in the Upper Garonne River Basin (Pyrenees, Spain), a region that experienced multiple-occurrence landslide events on 18 June 2013 due to intense rainfall and snowmelt. The SCLAM model showed fast performance, with an average accuracy of 75% in identifying landslide initiation areas at a 30-m pixel scale. Furthermore, a key innovation of this study is the use of the baseflow excess variable from the CREST model as an indicator of subsurface hydrological conditions. As a result, we proposed a prototype LEWS capable of representing landslide-prone areas both spatially and temporally. The baseflow excess variable proved to be a reliable temporal indicator of slope instability, enabling the system to identify potential landslide triggers and reduce the number of false </w:t>
      </w:r>
    </w:p>
    <w:p>
      <w:pPr/>
      <w:r>
        <w:rPr>
          <w:b/>
        </w:rPr>
        <w:t>POSSIBLE 2026:</w:t>
      </w:r>
      <w:r>
        <w:t xml:space="preserve"> Continental-scale prediction of hydrologic signatures and processes — https://doi.org/10.5194/hess-30-3647-2026</w:t>
      </w:r>
    </w:p>
    <w:p>
      <w:pPr/>
      <w:r>
        <w:rPr>
          <w:b/>
        </w:rPr>
        <w:t>Shared claim-specific concepts:</w:t>
      </w:r>
      <w:r>
        <w:t xml:space="preserve"> hydrological, climate, water; EU scope not established. This is a provisional connection, not an outcome finding.</w:t>
      </w:r>
    </w:p>
    <w:p>
      <w:pPr>
        <w:pStyle w:val="SourceNote"/>
      </w:pPr>
      <w:r>
        <w:rPr>
          <w:b/>
        </w:rPr>
        <w:t>Available abstract (not full text):</w:t>
      </w:r>
      <w:r>
        <w:t xml:space="preserve"> Abstract. Understanding how dominant hydrologic processes and their drivers vary across diverse continental-scale landscapes is critical for hydrologic modeling and water management applications. Our research addresses this question by synthesizing large-sample watershed datasets, Caravan and GAGES-II, and developing random forest models to identify patterns in hydrologic behavior. We assessed dominant processes by examining hydrologic signatures—summary indicators of watershed behavior derived from hydroclimatic time series and random forest models across 14,146 gauged U.S. watersheds. The results reveal clear continental-scale gradients in hydrologic processes, including baseflow, overland flow, storage, and water balance losses. Our map of dominant processes highlights, for example, the transition from baseflow to fast responses and back to baseflow along the elevation gradient from the Appalachian spine, through the Piedmont, to the Eastern Coastal Plain; a distinct outer ring around the Great Lakes region; and sharp contrasts between coastal and inland processes in the West. Variable importance analysis from random forest models show that processes in the western U.S. are primarily controlled by climate, whereas in the eastern U.S., soil, geology, and topography play larger roles, with distinct human influences apparent in urban areas. Our estimates of dominant processes a</w:t>
      </w:r>
    </w:p>
    <w:p>
      <w:pPr/>
      <w:r>
        <w:rPr>
          <w:b/>
        </w:rPr>
        <w:t>POSSIBLE 2026:</w:t>
      </w:r>
      <w:r>
        <w:t xml:space="preserve"> Correcting Structural Bias in Dynamical Models of Infectious Disease Using a Bayesian State-Space Framework — https://doi.org/10.1007/s11538-026-01730-3</w:t>
      </w:r>
    </w:p>
    <w:p>
      <w:pPr/>
      <w:r>
        <w:rPr>
          <w:b/>
        </w:rPr>
        <w:t>Shared claim-specific concepts:</w:t>
      </w:r>
      <w:r>
        <w:t xml:space="preserve"> use, account, uncertainty; EU scope not established. This is a provisional connection, not an outcome finding.</w:t>
      </w:r>
    </w:p>
    <w:p>
      <w:pPr>
        <w:pStyle w:val="SourceNote"/>
      </w:pPr>
      <w:r>
        <w:rPr>
          <w:b/>
        </w:rPr>
        <w:t>Available abstract (not full text):</w:t>
      </w:r>
      <w:r>
        <w:t xml:space="preserve"> Deterministic dynamical models are widely used in infectious disease modelling, but they often become systematically biased when key drivers such as seasonality and random environmental variation are simplified or omitted. This paper proposes a practical way to account for structural bias while preserving the underlying mechanistic model. We model the observed time series as the sum of (i) a deterministic transmission component given by a reduced Ross malaria model and (ii) a latent stochastic seasonal component that captures unresolved seasonal forcing and other unmodelled variability. The seasonal component is defined as a mean-reverting stochastic differential equation with periodic forcing, which can be interpreted as a seasonally forced Ornstein-Uhlenbeck (OU) process and, at the same time, as a dynamically constrained model-discrepancy term. The combined model forms an additive Bayesian state-space system. A key challenge in additive decompositions is identifiability: many combinations of the deterministic and stochastic components can explain the same observations. We therefore use informative priors to stabilise this decomposition, together with a non-centred parameterisation (a reparameterisation that improves MCMC efficiency by sampling standardised noise terms instead of states directly) of the latent stochastic differential equation (SDE) states that enables efficie</w:t>
      </w:r>
    </w:p>
    <w:p>
      <w:pPr/>
      <w:r>
        <w:rPr>
          <w:b/>
        </w:rPr>
        <w:t>POSSIBLE 2025:</w:t>
      </w:r>
      <w:r>
        <w:t xml:space="preserve"> Coupling a power system model with a hydrological model improves the representation of sub-monthly hydropower flexibility — https://doi.org/10.1016/j.apenergy.2025.126694</w:t>
      </w:r>
    </w:p>
    <w:p>
      <w:pPr/>
      <w:r>
        <w:rPr>
          <w:b/>
        </w:rPr>
        <w:t>Shared claim-specific concepts:</w:t>
      </w:r>
      <w:r>
        <w:t xml:space="preserve"> coupling, hydrological, water, account; EU scope visible. This is a provisional connection, not an outcome finding.</w:t>
      </w:r>
    </w:p>
    <w:p>
      <w:pPr>
        <w:pStyle w:val="SourceNote"/>
      </w:pPr>
      <w:r>
        <w:rPr>
          <w:b/>
        </w:rPr>
        <w:t>Available abstract (not full text):</w:t>
      </w:r>
      <w:r>
        <w:t xml:space="preserve">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pPr/>
      <w:r>
        <w:rPr>
          <w:b/>
        </w:rPr>
        <w:t>POSSIBLE 2025:</w:t>
      </w:r>
      <w:r>
        <w:t xml:space="preserve"> Ensemble Methods — https://doi.org/10.1201/9781003587774</w:t>
      </w:r>
    </w:p>
    <w:p>
      <w:pPr/>
      <w:r>
        <w:rPr>
          <w:b/>
        </w:rPr>
        <w:t>Shared claim-specific concepts:</w:t>
      </w:r>
      <w:r>
        <w:t xml:space="preserve"> ensemble, use, first; EU scope not established. This is a provisional connection, not an outcome finding.</w:t>
      </w:r>
    </w:p>
    <w:p>
      <w:pPr>
        <w:pStyle w:val="SourceNote"/>
      </w:pPr>
      <w:r>
        <w:rPr>
          <w:b/>
        </w:rPr>
        <w:t>Available abstract (not full text):</w:t>
      </w:r>
      <w:r>
        <w:t xml:space="preserve"> Ensemble methods that train multiple learners and then combine them to use, with Boosting and Bagging as representatives, are well-known machine learning approaches. It has become common sense that an ensemble is usually significantly more accurate than a single learner, and ensemble methods have already achieved great success in various real-world tasks. Twelve years have passed since the publication of the first edition of the book in 2012 (Japanese and Chinese versions published in 2017 and 2020, respectively). Many significant advances in this field have been developed. First, many theoretical issues have been tackled, for example, the fundamental question of why AdaBoost seems resistant to overfitting gets addressed, so that now we understand much more about the essence of ensemble methods. Second, ensemble methods have been well developed in more machine learning fields, e.g., isolation forest in anomaly detection, so that now we have powerful ensemble methods for tasks beyond conventional supervised learning. Third, ensemble mechanisms have also been found helpful in emerging areas such as deep learning and online learning. This edition expands on the previous one with additional content to reflect the significant advances in the field, and is written in a concise but comprehensive style to be approachable to readers new to the subject.</w:t>
      </w:r>
    </w:p>
    <w:p>
      <w:pPr/>
      <w:r>
        <w:rPr>
          <w:b/>
        </w:rPr>
        <w:t>POSSIBLE 2025:</w:t>
      </w:r>
      <w:r>
        <w:t xml:space="preserve"> Establishment and Evaluation of an Ensemble Bias Correction Framework for the Short-Term Numerical Forecasting on Lower Atmospheric Ducts — https://doi.org/10.3390/jmse13122397</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Based on the COAWST (Coupled Ocean–Atmosphere–Wave–Sediment Transport) model, this study developed an atmospheric refractivity forecasting model incorporating ensemble bias correction by combining five bias correction algorithms with the Bayesian Model Averaging (BMA) method. Hindcast tests conducted over the Yellow Sea and Bohai Sea regions demonstrated that the ensemble bias correction enhanced both forecasting accuracy and adaptability. On the one hand, the corrected forecasting outperformed the original COAWST model in terms of mean error (ME), root mean square error (RMSE), and correlation coefficient (CC), with the RMSE reduced by approximately 20% below 3000 m altitude. On the other hand, the corrected forecasting reduced the uncertainty associated with the performance of different algorithms. In particular, during typhoon events, the corrected forecasting maintained stable bias characteristics across different height layers through dynamic weight adjustment. Throughout the hindcast period, the ME of the corrected forecasting was lower than that of any single bias correction algorithm. Moreover, compared with other ensemble methods, the corrected forecasting developed in this study achieved more flexible weight allocation through Bayesian optimization, resulting in lower ME. In addition, the corrected forecasting maintained an improvement of approximately 28% in bias red</w:t>
      </w:r>
    </w:p>
    <w:p>
      <w:pPr/>
      <w:r>
        <w:rPr>
          <w:b/>
        </w:rPr>
        <w:t>POSSIBLE 2025:</w:t>
      </w:r>
      <w:r>
        <w:t xml:space="preserve"> Hydrological and landscape controls on dissolved organic matter dynamics in European wetlands — https://doi.org/10.31223/x5vv0s</w:t>
      </w:r>
    </w:p>
    <w:p>
      <w:pPr/>
      <w:r>
        <w:rPr>
          <w:b/>
        </w:rPr>
        <w:t>Shared claim-specific concepts:</w:t>
      </w:r>
      <w:r>
        <w:t xml:space="preserve"> hydrological, climate, first; EU scope visible. This is a provisional connection, not an outcome finding.</w:t>
      </w:r>
    </w:p>
    <w:p>
      <w:pPr>
        <w:pStyle w:val="SourceNote"/>
      </w:pPr>
      <w:r>
        <w:rPr>
          <w:b/>
        </w:rPr>
        <w:t>Available abstract (not full text):</w:t>
      </w:r>
      <w:r>
        <w:t xml:space="preserve"> Dissolved organic matter (DOM) is a key component in aquatic ecosystems, representing the main source of energy for microbial metabolism and playing a crucial role in C sequestration and export. Its optical properties (absorption and fluorescence) provide integrated information on its quality (average molecular weight and aromaticity degree, main sources, presence of protein like and humic-like substances). This paper provides an assessment of the impact of catchment characteristics, seasonality and ecological conditions (altered, restored, well-preserved) on DOM dynamics across six European coastal wetlands of contrasting ecological types. DOM concentration and optical properties show inter-wetland differences, with the highest concentrations of DOC in evaporation-driven Mediterranean systems and the lowest ones in Atlantic daily tidally-flushed wetlands. Water-isotope data and optical properties indicate that hydrological confinement, water-residence time and catchment inputs primarily control DOM accumulation and composition, while microbial and photochemical processing modulate its removal within sites. Wetland restoration effects on DOM are evident where hydrological modification reduced eutrophic stress. In evaporation-driven Mediterranean systems, the recovery of more natural flooding regimes limits connectivity and promotes the accumulation of recalcitrant DOM, potentia</w:t>
      </w:r>
    </w:p>
    <w:p>
      <w:pPr>
        <w:pStyle w:val="Heading2"/>
      </w:pPr>
      <w:r>
        <w:t>929. Environmental water quantity projections under market-driven and sustainability-driven future scenarios in the Narew basin, Poland</w:t>
      </w:r>
    </w:p>
    <w:p>
      <w:pPr>
        <w:pStyle w:val="SourceNote"/>
      </w:pPr>
      <w:r>
        <w:rPr>
          <w:b/>
        </w:rPr>
        <w:t>Original source (2014):</w:t>
      </w:r>
      <w:r>
        <w:t xml:space="preserve"> https://doi.org/10.1080/02626667.2014.888068</w:t>
      </w:r>
    </w:p>
    <w:p>
      <w:pPr/>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POSSIBLE 2026:</w:t>
      </w:r>
      <w:r>
        <w:t xml:space="preserve"> Assessing the quality of life in Central and Eastern Europe: a comparative analysis — https://doi.org/10.34659/eis.2026.96.1.1083</w:t>
      </w:r>
    </w:p>
    <w:p>
      <w:pPr/>
      <w:r>
        <w:rPr>
          <w:b/>
        </w:rPr>
        <w:t>Shared claim-specific concepts:</w:t>
      </w:r>
      <w:r>
        <w:t xml:space="preserve"> aim, article, assess, indicators, environmental; EU scope visible. This is a provisional connection, not an outcome finding.</w:t>
      </w:r>
    </w:p>
    <w:p>
      <w:pPr>
        <w:pStyle w:val="SourceNote"/>
      </w:pPr>
      <w:r>
        <w:rPr>
          <w:b/>
        </w:rPr>
        <w:t>Available abstract (not full text):</w:t>
      </w:r>
      <w:r>
        <w:t xml:space="preserve">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pPr/>
      <w:r>
        <w:rPr>
          <w:b/>
        </w:rPr>
        <w:t>POSSIBLE 2026:</w:t>
      </w:r>
      <w:r>
        <w:t xml:space="preserve"> Repertoires of resistance: The right to feel in European radical climate movements — https://doi.org/10.1177/00113921261480606</w:t>
      </w:r>
    </w:p>
    <w:p>
      <w:pPr/>
      <w:r>
        <w:rPr>
          <w:b/>
        </w:rPr>
        <w:t>Shared claim-specific concepts:</w:t>
      </w:r>
      <w:r>
        <w:t xml:space="preserve"> aim, article, four, combining, climate; EU scope visible. This is a provisional connection, not an outcome finding.</w:t>
      </w:r>
    </w:p>
    <w:p>
      <w:pPr>
        <w:pStyle w:val="SourceNote"/>
      </w:pPr>
      <w:r>
        <w:rPr>
          <w:b/>
        </w:rPr>
        <w:t>Available abstract (not full text):</w:t>
      </w:r>
      <w:r>
        <w:t xml:space="preserve"> This article examines the production of emotional and symbolic forms of dissent by four climate movements (Just Stop Oil, Extinction Rebellion Italia, Letzte Generation, and Ultima Generazione). Adopting a mixed-methods approach combining sentiment analysis, emotion detection, and socio-semiotic visual analysis, the study examines 1143 press releases (2022–2025) along with 12 protest images, highlighting the digital-embodied protest link, with the aim of exploring the following questions: How do youth-led radical climate movements reconfigure the emotional and symbolic dimensions of socio-ecological practices? In what ways are emotional repertoires articulated across interconnected digital and visual forms of climate protest? The article aims to make three contributions. First, it proposes the concept of “right to feel” as a sociological lens for analysing emotional legitimacy in climate activism. Second, it combines Natural Language Processing and socio-semiotic analysis within a mixed-methods framework. By integrating computational text analysis with socio-semiotic visual interpretation, the article aims to investigate how emotional repertoires shape the public interpretation of ecological crises and support struggles over the public legitimacy of climate emotions. Third, it compares four European radical climate movements across three national contexts. Findings suggest a pr</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four, use;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Institutional Responses to Farmer Mental Health Challenges in Europe: A Comparative Analysis of Four Cases — https://doi.org/10.1080/1059924x.2026.2750260</w:t>
      </w:r>
    </w:p>
    <w:p>
      <w:pPr/>
      <w:r>
        <w:rPr>
          <w:b/>
        </w:rPr>
        <w:t>Shared claim-specific concepts:</w:t>
      </w:r>
      <w:r>
        <w:t xml:space="preserve"> article, assess, four; EU scope visible. This is a provisional connection, not an outcome finding.</w:t>
      </w:r>
    </w:p>
    <w:p>
      <w:pPr>
        <w:pStyle w:val="SourceNote"/>
      </w:pPr>
      <w:r>
        <w:rPr>
          <w:b/>
        </w:rPr>
        <w:t>Available abstract (not full text):</w:t>
      </w:r>
      <w:r>
        <w:t xml:space="preserve"> OBJECTIVE: There are growing concerns in the European Union about farmer mental health. Research to date has mainly focused on the causes of mental distress. There is less work on the institutional arrangements through which support is organized and delivered. This article examines different institutional responses to farmer mental health challenges. The strengths, limitations and potential transferability of each are considered. METHODS: A comparative qualitative case-study approach was used to examine four purposively selected institutional models operating at local, national and European levels: one at the local level, two at the national level, and one at the EU level. The local model examined was an Irish charity that was established following a farm accident fatality. The Finnish and French national models of institutional support were considered. An EU Erasmus+ funded program on mental health was examined. Cases were compared across five institutional dimensions: coverage, accessibility, professionalization, financial sustainability and whether they provided reactive, preventative support, or both. RESULTS: We identify substantial differences in institutional capacity of the four cases. The local charity offered niche support for bereavement, trauma and loss. Farm families who used the service appreciate that it is farming based. It has limited reach and relies heavily o</w:t>
      </w:r>
    </w:p>
    <w:p>
      <w:pPr/>
      <w:r>
        <w:rPr>
          <w:b/>
        </w:rPr>
        <w:t>POSSIBLE 2026:</w:t>
      </w:r>
      <w:r>
        <w:t xml:space="preserve"> European and Turkish Soft Power Geostrategies in Azerbaijan and Turkmenistan — https://doi.org/10.1080/08865655.2026.2724558</w:t>
      </w:r>
    </w:p>
    <w:p>
      <w:pPr/>
      <w:r>
        <w:rPr>
          <w:b/>
        </w:rPr>
        <w:t>Shared claim-specific concepts:</w:t>
      </w:r>
      <w:r>
        <w:t xml:space="preserve"> article, four, combining; EU scope visible. This is a provisional connection, not an outcome finding.</w:t>
      </w:r>
    </w:p>
    <w:p>
      <w:pPr>
        <w:pStyle w:val="SourceNote"/>
      </w:pPr>
      <w:r>
        <w:rPr>
          <w:b/>
        </w:rPr>
        <w:t>Available abstract (not full text):</w:t>
      </w:r>
      <w:r>
        <w:t xml:space="preserve"> This article examines the European Union’s and Türkiye’s soft power in Azerbaijan and Turkmenistan by combining Joseph Nye’s concept of soft power together with William Walters’ framework of geostrategies. William Walters identifies four geostrategies that the EU employs toward its near border to manage the relationship between its internal and external spheres. Building on this, this article aims at a conceptual synthesis by integrating Joseph Nye’s soft power with William Walters’ geostrategies. Thus, this study suggests the concept of “soft power geostrategies” which uses Walters’ geostrategic categories as an operational tool for classifying soft power practices and, therefore, to identify the practical and spatial characteristics of the soft power policies of the actors. It outlines similarities and differences between these two actors through the method of most similar system design and uses directed qualitative content analysis of official documents, policy frameworks, institutional reports, parliamentary resolutions, political speeches, and strategy papers. The findings indicate that both the EU and Türkiye display outward-oriented forms of soft power policies, but with fundamentally different meanings: the EU dwells on normative principles such as democracy, human rights, and the rule of law, while Türkiye emphasizes cultural identity-based affinity.</w:t>
      </w:r>
    </w:p>
    <w:p>
      <w:pPr/>
      <w:r>
        <w:rPr>
          <w:b/>
        </w:rPr>
        <w:t>POSSIBLE 2026:</w:t>
      </w:r>
      <w:r>
        <w:t xml:space="preserve"> Finalisation of the European Approach to Assess the Fire Performance of Facades—Brief Information on the Outcome of the Project — https://doi.org/10.1002/fam.70042</w:t>
      </w:r>
    </w:p>
    <w:p>
      <w:pPr/>
      <w:r>
        <w:rPr>
          <w:b/>
        </w:rPr>
        <w:t>Shared claim-specific concepts:</w:t>
      </w:r>
      <w:r>
        <w:t xml:space="preserve"> article, assess, four, define; EU scope visible. This is a provisional connection, not an outcome finding.</w:t>
      </w:r>
    </w:p>
    <w:p>
      <w:pPr>
        <w:pStyle w:val="SourceNote"/>
      </w:pPr>
      <w:r>
        <w:rPr>
          <w:b/>
        </w:rPr>
        <w:t>Available abstract (not full text):</w:t>
      </w:r>
      <w:r>
        <w:t xml:space="preserve"> ABSTRACT This research was conducted within the framework of project SI2.825082, funded by the European Commission—DG GROW. The project's objective was to finalise a European approach for assessing the fire performance of façades under medium and large fire exposure conditions. The national standards BS 8414‐1:2020/BS 8414‐2:2020 and DIN 4102‐20:2017 served as the foundation for developing the new assessment method. As part of the project, a theoretical round robin, initial testing activities and a large‐scale experimental round robin were carried out. The theoretical round robin aimed to examine how different laboratories interpreted the preliminary assessment method. Subsequently, the initial testing phase explored the design of the fire source, combustion chamber and secondary opening. The experimental round robin involved testing four façade systems across three laboratories using the assessment method documents, resulting in 12 tests for medium‐scale and 12 for large‐scale exposure—24 tests in total. These tests provided data to develop a calibration scheme and define appropriate performance criteria for classification. In this paper, the representatives of the project consortium summarise the research process and outline the proposed testing and evaluation methodology, which is intended to form the foundation of a future European testing standard for façades. The article </w:t>
      </w:r>
    </w:p>
    <w:p>
      <w:pPr/>
      <w:r>
        <w:rPr>
          <w:b/>
        </w:rPr>
        <w:t>POSSIBLE 2025:</w:t>
      </w:r>
      <w:r>
        <w:t xml:space="preserve"> Assessing human-caused wildfire ignition likelihood across Europe — https://doi.org/10.5194/nhess-25-4713-2025</w:t>
      </w:r>
    </w:p>
    <w:p>
      <w:pPr/>
      <w:r>
        <w:rPr>
          <w:b/>
        </w:rPr>
        <w:t>Shared claim-specific concepts:</w:t>
      </w:r>
      <w:r>
        <w:t xml:space="preserve"> land, set, relevant;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Assessing the influence of digitalisation on systemic risk in the insurance sectors of European Union countries — https://doi.org/10.15678/eber.2025.130403</w:t>
      </w:r>
    </w:p>
    <w:p>
      <w:pPr/>
      <w:r>
        <w:rPr>
          <w:b/>
        </w:rPr>
        <w:t>Shared claim-specific concepts:</w:t>
      </w:r>
      <w:r>
        <w:t xml:space="preserve"> article, assess, possible, indicators; EU scope visible. This is a provisional connection, not an outcome finding.</w:t>
      </w:r>
    </w:p>
    <w:p>
      <w:pPr>
        <w:pStyle w:val="SourceNote"/>
      </w:pPr>
      <w:r>
        <w:rPr>
          <w:b/>
        </w:rPr>
        <w:t>Available abstract (not full text):</w:t>
      </w:r>
      <w:r>
        <w:t xml:space="preserve"> Objective: The article aims to study how much digitalisation influences the systemic risk (SR) in the insurance sector of European Union (EU) countries. Research Design &amp; Methods: In this research, we introduce an innovative, quantitative method for exploring the impact of digitalisation and assessing the similarities and interconnections among all European Union countries’ insurance sectors from 2004 to 2018 within the framework of Industry 4.0. The study integrates statistical and econometric tools with network modelling techniques, focusing on the topological indicators of minimum spanning trees (MST) derived from multidimensional dynamic time warping (DTW) distances. We analysed two datasets. The first one comprises exclusively data describing insurance sectors, while the second incorporates data detailing both insurance sectors and the digitalisation processes of individual EU countries. We assessed the similarity of the sectors’ dynamics over the analysed period, examining network behaviour during subprime crises, periods of excessive public debt, and immigration-related crises in Europe. Findings: The proposed tools made it possible to determine how digitalisation contributes to the increase in systemic risk in the EU insurance sector over the periods examined and effectively measure similarity levels, and outline indirect connections between insurance sectors. Implicati</w:t>
      </w:r>
    </w:p>
    <w:p>
      <w:pPr/>
      <w:r>
        <w:rPr>
          <w:b/>
        </w:rPr>
        <w:t>POSSIBLE 2025:</w:t>
      </w:r>
      <w:r>
        <w:t xml:space="preserve"> The Harmonization of Radon Exposure Mitigation for the Sustainability of Buildings: Assessing the Impact of the EURATOM Directive on European Legislation — https://doi.org/10.3390/buildings15040618</w:t>
      </w:r>
    </w:p>
    <w:p>
      <w:pPr/>
      <w:r>
        <w:rPr>
          <w:b/>
        </w:rPr>
        <w:t>Shared claim-specific concepts:</w:t>
      </w:r>
      <w:r>
        <w:t xml:space="preserve"> aim, article, assess, set; EU scope visible. This is a provisional connection, not an outcome finding.</w:t>
      </w:r>
    </w:p>
    <w:p>
      <w:pPr>
        <w:pStyle w:val="SourceNote"/>
      </w:pPr>
      <w:r>
        <w:rPr>
          <w:b/>
        </w:rPr>
        <w:t>Available abstract (not full text):</w:t>
      </w:r>
      <w:r>
        <w:t xml:space="preserve"> Radon exposure is a major health concern associated with an increased risk of lung cancer, particularly in smokers, highlighting the need for effective mitigation measures in enclosed spaces by improving indoor air quality (IAQ), thus ensuring more sustainable buildings. The Euratom Directive, a key piece of EU legislation, sets standards for the protection of workers and the general public from ionizing radiation throughout Europe. It requires member states to implement safety measures, set exposure limits, monitor radon levels, and develop emergency plans and mitigation strategies for nuclear accidents and radiation incidents. The directive also sets reference and action levels for indoor radon. The aim of this article is to analyze the legislation on indoor radon exposure in European countries and to evaluate the impact of the directive on the standardization of the action and intervention levels. By conducting a comprehensive legislative review, this study will compare the action levels, assess the directive’s ability to harmonize the regulations, and identify legislative trends and developments. In addition, it will examine the factors contributing to the discrepancies between countries and highlight areas for improvement to ensure adequate protection against the risks of radon exposure and thereby increase the sustainability of buildings.</w:t>
      </w:r>
    </w:p>
    <w:p>
      <w:pPr/>
      <w:r>
        <w:rPr>
          <w:b/>
        </w:rPr>
        <w:t>POSSIBLE 2025:</w:t>
      </w:r>
      <w:r>
        <w:t xml:space="preserve"> Redefining objectivity: Exploring types of evidence by fact-checkers in four European countries — https://doi.org/10.1177/02673231251319145</w:t>
      </w:r>
    </w:p>
    <w:p>
      <w:pPr/>
      <w:r>
        <w:rPr>
          <w:b/>
        </w:rPr>
        <w:t>Shared claim-specific concepts:</w:t>
      </w:r>
      <w:r>
        <w:t xml:space="preserve"> aim, article, four, combining, use, indicators; EU scope visible. This is a provisional connection, not an outcome finding.</w:t>
      </w:r>
    </w:p>
    <w:p>
      <w:pPr>
        <w:pStyle w:val="SourceNote"/>
      </w:pPr>
      <w:r>
        <w:rPr>
          <w:b/>
        </w:rPr>
        <w:t>Available abstract (not full text):</w:t>
      </w:r>
      <w:r>
        <w:t xml:space="preserve"> Fact-checking journalism challenges procedural norms of objectivity by providing truth verdicts. By actively evaluating statements and online rumors based on evidence weight, fact-checkers aim for robust, scientific objectivity. Despite this trend, there is a lack of studies analyzing evidence types used in verification articles, a gap which this article seeks to address. This comparative research examines types of valid evidence—documentation, digital forensic tools, and statements—employed by fact-checkers across 12 organizations in the UK, Germany, Portugal, and Spain ( n = 1976). Results are interpreted using media systems and digital indicators. Notably, Spain, with high political polarization and social media use for news, heavily utilizes digital forensic elements. Germany and the UK, known for high journalistic professionalism and low epistemic vulnerability, predominantly feature ‘all-inclusive’ evidence combining documents, statements, and forensics. Public service broadcasters exhibit the highest levels of verification complexity (hard fact-checking), contrasting with global news agencies, which generally favor softer fact-checking approaches, except for DPA.</w:t>
      </w:r>
    </w:p>
    <w:p>
      <w:pPr/>
      <w:r>
        <w:rPr>
          <w:b/>
        </w:rPr>
        <w:t>POSSIBLE 2025:</w:t>
      </w:r>
      <w:r>
        <w:t xml:space="preserve"> Institutional Dynamics of Fiscal Integration in the European Union — https://doi.org/10.20542/0131-2227-2025-69-4-25-35</w:t>
      </w:r>
    </w:p>
    <w:p>
      <w:pPr/>
      <w:r>
        <w:rPr>
          <w:b/>
        </w:rPr>
        <w:t>Shared claim-specific concepts:</w:t>
      </w:r>
      <w:r>
        <w:t xml:space="preserve"> article, four, combining, possible, regime; EU scope visible. This is a provisional connection, not an outcome finding.</w:t>
      </w:r>
    </w:p>
    <w:p>
      <w:pPr>
        <w:pStyle w:val="SourceNote"/>
      </w:pPr>
      <w:r>
        <w:rPr>
          <w:b/>
        </w:rPr>
        <w:t>Available abstract (not full text):</w:t>
      </w:r>
      <w:r>
        <w:t xml:space="preserve"> Reacting to the economic shock caused by the spread of the Coronavirus, the European Union suspended for 2020–2023 its rules for national budgets and adopted in 2020 a one-off Next Generation EU (NGEU) programme in addition to the general multiannual budget. The latter made it possible to finance major measures, primarily supporting the Grean Deal and digitalisation. The debate on the prospects for fiscal integration has intensified in expert circles as a consequence. In practical terms, the article aims to examine whether this will result in Brussels abandoning its commitments to strict fiscal discipline in the longer term. To better understand how the actualities thus described go together in European practice, constructivist theory and, in particular, discursive institutionalism is employed. It allows to demonstrate intuitively the vulnerabilities of continued technocratic, functionalist integration, including both “politics without policy” at the national level and “policy without politics” at the European level. This combination provokes deficit of democracy in the system, because prevailing assumptions and values in the EU do not legitimize such kind of social interaction. Beyond that, organizational culture theory serves in the article to produce a refined typology for examining the dynamics of fiscal governance modus vivendi in the EU. It consists of four ideal types, w</w:t>
      </w:r>
    </w:p>
    <w:p>
      <w:pPr/>
      <w:r>
        <w:rPr>
          <w:b/>
        </w:rPr>
        <w:t>POSSIBLE 2025:</w:t>
      </w:r>
      <w:r>
        <w:t xml:space="preserve"> Methods to assess on-farm biosecurity in Europe and beyond — https://doi.org/10.1016/j.prevetmed.2025.106486</w:t>
      </w:r>
    </w:p>
    <w:p>
      <w:pPr/>
      <w:r>
        <w:rPr>
          <w:b/>
        </w:rPr>
        <w:t>Shared claim-specific concepts:</w:t>
      </w:r>
      <w:r>
        <w:t xml:space="preserve"> aim, assess, four; EU scope visible. This is a provisional connection, not an outcome finding.</w:t>
      </w:r>
    </w:p>
    <w:p>
      <w:pPr>
        <w:pStyle w:val="SourceNote"/>
      </w:pPr>
      <w:r>
        <w:rPr>
          <w:b/>
        </w:rPr>
        <w:t>Available abstract (not full text):</w:t>
      </w:r>
      <w:r>
        <w:t xml:space="preserve"> The aim of this study was to identify which biosecurity assessment methods (BAMs) are currently used in practice in animal farms. To address this, a structured questionnaire was developed to gather information such as the animal species, main objectives, type of enforcement, output generated and feedback of the result. In the context of the BETTER Cost Action project, country representatives identified in each of their countries which BAMs were used and completed an online survey. The survey was prepared and translated in 23 languages. Besides a descriptive analysis, clusters of BAMs were determined using a multiple correspondence analysis. Responses, collected between December 2022 and July 2023, included 74 BAMs used in 28 countries. Most of them were used in a single country while three were used in multiple countries. This study provides a comprehensive picture of existing BAMs and insights into their diversity, such as variations in objectives, implementation, evaluators, respondents, feedback, or assessment outputs. Moreover, we identified four BAMs clusters differentiated by their objective, evaluator and type of feedback provided. This study might also represent the basis for future research on strengths and weaknesses of different BAMs.</w:t>
      </w:r>
    </w:p>
    <w:p>
      <w:pPr>
        <w:pStyle w:val="Heading2"/>
      </w:pPr>
      <w:r>
        <w:t>930. European packaging industry foresight study—identifying global drivers and driven packaging industry implications of the global megatrends</w:t>
      </w:r>
    </w:p>
    <w:p>
      <w:pPr>
        <w:pStyle w:val="SourceNote"/>
      </w:pPr>
      <w:r>
        <w:rPr>
          <w:b/>
        </w:rPr>
        <w:t>Original source (2014):</w:t>
      </w:r>
      <w:r>
        <w:t xml:space="preserve"> https://doi.org/10.1007/s40309-014-0039-4</w:t>
      </w:r>
    </w:p>
    <w:p>
      <w:pPr/>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Recycling Trends of Packaging Materials in European Circular Economy Systems — https://doi.org/10.5772/geet.20250136</w:t>
      </w:r>
    </w:p>
    <w:p>
      <w:pPr/>
      <w:r>
        <w:rPr>
          <w:b/>
        </w:rPr>
        <w:t>Shared claim-specific concepts:</w:t>
      </w:r>
      <w:r>
        <w:t xml:space="preserve"> packaging, trends, highlight; EU scope visible. This is a provisional connection, not an outcome finding.</w:t>
      </w:r>
    </w:p>
    <w:p>
      <w:pPr>
        <w:pStyle w:val="SourceNote"/>
      </w:pPr>
      <w:r>
        <w:rPr>
          <w:b/>
        </w:rPr>
        <w:t>Available abstract (not full text):</w:t>
      </w:r>
      <w:r>
        <w:t xml:space="preserve"> The increasing volume of packaging waste and the growing pressure for sustainable resource management have made recycling efficiency an important indicator of progress towards a circular economy in the European Union. This study analyses differences in packaging recycling performance among EU Member States and examines whether these differences are associated with the economic development level of countries. The analysis focuses on selected packaging material streams, namely paper and cardboard, plastics, wood, and metals. Using Eurostat data for the period 2014–2023, the study applies descriptive statistics, multivariate analysis of variance/covariance, and paired-samples t -tests. Countries were classified according to income level, while recycling rates for individual packaging materials were treated as dependent variables. The multivariate results indicate that country income category has a statistically significant effect on the combined recycling profile of packaging materials. In addition, paired-samples t -tests show statistically significant differences between material streams: paper is recycled significantly more efficiently than plastics, and metals are recycled significantly more efficiently than wood. These findings suggest that recycling performance is shaped not only by the level of economic development but also by material-specific characteristics, technologica</w:t>
      </w:r>
    </w:p>
    <w:p>
      <w:pPr/>
      <w:r>
        <w:rPr>
          <w:b/>
        </w:rPr>
        <w:t>POSSIBLE 2026:</w:t>
      </w:r>
      <w:r>
        <w:t xml:space="preserve"> Food waste in European Households: A Meta-Analysis of behavioural drivers and quantitative trends — https://doi.org/10.1016/j.wasman.2026.115536</w:t>
      </w:r>
    </w:p>
    <w:p>
      <w:pPr/>
      <w:r>
        <w:rPr>
          <w:b/>
        </w:rPr>
        <w:t>Shared claim-specific concepts:</w:t>
      </w:r>
      <w:r>
        <w:t xml:space="preserve"> implications, trends, drivers, provide; EU scope visible. This is a provisional connection, not an outcome finding.</w:t>
      </w:r>
    </w:p>
    <w:p>
      <w:pPr>
        <w:pStyle w:val="SourceNote"/>
      </w:pPr>
      <w:r>
        <w:rPr>
          <w:b/>
        </w:rPr>
        <w:t>Available abstract (not full text):</w:t>
      </w:r>
      <w:r>
        <w:t xml:space="preserve"> European households waste &gt; 70 kg of food per capita yearly. With the deadline for the United Nations Sustainable Development Goals rapidly approaching, the urgency of the food waste situation is increasing, but attempts at solving the problem are ineffective. This study aimed to explore the problem of household food waste (HFW) at a European level and subsequently explain why interventions are failing. It used a meta-analysis exploring 77 studies into HFW and behavioural drivers of waste. Generalised results show richer countries waste less, while poorer countries have a more complex relationship to food waste. Three key conclusions emerge. Firstly, for HFW, there is only a weak or no GDP effect in Europe. Secondly, there is high within-country variability in European HFW. Thirdly, there are nonlinear and context-dependent drivers on European HFW. The main behavioural drivers to food waste are knowledge and understanding, health-related concerns about "out-of-date" food, and an increase in eating for convenience. We provide an explicit articulation of future research directions for HFW studies, practical implications, as well as highlighting gaps in current knowledge that remain unresolved. We provide three key recommendations for future policy in terms of HFW reduction initiatives, highlighting that no single strategy will solve the food waste problem and that the most effect</w:t>
      </w:r>
    </w:p>
    <w:p>
      <w:pPr/>
      <w:r>
        <w:rPr>
          <w:b/>
        </w:rPr>
        <w:t>POSSIBLE 2026:</w:t>
      </w:r>
      <w:r>
        <w:t xml:space="preserve"> Food retail drivers of sustainable packaging and labelling: a review — https://doi.org/10.1108/ijrdm-02-2025-0097</w:t>
      </w:r>
    </w:p>
    <w:p>
      <w:pPr/>
      <w:r>
        <w:rPr>
          <w:b/>
        </w:rPr>
        <w:t>Shared claim-specific concepts:</w:t>
      </w:r>
      <w:r>
        <w:t xml:space="preserve"> packaging, trends, drivers, purpose; EU scope not established. This is a provisional connection, not an outcome finding.</w:t>
      </w:r>
    </w:p>
    <w:p>
      <w:pPr>
        <w:pStyle w:val="SourceNote"/>
      </w:pPr>
      <w:r>
        <w:rPr>
          <w:b/>
        </w:rPr>
        <w:t>Available abstract (not full text):</w:t>
      </w:r>
      <w:r>
        <w:t xml:space="preserve"> Purpose Sustainable packaging and labelling play an increasingly important role in food retail as communication tools that influence consumer perceptions and behaviours. Understanding how retailers can effectively leverage these tools to encourage consumer adoption and foster sustainable consumption is therefore crucial. Accordingly, this paper systematically reviews the literature on sustainable packaging and labelling in food retailing to identify key research gaps and outline directions for future research. Design/methodology/approach Following the SPAR-4-SLR protocol, 271 articles from Web of Science and Scopus were systematically reviewed, examining publication trends, methodologies, theoretical frameworks, and key constructs in food retail. Findings The review identifies the main theories and constructs, methodologies, and dependent variables investigated in existing literature. It also reveals five thematic clusters concerning labels, psychological drivers, awareness, social influences, and packaging/branding, and proposes a future research agenda covering theoretical and methodological developments. Originality/value This study provides an integrative synthesis of the fragmented literature on sustainable packaging and labelling in food retail. Identifying five thematic clusters and synthesising prior findings, it supports cumulative theory building and offers actionable</w:t>
      </w:r>
    </w:p>
    <w:p>
      <w:pPr/>
      <w:r>
        <w:rPr>
          <w:b/>
        </w:rPr>
        <w:t>POSSIBLE 2026:</w:t>
      </w:r>
      <w:r>
        <w:t xml:space="preserve"> Draghi Plan and Implications for the European Legislative Framework — https://doi.org/10.24818/eblj/2025/4/1.06</w:t>
      </w:r>
    </w:p>
    <w:p>
      <w:pPr/>
      <w:r>
        <w:rPr>
          <w:b/>
        </w:rPr>
        <w:t>Shared claim-specific concepts:</w:t>
      </w:r>
      <w:r>
        <w:t xml:space="preserve"> potential, implications, common;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potential, packaging, implications, those;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Assessing Ochratoxin A Contamination in Pre-Packaged Grated Cheese: Implications for Food Safety — https://doi.org/10.3390/foods14091504</w:t>
      </w:r>
    </w:p>
    <w:p>
      <w:pPr/>
      <w:r>
        <w:rPr>
          <w:b/>
        </w:rPr>
        <w:t>Shared claim-specific concepts:</w:t>
      </w:r>
      <w:r>
        <w:t xml:space="preserve"> potential, implications, common, sector; EU scope visible. This is a provisional connection, not an outcome finding.</w:t>
      </w:r>
    </w:p>
    <w:p>
      <w:pPr>
        <w:pStyle w:val="SourceNote"/>
      </w:pPr>
      <w:r>
        <w:rPr>
          <w:b/>
        </w:rPr>
        <w:t>Available abstract (not full text):</w:t>
      </w:r>
      <w:r>
        <w:t xml:space="preserve">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pPr/>
      <w:r>
        <w:rPr>
          <w:b/>
        </w:rPr>
        <w:t>POSSIBLE 2025:</w:t>
      </w:r>
      <w:r>
        <w:t xml:space="preserve"> Key drivers of the future European printed packaging market — https://doi.org/10.59476/ilpmt2025.36-48</w:t>
      </w:r>
    </w:p>
    <w:p>
      <w:pPr/>
      <w:r>
        <w:rPr>
          <w:b/>
        </w:rPr>
        <w:t>Shared claim-specific concepts:</w:t>
      </w:r>
      <w:r>
        <w:t xml:space="preserve"> packaging, drivers, sector; EU scope visible. This is a provisional connection, not an outcome finding.</w:t>
      </w:r>
    </w:p>
    <w:p>
      <w:pPr>
        <w:pStyle w:val="SourceNote"/>
      </w:pPr>
      <w:r>
        <w:rPr>
          <w:b/>
        </w:rPr>
        <w:t>Available abstract (not full text):</w:t>
      </w:r>
      <w:r>
        <w:t xml:space="preserve"> Europe’s packaging sector is transforming—driven by innovation, regulation, and collaboration. The sector continues to grow while undergoing significant change, responding to increasingly complex expectations from regulators, brand owners, and consumers alike. Drawing on recent conference presentations, journal articles and market reports, the authors present detailed the key drivers of the packaging market: sustainability and regulation, the growth of e-commerce, changing consumer attitudes and lifestyles, digitalisation and innovation, advances of printing technology and packaging format innovation.</w:t>
      </w:r>
    </w:p>
    <w:p>
      <w:pPr/>
      <w:r>
        <w:rPr>
          <w:b/>
        </w:rPr>
        <w:t>POSSIBLE 2025:</w:t>
      </w:r>
      <w:r>
        <w:t xml:space="preserve"> Food packaging business models as drivers for sustainability in the food packaging industry — https://doi.org/10.3389/fsufs.2025.1563904</w:t>
      </w:r>
    </w:p>
    <w:p>
      <w:pPr/>
      <w:r>
        <w:rPr>
          <w:b/>
        </w:rPr>
        <w:t>Shared claim-specific concepts:</w:t>
      </w:r>
      <w:r>
        <w:t xml:space="preserve"> potential, packaging, drivers, purpose; EU scope visible. This is a provisional connection, not an outcome finding.</w:t>
      </w:r>
    </w:p>
    <w:p>
      <w:pPr>
        <w:pStyle w:val="SourceNote"/>
      </w:pPr>
      <w:r>
        <w:rPr>
          <w:b/>
        </w:rPr>
        <w:t>Available abstract (not full text):</w:t>
      </w:r>
      <w:r>
        <w:t xml:space="preserve"> The global food packaging industry faces severe environmental challenges due to its reliance on plastics and the growing demand for convenience. In Europe, food packaging alone accounts for 40.5% of all plastic production, yet only 35% of this waste is recycled. The purpose of this study is to examine business models, technological innovations (like AI, IoT, and blockchain) and the relation with customers to support the transition to a circular economy in food packaging. The research focuses on models such as Safe and Sustainable by Design (SSbD) and reusable and returnable packaging systems, evaluating their potential to minimize environmental impact. A key aspect of the investigation is consumer behavior. While consumers express a preference for sustainable options, actual purchasing decisions often prioritize cost and convenience. The study explores how emerging technologies are transforming packaging design by enhancing product safety and improving supply chain transparency. Additionally, regulatory frameworks, particularly within the European Union, such as the Single-Use Plastics Directive (SUPD) and the Circular Economy Action Plan (CEAP), are driving industry-wide changes toward sustainability. However, disparities in adoption and regulatory compliance on a global scale present significant challenges to implementation. The outcome of this study is a set of strategic rec</w:t>
      </w:r>
    </w:p>
    <w:p>
      <w:pPr/>
      <w:r>
        <w:rPr>
          <w:b/>
        </w:rPr>
        <w:t>POSSIBLE 2025:</w:t>
      </w:r>
      <w:r>
        <w:t xml:space="preserve"> Patterns and drivers of range filling of alien mammals in Europe — https://doi.org/10.1002/oik.11388</w:t>
      </w:r>
    </w:p>
    <w:p>
      <w:pPr/>
      <w:r>
        <w:rPr>
          <w:b/>
        </w:rPr>
        <w:t>Shared claim-specific concepts:</w:t>
      </w:r>
      <w:r>
        <w:t xml:space="preserve"> potential, drivers, provide, further; EU scope visible. This is a provisional connection, not an outcome finding.</w:t>
      </w:r>
    </w:p>
    <w:p>
      <w:pPr>
        <w:pStyle w:val="SourceNote"/>
      </w:pPr>
      <w:r>
        <w:rPr>
          <w:b/>
        </w:rPr>
        <w:t>Available abstract (not full text):</w:t>
      </w:r>
      <w:r>
        <w:t xml:space="preserve"> Biological invasions are major drivers of biodiversity change. Alien mammals are particularly concerning in Europe, where their expansion remains unabated, though the driving factors are still unclear. Well‐documented introductions and distributions in this continent provide a unique opportunity to understand how human activities influenced this expansion. We modelled the potential alien ranges of 46 established alien mammals in Europe using species' introduction localities, residence time, dispersal ability, generation length and climatic suitability. We compared potential and observed ranges through three range indices: range filling (portion of potential distribution occupied), overfilling (portion of observed distribution unexpectedly occupied), and unfilling (portion of potential distribution currently unoccupied), and we investigated the effects of native range size, introduction pathways (species' sum of the known pathways of introduction across the European alien range, spanning 1492–2020), and socio‐economic variables (spanning 1980–2017) on uncovered patterns. We show that the median range overfilling value was high (22%), suggesting that alien mammals are substantially spreading outside expected distribution areas. Conversely, median values of range filling (14%) and unfilling (17%) were lower, suggesting recorded introductions inadequately explain alien mammals' dis</w:t>
      </w:r>
    </w:p>
    <w:p>
      <w:pPr/>
      <w:r>
        <w:rPr>
          <w:b/>
        </w:rPr>
        <w:t>POSSIBLE 2025:</w:t>
      </w:r>
      <w:r>
        <w:t xml:space="preserve"> Identification of drivers of change of emerging food safety risks in Europe — https://doi.org/10.1016/j.foodcont.2025.111415</w:t>
      </w:r>
    </w:p>
    <w:p>
      <w:pPr/>
      <w:r>
        <w:rPr>
          <w:b/>
        </w:rPr>
        <w:t>Shared claim-specific concepts:</w:t>
      </w:r>
      <w:r>
        <w:t xml:space="preserve"> potential, drivers, then, provide; EU scope visible. This is a provisional connection, not an outcome finding.</w:t>
      </w:r>
    </w:p>
    <w:p>
      <w:pPr>
        <w:pStyle w:val="SourceNote"/>
      </w:pPr>
      <w:r>
        <w:rPr>
          <w:b/>
        </w:rPr>
        <w:t>Available abstract (not full text):</w:t>
      </w:r>
      <w:r>
        <w:t xml:space="preserve"> The presence of food safety hazards in the food supply chain is influenced, either positively or negatively, by drivers of change within and beyond the food system. Insight into the importance of these drivers to emerging risks and linked food safety hazards, and their management potential, is crucial for allocating resources effectively in managing food safety. The aim of this study is to identify drivers of change affecting food safety in Europe. To identify the drivers of change, first hazard categories are created from RASFF reports and, second, a literature review using these categories is conducted. Then, inductive coding of the literature review results, and semi structured expert interviews are used to condense the driver of change list, and drivers are categorized as social, technological, economic, environmental or political (STEEP). Finally, a hazard identification is conducted with an expert survey. Per driver of change, experts are tasked to identify the most associated hazard and the degree of association. Results from the literature review identify 39 drivers of change, organized into 11 main drivers of change with 3 to 5 subdrivers per main driver. The main drivers consist of 3 social drivers: consumer behavior, demographic development, health and wellbeing; 2 technological drivers: technologies in food production, technologies in food processing; 1 economic dri</w:t>
      </w:r>
    </w:p>
    <w:p>
      <w:pPr/>
      <w:r>
        <w:rPr>
          <w:b/>
        </w:rPr>
        <w:t>POSSIBLE 2025:</w:t>
      </w:r>
      <w:r>
        <w:t xml:space="preserve"> Scientific document determining biodiversity trends, underlying drivers and essential observations for predictive modelling — https://doi.org/10.5281/zenodo.20787353</w:t>
      </w:r>
    </w:p>
    <w:p>
      <w:pPr/>
      <w:r>
        <w:rPr>
          <w:b/>
        </w:rPr>
        <w:t>Shared claim-specific concepts:</w:t>
      </w:r>
      <w:r>
        <w:t xml:space="preserve"> potential, trends, drivers, common, further, work; EU scope visible. This is a provisional connection, not an outcome finding.</w:t>
      </w:r>
    </w:p>
    <w:p>
      <w:pPr>
        <w:pStyle w:val="SourceNote"/>
      </w:pPr>
      <w:r>
        <w:rPr>
          <w:b/>
        </w:rPr>
        <w:t>Available abstract (not full text):</w:t>
      </w:r>
      <w:r>
        <w:t xml:space="preserve"> Grant Agreement: 101082021Project Acronym: MARCO-BOLOProject Title: MARine COastal BiOdiversity Long-term ObservationsDeliverable Number: D5.1Work Package Number: WP5Deliverable Title: Scientific document determining biodiversity trends, underlying drivers and essential observations for predictive modellingDue Date: 30.11.2025Submission Date: 17.11.2025 The main goal of this report is to assess biodiversity trends and their drivers in marine and coastal European ecosystems. To this end, we analysed community-level biodiversity trends and species-level habitat use during the last decades using data from open sources. Biodiversity trends are paired with environmental parameters and projected into the future using Habitat Suitability Models and Random Forest Regressions. Three complementary studies are presented. Study 1 — Time series analysis: European time series for six biotic groups (birds, fish, invertebrates, macroalgae, phytoplankton, zooplankton) were analysed to estimate temporal trends (1956–2022) in richness, diversity, and abundance across regions. A total of 2,359 time series comprising 552,475 observations of 4,718 coastal and marine taxa in 2,246 different sites were assembled from open-access databases (BioTIME, EMODnet, REPHY, FishGlob, Continuous Plankton Recorder Survey). Most communities showed no significant change, suggesting no further widespread biodiversit</w:t>
      </w:r>
    </w:p>
    <w:p>
      <w:pPr>
        <w:pStyle w:val="Heading2"/>
      </w:pPr>
      <w:r>
        <w:t>931. Forecasting the Diffusion of Gigabit Home Networking In Europe</w:t>
      </w:r>
    </w:p>
    <w:p>
      <w:pPr>
        <w:pStyle w:val="SourceNote"/>
      </w:pPr>
      <w:r>
        <w:rPr>
          <w:b/>
        </w:rPr>
        <w:t>Original source (2014):</w:t>
      </w:r>
      <w:r>
        <w:t xml:space="preserve"> https://doi.org/10.4018/ijtd.2014070103</w:t>
      </w:r>
    </w:p>
    <w:p>
      <w:pPr/>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POSSIBLE 2026:</w:t>
      </w:r>
      <w:r>
        <w:t xml:space="preserve"> Stakeholder engagement in hubs for circularity in Europe — https://doi.org/10.1051/mattech/2026012</w:t>
      </w:r>
    </w:p>
    <w:p>
      <w:pPr/>
      <w:r>
        <w:rPr>
          <w:b/>
        </w:rPr>
        <w:t>Shared claim-specific concepts:</w:t>
      </w:r>
      <w:r>
        <w:t xml:space="preserve"> stakeholders, area, however; EU scope visible. This is a provisional connection, not an outcome finding.</w:t>
      </w:r>
    </w:p>
    <w:p>
      <w:pPr>
        <w:pStyle w:val="SourceNote"/>
      </w:pPr>
      <w:r>
        <w:rPr>
          <w:b/>
        </w:rPr>
        <w:t>Available abstract (not full text):</w:t>
      </w:r>
      <w:r>
        <w:t xml:space="preserve">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pPr/>
      <w:r>
        <w:rPr>
          <w:b/>
        </w:rPr>
        <w:t>POSSIBLE 2026:</w:t>
      </w:r>
      <w:r>
        <w:t xml:space="preserve"> Setting the Scene: Financing Adult Learning in Europe — https://doi.org/10.5281/zenodo.19914319</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Del 2.2 Stakeholder analysis for the European natural fibre value chain for textiles from flax and hemp : Stakeholders identification and current European policy landscape — https://doi.org/10.18174/716478</w:t>
      </w:r>
    </w:p>
    <w:p>
      <w:pPr/>
      <w:r>
        <w:rPr>
          <w:b/>
        </w:rPr>
        <w:t>Shared claim-specific concepts:</w:t>
      </w:r>
      <w:r>
        <w:t xml:space="preserve"> stakeholders, landscape, presents; EU scope visible. This is a provisional connection, not an outcome finding.</w:t>
      </w:r>
    </w:p>
    <w:p>
      <w:pPr>
        <w:pStyle w:val="SourceNote"/>
      </w:pPr>
      <w:r>
        <w:rPr>
          <w:b/>
        </w:rPr>
        <w:t>Available abstract (not full text):</w:t>
      </w:r>
      <w:r>
        <w:t xml:space="preserve"> This report presents a stakeholder analysis of the European's natural fibre value chain for textiles for flax and hemp natural fibres.The study aims to provide a structured overview of the actors involved across all tiers of the supply chain, from raw material production (Tier 4) to branding and retail (Tier 0), and to assess their roles, interests, and influence in the transition toward a sustainable textile economy.This analysis is framed within the policy context of the European Green Deal, the Circular Economy Action Plan, and the EU Strategy for Sustainable and Circular Textiles.It examines the strategic potential of flax and hemp to reduce the environmental footprint of textiles while reinforcing Europe's leadership in innovation and quality for sustainable textiles.The study identifies key barriers and drivers for scaling natural fibres as viable alternatives.By mapping stakeholder interactions and prioritizing key actors, this report supports evidence-based decision-making for policy development, investment strategies, and collaborative frameworks.The insights provided herein are intended to guide industry stakeholders, policymakers, and researchers in implementing systemic changes that enhance resilience, reduce environmental impact, and foster innovation within the European textile ecosystem.</w:t>
      </w:r>
    </w:p>
    <w:p>
      <w:pPr/>
      <w:r>
        <w:rPr>
          <w:b/>
        </w:rPr>
        <w:t>POSSIBLE 2025:</w:t>
      </w:r>
      <w:r>
        <w:t xml:space="preserve"> Logistics Market Stakeholders in the Context of Sustainable Development and ESG — https://doi.org/10.54740/ros.2025.067</w:t>
      </w:r>
    </w:p>
    <w:p>
      <w:pPr/>
      <w:r>
        <w:rPr>
          <w:b/>
        </w:rPr>
        <w:t>Shared claim-specific concepts:</w:t>
      </w:r>
      <w:r>
        <w:t xml:space="preserve"> stakeholders, area; EU scope not established. This is a provisional connection, not an outcome finding.</w:t>
      </w:r>
    </w:p>
    <w:p>
      <w:pPr>
        <w:pStyle w:val="SourceNote"/>
      </w:pPr>
      <w:r>
        <w:rPr>
          <w:b/>
        </w:rPr>
        <w:t>Available abstract (not full text):</w:t>
      </w:r>
      <w:r>
        <w:t xml:space="preserve">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pPr/>
      <w:r>
        <w:rPr>
          <w:b/>
        </w:rPr>
        <w:t>POSSIBLE 2025:</w:t>
      </w:r>
      <w:r>
        <w:t xml:space="preserve"> Local flexibility markets in Europe: A critical review of market designs, operational maturity and stakeholder perspectives — https://doi.org/10.1016/j.rser.2025.116434</w:t>
      </w:r>
    </w:p>
    <w:p>
      <w:pPr/>
      <w:r>
        <w:rPr>
          <w:b/>
        </w:rPr>
        <w:t>Shared claim-specific concepts:</w:t>
      </w:r>
      <w:r>
        <w:t xml:space="preserve"> stakeholders, networks, enable, lack; EU scope visible. This is a provisional connection, not an outcome finding.</w:t>
      </w:r>
    </w:p>
    <w:p>
      <w:pPr>
        <w:pStyle w:val="SourceNote"/>
      </w:pPr>
      <w:r>
        <w:rPr>
          <w:b/>
        </w:rPr>
        <w:t>Available abstract (not full text):</w:t>
      </w:r>
      <w:r>
        <w:t xml:space="preserve"> Local Flexibility Markets (LFMs) are gaining importance across Europe as a potential solution to emerging challenges in the management of distribution networks. Driven by European Union directives on electricity market design, LFMs aim to enable distribution system operators to procure ancillary services from distributed energy resources through transparent and economically efficient mechanisms. This study offers a comprehensive analysis of the designs and current implementation stages of LFMs, combining a systematic literature review with an in-depth assessment of selected European cases and structured interviews with key stakeholders. The literature analysis highlights current research trends, methodological approaches, and future developments. The case analysis covers various European countries, including nations with mature LFMs, such as Great Britain, as well as those where LFMs are still in the early stages of development, such as Italy. Specifically, it provides detailed insights into ancillary services definitions, technical and market requirements, remuneration schemes, baseline calculation methodologies, and observed market outcomes. Interviews with distribution system operators, balancing service providers, and market platform operators enrich the analysis by revealing practical perspectives on the benefits and challenges of LFMs. The findings indicate that regulator</w:t>
      </w:r>
    </w:p>
    <w:p>
      <w:pPr/>
      <w:r>
        <w:rPr>
          <w:b/>
        </w:rPr>
        <w:t>POSSIBLE 2025:</w:t>
      </w:r>
      <w:r>
        <w:t xml:space="preserve"> Medical Devices: Market Environment &amp; Stakeholder Analysis — https://doi.org/10.1007/978-3-032-03577-6_4</w:t>
      </w:r>
    </w:p>
    <w:p>
      <w:pPr/>
      <w:r>
        <w:rPr>
          <w:b/>
        </w:rPr>
        <w:t>Shared claim-specific concepts:</w:t>
      </w:r>
      <w:r>
        <w:t xml:space="preserve"> stakeholders, data, presents; EU scope not established. This is a provisional connection, not an outcome finding.</w:t>
      </w:r>
    </w:p>
    <w:p>
      <w:pPr>
        <w:pStyle w:val="SourceNote"/>
      </w:pPr>
      <w:r>
        <w:rPr>
          <w:b/>
        </w:rPr>
        <w:t>Available abstract (not full text):</w:t>
      </w:r>
      <w:r>
        <w:t xml:space="preserve"> This chapter provides a comprehensive analysis of the global medical device market through a multidimensional lens, emphasizing stakeholder interdependencies, market structures, and macroeconomic trends. Initial mapping the ecosystem of key stakeholders being manufacturers, regulators, payers, healthcare providers, patients, and global institutions, highlights their evolving roles in innovation, regulation, and adoption. The chapter then explores the strategic weight of these stakeholders, varying significantly by region and shaped by regulatory maturity, industrial policy, and patient advocacy. A dedicated section examines the patient’s shifting role from passive recipient to active co-creator and data contributor, reshaping device design and evaluation. Commercial segmentation is analyzed through B2B, B2C, and B2G models, with insights into how distribution, purchasing behavior, and policy affect regional strategies. A detailed PEST analysis outlines political, economic, social, and technological forces influencing global operations. The chapter also presents a macroeconomic perspective and explores regional differences in per capita spending, infrastructure maturity, and investment capacity between high-income regions and emerging markets. Market drivers, including aging populations, chronic disease, digital health, and rising health expenditures, are contrasted with structu</w:t>
      </w:r>
    </w:p>
    <w:p>
      <w:pPr/>
      <w:r>
        <w:rPr>
          <w:b/>
        </w:rPr>
        <w:t>POSSIBLE 2025:</w:t>
      </w:r>
      <w:r>
        <w:t xml:space="preserve"> Driving factors behind Indonesia’s 2015 decision to cooperate with Malaysia in CPOPC: Economic, political, and environmental considerations — https://doi.org/10.33474/jisop.v7i2.23750</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Indonesia’s palm oil industry, a cornerstone of national economic growth and rural livelihoods, faced escalating trade barriers and sustainability demands, particularly from the European Union, from 2005 to 2015. This study investigates Driving factors behind Indonesia’s 2015 decision to cooperate with Malaysia in CPOPC: Economic, political, and environmental considerations, using employing Richard C. Snyder’s foreign policy decision-making framework to systematically analyze the interplay of internal and external factors. The research adopts a qualitative explanatory literature review, synthesizing data from peer-reviewed journals, policy documents, and credible news sources published from 2005 to 2015. The analysis reveals that Indonesia’s policy shift was driven by the convergence of domestic economic imperatives such as maintaining export revenues, supporting smallholders, and responding to industry lobbying, and mounting external pressures including discriminatory European Union regulations, NGO campaigns, and global market competition. The formation of CPOPC is shown to be a pragmatic diplomatic response, enhancing Indonesia’s bargaining power, promoting sustainable palm oil standards, and fostering collective action with Malaysia to counter external challenges. This research fills a gap in the literature by demonstrating how multi-level decision-making processes and tran</w:t>
      </w:r>
    </w:p>
    <w:p>
      <w:pPr/>
      <w:r>
        <w:rPr>
          <w:b/>
        </w:rPr>
        <w:t>POSSIBLE 2024:</w:t>
      </w:r>
      <w:r>
        <w:t xml:space="preserve"> Electric Vehicles in China, Europe, and the United States: Current Trend and Market Comparison — https://doi.org/10.65998/ijees.v2i1.70</w:t>
      </w:r>
    </w:p>
    <w:p>
      <w:pPr/>
      <w:r>
        <w:rPr>
          <w:b/>
        </w:rPr>
        <w:t>Shared claim-specific concepts:</w:t>
      </w:r>
      <w:r>
        <w:t xml:space="preserve"> stakeholders, landscape, presents; EU scope visible. This is a provisional connection, not an outcome finding.</w:t>
      </w:r>
    </w:p>
    <w:p>
      <w:pPr>
        <w:pStyle w:val="SourceNote"/>
      </w:pPr>
      <w:r>
        <w:rPr>
          <w:b/>
        </w:rPr>
        <w:t>Available abstract (not full text):</w:t>
      </w:r>
      <w:r>
        <w:t xml:space="preserve"> The fast-growing light-duty plug-in electric vehicle market in China, Europe, and the United States are a multifaceted phenomenon with far-reaching implications. It not only reshapes the automotive industry but also plays a pivotal role in advancing sustainable energy practices on a global scale. The trends and policies emerging from China are closely monitored by international stakeholders as they navigate the evolving landscape of electric vehicles (EVs). This article presents a comparative analysis of EVs in China, Europe, and the United States, offering valuable insights into the evolving landscape of sustainable transportation. Through an exploration of unique technological approaches and market dynamics in these key regions, the study provides a snapshot of the current state and future potential of EVs. The derived insights contribute significantly to the broader discourse on the global transition towards cleaner and more efficient transportation solutions, underscoring the importance of cross-border collaboration and innovation. As researchers collectively strive for a greener future, this examination serves as a concise yet impactful contribution to the ongoing dialogue surrounding electric vehicles, illuminating their pivotal role in reshaping the automotive industry. To conclude, the growth of the EV market in China not only impacts local manufacturers but has global </w:t>
      </w:r>
    </w:p>
    <w:p>
      <w:pPr/>
      <w:r>
        <w:rPr>
          <w:b/>
        </w:rPr>
        <w:t>POSSIBLE 2024:</w:t>
      </w:r>
      <w:r>
        <w:t xml:space="preserve"> Food safety in informal public markets in Kenya: perceptions of stakeholders in the food chain — https://doi.org/10.3389/fsufs.2024.1411318</w:t>
      </w:r>
    </w:p>
    <w:p>
      <w:pPr/>
      <w:r>
        <w:rPr>
          <w:b/>
        </w:rPr>
        <w:t>Shared claim-specific concepts:</w:t>
      </w:r>
      <w:r>
        <w:t xml:space="preserve"> stakeholders, however, lack; EU scope not established. This is a provisional connection, not an outcome finding.</w:t>
      </w:r>
    </w:p>
    <w:p>
      <w:pPr>
        <w:pStyle w:val="SourceNote"/>
      </w:pPr>
      <w:r>
        <w:rPr>
          <w:b/>
        </w:rPr>
        <w:t>Available abstract (not full text):</w:t>
      </w:r>
      <w:r>
        <w:t xml:space="preserve"> Introduction Informal markets play a crucial role in providing fresh and nutritious foods for people in low and middle-income countries. However, the safety of food sold in these markets remains a major concern, contributing to a high burden of foodborne illnesses. Methods This study was designed to analyze stakeholder perceptions of food safety in selected informal public markets in Kenya. Eight focus group discussions and 15 key informant interviews were conducted. In addition, two workshops were held to validate the findings. Results and discussion We found that consumers and vendors confounded food quality, especially freshness, with safety, and paid more attention to appearance and physical qualities than food safety. Information (such as branding and expiry dates) and heuristic cues (such as the flow of buyers and the presence of flies) were used to assess food safety. Meat was perceived as the food most likely to cause disease. Chemical hazards in fresh produce and aflatoxins in maize were mentioned as priority hazards by both vendors and consumers. Stakeholders more knowledgeable about food safety considered microbial hazards as a top priority. Although diarrheal diseases were reported to be prevalent in the communities, these were often thought to be the result of agri-chemical residues in fresh produce or the consumption of high-fat foods, and not commonly linked to b</w:t>
      </w:r>
    </w:p>
    <w:p>
      <w:pPr/>
      <w:r>
        <w:rPr>
          <w:b/>
        </w:rPr>
        <w:t>POSSIBLE 2024:</w:t>
      </w:r>
      <w:r>
        <w:t xml:space="preserve"> Perceptions of stakeholders on nature-based solutions in urban planning: A thematic analysis in six European cities — https://doi.org/10.1016/j.ufug.2024.128344</w:t>
      </w:r>
    </w:p>
    <w:p>
      <w:pPr/>
      <w:r>
        <w:rPr>
          <w:b/>
        </w:rPr>
        <w:t>Shared claim-specific concepts:</w:t>
      </w:r>
      <w:r>
        <w:t xml:space="preserve"> stakeholders, lack; EU scope visible. This is a provisional connection, not an outcome finding.</w:t>
      </w:r>
    </w:p>
    <w:p>
      <w:pPr>
        <w:pStyle w:val="SourceNote"/>
      </w:pPr>
      <w:r>
        <w:rPr>
          <w:b/>
        </w:rPr>
        <w:t>Available abstract (not full text):</w:t>
      </w:r>
      <w:r>
        <w:t xml:space="preserve"> A commonly addressed aspect of urban planning involves the integration of nature-based solutions (NBS). Before applying NBS, acquiring stakeholders' viewpoints, e.g., city councils, local governments, and academia, contributes to the successful application and thus to mitigation of global challenges such as climate change, loss of biodiversity, water, and food scarcity. The present study explores how stakeholders across Europe view the role of NBS in urban planning. A thematic analysis was conducted to identify patterns, themes, and concepts within interview transcripts gathered through semi-structured interviews held in Budapest, Cordoba, Ljubljana, Reykjavik, Vienna, and Zurich. The study resulted in 107 distinctive codes categorized into NBS benefits, challenges, opportunities, NBS actors, and regulations. The frequency of codes (Fr) mentioned by the interviewees showed that NBS benefit cooperation (Fr=125) between individuals, while the most challenging issue obstructing NBS implementation was the lack of NBS knowledge (Fr=93). The need for green areas (Fr=42) was identified as an opportunity that could give rise to NBS applications. This study also provides practical recommendations to overcome some barriers when implementing NBS.</w:t>
      </w:r>
    </w:p>
    <w:p>
      <w:pPr/>
      <w:r>
        <w:rPr>
          <w:b/>
        </w:rPr>
        <w:t>POSSIBLE 2023:</w:t>
      </w:r>
      <w:r>
        <w:t xml:space="preserve"> Market shaping MNCs in emerging markets - stakeholder engagement and the role of embeddedness — https://doi.org/10.1016/j.indmarman.2023.06.015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pPr/>
      <w:r>
        <w:rPr>
          <w:b/>
        </w:rPr>
        <w:t>POSSIBLE 2023:</w:t>
      </w:r>
      <w:r>
        <w:t xml:space="preserve"> Cooperating for the Climate — https://doi.org/10.7551/mitpress/11959.001.0001</w:t>
      </w:r>
    </w:p>
    <w:p>
      <w:pPr/>
      <w:r>
        <w:rPr>
          <w:b/>
        </w:rPr>
        <w:t>Shared claim-specific concepts:</w:t>
      </w:r>
      <w:r>
        <w:t xml:space="preserve"> stakeholders, technology, based; EU scope not established. This is a provisional connection, not an outcome finding.</w:t>
      </w:r>
    </w:p>
    <w:p>
      <w:pPr>
        <w:pStyle w:val="SourceNote"/>
      </w:pPr>
      <w:r>
        <w:rPr>
          <w:b/>
        </w:rPr>
        <w:t>Available abstract (not full text):</w:t>
      </w:r>
      <w:r>
        <w:t xml:space="preserve">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pPr>
        <w:pStyle w:val="Heading2"/>
      </w:pPr>
      <w:r>
        <w:t>932. Future mobility in an ageing society – Where are we heading?</w:t>
      </w:r>
    </w:p>
    <w:p>
      <w:pPr>
        <w:pStyle w:val="SourceNote"/>
      </w:pPr>
      <w:r>
        <w:rPr>
          <w:b/>
        </w:rPr>
        <w:t>Original source (2014):</w:t>
      </w:r>
      <w:r>
        <w:t xml:space="preserve"> https://doi.org/10.1016/j.jth.2014.10.005</w:t>
      </w:r>
    </w:p>
    <w:p>
      <w:pPr/>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POSSIBLE 2026:</w:t>
      </w:r>
      <w:r>
        <w:t xml:space="preserve"> If exercise is medicine, where is the dose? A call to improve reporting and monitoring of exercise interventions in fibromyalgia research — https://doi.org/10.3389/fspor.2026.1777261</w:t>
      </w:r>
    </w:p>
    <w:p>
      <w:pPr/>
      <w:r>
        <w:rPr>
          <w:b/>
        </w:rPr>
        <w:t>Shared claim-specific concepts:</w:t>
      </w:r>
      <w:r>
        <w:t xml:space="preserve"> planning, exercise, four, different, defined, two; EU scope not established. This is a provisional connection, not an outcome finding.</w:t>
      </w:r>
    </w:p>
    <w:p>
      <w:pPr>
        <w:pStyle w:val="SourceNote"/>
      </w:pPr>
      <w:r>
        <w:rPr>
          <w:b/>
        </w:rPr>
        <w:t>Available abstract (not full text):</w:t>
      </w:r>
      <w:r>
        <w:t xml:space="preserve"> Exercise is widely recognized as a cornerstone non-pharmacological therapy for managing pain and other core symptoms of fibromyalgia. Current guidelines, including those from the American College of Sports Medicine (ACSM), frame exercise prescription through the FITT principles-frequency, intensity, time, and typeproviding a structured approach to defining exercise dose in this population (Ligouri, 2021). When these parameters are implemented with high compliance (i.e., when at least 70% of the ACSM-recommended exercise dose is met), exercise interventions are associated with greater improvements in pain, sleep quality, and fatigue, as supported by recent meta-analytic evidence in fibromyalgia (Niu et al., 2024). However, only about half of the analyzed exercise interventions achieved high compliance with ACSM guidelines, highlighting substantial variability in exercise prescription across fibromyalgia trials (Niu et al., 2024).Despite this growing body of evidence, two complementary perspectives continue to coexist in both research and clinical practice. On one hand, public health recommendations emphasize that any physical activity is preferable to none, particularly in populations with a high symptom burden and low activity levels (Bull et al., 2020;Ekelund et al., 2026). On the other hand, research increasingly seeks to identify specific exercise doses, operationalized thro</w:t>
      </w:r>
    </w:p>
    <w:p>
      <w:pPr/>
      <w:r>
        <w:rPr>
          <w:b/>
        </w:rPr>
        <w:t>POSSIBLE 2026:</w:t>
      </w:r>
      <w:r>
        <w:t xml:space="preserve"> Exploring the different facets of stigma relating to family planning among couples in Northern Ghana — https://doi.org/10.1186/s12982-026-02287-1</w:t>
      </w:r>
    </w:p>
    <w:p>
      <w:pPr/>
      <w:r>
        <w:rPr>
          <w:b/>
        </w:rPr>
        <w:t>Shared claim-specific concepts:</w:t>
      </w:r>
      <w:r>
        <w:t xml:space="preserve"> planning, four, different, two, engage; EU scope not established. This is a provisional connection, not an outcome finding.</w:t>
      </w:r>
    </w:p>
    <w:p>
      <w:pPr>
        <w:pStyle w:val="SourceNote"/>
      </w:pPr>
      <w:r>
        <w:rPr>
          <w:b/>
        </w:rPr>
        <w:t>Available abstract (not full text):</w:t>
      </w:r>
      <w:r>
        <w:t xml:space="preserve"> Despite the well-documented benefits of family planning for maternal and child health, modern contraceptive uptake in Northern Ghana remains among the lowest in the country.One important factor contributing to this low uptake is stigma surrounding family planning. However, the specific forms that this stigma takes among couples and the mechanisms through which it influences contraceptive use remain poorly understood. Drawing on Erving Goffman’s stigma theory, this study explored different forms of family planning-related stigma among couples in Northern Ghana. A sequential explanatory mixed-methods design was employed. Quantitative data were collected for 508 couples ( N = 1016 participants) using structured questionnaires from two districts. Qualitative data were collected through nine focus group discussions, nine key informant interviews, four in-depth interviews, and four rapid assessment procedures. Qualitative data were analyzed using content analysis. High enacted stigma was reported by 42.8% of respondents, while 38.0% reported high self-stigma, with significant sex differences. Qualitative data revealed that self-stigma manifested as internalized shame, fear of judgment, and anticipation of gossip, leading many to conceal their contraceptive use or avoid services. Enacted stigma occurred in the form of community mockery, accusations of immorality or challenges to male </w:t>
      </w:r>
    </w:p>
    <w:p>
      <w:pPr/>
      <w:r>
        <w:rPr>
          <w:b/>
        </w:rPr>
        <w:t>POSSIBLE 2026:</w:t>
      </w:r>
      <w:r>
        <w:t xml:space="preserve"> My Back Exercise app Study - Statistical Analysis Plan — https://doi.org/10.17605/osf.io/9k724</w:t>
      </w:r>
    </w:p>
    <w:p>
      <w:pPr/>
      <w:r>
        <w:rPr>
          <w:b/>
        </w:rPr>
        <w:t>Shared claim-specific concepts:</w:t>
      </w:r>
      <w:r>
        <w:t xml:space="preserve"> exercise, four, two, older, people, healthcare; EU scope not established. This is a provisional connection, not an outcome finding.</w:t>
      </w:r>
    </w:p>
    <w:p>
      <w:pPr>
        <w:pStyle w:val="SourceNote"/>
      </w:pPr>
      <w:r>
        <w:rPr>
          <w:b/>
        </w:rPr>
        <w:t>Available abstract (not full text):</w:t>
      </w:r>
      <w:r>
        <w:t xml:space="preserve"> Chronic non-specific low back pain (LBP) is one of the most pressing global health challenges. Digital health solutions have emerged as promising strategies to deliver evidence-based interventions while overcoming barriers to accessing effective care. In this context, the My Back Exercise app was developed to support people with LBP to exercise, with the supplementation of specific education, a sleep program, and diet advice. This study is a single-blind, superiority, adaptive randomised controlled trial encompassing a multi-arm multi-stage design. Eligible participants will be randomly assigned in a 1:1:1:1:1 ratio to either a Control Group receiving education alone or one of four intervention groups (Intervention Group 1: education, notifications, and exercise modules; Intervention Group 2: education, notifications, exercise, and sleep modules; Intervention Group 3: education, notifications, exercise, and diet modules; and Intervention Group 4: education, notifications, exercise, sleep, and diet modules) through the app. The study consists of two stages, with the possibility of dropping arms for futility using pre-specified decision rules at the end of the first stage. A total of 370 participants aged 18 years or older, with chronic non-specific LBP, will be recruited Australia-wide from the general community. The primary outcome will be self-reported physical function measur</w:t>
      </w:r>
    </w:p>
    <w:p>
      <w:pPr/>
      <w:r>
        <w:rPr>
          <w:b/>
        </w:rPr>
        <w:t>POSSIBLE 2026:</w:t>
      </w:r>
      <w:r>
        <w:t xml:space="preserve"> Comparison of the Committee for Mineral Reserves International Reporting Standards Template-based mineral reporting codes with implications for mine planning in mineral development projects — https://doi.org/10.17159/2411-9717/3702/2026</w:t>
      </w:r>
    </w:p>
    <w:p>
      <w:pPr/>
      <w:r>
        <w:rPr>
          <w:b/>
        </w:rPr>
        <w:t>Shared claim-specific concepts:</w:t>
      </w:r>
      <w:r>
        <w:t xml:space="preserve"> planning, different, critical, technologies; EU scope not established. This is a provisional connection, not an outcome finding.</w:t>
      </w:r>
    </w:p>
    <w:p>
      <w:pPr>
        <w:pStyle w:val="SourceNote"/>
      </w:pPr>
      <w:r>
        <w:rPr>
          <w:b/>
        </w:rPr>
        <w:t>Available abstract (not full text):</w:t>
      </w:r>
      <w:r>
        <w:t xml:space="preserve"> From 2022 to 2040, the global demand for mineral commodities is projected to increase by four-fold to six-fold, largely due to traditional drivers such as population growth and urbanisation compounded by the adoption of decarbonisation technologies that are more mineral intensive than fossil fuel technologies. To meet this projected demand, companies operating in the minerals industry should accelerate the development of mineral projects. Since most of the companies generally operate in multiple geographical, regulatory or legislative jurisdictions, it is critical that the information on Mineral Resources and Mineral Reserves they report on in the public domain should be comparable and consistent across different jurisdictions. The Committee for Mineral Reserves International Reporting Standards fosters alignment of national and regional mineral reporting codes through an internationally accepted template that creates common technical understanding of definitions, classification, estimation processes and the Public Reporting of Exploration Results, Mineral Resources, and Mineral Reserves. The Committee for Mineral Reserves International Reporting Standards Template-based codes guide reporting at respective national and regional levels. Since mine planning is critical in the conversion of mineral resources to mineral reserves, a shared technical understanding should aid comparab</w:t>
      </w:r>
    </w:p>
    <w:p>
      <w:pPr/>
      <w:r>
        <w:rPr>
          <w:b/>
        </w:rPr>
        <w:t>POSSIBLE 2025:</w:t>
      </w:r>
      <w:r>
        <w:t xml:space="preserve"> The synergy of exercise and a planned diet in mitigating oxidative stress — https://doi.org/10.22271/journalofsport.2025.v10.i1d.3043</w:t>
      </w:r>
    </w:p>
    <w:p>
      <w:pPr/>
      <w:r>
        <w:rPr>
          <w:b/>
        </w:rPr>
        <w:t>Shared claim-specific concepts:</w:t>
      </w:r>
      <w:r>
        <w:t xml:space="preserve"> planning, exercise, living; EU scope not established. This is a provisional connection, not an outcome finding.</w:t>
      </w:r>
    </w:p>
    <w:p>
      <w:pPr>
        <w:pStyle w:val="SourceNote"/>
      </w:pPr>
      <w:r>
        <w:rPr>
          <w:b/>
        </w:rPr>
        <w:t>Available abstract (not full text):</w:t>
      </w:r>
      <w:r>
        <w:t xml:space="preserve">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pPr/>
      <w:r>
        <w:rPr>
          <w:b/>
        </w:rPr>
        <w:t>POSSIBLE 2025:</w:t>
      </w:r>
      <w:r>
        <w:t xml:space="preserve"> Bodily maps of exercise-induced feelings — https://doi.org/10.1038/s41598-025-07246-5</w:t>
      </w:r>
    </w:p>
    <w:p>
      <w:pPr/>
      <w:r>
        <w:rPr>
          <w:b/>
        </w:rPr>
        <w:t>Shared claim-specific concepts:</w:t>
      </w:r>
      <w:r>
        <w:t xml:space="preserve"> planning, exercise, different, two; EU scope not established. This is a provisional connection, not an outcome finding.</w:t>
      </w:r>
    </w:p>
    <w:p>
      <w:pPr>
        <w:pStyle w:val="SourceNote"/>
      </w:pPr>
      <w:r>
        <w:rPr>
          <w:b/>
        </w:rPr>
        <w:t>Available abstract (not full text):</w:t>
      </w:r>
      <w:r>
        <w:t xml:space="preserve">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pPr/>
      <w:r>
        <w:rPr>
          <w:b/>
        </w:rPr>
        <w:t>POSSIBLE 2025:</w:t>
      </w:r>
      <w:r>
        <w:t xml:space="preserve"> Performance of two different artificial intelligence models in dental implant planning among four different implant planning software: a comparative study — https://doi.org/10.1186/s12903-025-06336-0</w:t>
      </w:r>
    </w:p>
    <w:p>
      <w:pPr/>
      <w:r>
        <w:rPr>
          <w:b/>
        </w:rPr>
        <w:t>Shared claim-specific concepts:</w:t>
      </w:r>
      <w:r>
        <w:t xml:space="preserve"> planning, four, different, two; EU scope visible. This is a provisional connection, not an outcome finding.</w:t>
      </w:r>
    </w:p>
    <w:p>
      <w:pPr>
        <w:pStyle w:val="SourceNote"/>
      </w:pPr>
      <w:r>
        <w:rPr>
          <w:b/>
        </w:rPr>
        <w:t>Available abstract (not full text):</w:t>
      </w:r>
      <w:r>
        <w:t xml:space="preserve"> BACKGROUND: The integration of artificial intelligence (AI) in dental implant planning has emerged as a transformative approach to enhance diagnostic accuracy and efficiency. This study aimed to evaluate the performance of two object detection models, Faster R-CNN and YOLOv7 in analyzing cross-sectional and panoramic images derived from DICOM files processed by four distinct dental imaging software platforms. METHODS: The dataset consisted of 332 implant position images derived from DICOM files of 184 CBCT scans. Three hundred images were processed using DentiPlan Pro 3.7 software (NECTEC, NSTDA, Thailand) for the development of Faster R-CNN and YOLOv7 models for dental implant planning. For model testing, 32 additional implant position images, which were not included in the training set, were processed using four different software programs: DentiPlan Pro 3.7, DentiPlan Pro Plus 5.0 (DTP; NECTEC, NSTDA, Thailand), Implastation (ProDigiDent USA, USA), and Romexis 6.0 (Planmeca, Finland). The performance of the models was evaluated using detection rate, accuracy, precision, recall, F1 score, and the Jaccard Index (JI). RESULTS: Faster R-CNN achieved superior accuracy across imaging modalities, while YOLOv7 demonstrated higher detection rates, albeit with lower precision. The impact of image rendering algorithms on model performance underscores the need for standardized preproces</w:t>
      </w:r>
    </w:p>
    <w:p>
      <w:pPr/>
      <w:r>
        <w:rPr>
          <w:b/>
        </w:rPr>
        <w:t>POSSIBLE 2025:</w:t>
      </w:r>
      <w:r>
        <w:t xml:space="preserve"> Dissemination planning in exercise oncology trials—a systematic review of trial protocols — https://doi.org/10.1007/s00520-025-09532-4</w:t>
      </w:r>
    </w:p>
    <w:p>
      <w:pPr/>
      <w:r>
        <w:rPr>
          <w:b/>
        </w:rPr>
        <w:t>Shared claim-specific concepts:</w:t>
      </w:r>
      <w:r>
        <w:t xml:space="preserve"> planning, exercise, examined, critical, healthcare; EU scope not established. This is a provisional connection, not an outcome finding.</w:t>
      </w:r>
    </w:p>
    <w:p>
      <w:pPr>
        <w:pStyle w:val="SourceNote"/>
      </w:pPr>
      <w:r>
        <w:rPr>
          <w:b/>
        </w:rPr>
        <w:t>Available abstract (not full text):</w:t>
      </w:r>
      <w:r>
        <w:t xml:space="preserve"> PURPOSE: The paucity of exercise rehabilitation services for cancer survivors indicates a research-to-practice gap. Dissemination and Implementation research addresses this gap by focusing on the adoption, implementation, and sustainability of evidence-based interventions. Dissemination, the active process of sharing research findings, is critical to the implementation of evidence-based practice. This systematic review examined adherence of exercise oncology trial protocols to the SPIRIT 2013 checklist items pertaining to dissemination planning, items 31a, 31b, and 31c, which address how dissemination is planned, authorship eligibility is considered, and what plans are in place to share data and the protocol. METHODS: A systematic review was conducted following the PRISMA guidelines. EMBASE, MEDLINE, CINAHL, Web of Science-Core Collection, Google Scholar, and the Central Trial Registry via Cochrane were searched (16/05/2024). Title and abstract screening, full-text review, and data extraction were completed in duplicate. RESULTS: Eighty-six trial protocols were included, thirty-one (36.1%) did not report dissemination plans. Item 31 was reported as follows (n = number of trials, frequency (%)); 31a plans to communicate trial results to: participants (n = 19, 22.1%), healthcare professionals (n = 43, 50%), the public (n = 25, 29.2%), and other relevant groups (n = 22, 25.6%), 31</w:t>
      </w:r>
    </w:p>
    <w:p>
      <w:pPr/>
      <w:r>
        <w:rPr>
          <w:b/>
        </w:rPr>
        <w:t>POSSIBLE 2025:</w:t>
      </w:r>
      <w:r>
        <w:t xml:space="preserve"> The Potential of AI to Create Personalized Exercise Plans — https://doi.org/10.1177/15248399251394695</w:t>
      </w:r>
    </w:p>
    <w:p>
      <w:pPr/>
      <w:r>
        <w:rPr>
          <w:b/>
        </w:rPr>
        <w:t>Shared claim-specific concepts:</w:t>
      </w:r>
      <w:r>
        <w:t xml:space="preserve"> exercise, two, care; EU scope not established. This is a provisional connection, not an outcome finding.</w:t>
      </w:r>
    </w:p>
    <w:p>
      <w:pPr>
        <w:pStyle w:val="SourceNote"/>
      </w:pPr>
      <w:r>
        <w:rPr>
          <w:b/>
        </w:rPr>
        <w:t>Available abstract (not full text):</w:t>
      </w:r>
      <w:r>
        <w:t xml:space="preserve"> Despite the evidence linking moderate intensity exercise with improved health outcomes and disease prevention, health care providers often fail to counsel and guide patients on exercise recommendations. Short visit times, personal exercise practices, and lack of knowledge are all cited as factors for omitting exercise counseling in health care appointments. In the context of these barriers, we investigated the use of GPT-3.5 in generating effective exercise recommendations. Thirty fictional patient cases were entered into GPT-3.5 and provided to two experts in lifestyle medicine. GPT-3.5 and experts were asked to create SMART and realistic goals for these patients, and to advise on when the patients could exercise, and what type of exercise they should complete. Three blinded reviewers graded the recommendations generated by GPT-3.5 and the experts in metrics of how (a) safe, (b) realistic, (c) personalized, (d) accessible (in line with the patient's social determinants of health) the recommendations were, and (e) the quality of the recommendations overall. Differences between experts and GPT-3.5 were assessed using a Mann-Whitney U test. Differences between the three reviewer ratings were assessed using the intra-rater correlation coefficient. BothGPT-3.5 and experts in lifestyle medicine produced highly rated results. Our findings suggest that GPT-3.5 may be able to create sa</w:t>
      </w:r>
    </w:p>
    <w:p>
      <w:pPr/>
      <w:r>
        <w:rPr>
          <w:b/>
        </w:rPr>
        <w:t>POSSIBLE 2024:</w:t>
      </w:r>
      <w:r>
        <w:t xml:space="preserve"> The propensity for negative media reporting of the Murray-Darling Basin Plan in Australia — https://doi.org/10.1016/j.jrurstud.2024.103320</w:t>
      </w:r>
    </w:p>
    <w:p>
      <w:pPr/>
      <w:r>
        <w:rPr>
          <w:b/>
        </w:rPr>
        <w:t>Shared claim-specific concepts:</w:t>
      </w:r>
      <w:r>
        <w:t xml:space="preserve"> four, different, critical; EU scope not established. This is a provisional connection, not an outcome finding.</w:t>
      </w:r>
    </w:p>
    <w:p>
      <w:pPr>
        <w:pStyle w:val="SourceNote"/>
      </w:pPr>
      <w:r>
        <w:rPr>
          <w:b/>
        </w:rPr>
        <w:t>Available abstract (not full text):</w:t>
      </w:r>
      <w:r>
        <w:t xml:space="preserve"> The Murray-Darling Basin (MDB) Plan, or simply ‘Basin Plan’, represents one of the world's largest returns from consumptive (irrigation) water extraction to environmental use. The Plan has been mired in controversy from when its first draft was burned by irrigators in 2010, and as such has been a source of extensive media reporting. Given the ability of journalism in both informing and influencing public debates, as well as the political deliberation process, we sought to understand the themes and representation of the Plan in media newspapers. This study analysed 6694 media articles referring to the Basin Plan, across 135 outlets, from 2008 to 2022. All articles were sentiment coded using four different natural language processing (NLP) models, with additional manual coding of randomly selected 552 articles. Three-quarters of the total articles were coded as negative using the best-fitting DistilBERT NLP sentiment analysis, while the manual coding suggested almost half were negative in tone. Both methods found that negative stories far outweighed positive stories, suggesting very little ‘balance’ in media Basin Plan reporting. A regression analysis found that rural media outlets were more likely to report negative MDB stories, and that the states of South Australia and Queensland were more likely to report positive stories. Themes of irrigator victimisation and community econo</w:t>
      </w:r>
    </w:p>
    <w:p>
      <w:pPr/>
      <w:r>
        <w:rPr>
          <w:b/>
        </w:rPr>
        <w:t>POSSIBLE 2024:</w:t>
      </w:r>
      <w:r>
        <w:t xml:space="preserve"> Single lateral implant for mandibular overdentures as a fallback solution or a viable treatment alternative: Four case reports — https://doi.org/10.1111/jopr.13841</w:t>
      </w:r>
    </w:p>
    <w:p>
      <w:pPr/>
      <w:r>
        <w:rPr>
          <w:b/>
        </w:rPr>
        <w:t>Shared claim-specific concepts:</w:t>
      </w:r>
      <w:r>
        <w:t xml:space="preserve"> reports, four, different, two; EU scope not established. This is a provisional connection, not an outcome finding.</w:t>
      </w:r>
    </w:p>
    <w:p>
      <w:pPr>
        <w:pStyle w:val="SourceNote"/>
      </w:pPr>
      <w:r>
        <w:rPr>
          <w:b/>
        </w:rPr>
        <w:t>Available abstract (not full text):</w:t>
      </w:r>
      <w:r>
        <w:t xml:space="preserve"> This report of four clinical cases aims to illustrate the use of a lateral implant as a solution for implant overdentures in the mandible in different clinical situations. The first two cases describe the clinical situations of patients wearing two-implant mandibular overdentures until the failure of one of the implants, one due to implant loss and the other due to a fracture of an abutment screw, and how the conditions were managed. The third case illustrates the placement of a single implant to retain an overdenture, where a midline implant, as originally planned, was not feasible due to anatomic reasons. The final case describes the use of a lateral implant to support and retain a single-implant mandibular overdenture. The four cases demonstrate that a single lateral implant can be utilized as sole retention in cases of a failing contra-lateral implant and as an alternative to a single implant in the midline.</w:t>
      </w:r>
    </w:p>
    <w:p>
      <w:pPr/>
      <w:r>
        <w:rPr>
          <w:b/>
        </w:rPr>
        <w:t>POSSIBLE 2024:</w:t>
      </w:r>
      <w:r>
        <w:t xml:space="preserve"> Perceived Motivators And Barriers To Facilitate Exercise Among Primary Care Clinic Patients — https://doi.org/10.1249/01.mss.0001058532.55230.b0</w:t>
      </w:r>
    </w:p>
    <w:p>
      <w:pPr/>
      <w:r>
        <w:rPr>
          <w:b/>
        </w:rPr>
        <w:t>Shared claim-specific concepts:</w:t>
      </w:r>
      <w:r>
        <w:t xml:space="preserve"> planning, exercise, four, healthcare, care; EU scope not established. This is a provisional connection, not an outcome finding.</w:t>
      </w:r>
    </w:p>
    <w:p>
      <w:pPr>
        <w:pStyle w:val="SourceNote"/>
      </w:pPr>
      <w:r>
        <w:rPr>
          <w:b/>
        </w:rPr>
        <w:t>Available abstract (not full text):</w:t>
      </w:r>
      <w:r>
        <w:t xml:space="preserve"> PURPOSE: To determine what patients’ needs are to facilitate regular exercise, including what they look for from their healthcare providers as well as their barriers and motivators to exercise. These are essential in implementing an effective intervention. METHODS: 371 patients (&gt;18 years) at four local primary care outpatient clinics completed an online anonymous survey consisting of 24 questions including demographics, medical conditions, IPAQ-short form, questions about exercise education by healthcare providers, and barriers and motivators to regular exercise. 268 complete responses were categorized into with chronic disease conditions (CC; n = 88) and without chronic disease conditions (NCC; n = 180) to compare how the needs and barriers to exercise differ. RESULTS: Survey respondents were mostly female (65%), Caucasian (92%), and with postsecondary education (86%). The most common perceived barriers to exercise were low motivation, low energy, and it takes too long. The most common perceived motivators to exercise were having a support system, planning and preparing for exercising in advance, having a partner to exercise with, tracking progress, and positive verbal affirmations. Most in both groups (98%) agreed exercise will improve their health. While the amount of physical activity and sitting hours were similar between groups, fewer CC (53%) believed they participated </w:t>
      </w:r>
    </w:p>
    <w:p>
      <w:pPr>
        <w:pStyle w:val="Heading2"/>
      </w:pPr>
      <w:r>
        <w:t>933. Future prospects for personal security in travel by public transport</w:t>
      </w:r>
    </w:p>
    <w:p>
      <w:pPr>
        <w:pStyle w:val="SourceNote"/>
      </w:pPr>
      <w:r>
        <w:rPr>
          <w:b/>
        </w:rPr>
        <w:t>Original source (2014):</w:t>
      </w:r>
      <w:r>
        <w:t xml:space="preserve"> https://doi.org/10.1080/03081060.2014.976980</w:t>
      </w:r>
    </w:p>
    <w:p>
      <w:pPr/>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POSSIBLE 2026:</w:t>
      </w:r>
      <w:r>
        <w:t xml:space="preserve"> The Tension of Retention and Retirement: A Narrative Study of Full-Time Nursing Faculty Within Five Years of Retirement at Public, Four-Year Institutions in Texas — https://openalex.org/W7221400456</w:t>
      </w:r>
    </w:p>
    <w:p>
      <w:pPr/>
      <w:r>
        <w:rPr>
          <w:b/>
        </w:rPr>
        <w:t>Shared claim-specific concepts:</w:t>
      </w:r>
      <w:r>
        <w:t xml:space="preserve"> four, each, narrative, pulled, themes; EU scope not established. This is a provisional connection, not an outcome finding.</w:t>
      </w:r>
    </w:p>
    <w:p>
      <w:pPr>
        <w:pStyle w:val="SourceNote"/>
      </w:pPr>
      <w:r>
        <w:rPr>
          <w:b/>
        </w:rPr>
        <w:t>Available abstract (not full text):</w:t>
      </w:r>
      <w:r>
        <w:t xml:space="preserve">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pPr/>
      <w:r>
        <w:rPr>
          <w:b/>
        </w:rPr>
        <w:t>POSSIBLE 2026:</w:t>
      </w:r>
      <w:r>
        <w:t xml:space="preserve"> Developing a patient narrative interview guide using the Delphi method — https://doi.org/10.1186/s12909-026-08795-7</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Illness narratives are commonly elicited through interviews using structured or semi-structured tools. With the growing emphasis on patient-centered care and narrative medicine, interview guides should integrate both illness narratives and personal life stories. Such integration helps balance the “voice of medicine” with the “voice of the lifeworld,” fostering more holistic, empathetic, and contextually grounded communication between healthcare professionals and patients. Building on this perspective and the growing need in medical education, this study aimed to develop and validate a patient narrative interview tool and to evaluate its feasibility and usability through a pilot study. A preliminary version of the Patient Narrative Interview Guide (PNIG) was developed using a modified Delphi process and refined through three iterative rounds of consultation with 11 experts in narrative medicine, medical humanities, and medical education. Following expert consensus, three senior medical students each conducted a trial interview with a volunteer patient using the finalized guide. Feedback from students and patients was collected and analyzed using editorial analysis to explore perceptions of the PNIG and the interview experience, and to identify potential areas for improvement. The study produced a 26-item PNIG organized within a 3 × 4 multidimensional framework, comprising three </w:t>
      </w:r>
    </w:p>
    <w:p>
      <w:pPr/>
      <w:r>
        <w:rPr>
          <w:b/>
        </w:rPr>
        <w:t>POSSIBLE 2026:</w:t>
      </w:r>
      <w:r>
        <w:t xml:space="preserve"> PRACTICAL APPROACHES TO DEVELOPING CREATIVE THINKING IN PRESCHOOL CHILDREN: A NARRATIVE REVIEW — https://doi.org/10.5281/zenodo.23090972</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This thesis reviews practical approaches to developing creative thinking in preschool children (about 3–6 years old). Drawing on early childhood guidance, two practitioner articles and a recent pilot study, it describes four approaches: guided pretend play, open-ended materials and process art, dialogic storytelling, and small inquiry projects. Each gives children a chance to propose varied ideas, adapt plans and explain choices through play. Based on these practices, a four-step classroom cycle is proposed: ask, explore, share, revise. Brief observations of talk, gestures, drawings and changes of plan can guide the next activity. The paper is a narrative review; it reports no original intervention or child-level data and makes no claim about measured effectiveness.</w:t>
      </w:r>
    </w:p>
    <w:p>
      <w:pPr/>
      <w:r>
        <w:rPr>
          <w:b/>
        </w:rPr>
        <w:t>POSSIBLE 2026:</w:t>
      </w:r>
      <w:r>
        <w:t xml:space="preserve"> Dreams, Narrative, and Liminal Cognition — https://doi.org/10.1093/oso/9780198878117.001.0001</w:t>
      </w:r>
    </w:p>
    <w:p>
      <w:pPr/>
      <w:r>
        <w:rPr>
          <w:b/>
        </w:rPr>
        <w:t>Shared claim-specific concepts:</w:t>
      </w:r>
      <w:r>
        <w:t xml:space="preserve"> four, time, narrative, key; EU scope not established. This is a provisional connection, not an outcome finding.</w:t>
      </w:r>
    </w:p>
    <w:p>
      <w:pPr>
        <w:pStyle w:val="SourceNote"/>
      </w:pPr>
      <w:r>
        <w:rPr>
          <w:b/>
        </w:rPr>
        <w:t>Available abstract (not full text):</w:t>
      </w:r>
      <w:r>
        <w:t xml:space="preserve"> Abstract Despite the universal nature and significance of dreaming, the psychological sciences have had a historically uneasy relationship with dreams as a topic of study. The past three decades, however, have seen this wheel turn again, with advances in cognitive research provoking a reawakening of sorts. Such research is provoking new questions not just about dreaming but also its relevance for consciousness, the self, social cognition, and our relationship with reality. This introduction outlines how the volume aims at answering these questions by grouping them under four key clusters (narrativity, permeability, immersivity, and reportability), in an interdisciplinary framework encompassing not just the psychological sciences but the full breadth of the arts, humanities, and social sciences. It also contextualizes this volume within the history of an interdisciplinary project at Durham University, Threshold Worlds: Dreams, Narrative, and Liminal Cognition, which was an incubator for the ideas and directions that structure the volume. The project included the design and implementation of a novel interdisciplinary survey, which is reported for the first time in this volume, including reflections and analysis from several of the contributing authors.</w:t>
      </w:r>
    </w:p>
    <w:p>
      <w:pPr/>
      <w:r>
        <w:rPr>
          <w:b/>
        </w:rPr>
        <w:t>POSSIBLE 2026:</w:t>
      </w:r>
      <w:r>
        <w:t xml:space="preserve"> A classification of articular cartilage grafting and regeneration developed using an artificial intelligence narrative review — https://doi.org/10.1016/j.jcjp.2026.100317</w:t>
      </w:r>
    </w:p>
    <w:p>
      <w:pPr/>
      <w:r>
        <w:rPr>
          <w:b/>
        </w:rPr>
        <w:t>Shared claim-specific concepts:</w:t>
      </w:r>
      <w:r>
        <w:t xml:space="preserve"> developed, each, application, final, consolidated, narrative; EU scope not established. This is a provisional connection, not an outcome finding.</w:t>
      </w:r>
    </w:p>
    <w:p>
      <w:pPr>
        <w:pStyle w:val="SourceNote"/>
      </w:pPr>
      <w:r>
        <w:rPr>
          <w:b/>
        </w:rPr>
        <w:t>Available abstract (not full text):</w:t>
      </w:r>
      <w:r>
        <w:t xml:space="preserve"> Introduction Cartilage grafting, in contrast to bone grafting, lacks a standardized classification system. We hypothesized that a robust classification system for cartilage grafts could be developed effectively with artificial intelligence (AI)-assistance. Objectives To synthesize properties identified through an AI-augmented narrative review and thereby generate a classification of cartilage grafting techniques. Methods Twenty-four cartilage-related search terms were identified by the authors based on their clinical experience. These terms were used to query 6 large language models. Each AI was prompted to list properties relevant to cartilage grafts, based on its determination of what published researchers have reported. The resulting properties were consolidated by the authors and then submitted to the AIs for suggestions to name the properties, using Greek-based roots to describe each property. The output was synthesized by the authors into a final 5-category system. Results A classification with 5 primary categories of cartilage graft properties was devised. The categories were as follows: providing load-bearing and force-dissipating capacity (termed "chondrodynamic"); providing a smooth and resilient surface ("chondrolissic"); filling the defect volume ("chondroplerotic"); integrating with defect margins ("chondrosyndetic"); and supporting cellular activity ("chondrobioti</w:t>
      </w:r>
    </w:p>
    <w:p>
      <w:pPr/>
      <w:r>
        <w:rPr>
          <w:b/>
        </w:rPr>
        <w:t>POSSIBLE 2026:</w:t>
      </w:r>
      <w:r>
        <w:t xml:space="preserve"> The next episode for narrative foresight — https://doi.org/10.1016/j.futures.2026.103876</w:t>
      </w:r>
    </w:p>
    <w:p>
      <w:pPr/>
      <w:r>
        <w:rPr>
          <w:b/>
        </w:rPr>
        <w:t>Shared claim-specific concepts:</w:t>
      </w:r>
      <w:r>
        <w:t xml:space="preserve"> four, narratives, developed, each, workshop, narrative;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Building Therapeutic Alliances in Aphasia Rehabilitation: Developing Relational Competencies Through Narrative Practice — https://doi.org/10.1055/a-2845-0475</w:t>
      </w:r>
    </w:p>
    <w:p>
      <w:pPr/>
      <w:r>
        <w:rPr>
          <w:b/>
        </w:rPr>
        <w:t>Shared claim-specific concepts:</w:t>
      </w:r>
      <w:r>
        <w:t xml:space="preserve"> four, developed, each, narrative, themes, practice; EU scope not established. This is a provisional connection, not an outcome finding.</w:t>
      </w:r>
    </w:p>
    <w:p>
      <w:pPr>
        <w:pStyle w:val="SourceNote"/>
      </w:pPr>
      <w:r>
        <w:rPr>
          <w:b/>
        </w:rPr>
        <w:t>Available abstract (not full text):</w:t>
      </w:r>
      <w:r>
        <w:t xml:space="preserve"> Objective: This study explored how graduate clinicians developed relational competencies while facilitating the My Story Project, an evidence-based narrative intervention in which clinicians support people with aphasia to co-construct personal life stories. Methods: Using reflexive thematic analysis, focus group data from 11 graduate students in speech-language pathology who served as story coaches were analyzed. Each coach facilitated weekly virtual story co-construction sessions with one person with aphasia during a clinical practicum. Coaches received training in the relationship between narrative and identity, and person-centered principles, including the PULSE framework. Focus groups explored their experiences. Results: Four interconnected themes characterized coaches' development: Opening Space for Stories (embracing uncertainty, creating safe environments), Discovering Their Story (seeing beyond diagnosis, recognizing the whole person), Holding Space for Emotion (remaining present during emotional vulnerability), and Building Story Partnerships (co-constructing authentic relationships). Themes captured both the relational competencies coaches developed and how they emerged through authentic relationships with people with aphasia. Conclusion: Relational competencies essential for person-centered aphasia rehabilitation-including building therapeutic alliances, addressing p</w:t>
      </w:r>
    </w:p>
    <w:p>
      <w:pPr/>
      <w:r>
        <w:rPr>
          <w:b/>
        </w:rPr>
        <w:t>POSSIBLE 2026:</w:t>
      </w:r>
      <w:r>
        <w:t xml:space="preserve"> The Narrative Field Hypothesis: Four Engines of Agency — Choice, Belief, Narrative, and Grounding as Determinants of Individual and Systemic Outcomes — https://doi.org/10.5281/zenodo.20064264</w:t>
      </w:r>
    </w:p>
    <w:p>
      <w:pPr/>
      <w:r>
        <w:rPr>
          <w:b/>
        </w:rPr>
        <w:t>Shared claim-specific concepts:</w:t>
      </w:r>
      <w:r>
        <w:t xml:space="preserve"> four, narratives, time, each, narrative; EU scope not established. This is a provisional connection, not an outcome finding.</w:t>
      </w:r>
    </w:p>
    <w:p>
      <w:pPr>
        <w:pStyle w:val="SourceNote"/>
      </w:pPr>
      <w:r>
        <w:rPr>
          <w:b/>
        </w:rPr>
        <w:t>Available abstract (not full text):</w:t>
      </w:r>
      <w:r>
        <w:t xml:space="preserve"> This interdisciplinary theoretical paper introduces the Narrative Field Hypothesis (NFH), an integrative framework proposing that human agency emerges through the interaction of four interconnected domains: choice, belief, narrative, and grounding. Drawing from cognitive neuroscience, psychology, mindfulness research, narrative identity theory, and network science, the paper argues that these domains function together as reinforcing systems shaping behavioral trajectories, emotional regulation, and systemic resilience.The framework organizes these domains into four functional roles: the Director (choice and executive control), the Architect (belief and expectancy effects), the Author (narrative construction and identity formation), and the Conductor (grounding and attentional regulation). Rather than proposing metaphysical mechanisms, the paper situates each component within established empirical research involving executive function, placebo and expectancy effects, narrative identity, mindfulness, and default mode network regulation.A major focus of the study is the interaction between these systems. The paper argues that decision-making reinforced by expectation, coherent narrative identity, and attentional regulation may create positive feedback loops that stabilize cognition, improve emotional regulation, and increase behavioral coherence over time. The framework emphasizes</w:t>
      </w:r>
    </w:p>
    <w:p>
      <w:pPr/>
      <w:r>
        <w:rPr>
          <w:b/>
        </w:rPr>
        <w:t>POSSIBLE 2026:</w:t>
      </w:r>
      <w:r>
        <w:t xml:space="preserve"> The Ontology of Fiction: From Reality-Preserving Narrative to Reality-Dissolving Imagination — https://doi.org/10.5281/zenodo.19793558</w:t>
      </w:r>
    </w:p>
    <w:p>
      <w:pPr/>
      <w:r>
        <w:rPr>
          <w:b/>
        </w:rPr>
        <w:t>Shared claim-specific concepts:</w:t>
      </w:r>
      <w:r>
        <w:t xml:space="preserve"> four, developed, each, narrative; EU scope not established. This is a provisional connection, not an outcome finding.</w:t>
      </w:r>
    </w:p>
    <w:p>
      <w:pPr>
        <w:pStyle w:val="SourceNote"/>
      </w:pPr>
      <w:r>
        <w:rPr>
          <w:b/>
        </w:rPr>
        <w:t>Available abstract (not full text):</w:t>
      </w:r>
      <w:r>
        <w:t xml:space="preserve"> Fiction has long been treated under a binary that fails it: true or false, real or unreal, factual or invented. This paper argues that fiction is more adequately understood as a graded ontology of reality-disclosure. Drawing on phenomenology, possible-worlds theory, and the disclosure framework developed in earlier work, I propose a five-mode continuum running from reality-preserving narrative through reality-reconstruction, reality-transformation, and reality-suspension to reality-dissolving imagination. The five modes are not asserted as a typology but derived from a single structural principle: the conditions of intelligibility of a lived world can be subjected to graded narrative pressure across four parameters—physical-causal, biological-psychological, socio-institutional, and logico-modal—and the five modes are the characteristic regions of pressure on these parameters. Each mode names a different relation between the narrated world and the lived world, and a different kind of access to reality that fiction makes available to consciousness. The continuum is not a typology of genres but an ontological grammar: a way of asking, of any narrative, what mode of reality it discloses, what conditions of intelligibility it preserves or alters, and what cognitive comportment it solicits from the reader. The paper distinguishes its disclosure-theoretic approach sharply from possibl</w:t>
      </w:r>
    </w:p>
    <w:p>
      <w:pPr/>
      <w:r>
        <w:rPr>
          <w:b/>
        </w:rPr>
        <w:t>POSSIBLE 2026:</w:t>
      </w:r>
      <w:r>
        <w:t xml:space="preserve"> When the Past Cannot Be Narrated Experience, Trace, Memory, and the Emergence of Narrative — https://doi.org/10.5281/zenodo.23126385</w:t>
      </w:r>
    </w:p>
    <w:p>
      <w:pPr/>
      <w:r>
        <w:rPr>
          <w:b/>
        </w:rPr>
        <w:t>Shared claim-specific concepts:</w:t>
      </w:r>
      <w:r>
        <w:t xml:space="preserve"> four, time, narrative, key; EU scope not established. This is a provisional connection, not an outcome finding.</w:t>
      </w:r>
    </w:p>
    <w:p>
      <w:pPr>
        <w:pStyle w:val="SourceNote"/>
      </w:pPr>
      <w:r>
        <w:rPr>
          <w:b/>
        </w:rPr>
        <w:t>Available abstract (not full text):</w:t>
      </w:r>
      <w:r>
        <w:t xml:space="preserve"> Abstract: The philosophical study of memory often begins from the assumption that a past event is either remembered or forgotten. This article proposes a more differentiated account of the relation between past experience and its subsequent articulation. A person may have lived through events, retain effects of those events, and remain affected by them while lacking a narratively organized access to the corresponding past. The article develops a four-level conceptual distinction among experience, trace, memory, and narrative. Experience designates the occurrence of something in lived time. A trace designates a modification or remainder produced by that occurrence. Memory designates the recognition or retrieval of something as belonging to the past. Narrative designates the temporal and semantic organization through which remembered elements become intelligibly related. These distinctions establish a further difference between the passage of time and the narratability of time. Chronological succession can occur without producing an accessible autobiographical sequence. The article then examines the figure of the empty diary as a phenomenological model of a past whose events remain inaccessible to narrative organization. The central paradox emerges when the recognition of an inability to narrate becomes itself narratable. The statement “I have nothing to narrate” can therefore in</w:t>
      </w:r>
    </w:p>
    <w:p>
      <w:pPr/>
      <w:r>
        <w:rPr>
          <w:b/>
        </w:rPr>
        <w:t>POSSIBLE 2025:</w:t>
      </w:r>
      <w:r>
        <w:t xml:space="preserve"> The Early Narratives — https://doi.org/10.5117/9789089648235_ch02</w:t>
      </w:r>
    </w:p>
    <w:p>
      <w:pPr/>
      <w:r>
        <w:rPr>
          <w:b/>
        </w:rPr>
        <w:t>Shared claim-specific concepts:</w:t>
      </w:r>
      <w:r>
        <w:t xml:space="preserve"> four, narratives, each, final, narrative, issues; EU scope not established. This is a provisional connection, not an outcome finding.</w:t>
      </w:r>
    </w:p>
    <w:p>
      <w:pPr>
        <w:pStyle w:val="SourceNote"/>
      </w:pPr>
      <w:r>
        <w:rPr>
          <w:b/>
        </w:rPr>
        <w:t>Available abstract (not full text):</w:t>
      </w:r>
      <w:r>
        <w:t xml:space="preserve"> This chapter will analyse the structures of Paul’s first three narratives i.e. the HR , the Vita Sancti Gregorii Magni , and the Gesta Episcoporum Mettensium as a prelude to a lengthier examination and discussion of the HL . Examining these three works will allow us to not only understand Paul’s development as a writer and a historian, but also help us to understand how he put together his lengthiest and most important final work, the HL . For each of the three early narratives, we shall consider four principal issues: first, can a common narrative strategy be identified; secondly, do the works demonstrate evidence of Paul’s approach to events and individuals; thirdly, did Paul develop his own voice in his works or remain bound to the restrictions implied by his client relationship with patrons; and fourthly how did he use and select his sources?</w:t>
      </w:r>
    </w:p>
    <w:p>
      <w:pPr/>
      <w:r>
        <w:rPr>
          <w:b/>
        </w:rPr>
        <w:t>POSSIBLE 2025:</w:t>
      </w:r>
      <w:r>
        <w:t xml:space="preserve"> Entrepreneurial Narratives in Diverse Spaces — https://doi.org/10.4324/9781003585879-3</w:t>
      </w:r>
    </w:p>
    <w:p>
      <w:pPr/>
      <w:r>
        <w:rPr>
          <w:b/>
        </w:rPr>
        <w:t>Shared claim-specific concepts:</w:t>
      </w:r>
      <w:r>
        <w:t xml:space="preserve"> four, narratives, developed, each, key; EU scope not established. This is a provisional connection, not an outcome finding.</w:t>
      </w:r>
    </w:p>
    <w:p>
      <w:pPr>
        <w:pStyle w:val="SourceNote"/>
      </w:pPr>
      <w:r>
        <w:rPr>
          <w:b/>
        </w:rPr>
        <w:t>Available abstract (not full text):</w:t>
      </w:r>
      <w:r>
        <w:t xml:space="preserve"> This chapter presents comprehensive narratives of four prominent private tutoring entrepreneurs, developed from in-depth case studies that trace their journeys. Each entrepreneur’s story is shared in chronological order, capturing key events and interactions within varied social cognitive spaces. Participants in these narratives include the founders, their guanxi contacts, employees, and influential gatekeepers, all of whom contribute to the intricate fabric of each business’s evolution. Data was collected through a combination of in-depth interviews, informal conversations, and extensive field observations for approximately two years, with all participant identities protected through pseudonyms to ensure confidentiality. Each case serves as a unique example of social integration, reflecting the multiple social cognitive spaces navigated by these entrepreneurs. Through life-story lines and graphic representations of social configurations, these narratives illustrate how each founder’s network, strategic alliances, and personal agency shaped their enterprise. Together, these case studies offer a detailed look at the role of guanxi in entrepreneurial success within the private tutoring industry.</w:t>
      </w:r>
    </w:p>
    <w:p>
      <w:pPr>
        <w:pStyle w:val="Heading2"/>
      </w:pPr>
      <w:r>
        <w:t>934. How climate, migration ability and habitat fragmentation affect the projected future distribution of European beech</w:t>
      </w:r>
    </w:p>
    <w:p>
      <w:pPr>
        <w:pStyle w:val="SourceNote"/>
      </w:pPr>
      <w:r>
        <w:rPr>
          <w:b/>
        </w:rPr>
        <w:t>Original source (2014):</w:t>
      </w:r>
      <w:r>
        <w:t xml:space="preserve"> https://doi.org/10.1111/gcb.12771</w:t>
      </w:r>
    </w:p>
    <w:p>
      <w:pPr/>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POSSIBLE 2026:</w:t>
      </w:r>
      <w:r>
        <w:t xml:space="preserve"> Marine fish ranges are expanding and shifting deeper across the European continental shelf — https://doi.org/10.1038/s41467-026-74371-8</w:t>
      </w:r>
    </w:p>
    <w:p>
      <w:pPr/>
      <w:r>
        <w:rPr>
          <w:b/>
        </w:rPr>
        <w:t>Shared claim-specific concepts:</w:t>
      </w:r>
      <w:r>
        <w:t xml:space="preserve"> here, range, over, population, climate, distribution; EU scope visible. This is a provisional connection, not an outcome finding.</w:t>
      </w:r>
    </w:p>
    <w:p>
      <w:pPr>
        <w:pStyle w:val="SourceNote"/>
      </w:pPr>
      <w:r>
        <w:rPr>
          <w:b/>
        </w:rPr>
        <w:t>Available abstract (not full text):</w:t>
      </w:r>
      <w:r>
        <w:t xml:space="preserve">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here, century, climate, result;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2026:</w:t>
      </w:r>
      <w:r>
        <w:t xml:space="preserve"> Surrogate Modelling of Range Shift Dynamics — https://doi.org/10.2139/ssrn.7428748</w:t>
      </w:r>
    </w:p>
    <w:p>
      <w:pPr/>
      <w:r>
        <w:rPr>
          <w:b/>
        </w:rPr>
        <w:t>Shared claim-specific concepts:</w:t>
      </w:r>
      <w:r>
        <w:t xml:space="preserve"> range, shift, dynamics;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Violent competitions over human rights and universalism: Europe and North Africa in the long 19th century — https://doi.org/10.1177/00472441261491842</w:t>
      </w:r>
    </w:p>
    <w:p>
      <w:pPr/>
      <w:r>
        <w:rPr>
          <w:b/>
        </w:rPr>
        <w:t>Shared claim-specific concepts:</w:t>
      </w:r>
      <w:r>
        <w:t xml:space="preserve"> here, over, century; EU scope visible. This is a provisional connection, not an outcome finding.</w:t>
      </w:r>
    </w:p>
    <w:p>
      <w:pPr>
        <w:pStyle w:val="SourceNote"/>
      </w:pPr>
      <w:r>
        <w:rPr>
          <w:b/>
        </w:rPr>
        <w:t>Available abstract (not full text):</w:t>
      </w:r>
      <w:r>
        <w:t xml:space="preserve"> Based on cases from the history of North Africa, the main approach here is to consider Europe in the long 19th century – from the second half of the 18th century to the interwar period – as a place that claims not only to be the cradle of universal values and human rights but also as a place that attempts to monopolise what these so-called universal values and rights were by determining to whom these rights applied. The second section of the article aims to demonstrate that this European and, above all, French claim to formulate and embody universal rights, despite originating violent processes of domination, has been contested in various ways across North Africa.</w:t>
      </w:r>
    </w:p>
    <w:p>
      <w:pPr/>
      <w:r>
        <w:rPr>
          <w:b/>
        </w:rPr>
        <w:t>POSSIBLE 2026:</w:t>
      </w:r>
      <w:r>
        <w:t xml:space="preserve"> Habitat-specific trends in taxonomic, functional, and phylogenetic diversity in European plant communities over a century — https://doi.org/10.1038/s41467-026-72112-5</w:t>
      </w:r>
    </w:p>
    <w:p>
      <w:pPr/>
      <w:r>
        <w:rPr>
          <w:b/>
        </w:rPr>
        <w:t>Shared claim-specific concepts:</w:t>
      </w:r>
      <w:r>
        <w:t xml:space="preserve"> here, over, century; EU scope visible. This is a provisional connection, not an outcome finding.</w:t>
      </w:r>
    </w:p>
    <w:p>
      <w:pPr>
        <w:pStyle w:val="SourceNote"/>
      </w:pPr>
      <w:r>
        <w:rPr>
          <w:b/>
        </w:rPr>
        <w:t>Available abstract (not full text):</w:t>
      </w:r>
      <w:r>
        <w:t xml:space="preserve"> Despite widespread concern over global biodiversity loss, the balance between gains and losses within local plant communities remains contentious, largely due to a scarcity of integrative, long-term and large-scale analyses across different habitats and multiple facets of biodiversity. Here, we analyse 57,390 vegetation-plot time series of vascular plants across Europe to quantify the average and habitat-specific trends in taxonomic, functional, phylogenetic, and gamma diversity, alongside with changes in threatened Red List, non-native, and specialist versus generalist species. We find that, over the last 100 years, plant communities gained on average 0.7% in vegetation cover and 0.2% in species number per year, associated with gains in functional and phylogenetic diversity, non-native, Red List, and generalist species. Diversity changes are most pronounced in mire and wetland communities. Differences among habitat types and habitat-change trajectory (stable, successional, disturbed), together with the most recent observation year, explain 2.1%-36.6% of the variation in diversity trends. Habitat-specific gamma diversity showed no general trends and only increased in stable grasslands and successional sparsely vegetated habitats. By integrating habitat types and change trajectories, we reconcile some of the conflicting narratives on local biodiversity change in favour of a more</w:t>
      </w:r>
    </w:p>
    <w:p>
      <w:pPr/>
      <w:r>
        <w:rPr>
          <w:b/>
        </w:rPr>
        <w:t>POSSIBLE 2026:</w:t>
      </w:r>
      <w:r>
        <w:t xml:space="preserve"> Spatial Patterns of Soil Properties Affect Potential Range Shifts of Temperate Forest Biodiversity Under Climate Change — https://doi.org/10.1002/gcb4.70048</w:t>
      </w:r>
    </w:p>
    <w:p>
      <w:pPr/>
      <w:r>
        <w:rPr>
          <w:b/>
        </w:rPr>
        <w:t>Shared claim-specific concepts:</w:t>
      </w:r>
      <w:r>
        <w:t xml:space="preserve"> here, range, shift, sdm, migration, climate; EU scope visible. This is a provisional connection, not an outcome finding.</w:t>
      </w:r>
    </w:p>
    <w:p>
      <w:pPr>
        <w:pStyle w:val="SourceNote"/>
      </w:pPr>
      <w:r>
        <w:rPr>
          <w:b/>
        </w:rPr>
        <w:t>Available abstract (not full text):</w:t>
      </w:r>
      <w:r>
        <w:t xml:space="preserve"> ABSTRACT Despite the importance of soil for the distribution of forest organisms, the influence of edaphic properties on species range shifts under climate change remains poorly understood at the regional level. Current biodiversity forecasts frequently rely on climate‐only models, potentially overlooking the edaphic dimension of species niches and overestimating migration potential. Climate‐driven species shifts along elevational and latitudinal gradients may be enhanced or hindered by edaphic properties. Here, we focused on predicting the potential range shifts of 2403 temperate forest species across multiple kingdoms and phyla (grouped as Tracheophytes, Bryophytes, Fungi and Lichens) under rcp 4.5 and 8.5 scenarios, integrating high‐resolution digital soil maps. We employed a hierarchical modelling approach, coupling continental‐scale climate models across Europe with high‐resolution regional models in Switzerland to account for the full climate niche of the species using Nested Species Distribution Models (N‐SDM). Our results demonstrate that edaphic properties are among the most important predictors for regional forest species distributions. The inclusion of soil variables consistently reduced suitable habitat across all taxa. This suggests that soil heterogeneity governs species distributions and range shifts across taxonomic and functional groups in line with their edaph</w:t>
      </w:r>
    </w:p>
    <w:p>
      <w:pPr/>
      <w:r>
        <w:rPr>
          <w:b/>
        </w:rPr>
        <w:t>POSSIBLE 2025:</w:t>
      </w:r>
      <w:r>
        <w:t xml:space="preserve"> Taxus tree-ring chronologies from southern England reveal western European hydroclimate changes over the past three centuries — https://doi.org/10.1007/s00382-025-07601-2</w:t>
      </w:r>
    </w:p>
    <w:p>
      <w:pPr/>
      <w:r>
        <w:rPr>
          <w:b/>
        </w:rPr>
        <w:t>Shared claim-specific concepts:</w:t>
      </w:r>
      <w:r>
        <w:t xml:space="preserve"> here, range, over, century, climate; EU scope visible. This is a provisional connection, not an outcome finding.</w:t>
      </w:r>
    </w:p>
    <w:p>
      <w:pPr>
        <w:pStyle w:val="SourceNote"/>
      </w:pPr>
      <w:r>
        <w:rPr>
          <w:b/>
        </w:rPr>
        <w:t>Available abstract (not full text):</w:t>
      </w:r>
      <w:r>
        <w:t xml:space="preserve"> Abstract Heatwaves and summer droughts across Europe are likely to intensify under anthropogenic global warming thereby affecting ecological and societal systems. To place modern trends and extremes in the context of past natural variability, annually resolved and absolutely dated climate reconstructions are needed. Here, we present a network of 153 yew (Taxus baccata L.) tree-ring width (TRW) series from 22 sites in southern England that cover the past 310 years. Significant positive correlations were found between TRW chronologies and both April–July precipitation totals (r &gt; 0.7) and July drought indices (r &gt; 0.59) back to 1901 CE (p &lt; 0.05). We used a suite of residual and standard TRW chronologies to reconstruct interannual to multi-decadal spring–summer precipitation and mid-summer drought variability over western Europe, respectively. Our yew hydroclimate reconstructions capture the majority of reported summer droughts and pluvials back to 1710 CE. Clusters of severe drought spells occurred in the second half of the 18th and mid-twentieth century. Our study suggests that the frequency and intensity of recent hydroclimate extremes over western Europe are likely still within the range of past natural variability.</w:t>
      </w:r>
    </w:p>
    <w:p>
      <w:pPr/>
      <w:r>
        <w:rPr>
          <w:b/>
        </w:rPr>
        <w:t>POSSIBLE 2025:</w:t>
      </w:r>
      <w:r>
        <w:t xml:space="preserve"> Paleorecords Reveal Biological Mechanisms Crucial for Reliable Species Range Shift Projections Amid Rapid Climate Change — https://doi.org/10.1111/ele.70080</w:t>
      </w:r>
    </w:p>
    <w:p>
      <w:pPr/>
      <w:r>
        <w:rPr>
          <w:b/>
        </w:rPr>
        <w:t>Shared claim-specific concepts:</w:t>
      </w:r>
      <w:r>
        <w:t xml:space="preserve"> here, range, shift, over, century, climate; EU scope visible. This is a provisional connection, not an outcome finding.</w:t>
      </w:r>
    </w:p>
    <w:p>
      <w:pPr>
        <w:pStyle w:val="SourceNote"/>
      </w:pPr>
      <w:r>
        <w:rPr>
          <w:b/>
        </w:rPr>
        <w:t>Available abstract (not full text):</w:t>
      </w:r>
      <w:r>
        <w:t xml:space="preserve"> The recent acceleration of global climate warming has created an urgent need for reliable projections of species distributions, widely used by natural resource managers. Such projections have been mainly produced by species distribution models with little information on their performances in novel climates. Here, we hindcast the range shifts of forest tree species across Europe over the last 12,000 years to compare the reliability of three different types of models. We show that in the most climatically dissimilar conditions, process-explicit models (PEMs) tend to outperform correlative species distribution models (CSDMs), and that PEM projections are likely to be more reliable than those made with CSDMs by the end of the 21st century. These results demonstrate for the first time the often promoted albeit so far untested idea that explicit description of mechanisms confers model robustness, and highlight a new avenue to increase model projection reliability in the future.</w:t>
      </w:r>
    </w:p>
    <w:p>
      <w:pPr/>
      <w:r>
        <w:rPr>
          <w:b/>
        </w:rPr>
        <w:t>POSSIBLE 2024:</w:t>
      </w:r>
      <w:r>
        <w:t xml:space="preserve"> Unexpected westward range shifts in European forest plants link to nitrogen deposition — https://doi.org/10.1126/science.ado0878</w:t>
      </w:r>
    </w:p>
    <w:p>
      <w:pPr/>
      <w:r>
        <w:rPr>
          <w:b/>
        </w:rPr>
        <w:t>Shared claim-specific concepts:</w:t>
      </w:r>
      <w:r>
        <w:t xml:space="preserve"> here, range, dynamics, climate, distribution; EU scope visible. This is a provisional connection, not an outcome finding.</w:t>
      </w:r>
    </w:p>
    <w:p>
      <w:pPr>
        <w:pStyle w:val="SourceNote"/>
      </w:pPr>
      <w:r>
        <w:rPr>
          <w:b/>
        </w:rPr>
        <w:t>Available abstract (not full text):</w:t>
      </w:r>
      <w:r>
        <w:t xml:space="preserve">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pPr/>
      <w:r>
        <w:rPr>
          <w:b/>
        </w:rPr>
        <w:t>POSSIBLE 2024:</w:t>
      </w:r>
      <w:r>
        <w:t xml:space="preserve"> Range and climate niche shifts in European and North American breeding birds — https://doi.org/10.1098/rstb.2023.0013</w:t>
      </w:r>
    </w:p>
    <w:p>
      <w:pPr/>
      <w:r>
        <w:rPr>
          <w:b/>
        </w:rPr>
        <w:t>Shared claim-specific concepts:</w:t>
      </w:r>
      <w:r>
        <w:t xml:space="preserve"> here, range, dynamics, two, climate, land;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2024:</w:t>
      </w:r>
      <w:r>
        <w:t xml:space="preserve"> Transnational conservation to anticipate future plant shifts in Europe — https://doi.org/10.1038/s41559-023-02287-3</w:t>
      </w:r>
    </w:p>
    <w:p>
      <w:pPr/>
      <w:r>
        <w:rPr>
          <w:b/>
        </w:rPr>
        <w:t>Shared claim-specific concepts:</w:t>
      </w:r>
      <w:r>
        <w:t xml:space="preserve"> here, shift, migration, one, land, distribution; EU scope visible. This is a provisional connection, not an outcome finding.</w:t>
      </w:r>
    </w:p>
    <w:p>
      <w:pPr>
        <w:pStyle w:val="SourceNote"/>
      </w:pPr>
      <w:r>
        <w:rPr>
          <w:b/>
        </w:rPr>
        <w:t>Available abstract (not full text):</w:t>
      </w:r>
      <w:r>
        <w:t xml:space="preserve"> To meet the COP15 biodiversity framework in the European Union (EU), one target is to protect 30% of its land by 2030 through a resilient transnational conservation network. The European Alps are a key hub of this network hosting some of the most extensive natural areas and biodiversity hotspots in Europe. Here we assess the robustness of the current European reserve network to safeguard the European Alps' flora by 2080 using semi-mechanistic simulations. We first highlight that the current network needs strong readjustments as it does not capture biodiversity patterns as well as our conservation simulations. Overall, we predict a strong shift in conservation need through time along latitudes, and from lower to higher elevations as plants migrate upslope and shrink their distribution. While increasing species, trait and evolutionary diversity, migration could also threaten 70% of the resident flora. In the face of global changes, the future European reserve network will need to ensure strong elevation and latitudinal connections to complementarily protect multifaceted biodiversity beyond national borders.</w:t>
      </w:r>
    </w:p>
    <w:p>
      <w:pPr/>
      <w:r>
        <w:rPr>
          <w:b/>
        </w:rPr>
        <w:t>POSSIBLE 2024:</w:t>
      </w:r>
      <w:r>
        <w:t xml:space="preserve"> Range-shift of a European moth into urban habitats is detected by social media data but not traditional monitoring — https://doi.org/10.22541/au.172114729.94291403/v1</w:t>
      </w:r>
    </w:p>
    <w:p>
      <w:pPr/>
      <w:r>
        <w:rPr>
          <w:b/>
        </w:rPr>
        <w:t>Shared claim-specific concepts:</w:t>
      </w:r>
      <w:r>
        <w:t xml:space="preserve"> range, two, climate; EU scope visible. This is a provisional connection, not an outcome finding.</w:t>
      </w:r>
    </w:p>
    <w:p>
      <w:pPr>
        <w:pStyle w:val="SourceNote"/>
      </w:pPr>
      <w:r>
        <w:rPr>
          <w:b/>
        </w:rPr>
        <w:t>Available abstract (not full text):</w:t>
      </w:r>
      <w:r>
        <w:t xml:space="preserve"> As the world’s climate changes, species are undergoing range shifts. Range shifts are generally documented using databases such as the Global Biodiversity Information Facility (GBIF), which largely contain data from monitoring schemes and wildlife surveys. Such databases have two major limitations: i) data may be spatially biased because traditionally surveyed areas are in rural habitats, ii) there is a time lag between data collection and assimilation into GBIF, which means rapid range shifts cannot be tracked. Alternative data sources, such as social media, could provide information on species distributions and range shifts that compensate for spatial biases in GBIF records because social media data may be collected outside traditional surveyed areas. Such data are also usually shared online immediately after a wildlife sighting. The complementarity of GBIF and social media data, however, has rarely been assessed, particularly when tracking range shifts. Despite their potential utility, social media data may be particularly prone to temporary trends or geographic variation in behaviour that are not understood. We lack tools with which to counter these biases. To address these knowledge gaps, we compare the habitat usage revealed by biological records of the Jersey tiger moth from GBIF and from multiple social media data sources (Instagram, iNaturalist, and Flickr). We develop</w:t>
      </w:r>
    </w:p>
    <w:p>
      <w:pPr>
        <w:pStyle w:val="Heading2"/>
      </w:pPr>
      <w:r>
        <w:t>935. Including the temporal change in PM2.5 concentration in the assessment of human health impact: Illustration with renewable energy scenarios to 2050</w:t>
      </w:r>
    </w:p>
    <w:p>
      <w:pPr>
        <w:pStyle w:val="SourceNote"/>
      </w:pPr>
      <w:r>
        <w:rPr>
          <w:b/>
        </w:rPr>
        <w:t>Original source (2014):</w:t>
      </w:r>
      <w:r>
        <w:t xml:space="preserve"> https://doi.org/10.1016/j.eiar.2014.09.003</w:t>
      </w:r>
    </w:p>
    <w:p>
      <w:pPr/>
      <w:r>
        <w:t>Original wording (abstract; indexed_source_text_not_full_document_verified): Its capabilities are demonstrated for two pathways of European energy system development up to 2050: the Baseline (BL) and the Low Carbon, Maximum Renewable Power (LC-MRP). This article proposes a new method to assess the health impact of populations exposed to fine particles (PM2.5) during their whole lifetime, which is suitable for comparative analysis of energy scenarios.</w:t>
      </w:r>
    </w:p>
    <w:p>
      <w:pPr/>
      <w:r>
        <w:rPr>
          <w:b/>
        </w:rPr>
        <w:t>POSSIBLE 2026:</w:t>
      </w:r>
      <w:r>
        <w:t xml:space="preserve"> ReProv: Extending REANA with WaaS capabilities and data provenance on the European AI-on-Demand Platform — https://doi.org/10.12688/openreseurope.24424.1</w:t>
      </w:r>
    </w:p>
    <w:p>
      <w:pPr/>
      <w:r>
        <w:rPr>
          <w:b/>
        </w:rPr>
        <w:t>Shared claim-specific concepts:</w:t>
      </w:r>
      <w:r>
        <w:t xml:space="preserve"> capabilities, two, system; EU scope visible. This is a provisional connection, not an outcome finding.</w:t>
      </w:r>
    </w:p>
    <w:p>
      <w:pPr>
        <w:pStyle w:val="SourceNote"/>
      </w:pPr>
      <w:r>
        <w:rPr>
          <w:b/>
        </w:rPr>
        <w:t>Available abstract (not full text):</w:t>
      </w:r>
      <w:r>
        <w:t xml:space="preserve"> Reproducibility remains a major challenge in computational research, particularly for workflow-based analyses executed across heterogeneous data, software, and computing environments. While workflow management systems such as REANA support reproducible execution through containerisation and workflow orchestration, they provide limited support for workflow registration, service-oriented reuse, and structured provenance management. This paper presents ReProv, a provenance capture and management layer that extends REANA with Workflows-as-a-Service (WaaS) capabilities and automated provenance capture based on the W3C PROV-O standard. ReProv enables researchers to register, discover, execute, and reuse Common Workflow Language (CWL) workflows while automatically recording the relationships between workflows, executions, data artefacts, and responsible users. Provenance information is stored in a structured form and can be explored through APIs, a Python SDK, and graph-based visualisations. The system has been integrated with the European AI-on-Demand (AIoD) Platform, enabling workflows and datasets to be linked with a broader ecosystem of AI resources. Two use cases demonstrate the approach: a machine-learning workflow based on the MNIST benchmark and a larger-scale climate-data workflow for next-day Mediterranean heatwave prediction. Results show that ReProv captures detailed execu</w:t>
      </w:r>
    </w:p>
    <w:p>
      <w:pPr/>
      <w:r>
        <w:rPr>
          <w:b/>
        </w:rPr>
        <w:t>POSSIBLE 2023:</w:t>
      </w:r>
      <w:r>
        <w:t xml:space="preserve"> Observing Mineral Dust in Northern Africa, the Middle East, and Europe: Current Capabilities and Challenges ahead for the Development of Dust Services — https://doi.org/10.1175/bams-d-23-0005.1</w:t>
      </w:r>
    </w:p>
    <w:p>
      <w:pPr/>
      <w:r>
        <w:rPr>
          <w:b/>
        </w:rPr>
        <w:t>Shared claim-specific concepts:</w:t>
      </w:r>
      <w:r>
        <w:t xml:space="preserve"> capabilities, energy, health; EU scope visible. This is a provisional connection, not an outcome finding.</w:t>
      </w:r>
    </w:p>
    <w:p>
      <w:pPr>
        <w:pStyle w:val="SourceNote"/>
      </w:pPr>
      <w:r>
        <w:rPr>
          <w:b/>
        </w:rPr>
        <w:t>Available abstract (not full text):</w:t>
      </w:r>
      <w:r>
        <w:t xml:space="preserve"> Abstract Mineral dust produced by wind erosion of arid and semiarid surfaces is a major component of atmospheric aerosol that affects climate, weather, ecosystems, and socioeconomic sectors such as human health, transportation, solar energy, and air quality. Understanding these effects and ultimately improving the resilience of affected countries requires a reliable, dense, and diverse set of dust observations, fundamental for the development and the provision of skillful dust-forecast-tailored products. The last decade has seen a notable improvement of dust observational capabilities in terms of considered parameters, geographical coverage, and delivery times, as well as of tailored products of interest to both the scientific community and the various end-users. Given this progress, here we review the current state of observational capabilities, including in situ, ground-based, and satellite remote sensing observations in northern Africa, the Middle East, and Europe for the provision of dust information considering the needs of various users. We also critically discuss observational gaps and related unresolved questions while providing suggestions for overcoming the current limitations. Our review aims to be a milestone for discussing dust observational gaps at a global level to address the needs of users, from research communities to nonscientific stakeholders.</w:t>
      </w:r>
    </w:p>
    <w:p>
      <w:pPr/>
      <w:r>
        <w:rPr>
          <w:b/>
        </w:rPr>
        <w:t>POSSIBLE 2021:</w:t>
      </w:r>
      <w:r>
        <w:t xml:space="preserve"> Capabilities of digital servitization: Evidence from the socio-technical systems theory — https://doi.org/10.1016/j.techfore.2021.121361</w:t>
      </w:r>
    </w:p>
    <w:p>
      <w:pPr/>
      <w:r>
        <w:rPr>
          <w:b/>
        </w:rPr>
        <w:t>Shared claim-specific concepts:</w:t>
      </w:r>
      <w:r>
        <w:t xml:space="preserve"> capabilities, two; EU scope not established. This is a provisional connection, not an outcome finding.</w:t>
      </w:r>
    </w:p>
    <w:p>
      <w:pPr>
        <w:pStyle w:val="SourceNote"/>
      </w:pPr>
      <w:r>
        <w:rPr>
          <w:b/>
        </w:rPr>
        <w:t>Available abstract (not full text):</w:t>
      </w:r>
      <w:r>
        <w:t xml:space="preserve"> Driven by pressures for sustainable development and disruptions such as the COVID-19 pandemic, manufacturing companies in the 21st century are affected by two intertwined trends: Industry 4.0 and servitization. Digital servitization, which represents the transition from providing products to offering smart product-service systems, is currently seen as a black box by companies confronting them with major challenges. Current literature has not yet investigated which capabilities are required for the development and provision of smart PSSs. To address this gap, an exploratory multiple case study was performed using semi-structured interviews with 18 representatives of four manufacturing companies and six representatives of companies in a supporting role. A socio-technical systems perspective was adopted to cover the interconnectedness and complementarity of internal and external elements relevant for providing a smart PSS. The study identified 46 capabilities of digital servitization to offer and perform smart PSSs and systemically classified these within the dimensions of the socio-technical systems theory, thus providing companies with numerous insights into successful digital servitization. The results contribute to the practical and academic understanding of digital servitization by outlining capabilities to offer and perform smart PSSs and providing support for the use of soc</w:t>
      </w:r>
    </w:p>
    <w:p>
      <w:pPr/>
      <w:r>
        <w:rPr>
          <w:b/>
        </w:rPr>
        <w:t>POSSIBLE 2020:</w:t>
      </w:r>
      <w:r>
        <w:t xml:space="preserve"> A Review of Dynamic Capabilities, Innovation Capabilities, Entrepreneurial Capabilities and Their Consequences — https://doi.org/10.13106/jafeb.2020.vol7.no8.485</w:t>
      </w:r>
    </w:p>
    <w:p>
      <w:pPr/>
      <w:r>
        <w:rPr>
          <w:b/>
        </w:rPr>
        <w:t>Shared claim-specific concepts:</w:t>
      </w:r>
      <w:r>
        <w:t xml:space="preserve"> capabilities, proposes; EU scope not established. This is a provisional connection, not an outcome finding.</w:t>
      </w:r>
    </w:p>
    <w:p>
      <w:pPr>
        <w:pStyle w:val="SourceNote"/>
      </w:pPr>
      <w:r>
        <w:rPr>
          <w:b/>
        </w:rPr>
        <w:t>Available abstract (not full text):</w:t>
      </w:r>
      <w:r>
        <w:t xml:space="preserve"> The paper proposes a conceptual model which provides direction for researchers to empirically establish the connections between dynamic capabilities, innovation capabilities, entrepreneurial capabilities and financial and strategic performance. The author uses systematic literature review process to select the articles used in this study. First, the present paper review and discuss some major contributions to the theories of dynamic capabilities, innovation capabilities, entrepreneurial capabilities and their consequences. The author seeks to highlight different understandings of the concepts to clarify the distinctions between them. Second, the conceptual model and propositions for future studies were developed. The proposed model highlights the different measures of dynamic capabilities, innovation capabilities, entrepreneurial capabilities and their consequences. The model with its associated propositions was developed base on limitations and gaps observed from past studies. It is focused on empirically testing the direct impact of dynamic capabilities, innovation capabilities, and entrepreneurial capabilities on the performance of SMEs in Vietnam. Nevertheless, the proposed model can be applied to similar situations in different contexts and countries. Further empirical testing of proposed model would contribute to enriching existing knowledge of dynamic capabilities, innov</w:t>
      </w:r>
    </w:p>
    <w:p>
      <w:pPr/>
      <w:r>
        <w:rPr>
          <w:b/>
        </w:rPr>
        <w:t>POSSIBLE 2020:</w:t>
      </w:r>
      <w:r>
        <w:t xml:space="preserve"> Effects as capabilities: effect handlers and lightweight effect polymorphism — https://doi.org/10.1145/3428194</w:t>
      </w:r>
    </w:p>
    <w:p>
      <w:pPr/>
      <w:r>
        <w:rPr>
          <w:b/>
        </w:rPr>
        <w:t>Shared claim-specific concepts:</w:t>
      </w:r>
      <w:r>
        <w:t xml:space="preserve"> capabilities, system; EU scope not established. This is a provisional connection, not an outcome finding.</w:t>
      </w:r>
    </w:p>
    <w:p>
      <w:pPr>
        <w:pStyle w:val="SourceNote"/>
      </w:pPr>
      <w:r>
        <w:rPr>
          <w:b/>
        </w:rPr>
        <w:t>Available abstract (not full text):</w:t>
      </w:r>
      <w:r>
        <w:t xml:space="preserve"> Effect handlers have recently gained popularity amongst programming language researchers. Existing type- and effect systems for effect handlers are often complicated and potentially hinder a wide-spread adoption. We present the language Effekt with the goal to close the gap between research languages with effect handlers and languages for working programmers. The design of Effekt revolves around a different view of effects and effect types. Traditionally, effect types express which side effects a computation might have. In Effekt, effect types express which capabilities a computation requires from its context. While this new point in the design space of effect systems impedes reasoning about purity, we demonstrate that it simplifies the treatment of effect polymorphism and the related issues of effect parametricity and effect encapsulation. To guarantee effect safety, we separate functions from values and treat all functions as second-class. We define the semantics of Effekt as a translation to System Xi, a calculus in explicit capability-passing style.</w:t>
      </w:r>
    </w:p>
    <w:p>
      <w:pPr/>
      <w:r>
        <w:rPr>
          <w:b/>
        </w:rPr>
        <w:t>POSSIBLE 2018:</w:t>
      </w:r>
      <w:r>
        <w:t xml:space="preserve"> Dynamic Capabilities of Multi-MHz Inductive Power Transfer Systems Demonstrated With Batteryless Drones — https://doi.org/10.1109/tpel.2018.2871188</w:t>
      </w:r>
    </w:p>
    <w:p>
      <w:pPr/>
      <w:r>
        <w:rPr>
          <w:b/>
        </w:rPr>
        <w:t>Shared claim-specific concepts:</w:t>
      </w:r>
      <w:r>
        <w:t xml:space="preserve"> capabilities, demonstrated, system, power; EU scope not established. This is a provisional connection, not an outcome finding.</w:t>
      </w:r>
    </w:p>
    <w:p>
      <w:pPr>
        <w:pStyle w:val="SourceNote"/>
      </w:pPr>
      <w:r>
        <w:rPr>
          <w:b/>
        </w:rPr>
        <w:t>Available abstract (not full text):</w:t>
      </w:r>
      <w:r>
        <w:t xml:space="preserve"> This paper presents the design of a multi-MHz inductive power transfer (IPT) system showcasing lightweight and energy-efficient solutions for non-radiative wireless power transfer. A proof of concept is developed by powering a drone without a battery that can hover freely in proximity to an IPT transmitter. The most challenging aspect, addressed here for the first time, is the complete system-level design to efficiently provide uninterrupted power flow while allowing for variable power demand and highly variable coupling factor. The proposed solution includes the design of lightweight air-core coils that can achieve sufficient coupling without degrading the aerodynamics of the drone, and the design of newly developed resonant power converters at both ends of the system. At the transmitting-end, a load-independent Class EF inverter, which can drive a transmitting-coil with constant current amplitude and achieves zero-voltage switching for the entire range of operation, was developed; and at the receiving-end, a hybrid Class E rectifier, which allows tuning for large changes in coupling and power demand, was used. For the demo, the range of motion of the drone was limited by a 7.5 cm nylon string tether, connected between the center of the transmitting-coil and the bottom of the drone. The design of the IPT system, including all the power conversion stages and the IPT link, is ex</w:t>
      </w:r>
    </w:p>
    <w:p>
      <w:pPr>
        <w:pStyle w:val="Heading2"/>
      </w:pPr>
      <w:r>
        <w:t>936. International migration by 2030: impact of immigration policies scenarios on growth and employment</w:t>
      </w:r>
    </w:p>
    <w:p>
      <w:pPr>
        <w:pStyle w:val="SourceNote"/>
      </w:pPr>
      <w:r>
        <w:rPr>
          <w:b/>
        </w:rPr>
        <w:t>Original source (2014):</w:t>
      </w:r>
      <w:r>
        <w:t xml:space="preserve"> https://doi.org/10.1108/fs-06-2012-0045</w:t>
      </w:r>
    </w:p>
    <w:p>
      <w:pPr/>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POSSIBLE 2026:</w:t>
      </w:r>
      <w:r>
        <w:t xml:space="preserve"> Listening, Learning, and Letting Go: History and Impact of Fund for Shared Insight, 2014-2026 — https://openalex.org/W7220885628</w:t>
      </w:r>
    </w:p>
    <w:p>
      <w:pPr/>
      <w:r>
        <w:rPr>
          <w:b/>
        </w:rPr>
        <w:t>Shared claim-specific concepts:</w:t>
      </w:r>
      <w:r>
        <w:t xml:space="preserve"> letting, aim, world; EU scope not established. This is a provisional connection, not an outcome finding.</w:t>
      </w:r>
    </w:p>
    <w:p>
      <w:pPr>
        <w:pStyle w:val="SourceNote"/>
      </w:pPr>
      <w:r>
        <w:rPr>
          <w:b/>
        </w:rPr>
        <w:t>Available abstract (not full text):</w:t>
      </w:r>
      <w:r>
        <w:t xml:space="preserve"> Philanthropy could be more effective and make a bigger difference in the world if more funders and nonprofits did a better job of listening to the people they aim to serve.That idea led to the 2014 launch of the national funder collaborative Fund for Shared Insight, a 12-year, $78-million initiative involving more than 100 funders and hundreds of grantees, focused on shifting norms and practices around feedback and listening among nonprofits and funders.This case study examines the arc of its journey, lifting up key accomplishments while also taking an honest look at ambitions that proved more difficult to realize.</w:t>
      </w:r>
    </w:p>
    <w:p>
      <w:pPr/>
      <w:r>
        <w:rPr>
          <w:b/>
        </w:rPr>
        <w:t>POSSIBLE 2026:</w:t>
      </w:r>
      <w:r>
        <w:t xml:space="preserve"> Economic Assimilation of Women and Families in the Age of Mass Migration — https://doi.org/10.3386/w35332</w:t>
      </w:r>
    </w:p>
    <w:p>
      <w:pPr/>
      <w:r>
        <w:rPr>
          <w:b/>
        </w:rPr>
        <w:t>Shared claim-specific concepts:</w:t>
      </w:r>
      <w:r>
        <w:t xml:space="preserve"> mass, migration, between, different; EU scope not established. This is a provisional connection, not an outcome finding.</w:t>
      </w:r>
    </w:p>
    <w:p>
      <w:pPr>
        <w:pStyle w:val="SourceNote"/>
      </w:pPr>
      <w:r>
        <w:rPr>
          <w:b/>
        </w:rPr>
        <w:t>Available abstract (not full text):</w:t>
      </w:r>
      <w:r>
        <w:t xml:space="preserve"> During the Age of Mass Migration, over forty percent of immigrants were women, yet most research focuses on men.Using linked 1900 and 1910 Census records, I show that economic assimilation patterns differed for men and women, and families assimilated at different rates than individuals.Immigrant families improved their relative income scores compared with US-born families, driven by reliance on multiple earners, particularly women's and children's labor.At the individual level, gaps between immigrant and US-born income scores were larger for women than men, and the gap for women barely changed even after twenty years of stay.</w:t>
      </w:r>
    </w:p>
    <w:p>
      <w:pPr/>
      <w:r>
        <w:rPr>
          <w:b/>
        </w:rPr>
        <w:t>POSSIBLE 2026:</w:t>
      </w:r>
      <w:r>
        <w:t xml:space="preserve"> Internationalization of Higher Education in Ukraine Amidst Mass Migration (2022–2026) — https://doi.org/10.17951/j.2026.39.2.185-195</w:t>
      </w:r>
    </w:p>
    <w:p>
      <w:pPr/>
      <w:r>
        <w:rPr>
          <w:b/>
        </w:rPr>
        <w:t>Shared claim-specific concepts:</w:t>
      </w:r>
      <w:r>
        <w:t xml:space="preserve"> mass, migration, allows; EU scope visible. This is a provisional connection, not an outcome finding.</w:t>
      </w:r>
    </w:p>
    <w:p>
      <w:pPr>
        <w:pStyle w:val="SourceNote"/>
      </w:pPr>
      <w:r>
        <w:rPr>
          <w:b/>
        </w:rPr>
        <w:t>Available abstract (not full text):</w:t>
      </w:r>
      <w:r>
        <w:t xml:space="preserve"> In the article, a comprehensive analysis of the transformation of internationalization strategies in Ukrainian higher education amidst mass forced migration during 2022–2026 is provided. The transition from traditional market-oriented models to the concept of forced internationalization, where humanitarian and security determinants emerge as priorities, is examined. Based on a systems approach, the role of digitalization as the ontological foundation for the functioning of a university without borders, ensuring institutional stability and the preservation of national educational agency amidst the transborder dispersal of human capital, is substantiated within the study. Special attention is devoted to the phenomenon of educational diplomacy and the implementation of a smart protectionism policy aimed at defending intellectual sovereignty and preventing the irreversible loss of scientific potential. In the work, the experience of implementing the innovative DigiUni project and the DigiPlatform as tools for creating a unified digital space for inclusive practices and the remote accreditation of educational programs is analyzed. Furthermore, the risks of dual enrollment, deskilling, and the psychological traumatization of students and scholars affected by intersectional disadvantage are highlighted. The concept of transnational educational identity is conceptualized, with the Ukra</w:t>
      </w:r>
    </w:p>
    <w:p>
      <w:pPr/>
      <w:r>
        <w:rPr>
          <w:b/>
        </w:rPr>
        <w:t>POSSIBLE 2026:</w:t>
      </w:r>
      <w:r>
        <w:t xml:space="preserve"> Immigration, Innovation, and the Geography of Growth — https://doi.org/10.3386/w35392</w:t>
      </w:r>
    </w:p>
    <w:p>
      <w:pPr/>
      <w:r>
        <w:rPr>
          <w:b/>
        </w:rPr>
        <w:t>Shared claim-specific concepts:</w:t>
      </w:r>
      <w:r>
        <w:t xml:space="preserve"> mass, migration, international, between; EU scope not established. This is a provisional connection, not an outcome finding.</w:t>
      </w:r>
    </w:p>
    <w:p>
      <w:pPr>
        <w:pStyle w:val="SourceNote"/>
      </w:pPr>
      <w:r>
        <w:rPr>
          <w:b/>
        </w:rPr>
        <w:t>Available abstract (not full text):</w:t>
      </w:r>
      <w:r>
        <w:t xml:space="preserve"> Between 1880 and 1920, more than 20 million immigrants settled in the United States. We study how this migration wave affected innovation and growth. Using a newly constructed dataset linking individual census records to historical immigration records and the universe of US patents, we highlight a new channel through which immigrants contributed to growth: they disproportionately settled in urban innovation hubs. To quantify the aggregate and regional effects of this mass migration episode, we develop a new spatial growth model in which skilled workers have a comparative advantage in innovation and sort endogenously across space. We find that international arrivals after 1880 raised US income per capita by 8.2% by 1940. Removing the subsequent immigration restrictions of the 1920s would have raised income per capita by a further 1.7% by 2000. Immigrants' skill composition and their concentration in urban hubs are key drivers of these effects. Institutional subscribers to the NBER working paper series, and residents of developing countries may download this paper without additional charge at www.nber.org.</w:t>
      </w:r>
    </w:p>
    <w:p>
      <w:pPr/>
      <w:r>
        <w:rPr>
          <w:b/>
        </w:rPr>
        <w:t>POSSIBLE 2026:</w:t>
      </w:r>
      <w:r>
        <w:t xml:space="preserve"> Sharp Signed Mass and Rigidity for Critical Finsler--Liouville Equations — https://doi.org/10.48550/arxiv.2610.26930</w:t>
      </w:r>
    </w:p>
    <w:p>
      <w:pPr/>
      <w:r>
        <w:rPr>
          <w:b/>
        </w:rPr>
        <w:t>Shared claim-specific concepts:</w:t>
      </w:r>
      <w:r>
        <w:t xml:space="preserve"> mass, estimate; EU scope not established. This is a provisional connection, not an outcome finding.</w:t>
      </w:r>
    </w:p>
    <w:p>
      <w:pPr>
        <w:pStyle w:val="SourceNote"/>
      </w:pPr>
      <w:r>
        <w:rPr>
          <w:b/>
        </w:rPr>
        <w:t>Available abstract (not full text):</w:t>
      </w:r>
      <w:r>
        <w:t xml:space="preserve"> We study bounded-above entire solutions of critical Finsler--Liouville equations with a possibly sign-changing prescribed function and finite absolute mass. Under a lower cone-growth condition, we establish a sharp signed-mass bound without upper growth or monotonicity assumptions. With an additional growth condition, annular compactness for a sequence of dilations yields Pohozaev boundary limits and rigidity for radially nonincreasing prescribed functions. Explicit examples show that the rigidity threshold is optimal. In the Euclidean plane, the mass estimate also gives a sharp obstruction to completeness.</w:t>
      </w:r>
    </w:p>
    <w:p>
      <w:pPr/>
      <w:r>
        <w:rPr>
          <w:b/>
        </w:rPr>
        <w:t>POSSIBLE 2025:</w:t>
      </w:r>
      <w:r>
        <w:t xml:space="preserve"> Exceptionality and Common Features of Migration Law in the Age Of Mass Migration * — https://doi.org/10.4324/9781003560937-19</w:t>
      </w:r>
    </w:p>
    <w:p>
      <w:pPr/>
      <w:r>
        <w:rPr>
          <w:b/>
        </w:rPr>
        <w:t>Shared claim-specific concepts:</w:t>
      </w:r>
      <w:r>
        <w:t xml:space="preserve"> mass, migration, different; EU scope not established. This is a provisional connection, not an outcome finding.</w:t>
      </w:r>
    </w:p>
    <w:p>
      <w:pPr>
        <w:pStyle w:val="SourceNote"/>
      </w:pPr>
      <w:r>
        <w:rPr>
          <w:b/>
        </w:rPr>
        <w:t>Available abstract (not full text):</w:t>
      </w:r>
      <w:r>
        <w:t xml:space="preserve">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pPr/>
      <w:r>
        <w:rPr>
          <w:b/>
        </w:rPr>
        <w:t>POSSIBLE 2025:</w:t>
      </w:r>
      <w:r>
        <w:t xml:space="preserve"> UnfAirbnb! The Effect of Short-Term Letting on Electoral Behaviour — https://doi.org/10.1177/00323217251342635</w:t>
      </w:r>
    </w:p>
    <w:p>
      <w:pPr/>
      <w:r>
        <w:rPr>
          <w:b/>
        </w:rPr>
        <w:t>Shared claim-specific concepts:</w:t>
      </w:r>
      <w:r>
        <w:t xml:space="preserve"> mass, letting, between, different; EU scope not established. This is a provisional connection, not an outcome finding.</w:t>
      </w:r>
    </w:p>
    <w:p>
      <w:pPr>
        <w:pStyle w:val="SourceNote"/>
      </w:pPr>
      <w:r>
        <w:rPr>
          <w:b/>
        </w:rPr>
        <w:t>Available abstract (not full text):</w:t>
      </w:r>
      <w:r>
        <w:t xml:space="preserve"> Over the last few years, short-term lets or home sharing have radically changed the dynamics of mass tourism and triggered disruptive consequences for civic, social and economic life. While lucrative for some, it has also impacted the character of different urban areas, creating significant changes to the local economy and often triggering citizens’ discontent. While previous works have focused on the economic and urban effects of short-term letting, much less is known about the electoral impact of the ‘Airbnb phenomenon’. Does it lead to a higher propensity to vote for certain parties? Using detailed geographic data on Airbnb locations in Barcelona and geo-located individual-level surveys, this article examines the effect of short-term letting on electoral behaviour. We contend that short-term letting can become a mobilising issue for political entrepreneurs. Our analysis shows that areas with a higher concentration of Airbnbs were more likely to vote for the party that campaigned in favour of restrictive home-sharing regulations. This study has important implications for our understanding of the interplay between urban management, housing, protest and vote choice.</w:t>
      </w:r>
    </w:p>
    <w:p>
      <w:pPr/>
      <w:r>
        <w:rPr>
          <w:b/>
        </w:rPr>
        <w:t>POSSIBLE 2025:</w:t>
      </w:r>
      <w:r>
        <w:t xml:space="preserve"> Modern methods of age estimation in living persons under conditions of mass migration in emergencies using artificial intelligence — https://doi.org/10.17116/sudmed20256806110</w:t>
      </w:r>
    </w:p>
    <w:p>
      <w:pPr/>
      <w:r>
        <w:rPr>
          <w:b/>
        </w:rPr>
        <w:t>Shared claim-specific concepts:</w:t>
      </w:r>
      <w:r>
        <w:t xml:space="preserve"> third, mass, migration; EU scope not established. This is a provisional connection, not an outcome finding.</w:t>
      </w:r>
    </w:p>
    <w:p>
      <w:pPr>
        <w:pStyle w:val="SourceNote"/>
      </w:pPr>
      <w:r>
        <w:rPr>
          <w:b/>
        </w:rPr>
        <w:t>Available abstract (not full text):</w:t>
      </w:r>
      <w:r>
        <w:t xml:space="preserve"> Under conditions of growing global instability and mass migration, which provoke the occurrence of emergencies, the problem of age estimation has acquired particular importance for forensic medical and medico-social practice. This study presents modern approaches for age determination in living persons using radiological, morphometric and mathematical methods, as well as digital technologies and artificial intelligence. Age estimation models were developed and tested based on X-rays of the hand and thyroid cartilage, radiographs of the third molar and upper and lower canines, MRI scans of the carpal bones, and CT images of the skull and knee joint. The implementation of artificial intelligence algorithms and neural network technologies made it possible to increase diagnostic accuracy and automate the process of expert evaluation. The results obtained demonstrate the high effectiveness of the proposed methods and their practical applicability for personal identification in emergency situations and migration crises.</w:t>
      </w:r>
    </w:p>
    <w:p>
      <w:pPr/>
      <w:r>
        <w:rPr>
          <w:b/>
        </w:rPr>
        <w:t>POSSIBLE 2025:</w:t>
      </w:r>
      <w:r>
        <w:t xml:space="preserve"> What Drives Immigrant Inequalities in Career Growth in the Age of Mass Migration? — https://doi.org/10.1177/01979183251322739</w:t>
      </w:r>
    </w:p>
    <w:p>
      <w:pPr/>
      <w:r>
        <w:rPr>
          <w:b/>
        </w:rPr>
        <w:t>Shared claim-specific concepts:</w:t>
      </w:r>
      <w:r>
        <w:t xml:space="preserve"> mass, migration, between; EU scope visible. This is a provisional connection, not an outcome finding.</w:t>
      </w:r>
    </w:p>
    <w:p>
      <w:pPr>
        <w:pStyle w:val="SourceNote"/>
      </w:pPr>
      <w:r>
        <w:rPr>
          <w:b/>
        </w:rPr>
        <w:t>Available abstract (not full text):</w:t>
      </w:r>
      <w:r>
        <w:t xml:space="preserve"> This article examines the association between modernization and career growth of American men and European immigrants, focusing on heterogeneity along ancestry, ethnicity, and early-career class position. Analyses rely on datasets built with individual-level linked historical Censuses (1901–1940), which longitudinally map socio-economic indices of full occupational careers of late-nineteenth-century population birth cohorts (1884–1891). Modernization is measured by time-variant and metropolitan area-specific indicators of key industries, employment chances, domestic migration, and urbanicity. Contradicting modernization theory and the logic of industrialism, results demonstrate that macroeconomic opportunity structures do not explain differences in career growth curves of first- and second-generation immigrants in comparison to White men with US-born parents. Instead, we argue that structural ethnic cleavages, in combination with early-career class allocation, account for most of the observed immigrant variation in intragenerational mobility. We also find that the career growth curves of second-generation immigrants from Ireland, the Nordic countries, and Russia, in particular, far exceed those of multi-generational American men, but only if they started their careers in the working-class rather than the agricultural sector.</w:t>
      </w:r>
    </w:p>
    <w:p>
      <w:pPr/>
      <w:r>
        <w:rPr>
          <w:b/>
        </w:rPr>
        <w:t>POSSIBLE 2025:</w:t>
      </w:r>
      <w:r>
        <w:t xml:space="preserve"> Phenomenon of mass migration during the famine years: existential experiences in the kazakh worldview — https://doi.org/10.31489/2025hph1/321-329</w:t>
      </w:r>
    </w:p>
    <w:p>
      <w:pPr/>
      <w:r>
        <w:rPr>
          <w:b/>
        </w:rPr>
        <w:t>Shared claim-specific concepts:</w:t>
      </w:r>
      <w:r>
        <w:t xml:space="preserve"> mass, migration, purpose; EU scope not established. This is a provisional connection, not an outcome finding.</w:t>
      </w:r>
    </w:p>
    <w:p>
      <w:pPr>
        <w:pStyle w:val="SourceNote"/>
      </w:pPr>
      <w:r>
        <w:rPr>
          <w:b/>
        </w:rPr>
        <w:t>Available abstract (not full text):</w:t>
      </w:r>
      <w:r>
        <w:t xml:space="preserve"> In 1932-1933, as a result of the famine in the USSR, there was a tragic transition from the Kazakh land to near and far countries. As a result of the sedentarization, the Kazakh people not only underwent a transfor-mation of their national identity, traditions, and original spirit, formed over many centuries, but also as a na-tion, they were on the verge of disappearing from the historical scene of humanity. The “Great relocation”who migrated to the countries of the near and far abroad are distinguished by their difficulties. It is necessary to take into account the traditions and customs of other countries, to get used to the language and mentality, to find work in a foreign place, which caused significant contradictions. However, thanks to perseverance and the vast majority of descendants returned to their native land. The article describes the problems of rapid re-location that took place as a result of the struggle of the Kazakh people for existence and the consequences of the famine years. Special attention was also paid to the mass migration of the Kazakh country, which as a na-tion is on the verge of total extinction, especially from the consequences of famine to other countries. Alt-hough the phenomenon of mass migration during the famine years has been studied in the historical field, there is no philosophical discussion. Therefore, the study of the existential nature </w:t>
      </w:r>
    </w:p>
    <w:p>
      <w:pPr/>
      <w:r>
        <w:rPr>
          <w:b/>
        </w:rPr>
        <w:t>POSSIBLE 2024:</w:t>
      </w:r>
      <w:r>
        <w:t xml:space="preserve"> Letting the Fox in the Henhouse: Risks, Rewards and Repercussions of GMO Usage for Poultry Production — https://openalex.org/W7110655866</w:t>
      </w:r>
    </w:p>
    <w:p>
      <w:pPr/>
      <w:r>
        <w:rPr>
          <w:b/>
        </w:rPr>
        <w:t>Shared claim-specific concepts:</w:t>
      </w:r>
      <w:r>
        <w:t xml:space="preserve"> letting, between, different; EU scope not established. This is a provisional connection, not an outcome finding.</w:t>
      </w:r>
    </w:p>
    <w:p>
      <w:pPr>
        <w:pStyle w:val="SourceNote"/>
      </w:pPr>
      <w:r>
        <w:rPr>
          <w:b/>
        </w:rPr>
        <w:t>Available abstract (not full text):</w:t>
      </w:r>
      <w:r>
        <w:t xml:space="preserve"> The global demand for food is on the increase. Accordingly, poultry has begun to rise in popularity due to reduced prices and perceived health benefits of lean meat (Dal Bosco et al., 2021; Jeni et al., 2021). However, an increase in demand for poultry has increased yearly harvest targets for farmers leading to production-centered rearing practices that have been challenged by a growing animal husbandry movement. Reducing harvest targets is not a sustainable or feasible option in the face of food shortages. As such, a potential solution to increasing animal welfare while maintaining these growth margins lies in the genetic engineering of poultry to reduce losses from disease, environmental stressors, and in-fighting between birds. This review assesses four different avenues of genetic modification and its proposed results on farmed poultry as well as the costs, both in public perception and monetarily, associated with using genetic modification in food products. This review finds that further study into genetic modification from a welfare perspective has promising results in both revenue and increased quality of life for farmed poultry.</w:t>
      </w:r>
    </w:p>
    <w:p>
      <w:pPr/>
      <w:r>
        <w:rPr>
          <w:b/>
        </w:rPr>
        <w:t>POSSIBLE 2024:</w:t>
      </w:r>
      <w:r>
        <w:t xml:space="preserve"> At the Doorstep of Mass Migrations — https://doi.org/10.1017/9781009281874.015</w:t>
      </w:r>
    </w:p>
    <w:p>
      <w:pPr/>
      <w:r>
        <w:rPr>
          <w:b/>
        </w:rPr>
        <w:t>Shared claim-specific concepts:</w:t>
      </w:r>
      <w:r>
        <w:t xml:space="preserve"> mass, migration, international, between, policies; EU scope visible. This is a provisional connection, not an outcome finding.</w:t>
      </w:r>
    </w:p>
    <w:p>
      <w:pPr>
        <w:pStyle w:val="SourceNote"/>
      </w:pPr>
      <w:r>
        <w:rPr>
          <w:b/>
        </w:rPr>
        <w:t>Available abstract (not full text):</w:t>
      </w:r>
      <w:r>
        <w:t xml:space="preserve"> Amid epidemics, droughts, and a bourgeoning abolitionist wave in the late 1870s and 1880s, the Brazilian Empire internalized migration protocols long in the making. Crucial to the development of new migration policies was the Sociedade Central de Imigração (SCI), a new association midway between a corporation and a literary club. The SCI and its abolitionist members, which included conservative noblemen and republican professionals, synthesized the lessons learned by three generations of political elites, and avidly lobbied for reform policies pertinent to land surveying and distribution, naturalization, and immigration promotion. Dismissed by scholars as a bourgeois and largely failed experiment in immigration advocacy, the SCI in fact furnished the policy tools for the Brazilian government to counter German and Italian interdictions on migrations to Brazil, which, as the chapter demonstrates, had more to do with commercial and geostrategic concerns than with immigration issues themselves. Ultimately, the SCI laid the building blocks for the new Republican government to welcome exponentially growing cohorts of migrants despite the persistence of international prohibitions in Italy.</w:t>
      </w:r>
    </w:p>
    <w:p>
      <w:pPr>
        <w:pStyle w:val="Heading2"/>
      </w:pPr>
      <w:r>
        <w:t>937. Investigating syndromes of agricultural land degradation through past trajectories and future scenarios</w:t>
      </w:r>
    </w:p>
    <w:p>
      <w:pPr>
        <w:pStyle w:val="SourceNote"/>
      </w:pPr>
      <w:r>
        <w:rPr>
          <w:b/>
        </w:rPr>
        <w:t>Original source (2014):</w:t>
      </w:r>
      <w:r>
        <w:t xml:space="preserve"> https://doi.org/10.1080/00380768.2013.843438</w:t>
      </w:r>
    </w:p>
    <w:p>
      <w:pPr/>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POSSIBLE 2026:</w:t>
      </w:r>
      <w:r>
        <w:t xml:space="preserve"> Integrating equity and productivity in health evaluation — https://openalex.org/W7160458284</w:t>
      </w:r>
    </w:p>
    <w:p>
      <w:pPr/>
      <w:r>
        <w:rPr>
          <w:b/>
        </w:rPr>
        <w:t>Shared claim-specific concepts:</w:t>
      </w:r>
      <w:r>
        <w:t xml:space="preserve"> productivity, capacity, interventions; EU scope not established. This is a provisional connection, not an outcome finding.</w:t>
      </w:r>
    </w:p>
    <w:p>
      <w:pPr>
        <w:pStyle w:val="SourceNote"/>
      </w:pPr>
      <w:r>
        <w:rPr>
          <w:b/>
        </w:rPr>
        <w:t>Available abstract (not full text):</w:t>
      </w:r>
      <w:r>
        <w:t xml:space="preserve"> This paper develops a unified framework for evaluating health outcomes that jointly incorporates equity and productivity. Extending beyond traditional QALYs, PALYs, and the more recent PQALYs, we introduce a broader class of evaluation functions that integrate equity- and productivity-sensitive conditions. By imposing several normative criteria, including independence from measurement scales and Pigou-Dalton transfer principles, we obtain tractable power-form representations. In balancing equity and efficiency, the framework provides a coherent foundation for assessing interventions in contexts where both health and productive capacity are at stake.</w:t>
      </w:r>
    </w:p>
    <w:p>
      <w:pPr/>
      <w:r>
        <w:rPr>
          <w:b/>
        </w:rPr>
        <w:t>POSSIBLE 2026:</w:t>
      </w:r>
      <w:r>
        <w:t xml:space="preserve"> Performance Evaluation of Concrete with Recycled Waste Polypropylene — https://doi.org/10.6084/m9.figshare.31871653</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Production and application of plastic waste has become a severe environmental problem worldwide where polypropylene (PP) possesses around 35% of the total plastic waste. Using recycled PP in concrete could be a solution for the problem. This study aims at evaluating structural and durability performance of various strength concrete mixed with recycled waste polypropylene as a partial replacement of coarse aggregate. Performance of concrete was evaluated in terms of compressive strength, chloride ion penetration and high temperature exposure at different ages. In order to determine theoptimum proportion of polypropylene in concrete, samples were prepared with 0%, 10%, &amp; 20% replacement of PP as coarse aggregate for two different w/c ratios (0.35 and0.40). It was found that for maximum 20% of PP replacement, compressive strength reduction was only 21% which could still produce more than 25MPa of concrete and at high temperature exposure (more than 200° C) for 1 hour the strength of concrete was still more than 20 MPa. Moreover, PP can also be used to produce light weight concrete due to its lower unit weight, as relative reduction was upto 10% in density for 20% of PP replacement, than regular concrete. Therefore, concrete with optimum proportion of PP as partial replacement of coarse aggregate can produce strongand durable structure concrete.</w:t>
      </w:r>
    </w:p>
    <w:p>
      <w:pPr/>
      <w:r>
        <w:rPr>
          <w:b/>
        </w:rPr>
        <w:t>POSSIBLE 2026:</w:t>
      </w:r>
      <w:r>
        <w:t xml:space="preserve"> Territory as strategy: the spatio-temporal design of big-tech cloud computing infrastructure — https://doi.org/10.1080/1369118x.2026.2651817</w:t>
      </w:r>
    </w:p>
    <w:p>
      <w:pPr/>
      <w:r>
        <w:rPr>
          <w:b/>
        </w:rPr>
        <w:t>Shared claim-specific concepts:</w:t>
      </w:r>
      <w:r>
        <w:t xml:space="preserve"> territory, services, developed; EU scope not established. This is a provisional connection, not an outcome finding.</w:t>
      </w:r>
    </w:p>
    <w:p>
      <w:pPr>
        <w:pStyle w:val="SourceNote"/>
      </w:pPr>
      <w:r>
        <w:rPr>
          <w:b/>
        </w:rPr>
        <w:t>Available abstract (not full text):</w:t>
      </w:r>
      <w:r>
        <w:t xml:space="preserve"> This paper develops a critical account of how contemporary forms of territorial authority are being strategically reworked through the spatio-temporal design and deployment of Big-Tech cloud computing infrastructure. Using the case of Amazon Web Services (AWS) and drawing on archival analysis and interviews with former AWS employees, it traces how AWS developed and coordinated a portfolio of spatial infrastructural products, including sovereign regions, availability zones, local and wavelength zones, and outposts, to operate across multiple jurisdictions. The paper shows that AWS assembles its infrastructural forms into a coherent spatio-temporal strategy that allows it to manage jurisdictional reach, regulatory exposure, and geopolitical risk across its global footprint. In doing so, the paper argues that territory is increasingly performed as an adjustable parameter of infrastructural governance rather than a fixed jurisdictional container. Engaging with scholarhsip across poiltlical geogrpahy and sicence and technology studies, the paper contributes to debates on Big-Tech power, digital sovereignty, and the governance of global digital infrastructures.</w:t>
      </w:r>
    </w:p>
    <w:p>
      <w:pPr/>
      <w:r>
        <w:rPr>
          <w:b/>
        </w:rPr>
        <w:t>POSSIBLE 2026:</w:t>
      </w:r>
      <w:r>
        <w:t xml:space="preserve"> Earth, property, territory : the birth of an economic concept of land — https://doi.org/10.82444/warw.33822415</w:t>
      </w:r>
    </w:p>
    <w:p>
      <w:pPr/>
      <w:r>
        <w:rPr>
          <w:b/>
        </w:rPr>
        <w:t>Shared claim-specific concepts:</w:t>
      </w:r>
      <w:r>
        <w:t xml:space="preserve"> terms, territory, land; EU scope not established. This is a provisional connection, not an outcome finding.</w:t>
      </w:r>
    </w:p>
    <w:p>
      <w:pPr>
        <w:pStyle w:val="SourceNote"/>
      </w:pPr>
      <w:r>
        <w:rPr>
          <w:b/>
        </w:rPr>
        <w:t>Available abstract (not full text):</w:t>
      </w:r>
      <w:r>
        <w:t xml:space="preserve"> Land is emerging as increasingly central to a range of urgent issues, foremost amongst which are the multiple and overlapping environmental crises that today pose an existential threat to human societies. In this context, economic and ecological logics so often appear to be in tension, if not outright opposition. Yet the recognition of the essential role of land in sustaining human life is far from a new one. Why is it, then, that the theory and practice of economy have come to conceive of land solely in terms of the financial revenues that it can yield, at the expense of a recognition of its broader role as the biophysical foundation of human societies? It is with this question in mind that this thesis investigates the history of the concept of land within economic theory. It focusses, in particular, on the putative birth of modern economic thought in the work of Adam Smith, suggesting that this, in fact, rested on a far richer and more nuanced conception of land than is generally recognized: one that takes into account the evolving nature of the relationship between humans and the nonhuman environment. The research further suggests that subsequent economic thought should be understood instead as following the work of David Ricardo – the most prominent of Smith’s disciples from the following generation of political economists. I argue that, whereas Smith conceived of land in b</w:t>
      </w:r>
    </w:p>
    <w:p>
      <w:pPr/>
      <w:r>
        <w:rPr>
          <w:b/>
        </w:rPr>
        <w:t>POSSIBLE 2025:</w:t>
      </w:r>
      <w:r>
        <w:t xml:space="preserve"> Upcycling used engine oil into concrete: Ecological and mechanical performances in coastal applications — https://doi.org/10.1016/j.conbuildmat.2025.141605</w:t>
      </w:r>
    </w:p>
    <w:p>
      <w:pPr/>
      <w:r>
        <w:rPr>
          <w:b/>
        </w:rPr>
        <w:t>Shared claim-specific concepts:</w:t>
      </w:r>
      <w:r>
        <w:t xml:space="preserve"> concrete, terms, reduction, sustainable; EU scope not established. This is a provisional connection, not an outcome finding.</w:t>
      </w:r>
    </w:p>
    <w:p>
      <w:pPr>
        <w:pStyle w:val="SourceNote"/>
      </w:pPr>
      <w:r>
        <w:rPr>
          <w:b/>
        </w:rPr>
        <w:t>Available abstract (not full text):</w:t>
      </w:r>
      <w:r>
        <w:t xml:space="preserve"> The accumulation of used engine oil (UEO) poses significant environmental risks, particularly through soil contamination and water pollution in urban areas. Incorporating UEO into concrete as a chemical admixture offers a promising and sustainable disposal method, as it can function similarly to conventional water-reducing and air-entraining agents, contributing to the development of durable and eco-friendly concrete materials. The ecological assessment revealed negligible differences between UEO and traditional tiles in terms of overall species richness, coverage percentage of sessile organisms, and biomass accumulation. Interestingly, UEO demonstrated potential in terms of fostering a more habitable environment for marine biofilm formation and larval settlement through a relative reduction in concrete surface pH levels from 12.5 to 9.8. Mechanically, UEO concrete exhibited a progressive increase in compressive strength over time and demonstrated a decreased susceptibility to chloride penetration when optimally dosed at 2 %. Furthermore, the microstructural analysis accentuated the criticality of determining the optimal UEO dosage for densifying the microstructure of UEO concrete and maximizing its durability and chloride resistance.</w:t>
      </w:r>
    </w:p>
    <w:p>
      <w:pPr/>
      <w:r>
        <w:rPr>
          <w:b/>
        </w:rPr>
        <w:t>POSSIBLE 2025:</w:t>
      </w:r>
      <w:r>
        <w:t xml:space="preserve"> Sectoral Contributions to Labour Productivity Growth — https://doi.org/10.55016/ojs/sppp.v18i1.80463</w:t>
      </w:r>
    </w:p>
    <w:p>
      <w:pPr/>
      <w:r>
        <w:rPr>
          <w:b/>
        </w:rPr>
        <w:t>Shared claim-specific concepts:</w:t>
      </w:r>
      <w:r>
        <w:t xml:space="preserve"> terms, productivity, goods; EU scope not established. This is a provisional connection, not an outcome finding.</w:t>
      </w:r>
    </w:p>
    <w:p>
      <w:pPr>
        <w:pStyle w:val="SourceNote"/>
      </w:pPr>
      <w:r>
        <w:rPr>
          <w:b/>
        </w:rPr>
        <w:t>Available abstract (not full text):</w:t>
      </w:r>
      <w:r>
        <w:t xml:space="preserve"> Concerns about Canada’s lackluster productivity growth have made it a priority on the public policy agenda. In this paper we argue that we should not automatically interpret declines, or slower growth rates, in aggregate labour productivity as deterioration in living standards because changes in an economy’s terms of trade are also important. Low rates of productivity growth may be the result of welfare improving changes in a country’s terms of trade that shift labour to sectors with declining labour productivity. We use the Generalized Exactly Additive Decomposition (GEAD) procedure to show how 15 sectors have contributed to aggregate business sector productivity growth in Canada from 1997 to 2019. This procedure separates a sectors’ contributions to aggregate productivity growth through relative output price changes, as well as within-sector labour productivity effects and labour reallocation effects. This analysis shows that labour productivity in Canada’s business sector increased by 30.7 percent between 1997 and 2019, an average annual growth rate of 1.2 percent. Finance, Insurance, and Real Estate (FIRE) made the largest contribution to aggregate labour productivity growth and followed by the Mining, Oil and Gas Extraction sector. The only sector that made a negative contribution to aggregate productivity growth was Manufacturing because of declines in the relative price </w:t>
      </w:r>
    </w:p>
    <w:p>
      <w:pPr/>
      <w:r>
        <w:rPr>
          <w:b/>
        </w:rPr>
        <w:t>POSSIBLE 2025:</w:t>
      </w:r>
      <w:r>
        <w:t xml:space="preserve"> Improving the performance of concrete for bridge structures — https://doi.org/10.58224/2618-7183-2025-8-6-2</w:t>
      </w:r>
    </w:p>
    <w:p>
      <w:pPr/>
      <w:r>
        <w:rPr>
          <w:b/>
        </w:rPr>
        <w:t>Shared claim-specific concepts:</w:t>
      </w:r>
      <w:r>
        <w:t xml:space="preserve"> concrete, reduction, providing, developed; EU scope not established. This is a provisional connection, not an outcome finding.</w:t>
      </w:r>
    </w:p>
    <w:p>
      <w:pPr>
        <w:pStyle w:val="SourceNote"/>
      </w:pPr>
      <w:r>
        <w:rPr>
          <w:b/>
        </w:rPr>
        <w:t>Available abstract (not full text):</w:t>
      </w:r>
      <w:r>
        <w:t xml:space="preserve"> Concrete for ambitious engineering projects, including bridges, must meet certain requirements related to strength, water resistance, frost resistance and plasticity. The objective of the article is to improve the efficiency of concrete for bridge structures. The compositions of high-strength building composites have been optimized with a reduction in the proportion of the clinker component. The densest packing of filler particles has been achieved, providing a self-compacting effect during hardening. The compositions of building composites have been optimized at the macro-, micro- and nanolevels to obtain a high-density matrix packing and increase the strength of the composite (including taking into account the granulometric analysis of fillers and the choice of superplasticizer). New properties of high-strength building composites (rheology of highly concentrated dispersed systems, shrinkage deformations, workability, setting time, etc.) have been studied. The results of fresh properties of the developed mixtures showed their compliance with the P5 grade, which indicates that they have good transportability to the place of manufacture of bridge structures. The study of the physical and mechanical characteristics of cement composites (average density, porosity, compressive and bending strength, elastic modulus, frost resistance, shrinkage, Poisson's ratio) showed that the obta</w:t>
      </w:r>
    </w:p>
    <w:p>
      <w:pPr/>
      <w:r>
        <w:rPr>
          <w:b/>
        </w:rPr>
        <w:t>POSSIBLE 2025:</w:t>
      </w:r>
      <w:r>
        <w:t xml:space="preserve"> Simulation of the Concrete Containing Palm Oil Fuel Ash and Metakaolin in Terms of Mechanical Properties — https://openalex.org/W7216810618</w:t>
      </w:r>
    </w:p>
    <w:p>
      <w:pPr/>
      <w:r>
        <w:rPr>
          <w:b/>
        </w:rPr>
        <w:t>Shared claim-specific concepts:</w:t>
      </w:r>
      <w:r>
        <w:t xml:space="preserve"> concrete, terms, capacity, assessed, sustainable; EU scope not established. This is a provisional connection, not an outcome finding.</w:t>
      </w:r>
    </w:p>
    <w:p>
      <w:pPr>
        <w:pStyle w:val="SourceNote"/>
      </w:pPr>
      <w:r>
        <w:rPr>
          <w:b/>
        </w:rPr>
        <w:t>Available abstract (not full text):</w:t>
      </w:r>
      <w:r>
        <w:t xml:space="preserve"> This research investigates the compressive and split tensile strength of concrete containing Palm Oil Fuel Ash (POFA) and Metakaolin (MK) by using simulation method and validate with experimental data. This study aims to validate the Abaqus finite element analysis (FEA) results with experimental data, investigates the mechanical behaviour of concrete that contains MK as an additive and POFA as a partial cement substitute and identify the optimal mix design for enhanced strength by replacing cement with specific ratios of POFA and MK. The compressive strength, force-bearing capacity, and stress-strain behaviour of concrete mixes made with POFA and MK in different ratios were assessed. The trustworthiness of the model was confirmed by the results, which indicated that experimental data closely matched FEA predictions made with Abaqus. In contrast to the control mix, moderate replacement levels of concrete mix containing 5% POFA and 10% MK showed improved mechanical properties, however higher POFA concentration resulted in decreased strength and ductility. These results highlight POFA and MK's potential as sustainable concrete substitutes, given that the ratios are properly adjusted. By showing how simulation and experimental approaches can work in tandem to assess performance, this study promotes the development of green building materials.</w:t>
      </w:r>
    </w:p>
    <w:p>
      <w:pPr/>
      <w:r>
        <w:rPr>
          <w:b/>
        </w:rPr>
        <w:t>POSSIBLE 2024:</w:t>
      </w:r>
      <w:r>
        <w:t xml:space="preserve"> Influence of mixing time on the homogeneity of properties of concrete mixtures and concrete — https://doi.org/10.23968/1999-5571-2024-21-5-66-75</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The study presents tests of industrial concrete mixtures to determine standard indicators (workability, volume of air involved) and concretes made from them to assess homogeneity in terms of strength as a function of mixing time. It is experimentally established how the assignment of mixing time affects the properties of concrete mixtures and determines the homogeneity of concrete composites.</w:t>
      </w:r>
    </w:p>
    <w:p>
      <w:pPr/>
      <w:r>
        <w:rPr>
          <w:b/>
        </w:rPr>
        <w:t>POSSIBLE 2024:</w:t>
      </w:r>
      <w:r>
        <w:t xml:space="preserve"> 3D Mesomechanical Simulation–Based Approach to Determining Representative Volume Element of Asphalt Concrete — https://doi.org/10.1061/jpeodx.pveng-1396</w:t>
      </w:r>
    </w:p>
    <w:p>
      <w:pPr/>
      <w:r>
        <w:rPr>
          <w:b/>
        </w:rPr>
        <w:t>Shared claim-specific concepts:</w:t>
      </w:r>
      <w:r>
        <w:t xml:space="preserve"> concrete, terms, assessed, developed; EU scope not established. This is a provisional connection, not an outcome finding.</w:t>
      </w:r>
    </w:p>
    <w:p>
      <w:pPr>
        <w:pStyle w:val="SourceNote"/>
      </w:pPr>
      <w:r>
        <w:rPr>
          <w:b/>
        </w:rPr>
        <w:t>Available abstract (not full text):</w:t>
      </w:r>
      <w:r>
        <w:t xml:space="preserve"> This study proposes a three-dimensional (3D) mesomechanical simulation–based approach to determining the representative volume element (RVE) of asphalt concrete. In this approach, 3D mesostructures of asphalt concrete were developed by parametrically modeling the morphological characteristics of coarse aggregates and air voids. To define the RVEs, the effects were assessed of several geometrical characteristics, such as the volume fraction, gradation, and spatial distribution of coarse aggregates in the mesostructures. Further, the geometrically defined RVE was verified by performing finite-element simulations and inspecting whether the effective mechanical properties of asphalt concrete, such as the viscoelastic dynamic modulus, were accurately simulated. This approach was applied to a typical dense-graded asphalt concrete with a nominal maximum aggregate size of 13.2 mm. The results indicate that the proposed approach can effectively define the RVE of the asphalt concrete, of which the effective properties can be precisely simulated from the RVEs with a size of 50 mm. In addition, in terms of accurately characterizing the dynamic modulus only, an RVE size of 45 mm can satisfy the requirement. Findings of this paper are consistent with the results of existing RVE studies performed based on the laboratory tests. Therefore, the proposed approach provides a novel simulation-based</w:t>
      </w:r>
    </w:p>
    <w:p>
      <w:pPr/>
      <w:r>
        <w:rPr>
          <w:b/>
        </w:rPr>
        <w:t>POSSIBLE 2023:</w:t>
      </w:r>
      <w:r>
        <w:t xml:space="preserve"> Impact resistance of concrete and fibre-reinforced concrete: A review — https://doi.org/10.1016/j.ijimpeng.2023.104722</w:t>
      </w:r>
    </w:p>
    <w:p>
      <w:pPr/>
      <w:r>
        <w:rPr>
          <w:b/>
        </w:rPr>
        <w:t>Shared claim-specific concepts:</w:t>
      </w:r>
      <w:r>
        <w:t xml:space="preserve"> concrete, determines, assessed; EU scope not established. This is a provisional connection, not an outcome finding.</w:t>
      </w:r>
    </w:p>
    <w:p>
      <w:pPr>
        <w:pStyle w:val="SourceNote"/>
      </w:pPr>
      <w:r>
        <w:rPr>
          <w:b/>
        </w:rPr>
        <w:t>Available abstract (not full text):</w:t>
      </w:r>
      <w:r>
        <w:t xml:space="preserve">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pPr/>
      <w:r>
        <w:rPr>
          <w:b/>
        </w:rPr>
        <w:t>POSSIBLE 2023:</w:t>
      </w:r>
      <w:r>
        <w:t xml:space="preserve"> Influence of Graphene oxide on abrasion resistance and strength of concrete — https://doi.org/10.1016/j.conbuildmat.2023.133280</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Graphene Oxide (GO) has recently gained significant attention as a new carbon-based nanomaterial (CBN) in the civil engineering industry due to its exceptional mechanical and functional properties. It has been increasingly gaining popularity due to its superior dispersibility characteristics in aqueous solutions compared to the other graphene-based derivatives due to attached oxygen functional groups. A majority of current studies are focused on investigating the effect of GO in cement composites. However, the more useful applications of GO lie in its incorporation into concrete, as it is the most widely used construction material. Therefore, the current study determines the performance of GO-incorporated concrete in terms of strength and abrasion characteristics. Industrially produced GO was added to the concrete mixes at percentages varying from 0.02% to 0.08% by weight of cement (bwoc). A polycarboxylate-ether-based superplasticiser (PS) was used to enhance the dispersibility of GO within the mix and the workability of concrete mixtures. The Standard slump tests were performed to evaluate the workability of the mixes. Compression and indirect tensile strength tests were conducted to obtain the mechanical properties, while abrasion tests were employed to investigate the durability properties. In addition, microstructural properties were obtained using scanning electron micros</w:t>
      </w:r>
    </w:p>
    <w:p>
      <w:pPr>
        <w:pStyle w:val="Heading2"/>
      </w:pPr>
      <w:r>
        <w:t>938. Living within the safe operating space: a vision for a resource efficient Europe</w:t>
      </w:r>
    </w:p>
    <w:p>
      <w:pPr>
        <w:pStyle w:val="SourceNote"/>
      </w:pPr>
      <w:r>
        <w:rPr>
          <w:b/>
        </w:rPr>
        <w:t>Original source (2014):</w:t>
      </w:r>
      <w:r>
        <w:t xml:space="preserve"> https://doi.org/10.1007/s40309-014-0048-3</w:t>
      </w:r>
    </w:p>
    <w:p>
      <w:pPr/>
      <w:r>
        <w:t>Original wording (abstract; indexed_source_text_not_full_document_verified): We review and build on recent sustainability visions to develop a holistic reflection on what life in 2050 could look like, and explore the key changes in the economy needed to get there.</w:t>
      </w:r>
    </w:p>
    <w:p>
      <w:pPr/>
      <w:r>
        <w:rPr>
          <w:b/>
        </w:rPr>
        <w:t>POSSIBLE 2026:</w:t>
      </w:r>
      <w:r>
        <w:t xml:space="preserve"> Developing a new digital vision for rangeland grazing systems — https://doi.org/10.1093/af/vfag009</w:t>
      </w:r>
    </w:p>
    <w:p>
      <w:pPr/>
      <w:r>
        <w:rPr>
          <w:b/>
        </w:rPr>
        <w:t>Shared claim-specific concepts:</w:t>
      </w:r>
      <w:r>
        <w:t xml:space="preserve"> sustainability, develop, economy, there; EU scope visible. This is a provisional connection, not an outcome finding.</w:t>
      </w:r>
    </w:p>
    <w:p>
      <w:pPr>
        <w:pStyle w:val="SourceNote"/>
      </w:pPr>
      <w:r>
        <w:rPr>
          <w:b/>
        </w:rPr>
        <w:t>Available abstract (not full text):</w:t>
      </w:r>
      <w:r>
        <w:t xml:space="preserve"> Identifying appropriate digital technologies is crucial to help address rangeland agricultural challenges A rangeland farm hub can help highlight how best to integrate environmental management into rangeland livestock systems A rangeland farm hub allows the development of approaches and metrics to quantify the benefits of implementing agricultural and environmental solutions A digital vision may increase the socio-ecological viability of rangeland livestock systems and support their resilience to ongoing climate change Globally, rangeland grazing systems account for the majority of grazing lands (Reid et al., 2008) and more than half of the total land, with over 200 million people raising livestock in pastoral and agro-pastoral grazing systems. In Europe, a large proportion (59%) of these lands are classed as less favored areas (LFA—Article 2 of EU Council Directive No. 75/268/EEC) or areas of natural constraints [Article 32 of Regulation (EU) No. 1305/2013]. Although the primary function of many of these areas is to produce food and fiber, they are also rich in natural and semi-natural vegetation and support species and habitats, often with high conservation value, whose persistence is totally or partially dependent on the maintenance of specific low-intensity farming systems (Lomba et al., 2023). Moreover, across Europe, many rangeland areas are currently under pressure from </w:t>
      </w:r>
    </w:p>
    <w:p>
      <w:pPr/>
      <w:r>
        <w:rPr>
          <w:b/>
        </w:rPr>
        <w:t>POSSIBLE 2026:</w:t>
      </w:r>
      <w:r>
        <w:t xml:space="preserve"> Socio-cultural integration of international students in Europe: A systematic review — https://doi.org/10.36366/frontiers.v38i1.1128</w:t>
      </w:r>
    </w:p>
    <w:p>
      <w:pPr/>
      <w:r>
        <w:rPr>
          <w:b/>
        </w:rPr>
        <w:t>Shared claim-specific concepts:</w:t>
      </w:r>
      <w:r>
        <w:t xml:space="preserve"> review, develop, key; EU scope visible. This is a provisional connection, not an outcome finding.</w:t>
      </w:r>
    </w:p>
    <w:p>
      <w:pPr>
        <w:pStyle w:val="SourceNote"/>
      </w:pPr>
      <w:r>
        <w:rPr>
          <w:b/>
        </w:rPr>
        <w:t>Available abstract (not full text):</w:t>
      </w:r>
      <w:r>
        <w:t xml:space="preserve"> International student mobility (ISM) has gained increasing importance in the last decades, while the integration of international students remains a key area of research in the literature. This systematic review aims to provide a comprehensive analysis of the socio-cultural integration of international students in Europe by examining how transnational mobility influences the socialization among students, what factors influence and hinder social and cultural integration during ISM. Following the application of exclusion criteria, a total of 103 articles retrieved from six databases were analysed. Findings reveal that while ISM fosters cross-cultural interactions, various factors, such as institutional support, language proficiency, and social networks, play a crucial role in shaping integration experiences. Challenges such as discrimination, cultural distance, and limited engagement with host communities can hinder effective integration. By synthesizing existing research, this review contributes to a deeper understanding of the dynamics of international student integration, offering insights for future studies and institutional policies. Additionally, the review provides recommendations for higher education institutions to enhance their support systems, promote inclusive campus environments, and develop strategies to facilitate the successful integration of international student</w:t>
      </w:r>
    </w:p>
    <w:p>
      <w:pPr/>
      <w:r>
        <w:rPr>
          <w:b/>
        </w:rPr>
        <w:t>POSSIBLE 2026:</w:t>
      </w:r>
      <w:r>
        <w:t xml:space="preserve"> Education and training of home hemodialysis patients in Europe: a scoping review — https://doi.org/10.33393/gcnd.2026.3589</w:t>
      </w:r>
    </w:p>
    <w:p>
      <w:pPr/>
      <w:r>
        <w:rPr>
          <w:b/>
        </w:rPr>
        <w:t>Shared claim-specific concepts:</w:t>
      </w:r>
      <w:r>
        <w:t xml:space="preserve"> review, needed, there; EU scope visible. This is a provisional connection, not an outcome finding.</w:t>
      </w:r>
    </w:p>
    <w:p>
      <w:pPr>
        <w:pStyle w:val="SourceNote"/>
      </w:pPr>
      <w:r>
        <w:rPr>
          <w:b/>
        </w:rPr>
        <w:t>Available abstract (not full text):</w:t>
      </w:r>
      <w:r>
        <w:t xml:space="preserve"> Introduction: Home hemodialysis (HHD) began in the 1960s; it has largely moved to the dialysis centers in recentdecades, particularly across Europe. HHD patients account for &lt;2% of the dialysis patient population. Trainingprograms aimed at addressing the benefits, enablers and obstacles of home hemodialysis may therefore be relevantwhen considering this modality of renal replacement therapy (RRT). The aim was to conduct a scopingreview of studies about training in HHD patients.Methods: Using Arksey and O’Malley’s framework, three databases were searched on CINAHL, PubMed andScopus. The search included studies published in English from August 2013 to August 2023.Results: Five studies met the scoping review criteria (two observational, two qualitative and one narrative review).Three education themes were identified: technique and management of the dialysis machine, self-cannulationof arterio-venous fistulas and safety.Conclusion: The educational fields described represent a systematic approach to foster the growing use of homehemodialysis, but to date, further research is needed to investigate the feasibility and effects of educationaltraining to understand if they meet the educational needs of patients. Finally, in Europe, there are obstacles tothe implementation of home hemodialysis concerning health costs, logistics, but above all, the lack of specializedand dedicated medical </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review, key, there;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A Multifaceted Vision of the Human-AI Collaboration: A Comprehensive Review — https://doi.org/10.1109/access.2025.3536095</w:t>
      </w:r>
    </w:p>
    <w:p>
      <w:pPr/>
      <w:r>
        <w:rPr>
          <w:b/>
        </w:rPr>
        <w:t>Shared claim-specific concepts:</w:t>
      </w:r>
      <w:r>
        <w:t xml:space="preserve"> review, holistic, key; EU scope not established. This is a provisional connection, not an outcome finding.</w:t>
      </w:r>
    </w:p>
    <w:p>
      <w:pPr>
        <w:pStyle w:val="SourceNote"/>
      </w:pPr>
      <w:r>
        <w:rPr>
          <w:b/>
        </w:rPr>
        <w:t>Available abstract (not full text):</w:t>
      </w:r>
      <w:r>
        <w:t xml:space="preserve"> Human-AI collaboration has evolved into a complex, multidimensional paradigm shaped by research in various domains. Key areas such as human-in-the-loop systems, Interactive Machine Learning (IML), Hybrid Intelligence, and Human-Agent Interaction have significantly contributed to this development. However, these fields often lack cohesion, underscoring the need for a cohesive perspective to advance. This work addresses this gap by integrating insights from diverse aspects of collaboration to present a holistic approach to fostering effective and adaptive interactions between humans and artificial agents. It emphasizes empowering end-users with greater control and involvement in decision-making processes, thereby enhancing both the levels of interactivity and adaptability within intelligent systems. Moving beyond a focus on AI training techniques, this paper presents a broader perspective on incorporating human input into AI decision-making and learning processes, highlighting the importance of flexibility in systems and user engagement. The manuscript proposes a framework encompassing five levels of human integration and examines their relationship with core collaboration aspects, including the system purpose, participant expertise, and system proactivity. By synthesizing current knowledge on human-AI collaboration and outlining essential design principles, this work aims to adv</w:t>
      </w:r>
    </w:p>
    <w:p>
      <w:pPr/>
      <w:r>
        <w:rPr>
          <w:b/>
        </w:rPr>
        <w:t>POSSIBLE 2025:</w:t>
      </w:r>
      <w:r>
        <w:t xml:space="preserve"> Harnessing large vision and language models in agriculture: a review — https://doi.org/10.3389/fpls.2025.1579355</w:t>
      </w:r>
    </w:p>
    <w:p>
      <w:pPr/>
      <w:r>
        <w:rPr>
          <w:b/>
        </w:rPr>
        <w:t>Shared claim-specific concepts:</w:t>
      </w:r>
      <w:r>
        <w:t xml:space="preserve"> review, explore, key; EU scope not established. This is a provisional connection, not an outcome finding.</w:t>
      </w:r>
    </w:p>
    <w:p>
      <w:pPr>
        <w:pStyle w:val="SourceNote"/>
      </w:pPr>
      <w:r>
        <w:rPr>
          <w:b/>
        </w:rPr>
        <w:t>Available abstract (not full text):</w:t>
      </w:r>
      <w:r>
        <w:t xml:space="preserve"> Introduction: Agriculture is a cornerstone of human society but faces significant challenges, including pests, diseases, and the need for increased production efficiency. Large models, encompassing large language models, large vision models, and multimodal large language models, have shown transformative potential in various domains. This review aims to explore the potential applications of these models in agriculture to address existing problems and improve production. Methods: We conduct a systematic review of the development trajectories and key capabilities of large models. A bibliometric analysis of literature from Web of Science and arXiv is performed to quantify the current research focus and identify the gap between the potential and the application of large models in the agricultural sector. Results: Our analysis confirms that agriculture is an emerging but currently underrepresented field for large model research. Nevertheless, we identify and categorize promising applications, including tailored models for agricultural question-answering, robotic automation, and advanced image analysis from remote sensing and spectral data. These applications demonstrate significant potential to solve complex, nuanced agricultural tasks. Discussion: This review culminates in a pragmatic framework to guide the choice between large and traditional models, balancing data availability ag</w:t>
      </w:r>
    </w:p>
    <w:p>
      <w:pPr/>
      <w:r>
        <w:rPr>
          <w:b/>
        </w:rPr>
        <w:t>POSSIBLE 2025:</w:t>
      </w:r>
      <w:r>
        <w:t xml:space="preserve"> Machine vision in manufacturing SMEs: a review — https://doi.org/10.1007/s42452-025-06923-4</w:t>
      </w:r>
    </w:p>
    <w:p>
      <w:pPr/>
      <w:r>
        <w:rPr>
          <w:b/>
        </w:rPr>
        <w:t>Shared claim-specific concepts:</w:t>
      </w:r>
      <w:r>
        <w:t xml:space="preserve"> review, develop, explore; EU scope not established. This is a provisional connection, not an outcome finding.</w:t>
      </w:r>
    </w:p>
    <w:p>
      <w:pPr>
        <w:pStyle w:val="SourceNote"/>
      </w:pPr>
      <w:r>
        <w:rPr>
          <w:b/>
        </w:rPr>
        <w:t>Available abstract (not full text):</w:t>
      </w:r>
      <w:r>
        <w:t xml:space="preserve"> Abstract Automating manufacturing tasks, such as quality control, fault detection, part classification, and inventory management with machine vision systems can significantly improve process efficiency, accuracy, and productivity. As a result, the machine vision technology market is expanding, largely driven by its applications in manufacturing across both hardware and software sectors. Nevertheless, small- and medium-sized enterprises (SMEs) face distinct challenges in the implementation of such systems due to their human, technical, and organizational constraints. An overview of the current state of research and practical insights is essential to address these constraints and guide future developments. Although some surveys and interviews have been conducted, no comprehensive review outlines scientific literature on research methods and initiatives related to the characteristics and challenges of adopting machine vision systems in industrial SMEs. Therefore, we present a systematic literature review to identify applications, challenges and proposed approaches for machine vision and its adoption in industrial SMEs, analyzing 770 articles. The review highlights quality control as the prominent application, while primary challenges for SMEs include limited investment capacity, labor and expertise shortages, and high-variety, low-volume production, which often leads to insufficie</w:t>
      </w:r>
    </w:p>
    <w:p>
      <w:pPr/>
      <w:r>
        <w:rPr>
          <w:b/>
        </w:rPr>
        <w:t>POSSIBLE 2024:</w:t>
      </w:r>
      <w:r>
        <w:t xml:space="preserve"> Physics-Informed Computer Vision: A Review and Perspectives — https://doi.org/10.1145/3689037</w:t>
      </w:r>
    </w:p>
    <w:p>
      <w:pPr/>
      <w:r>
        <w:rPr>
          <w:b/>
        </w:rPr>
        <w:t>Shared claim-specific concepts:</w:t>
      </w:r>
      <w:r>
        <w:t xml:space="preserve"> review, develop, explore; EU scope not established. This is a provisional connection, not an outcome finding.</w:t>
      </w:r>
    </w:p>
    <w:p>
      <w:pPr>
        <w:pStyle w:val="SourceNote"/>
      </w:pPr>
      <w:r>
        <w:rPr>
          <w:b/>
        </w:rPr>
        <w:t>Available abstract (not full text):</w:t>
      </w:r>
      <w:r>
        <w:t xml:space="preserve"> The incorporation of physical information in machine learning frameworks is opening and transforming many application domains. Here the learning process is augmented through the induction of fundamental knowledge and governing physical laws. In this work, we explore their utility for computer vision tasks in interpreting and understanding visual data. We present a systematic literature review of more than 250 papers on formulation and approaches to computer vision tasks guided by physical laws. We begin by decomposing the popular computer vision pipeline into a taxonomy of stages and investigate approaches to incorporate governing physical equations in each stage. Existing approaches are analyzed in terms of modeling and formulation of governing physical processes, including modifying input data (observation bias), network architectures (inductive bias), and training losses (learning bias). The taxonomy offers a unified view of the application of the physics-informed capability, highlighting where physics-informed learning has been conducted and where the gaps and opportunities are. Finally, we highlight open problems and challenges to inform future research. While still in its early days, the study of physics-informed computer vision has the promise to develop better computer vision models that can improve physical plausibility, accuracy, data efficiency, and generalization in</w:t>
      </w:r>
    </w:p>
    <w:p>
      <w:pPr/>
      <w:r>
        <w:rPr>
          <w:b/>
        </w:rPr>
        <w:t>POSSIBLE 2023:</w:t>
      </w:r>
      <w:r>
        <w:t xml:space="preserve"> A scoping review of seismic risk communication in Europe — https://doi.org/10.3389/feart.2023.1155576</w:t>
      </w:r>
    </w:p>
    <w:p>
      <w:pPr/>
      <w:r>
        <w:rPr>
          <w:b/>
        </w:rPr>
        <w:t>Shared claim-specific concepts:</w:t>
      </w:r>
      <w:r>
        <w:t xml:space="preserve"> review, build, recent, explore, key;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r>
        <w:rPr>
          <w:b/>
        </w:rPr>
        <w:t>POSSIBLE 2023:</w:t>
      </w:r>
      <w:r>
        <w:t xml:space="preserve"> Transformative, Interdisciplinary, and “Without Walls.” A Review of the European University Association’s Vision for 2030 — https://doi.org/10.55140/2782-5817-2023-3-3-98-106</w:t>
      </w:r>
    </w:p>
    <w:p>
      <w:pPr/>
      <w:r>
        <w:rPr>
          <w:b/>
        </w:rPr>
        <w:t>Shared claim-specific concepts:</w:t>
      </w:r>
      <w:r>
        <w:t xml:space="preserve"> review, look, like, key; EU scope visible. This is a provisional connection, not an outcome finding.</w:t>
      </w:r>
    </w:p>
    <w:p>
      <w:pPr>
        <w:pStyle w:val="SourceNote"/>
      </w:pPr>
      <w:r>
        <w:rPr>
          <w:b/>
        </w:rPr>
        <w:t>Available abstract (not full text):</w:t>
      </w:r>
      <w:r>
        <w:t xml:space="preserve"> “True to the Book” is the column where this journal’s editorial team introduces our readers to the latest publications on the topics of impact investing, social impact assessment, and the future of the humanity in general. The work presented in today’s issue is based on the education development strategy proposed by the European University Association. Fittingly called “Universities Without Walls,” the strategy presents a vision of the higher education system in the period between today and 2030. Let’s take a look into the future. What will universities be like, seven years from now? Continue reading to learn the key theses of the publication.</w:t>
      </w:r>
    </w:p>
    <w:p>
      <w:pPr/>
      <w:r>
        <w:rPr>
          <w:b/>
        </w:rPr>
        <w:t>POSSIBLE 2023:</w:t>
      </w:r>
      <w:r>
        <w:t xml:space="preserve"> Developing a Sustainability Vision for the Global Wine Industry — https://doi.org/10.3390/su151310487</w:t>
      </w:r>
    </w:p>
    <w:p>
      <w:pPr/>
      <w:r>
        <w:rPr>
          <w:b/>
        </w:rPr>
        <w:t>Shared claim-specific concepts:</w:t>
      </w:r>
      <w:r>
        <w:t xml:space="preserve"> sustainability, holistic, key; EU scope not established. This is a provisional connection, not an outcome finding.</w:t>
      </w:r>
    </w:p>
    <w:p>
      <w:pPr>
        <w:pStyle w:val="SourceNote"/>
      </w:pPr>
      <w:r>
        <w:rPr>
          <w:b/>
        </w:rPr>
        <w:t>Available abstract (not full text):</w:t>
      </w:r>
      <w:r>
        <w:t xml:space="preserve"> Interest in sustainability has increased significantly in the wine sector in the past few years, driven by customer interest, as well as the impact of global warming-intensified weather extremes on wine growers. For a sustainable future the wine industry must design its entire value chain in such ways that it conserves and regenerates the natural environment and at the same time promotes human rights, inclusion and equality. The current paper identified five key challenges which have to be overcome in order to reach this goal: (1) climate change impact and adaptation strategies, (2) the reduction of GHG emissions and creation of carbon sinks, (3) vineyard inputs, (4) packaging and (5) social and economic sustainability. For each of these five challenges research gaps and possible solutions are presented which enable a holistic improvement of the sustainability of the whole wine value chain from the vineyard to the consumers. Examples for this are strategies to reduce the use of pesticides in the vineyard as well as carbon insetting options in the vineyard. Additionally, it is of utmost importance that every educational institution integrates facts and vision into their teaching programs in a holistic manner. Together, these approaches form the basis for a realistic sustainability vision for the global wine industry.</w:t>
      </w:r>
    </w:p>
    <w:p>
      <w:pPr/>
      <w:r>
        <w:rPr>
          <w:b/>
        </w:rPr>
        <w:t>POSSIBLE 2023:</w:t>
      </w:r>
      <w:r>
        <w:t xml:space="preserve"> Global and regional prevalence of multimorbidity in the adult population in community settings: a systematic review and meta-analysis — https://doi.org/10.1016/j.eclinm.2023.101860</w:t>
      </w:r>
    </w:p>
    <w:p>
      <w:pPr/>
      <w:r>
        <w:rPr>
          <w:b/>
        </w:rPr>
        <w:t>Shared claim-specific concepts:</w:t>
      </w:r>
      <w:r>
        <w:t xml:space="preserve"> review, recent, needed, there; EU scope visible. This is a provisional connection, not an outcome finding.</w:t>
      </w:r>
    </w:p>
    <w:p>
      <w:pPr>
        <w:pStyle w:val="SourceNote"/>
      </w:pPr>
      <w:r>
        <w:rPr>
          <w:b/>
        </w:rPr>
        <w:t>Available abstract (not full text):</w:t>
      </w:r>
      <w:r>
        <w:t xml:space="preserve"> Background: Knowing the prevalence of multimorbidity among adults across continents is a crucial piece of information for achieving Sustainable Development Goal 3.4, which calls for reducing premature death due to non-communicable diseases. A high prevalence of multimorbidity indicates high mortality and increased healthcare utilization. We aimed to understand the prevalence of multimorbidity across WHO geographic regions among adults. Methods: statistics. We performed subgroup analyses and sensitivity analyses based on continents, age, gender, multimorbidity definition, study periods and sample size. The study protocol was registered with PROSPERO (CRD42020150945). Findings: We analyzed data from 126 peer-reviewed studies that included nearly 15.4 million people (32.1% were male) with a weighted mean age of 56.94 years (standard deviation of 10.84 years) from 54 countries around the world. The overall global prevalence of multimorbidity was 37.2% (95% CI = 34.9-39.4%). South America (45.7%, 95% CI = 39.0-52.5) had the highest prevalence of multimorbidity, followed by North America (43.1%, 95% CI = 32.3-53.8%), Europe (39.2%, 95% CI = 33.2-45.2%), and Asia (35%, 95% CI = 31.4-38.5%). The subgroup study highlights that multimorbidity is more prevalent in females (39.4%, 95% CI = 36.4-42.4%) than males (32.8%, 95% CI = 30.0-35.6%). More than half of the adult population worldwide</w:t>
      </w:r>
    </w:p>
    <w:p>
      <w:pPr>
        <w:pStyle w:val="Heading2"/>
      </w:pPr>
      <w:r>
        <w:t>939. Making or breaking climate targets: The AMPERE study on staged accession scenarios for climate policy</w:t>
      </w:r>
    </w:p>
    <w:p>
      <w:pPr>
        <w:pStyle w:val="SourceNote"/>
      </w:pPr>
      <w:r>
        <w:rPr>
          <w:b/>
        </w:rPr>
        <w:t>Original source (2014):</w:t>
      </w:r>
      <w:r>
        <w:t xml:space="preserve"> https://doi.org/10.1016/j.techfore.2013.09.021</w:t>
      </w:r>
    </w:p>
    <w:p>
      <w:pPr/>
      <w:r>
        <w:t>Original wording (abstract; indexed_source_text_not_full_document_verified): The addition of China to the front runner coalition can reduce pre-2050 excess emissions by 20–30%, increasing the likelihood of staying below 2 degrees.</w:t>
      </w:r>
    </w:p>
    <w:p>
      <w:pPr/>
      <w:r>
        <w:rPr>
          <w:b/>
        </w:rPr>
        <w:t>POSSIBLE 2026:</w:t>
      </w:r>
      <w:r>
        <w:t xml:space="preserve"> The United States, China, and Strategic Technologies: Domestic Coalitions, Foreign Policy, and Multilateral Cooperation in the Biden Era — https://doi.org/10.1080/14650045.2026.2626266</w:t>
      </w:r>
    </w:p>
    <w:p>
      <w:pPr/>
      <w:r>
        <w:rPr>
          <w:b/>
        </w:rPr>
        <w:t>Shared claim-specific concepts:</w:t>
      </w:r>
      <w:r>
        <w:t xml:space="preserve"> china, coalition, reduce; EU scope not established. This is a provisional connection, not an outcome finding.</w:t>
      </w:r>
    </w:p>
    <w:p>
      <w:pPr>
        <w:pStyle w:val="SourceNote"/>
      </w:pPr>
      <w:r>
        <w:rPr>
          <w:b/>
        </w:rPr>
        <w:t>Available abstract (not full text):</w:t>
      </w:r>
      <w:r>
        <w:t xml:space="preserve"> In today’s geopolitical context, advocates of multilateralism in the US contend that it serves to manage conflicts, prevent escalation, and promote the peaceful resolution of disputes. Detractors point to national security concerns and unfair economic competition. In the case of multilateralism and China, critics argue that Beijing’s technological advancements, particularly in areas such as 5G, artificial intelligence, and cybersecurity, pose risks to US national security. Critics further point to China’s state-led industrial policies and practices, such as subsidies, market access restrictions, and forced technology transfers, as unfair. Differing views amongst the US foreign policy elite lead to three coalitions vying for policy adoption in the case of multilateralism and China: one arguing for continued engagement, believing that integration and collaboration can lead to shared benefits, improved global standards, and the diffusion of technological advancements. A second group wants to weaponise strategic technologies to gain advantages in the great power competition. The third coalition advocates for a flexilateral approach that employs selective decoupling to limit technological interdependence and reduce reliance on Chinese critical supply chains. This paper employs the Advocacy Coalition Framework (ACF) to examine the policy beliefs held by these three coalitions in the </w:t>
      </w:r>
    </w:p>
    <w:p>
      <w:pPr/>
      <w:r>
        <w:rPr>
          <w:b/>
        </w:rPr>
        <w:t>POSSIBLE 2026:</w:t>
      </w:r>
      <w:r>
        <w:t xml:space="preserve"> Observation of near-inertial oscillations trapped over inclined front on continental shelf of the northwestern South China Sea — https://doi.org/10.1016/j.jmarsys.2026.104305</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Interactions of near-inertial oscillations (NIOs) with other oceanic processes have been broadly investigated in recent years. This study presents enhanced NIOs observed from a seabed-based platform, which are trapped over an inclined front with strong stratification on the continental shelf of the northern South China Sea (NSCS) during January–February 2021. The current observations reveal that four NIO events occurred induced by wind bursting. Under the similar wind forcing, NIO currents in the third event increased from &lt;0.05 m s −1 to about 0.08 m s −1 . The mechanism analysis shows that the amplitude of NIOs was modulated by the shoaling depth of the mix-layer induced by the inclined front, and trapped in the upper layer. In addition, a remarkable non-linear interaction ( fD1 ) between NIOs and diurnal spring tide occurred at the front zone owing to a strong vertical current shear at the depths of 20–50 m. The energy transferred from front to NIOs provides an interpretation for this trapped NIO signal. The underlying driving mechanism of this observation would be important for explication of energy exchanges between mesoscale oceanic processes, and is worthy of further study.</w:t>
      </w:r>
    </w:p>
    <w:p>
      <w:pPr/>
      <w:r>
        <w:rPr>
          <w:b/>
        </w:rPr>
        <w:t>POSSIBLE 2024:</w:t>
      </w:r>
      <w:r>
        <w:t xml:space="preserve"> China Image Construction during the Covid-19 Epidemic: Multimodal Discourse Analysis based on the China-Related Front Cover of The Economist — https://doi.org/10.61935/asder.1.1.2023.p194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pPr/>
      <w:r>
        <w:rPr>
          <w:b/>
        </w:rPr>
        <w:t>POSSIBLE 2024:</w:t>
      </w:r>
      <w:r>
        <w:t xml:space="preserve"> Observations of near-inertial oscillations trapped at inclined front on continental shelf of the northwestern South China Sea — https://doi.org/10.5194/egusphere-2024-3909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pPr/>
      <w:r>
        <w:rPr>
          <w:b/>
        </w:rPr>
        <w:t>POSSIBLE 2024:</w:t>
      </w:r>
      <w:r>
        <w:t xml:space="preserve"> Research on the reuse path of the Third Front Construction Heritage’s stock space in China based on value assessment — https://doi.org/10.21203/rs.3.rs-4070970/v1</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third-front construction, an integral component of socialist urban and rural development during the initial three decades of the new China, has resulted in a significant surplus of unused stock space following four decades of contraction and progress. The exploration of its reuse value in the contemporary era holds immense theoretical and practical significance. By focusing on 113 factories and mines associated with third-front construction in Hubei Western, this study employs qualitative field research and statistical analysis to assess their layout and condition characteristics. The concept of 'smart shrinkage' is employed to summarise the reuse value of the stock space derived from third-front construction. In addition, the intrinsic and extrinsic value of the reuse value assessment system is evaluated through the implementation of the minimum cumulative resistance (MCR) model, network analysis, and cluster analysis. Finally, a proposed pathway for the reuse of the stock space derived from third-front construction is presented. The study revealed several key findings. ① The plants and mines associated with third-front construction in Hubei Western exhibit a signficant concentration in certain areas, while also displaying a dispersed layout on a smaller scale. These establishments rely on regional transportation infrastructure, thereby forming a corridor-like str</w:t>
      </w:r>
    </w:p>
    <w:p>
      <w:pPr/>
      <w:r>
        <w:rPr>
          <w:b/>
        </w:rPr>
        <w:t>POSSIBLE 2024:</w:t>
      </w:r>
      <w:r>
        <w:t xml:space="preserve"> Coalition Building and Sino–US Competition in the Digital Era — https://doi.org/10.1093/cjip/poae022</w:t>
      </w:r>
    </w:p>
    <w:p>
      <w:pPr/>
      <w:r>
        <w:rPr>
          <w:b/>
        </w:rPr>
        <w:t>Shared claim-specific concepts:</w:t>
      </w:r>
      <w:r>
        <w:t xml:space="preserve"> china, coalition, likelihood; EU scope not established. This is a provisional connection, not an outcome finding.</w:t>
      </w:r>
    </w:p>
    <w:p>
      <w:pPr>
        <w:pStyle w:val="SourceNote"/>
      </w:pPr>
      <w:r>
        <w:rPr>
          <w:b/>
        </w:rPr>
        <w:t>Available abstract (not full text):</w:t>
      </w:r>
      <w:r>
        <w:t xml:space="preserve"> Abstract Digital coalitions are the primary tool of the USA to compete with China in the digital age and differ markedly from traditional alliances and military coalitions. It is necessary to go beyond the vision of pure great power rivalry and probe Sino–US digital competition through the lens of coalitions and the relationship between the dominant state and coalition members. A digital coalition is a state consortium with an organisational nature, confrontational targets, common goals, and the capability to take collective action, formed to deal with the digital strategy, norms, standards, industry, and products. The two main determinants of the building and maintenance of the digital coalition are the security dependency of allies on the USA and the technological stranglehold in the digital relationship. Security dependency determines the likelihood of coalition construction; the higher the dependency, the more willing allies will be to respond to the dominant state’s digital security narrative and mobilisation. There is potential for the construction of simple digital coalitions centred on conceptions and governance initiatives. However, building and maintaining a complex digital coalition depends on the presence of a technological stranglehold as well as security dependencies. A technological stranglehold involves controlling the supply of key technologies critical to the </w:t>
      </w:r>
    </w:p>
    <w:p>
      <w:pPr/>
      <w:r>
        <w:rPr>
          <w:b/>
        </w:rPr>
        <w:t>POSSIBLE 2024:</w:t>
      </w:r>
      <w:r>
        <w:t xml:space="preserve"> Gap-filling techniques applied to the GOCI-derived daily sea surface salinity product for the Changjiang diluted water front in the East China Sea — https://doi.org/10.5194/essd-16-3193-2024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spatial and temporal resolutions of contemporary microwave-based sea surface salinity (SSS) measurements are insufficient. Thus, we developed gap-free gridded daily SSS product with high spatial and temporal resolutions, which can provide information on short-term variability in the East China Sea (ECS), such as the front changes by Changjiang diluted water (CDW). Specifically, we conducted gap-filling for daily SSS products based on the Geostationary Ocean Color Imager (GOCI) with a spatial resolution of 1 km (0.01°), using a machine learning approach during the summer season from 2015 to 2019. The comparison of the Soil Moisture Active Passive (SMAP), Copernicus Marine Environment Monitoring Service (CMEMS), and Hybrid Coordinate Ocean Model (HYCOM) SSS products with the GOCI-derived SSS over the entire SSS range showed that the SMAP SSS was highly consistent, whereas the HYCOM SSS was the least consistent. In the &lt;31 psu range, the SMAP SSS was still the most consistent with the GOCI-derived SSS (R2 = 0.46; root mean squared error: RMSE = 2.41 psu); in the &gt;31 psu range, the CMEMS and HYCOM SSS products showed similar levels of agreement with that of the SMAP SSS. We trained and tested three machine learning models—the find trees, boosted trees, and bagged trees models—using the daily GOCI-derived SSS as the ground truth, while including the three SSS products,</w:t>
      </w:r>
    </w:p>
    <w:p>
      <w:pPr/>
      <w:r>
        <w:rPr>
          <w:b/>
        </w:rPr>
        <w:t>POSSIBLE 2023:</w:t>
      </w:r>
      <w:r>
        <w:t xml:space="preserve"> the diaspora: China's united front work and the hyperlink networks of diasporic Chinese websites in cyberspace — https://doi.org/10.1080/2474736x.2023.2179409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pPr/>
      <w:r>
        <w:rPr>
          <w:b/>
        </w:rPr>
        <w:t>POSSIBLE 2023:</w:t>
      </w:r>
      <w:r>
        <w:t xml:space="preserve"> The Vertical Distribution of Ice-Nucleating Particles over the North China Plain: A Case of Cold Front Passage — https://doi.org/10.3390/rs15204989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pPr/>
      <w:r>
        <w:rPr>
          <w:b/>
        </w:rPr>
        <w:t>POSSIBLE 2022:</w:t>
      </w:r>
      <w:r>
        <w:t xml:space="preserve"> The effect of Chinese Gigacity on weather fronts — https://doi.org/10.5194/ems2022-550</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pPr/>
      <w:r>
        <w:rPr>
          <w:b/>
        </w:rPr>
        <w:t>POSSIBLE 2022:</w:t>
      </w:r>
      <w:r>
        <w:t xml:space="preserve"> Interannual, Seasonal, and Monthly Variability of Sea Surface Temperature Fronts in Offshore China from 1982–2021 — https://doi.org/10.3390/rs14215336</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pPr/>
      <w:r>
        <w:rPr>
          <w:b/>
        </w:rPr>
        <w:t>POSSIBLE 2022:</w:t>
      </w:r>
      <w:r>
        <w:t xml:space="preserve"> Coalition and contradiction in managing Brahmaputra: Opportunities for more hydropower? — https://doi.org/10.21203/rs.3.rs-2204391/v1</w:t>
      </w:r>
    </w:p>
    <w:p>
      <w:pPr/>
      <w:r>
        <w:rPr>
          <w:b/>
        </w:rPr>
        <w:t>Shared claim-specific concepts:</w:t>
      </w:r>
      <w:r>
        <w:t xml:space="preserve"> china, coalition, reduce, emissions, increasing; EU scope not established. This is a provisional connection, not an outcome finding.</w:t>
      </w:r>
    </w:p>
    <w:p>
      <w:pPr>
        <w:pStyle w:val="SourceNote"/>
      </w:pPr>
      <w:r>
        <w:rPr>
          <w:b/>
        </w:rPr>
        <w:t>Available abstract (not full text):</w:t>
      </w:r>
      <w:r>
        <w:t xml:space="preserve"> Abstract Transboundary sharing of river water is not just an international problem, and it also cascades down to regional, state and local levels. Water cooperation in the Brahmaputra River basin among China, India, Bhutan and Bangladesh has long been contested. Better transboundary management of Brahmaputra requires a new direction from the current situation of fragmented cooperation, conflicts and disputes in the region and increasing threats of climate change. However, it is unclear how the four countries can cooperate and what the cornerstones for their cooperation might be. To explore possible consensus, we conducted an advocacy coalition assessment of the four countries based on the heterogeneous ecosystem services valued by each nation. While China and India are focused on politics, Bangladesh and Bhutan are primarily concerned about the basin in physical terms. Although each nation values the Brahmaputra in different ways, it is possible to initiate strong collaboration based on shared beliefs. We find that developing hydropower sustainably meets the needs and expectations of all nations, especially under the threats of climate change. A sustainable hydropower coalition can help to reduce carbon emissions, acquire green energy, irrigate land in dry seasons, and manage disasters and increasing runoffs from melting glaciers. We conclude our paper with insights for each na</w:t>
      </w:r>
    </w:p>
    <w:p>
      <w:pPr>
        <w:pStyle w:val="Heading2"/>
      </w:pPr>
      <w:r>
        <w:t>940. Making sense of the future: visions and transition pathways of laypeople and professionals from six EU countries</w:t>
      </w:r>
    </w:p>
    <w:p>
      <w:pPr>
        <w:pStyle w:val="SourceNote"/>
      </w:pPr>
      <w:r>
        <w:rPr>
          <w:b/>
        </w:rPr>
        <w:t>Original source (2014):</w:t>
      </w:r>
      <w:r>
        <w:t xml:space="preserve"> https://doi.org/10.1080/11287462.2014.957010</w:t>
      </w:r>
    </w:p>
    <w:p>
      <w:pPr/>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POSSIBLE 2026:</w:t>
      </w:r>
      <w:r>
        <w:t xml:space="preserve"> Friedreich's ataxia patient pathway in Europe — https://doi.org/10.3389/frhs.2026.1817584</w:t>
      </w:r>
    </w:p>
    <w:p>
      <w:pPr/>
      <w:r>
        <w:rPr>
          <w:b/>
        </w:rPr>
        <w:t>Shared claim-specific concepts:</w:t>
      </w:r>
      <w:r>
        <w:t xml:space="preserve"> pathways, pathway, people, each, three; EU scope visible. This is a provisional connection, not an outcome finding.</w:t>
      </w:r>
    </w:p>
    <w:p>
      <w:pPr>
        <w:pStyle w:val="SourceNote"/>
      </w:pPr>
      <w:r>
        <w:rPr>
          <w:b/>
        </w:rPr>
        <w:t>Available abstract (not full text):</w:t>
      </w:r>
      <w:r>
        <w:t xml:space="preserve">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pPr/>
      <w:r>
        <w:rPr>
          <w:b/>
        </w:rPr>
        <w:t>POSSIBLE 2026:</w:t>
      </w:r>
      <w:r>
        <w:t xml:space="preserve"> Evaluating launcher options for Europe in a world of Starship — https://doi.org/10.1016/j.actaastro.2026.01.018</w:t>
      </w:r>
    </w:p>
    <w:p>
      <w:pPr/>
      <w:r>
        <w:rPr>
          <w:b/>
        </w:rPr>
        <w:t>Shared claim-specific concepts:</w:t>
      </w:r>
      <w:r>
        <w:t xml:space="preserve"> concludes, evaluation; EU scope visible. This is a provisional connection, not an outcome finding.</w:t>
      </w:r>
    </w:p>
    <w:p>
      <w:pPr>
        <w:pStyle w:val="SourceNote"/>
      </w:pPr>
      <w:r>
        <w:rPr>
          <w:b/>
        </w:rPr>
        <w:t>Available abstract (not full text):</w:t>
      </w:r>
      <w:r>
        <w:t xml:space="preserve"> As soon as the SpaceX Starship &amp; SuperHeavy launcher configuration is operationally available it likely will cause a fundamental shift to space transportation. In a first step, the paper provides a thorough technical analysis of Starship's estimated capabilities in its early operational phase, based on independent modeling with openly available data. The main part of the paper is dedicated to the technical evaluation of European options for serving a roughly similar payload class above 20 Mg up to approaching 100 Mg in single launch to LEO. A launcher system analysis looks into Ariane 6 evolution options and explores the technical limits based on the assumption of expendable stages. A significantly better performance perspective can be achieved through a completely new architecture. In case of these new architecture launchers, all first stages are reusable and exclusively liquid cryogenic propellants are chosen. Fully reusable configurations have been addressed in the small ESA-funded PROTEIN-study for which some complementary concepts are summarized. The different launcher options show a broad range in payload performance. As these diverse vehicles come with significantly different cost, the NRC and RC are modeled for reasonable European heavy-lift transportation scenarios. The paper concludes with a comparative evaluation of main technical characteristics of the launch vehicl</w:t>
      </w:r>
    </w:p>
    <w:p>
      <w:pPr/>
      <w:r>
        <w:rPr>
          <w:b/>
        </w:rPr>
        <w:t>POSSIBLE 2025:</w:t>
      </w:r>
      <w:r>
        <w:t xml:space="preserve"> Changes in Europeans’ evaluation of democracy — https://doi.org/10.1093/oso/9780198883319.003.0007</w:t>
      </w:r>
    </w:p>
    <w:p>
      <w:pPr/>
      <w:r>
        <w:rPr>
          <w:b/>
        </w:rPr>
        <w:t>Shared claim-specific concepts:</w:t>
      </w:r>
      <w:r>
        <w:t xml:space="preserve"> concludes, evaluation, comparing, them; EU scope not established. This is a provisional connection, not an outcome finding.</w:t>
      </w:r>
    </w:p>
    <w:p>
      <w:pPr>
        <w:pStyle w:val="SourceNote"/>
      </w:pPr>
      <w:r>
        <w:rPr>
          <w:b/>
        </w:rPr>
        <w:t>Available abstract (not full text):</w:t>
      </w:r>
      <w:r>
        <w:t xml:space="preserve"> Abstract Against the backdrop of contemporary diagnoses about citizens’ apparently growing dissatisfaction with democracy, this chapter studies the gap between citizens’ expectations and evaluations of democracy, or “democratic deficit,” in ESS10. It finds that while the gap is sizable, it has not grown significantly over the last decade and since ESS6 was fielded. Showing changes across indicators and countries and comparing them to expert assessments in the Varieties of Democracy project, the chapter concludes that the relative stability in evaluations offers some reassurance. At the same time, democracies’ failure to meet citizen expectations can constitute a fertile ground for populist mobilization. The chapter argues that governments’ perceived lack of responsiveness in particular may be exploited to attack democratic institutions in the name of democracy itself.</w:t>
      </w:r>
    </w:p>
    <w:p>
      <w:pPr/>
      <w:r>
        <w:rPr>
          <w:b/>
        </w:rPr>
        <w:t>POSSIBLE 2025:</w:t>
      </w:r>
      <w:r>
        <w:t xml:space="preserve"> Evaluation of Operational Performance of Major European International Airports with Data Envelopment — https://doi.org/10.30518/jav.1639240</w:t>
      </w:r>
    </w:p>
    <w:p>
      <w:pPr/>
      <w:r>
        <w:rPr>
          <w:b/>
        </w:rPr>
        <w:t>Shared claim-specific concepts:</w:t>
      </w:r>
      <w:r>
        <w:t xml:space="preserve"> evaluation, them, each; EU scope visible. This is a provisional connection, not an outcome finding.</w:t>
      </w:r>
    </w:p>
    <w:p>
      <w:pPr>
        <w:pStyle w:val="SourceNote"/>
      </w:pPr>
      <w:r>
        <w:rPr>
          <w:b/>
        </w:rPr>
        <w:t>Available abstract (not full text):</w:t>
      </w:r>
      <w:r>
        <w:t xml:space="preserve"> This paper studies the impact of air logistics and transportation on the operational efficiency of 10 major European International Airports over the 2021–2023 period using the Data Envelope Analysis (DEA) method, which is solved using MAXDEA 8 software. For this purpose, a literature review was carried out to identify the input and output variables used in analysing the operational efficiency of airport logistics. In this study, the input variables include the airport's area, cargo terminal area, the number of passenger terminals, and the number of runways, while the output variables are the number of flights, the number of passengers, and amount of cargo are used. The DEA model provides the most efficient results in terms of output-oriented maximization. The performance of each airport is compared to others, and the efficiency rate for each airport is evaluated. The study identifies the effective airports, their reference points relative to others, and assesses how much improvement is needed for ineffective airports to enhance their outputs. As a result of this application, it was concluded that the operational efficiency of airports is effective or ineffective according to air logistics and transportation activities. As a result of this study, it was revealed that the operational efficiency of 8 of 10 major international airports in the 2021-2023 period was effective, and onl</w:t>
      </w:r>
    </w:p>
    <w:p>
      <w:pPr/>
      <w:r>
        <w:rPr>
          <w:b/>
        </w:rPr>
        <w:t>POSSIBLE 2025:</w:t>
      </w:r>
      <w:r>
        <w:t xml:space="preserve"> Pathways to Circularity: Engagement Patterns of European SMEs in the Circular Economy — https://doi.org/10.1002/bse.4192</w:t>
      </w:r>
    </w:p>
    <w:p>
      <w:pPr/>
      <w:r>
        <w:rPr>
          <w:b/>
        </w:rPr>
        <w:t>Shared claim-specific concepts:</w:t>
      </w:r>
      <w:r>
        <w:t xml:space="preserve"> pathways, transition, each, specific; EU scope visible. This is a provisional connection, not an outcome finding.</w:t>
      </w:r>
    </w:p>
    <w:p>
      <w:pPr>
        <w:pStyle w:val="SourceNote"/>
      </w:pPr>
      <w:r>
        <w:rPr>
          <w:b/>
        </w:rPr>
        <w:t>Available abstract (not full text):</w:t>
      </w:r>
      <w:r>
        <w:t xml:space="preserve"> ABSTRACT Compliance with the 2030 agenda is forcing small and medium‐sized enterprises (SMEs) in the European Union (EU) to transition from linear to circular business models, boosting the adoption of circular economy ( CE ) activities. More information is needed to know the transition stage of these companies. Therefore, the objective of this study is to evaluate the implementation patterns of nine CE activities by EU SMEs and explore the relationships between the implementation of CE activities and the characteristics of these companies in terms of economic activity and ownership. To this end, we used a sample of 13,322 SMEs from the EU, using the Latent Class Model to identify the implementation patterns of CE activities and correspondence analysis to relate the implementation of CE activities with the characteristics of the SMEs. The results show that in the implementation of CE activities, five patterns of SMEs involvement can be identified, with CE activities being systematically independent in each pattern. It was also demonstrated that the SMEs with the highest probability of engagement are those dedicated to service activities, medium‐sized companies established more years ago, with high and growing turnover, which invest most of their turnover annually in CE activities, and those that sell products or services to multiple final destinations. This study contributes to </w:t>
      </w:r>
    </w:p>
    <w:p>
      <w:pPr/>
      <w:r>
        <w:rPr>
          <w:b/>
        </w:rPr>
        <w:t>POSSIBLE 2025:</w:t>
      </w:r>
      <w:r>
        <w:t xml:space="preserve"> Pathways to bioeconomy development: A multi-regional perspective from Europe — https://doi.org/10.1007/s13280-025-02297-4</w:t>
      </w:r>
    </w:p>
    <w:p>
      <w:pPr/>
      <w:r>
        <w:rPr>
          <w:b/>
        </w:rPr>
        <w:t>Shared claim-specific concepts:</w:t>
      </w:r>
      <w:r>
        <w:t xml:space="preserve"> pathways, transition, held, develop, three, sectors; EU scope visible. This is a provisional connection, not an outcome finding.</w:t>
      </w:r>
    </w:p>
    <w:p>
      <w:pPr>
        <w:pStyle w:val="SourceNote"/>
      </w:pPr>
      <w:r>
        <w:rPr>
          <w:b/>
        </w:rPr>
        <w:t>Available abstract (not full text):</w:t>
      </w:r>
      <w:r>
        <w:t xml:space="preserve"> The transition towards a sustainable future is increasingly understood to rely on further development of the bioeconomy. In this, both public and private sectors play pivotal roles. Government agencies and public institutions are instrumental in shaping the trajectory of the bioeconomy through strategic frameworks, regulatory measures, and policies. These instruments may create a conducive environment by clearing away bureaucratic impediments and establishing favourable conditions. Concurrently, private sector entities, including industry interest groups and companies, have the important task of advocating for these favourable conditions and driving the bioeconomy's growth through active involvement, strategic business decisions, capital investments, and bringing bio-based innovations to market. Throughout these processes, perceptions of the bioeconomy held by actors in both sectors shape the outcomes of their actions. Hence, this study delves into the perceptions of the bioeconomy among stakeholders from both the public and private sectors across nine European regions regarding barriers and supporting conditions impacting its development, particularly important bioeconomy value chains, and the willingness and perceived responsibility to advance the bioeconomy. Findings from 534 online survey responses (288 public sector and 246 private sector) reveal that key factors identifie</w:t>
      </w:r>
    </w:p>
    <w:p>
      <w:pPr/>
      <w:r>
        <w:rPr>
          <w:b/>
        </w:rPr>
        <w:t>POSSIBLE 2025:</w:t>
      </w:r>
      <w:r>
        <w:t xml:space="preserve"> Evaluation of the agricultural green competitiveness in the European Union — https://doi.org/10.1186/s12302-025-01211-9</w:t>
      </w:r>
    </w:p>
    <w:p>
      <w:pPr/>
      <w:r>
        <w:rPr>
          <w:b/>
        </w:rPr>
        <w:t>Shared claim-specific concepts:</w:t>
      </w:r>
      <w:r>
        <w:t xml:space="preserve"> evaluation, developed, them; EU scope visible. This is a provisional connection, not an outcome finding.</w:t>
      </w:r>
    </w:p>
    <w:p>
      <w:pPr>
        <w:pStyle w:val="SourceNote"/>
      </w:pPr>
      <w:r>
        <w:rPr>
          <w:b/>
        </w:rPr>
        <w:t>Available abstract (not full text):</w:t>
      </w:r>
      <w:r>
        <w:t xml:space="preserve"> Abstract Background In the twenty-first century, there is a growing awareness of the role of sustainable agriculture in responding to environmental and socio-economic challenges, as well as the need to provide food for a growing population. Conventional intensive farming techniques often threaten the environment, biodiversity, and public health. Therefore, a possibility is sought to transform agriculture and ensure the green competitiveness thereof, based on the current environmental potential and the capability to manage it sustainably. The European Green Deal and the subordinate strategies set the targets to be achieved by the Member States of the European Union (EU). Therefore, the present research aims to assess the green competitiveness of agriculture in EU Member States regarding the goals of the European Green Deal based on environmental indicators. Results For the present research, a synthetic index was developed – the Green Competitiveness Index of Agriculture –, which combines 15 environmental indicators in line with the targets set for the implementation of the European Green Deal to quantify the overall green competitiveness of the agricultural sector in the EU Member States. After calculating the index for 2018 and 2022, the research created a linear hierarchy and classification of Member States, ranking them accordingly. The overall level of green competitiveness </w:t>
      </w:r>
    </w:p>
    <w:p>
      <w:pPr/>
      <w:r>
        <w:rPr>
          <w:b/>
        </w:rPr>
        <w:t>POSSIBLE 2025:</w:t>
      </w:r>
      <w:r>
        <w:t xml:space="preserve"> Participation as a pathway to procedural justice: A review of energy initiatives across eight European countries — https://doi.org/10.1016/j.erss.2025.103982</w:t>
      </w:r>
    </w:p>
    <w:p>
      <w:pPr/>
      <w:r>
        <w:rPr>
          <w:b/>
        </w:rPr>
        <w:t>Shared claim-specific concepts:</w:t>
      </w:r>
      <w:r>
        <w:t xml:space="preserve"> transition, pathway, participation, people, three; EU scope visible. This is a provisional connection, not an outcome finding.</w:t>
      </w:r>
    </w:p>
    <w:p>
      <w:pPr>
        <w:pStyle w:val="SourceNote"/>
      </w:pPr>
      <w:r>
        <w:rPr>
          <w:b/>
        </w:rPr>
        <w:t>Available abstract (not full text):</w:t>
      </w:r>
      <w:r>
        <w:t xml:space="preserve"> The engagement of citizens in the energy transition through a variety of energy initiatives is an important component of a just energy transition. Through analyses of 378 energy initiatives, along with 81 interviews with energy professionals across eight European countries, including Austria, Bulgaria, Greece, Germany, Italy, Norway, Switzerland, and Türkiye, we examine how and in what ways these initiatives address justice outcomes. Specifically, we look at citizen participation as an avenue to procedural justice, which may enable forms or distributional and recognitional justice as well. We critically examine the different forms of citizen engagement put forward by such initiatives, classifying such initiatives into three types: i) demand side action, ii) supply side action and iii) political action. While all forms of engagement are instrumental, the latter two attach greater importance to collective actions and the political agency of individuals. For demand side actions, we find that people tend to be reduced to economic actors subject to top-down directives, given agency in the privacy of their homes through atomized, individual action. Supply side initiatives, like energy communities, may encourage increased citizen involvement, yet they may not fully reflect the ideals of collective political action. Direct participation in shaping energy policies is found to be an aven</w:t>
      </w:r>
    </w:p>
    <w:p>
      <w:pPr/>
      <w:r>
        <w:rPr>
          <w:b/>
        </w:rPr>
        <w:t>POSSIBLE 2025:</w:t>
      </w:r>
      <w:r>
        <w:t xml:space="preserve"> A global evaluation of Advanced Practice recognition pathways for diagnostic radiography — https://doi.org/10.1016/j.radi.2025.102923</w:t>
      </w:r>
    </w:p>
    <w:p>
      <w:pPr/>
      <w:r>
        <w:rPr>
          <w:b/>
        </w:rPr>
        <w:t>Shared claim-specific concepts:</w:t>
      </w:r>
      <w:r>
        <w:t xml:space="preserve"> evaluation, pathways, pathway, each; EU scope not established. This is a provisional connection, not an outcome finding.</w:t>
      </w:r>
    </w:p>
    <w:p>
      <w:pPr>
        <w:pStyle w:val="SourceNote"/>
      </w:pPr>
      <w:r>
        <w:rPr>
          <w:b/>
        </w:rPr>
        <w:t>Available abstract (not full text):</w:t>
      </w:r>
      <w:r>
        <w:t xml:space="preserve"> INTRODUCTION: Advanced practice roles in diagnostic radiography are progressively being recognised by various national professional societies on a global scale. The advanced practice workforce is filling in the demands of healthcare settings and a growing population to serve patient care needs. Advanced practice recognition pathways vary with each nation and thus do not follow a uniform approach to progress the advanced practice diagnostic radiographer. The aim of this study is to explore the formal recognition of advanced practice in diagnostic radiography by examining how national professional society pathways are designed, administered, and assessed. METHODS: A qualitative content analysis of advanced practice recognition pathway data was extracted from nine (n = 9) national professional society websites that met the inclusion criteria out of eighty-three (n = 83) registered with the International Society of Radiographers &amp; Radiological Technologists (ISRRT). No formal ethical approval was required for open-source data used. RESULTS: Open-source advanced practice pathway data was extracted from nine national society websites with significant heterogeneity globally. Several themes emerged during data analysis to include overarching rationale, diversity in definition and scope of AP, variation in characteristics and qualification requirements, and the advanced practice assessm</w:t>
      </w:r>
    </w:p>
    <w:p>
      <w:pPr/>
      <w:r>
        <w:rPr>
          <w:b/>
        </w:rPr>
        <w:t>POSSIBLE 2024:</w:t>
      </w:r>
      <w:r>
        <w:t xml:space="preserve"> Nonlinearity and Asymmetry of the ENSO Stratospheric Pathway to North Atlantic and Europe, Revisited — https://doi.org/10.1029/2023jd039992</w:t>
      </w:r>
    </w:p>
    <w:p>
      <w:pPr/>
      <w:r>
        <w:rPr>
          <w:b/>
        </w:rPr>
        <w:t>Shared claim-specific concepts:</w:t>
      </w:r>
      <w:r>
        <w:t xml:space="preserve"> them, pathway, develop, each, three; EU scope visible. This is a provisional connection, not an outcome finding.</w:t>
      </w:r>
    </w:p>
    <w:p>
      <w:pPr>
        <w:pStyle w:val="SourceNote"/>
      </w:pPr>
      <w:r>
        <w:rPr>
          <w:b/>
        </w:rPr>
        <w:t>Available abstract (not full text):</w:t>
      </w:r>
      <w:r>
        <w:t xml:space="preserve">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pathways, specific;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evaluation, suitable, namely;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pStyle w:val="Heading2"/>
      </w:pPr>
      <w:r>
        <w:t>941. Modelling Soil Organic Carbon Changes Under Different Maize Cropping Scenarios for Cellulosic Ethanol in Europe</w:t>
      </w:r>
    </w:p>
    <w:p>
      <w:pPr>
        <w:pStyle w:val="SourceNote"/>
      </w:pPr>
      <w:r>
        <w:rPr>
          <w:b/>
        </w:rPr>
        <w:t>Original source (2014):</w:t>
      </w:r>
      <w:r>
        <w:t xml:space="preserve"> https://doi.org/10.1007/s12155-014-9529-2</w:t>
      </w:r>
    </w:p>
    <w:p>
      <w:pPr/>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POSSIBLE 2025:</w:t>
      </w:r>
      <w:r>
        <w:t xml:space="preserve"> First-Generation Biofuels vs. Energy Security: An Overview of Biodiesel and Bioethanol — https://doi.org/10.3390/en18226055</w:t>
      </w:r>
    </w:p>
    <w:p>
      <w:pPr/>
      <w:r>
        <w:rPr>
          <w:b/>
        </w:rPr>
        <w:t>Shared claim-specific concepts:</w:t>
      </w:r>
      <w:r>
        <w:t xml:space="preserve"> bioethanol, biofuel; EU scope not established. This is a provisional connection, not an outcome finding.</w:t>
      </w:r>
    </w:p>
    <w:p>
      <w:pPr>
        <w:pStyle w:val="SourceNote"/>
      </w:pPr>
      <w:r>
        <w:rPr>
          <w:b/>
        </w:rPr>
        <w:t>Available abstract (not full text):</w:t>
      </w:r>
      <w:r>
        <w:t xml:space="preserve"> Energy agriculture is one of the ways of producing clean energy. Crop production constitutes the basis for the sustainable profitability of agriculture, and agricultural products are traded on two markets: the food market and the energy market. This article reviews the literature on the conditions influencing biofuel production, with the aim of identifying the arguments supporting its expansion and the challenges associated with large-scale production. The study employs quantitative and qualitative desk research methods, the method of deduction, analysis and synthesis, the comparative method, and the expert method. Widespread application of biofuels requires a broader range of non-food raw materials (such as lignocellulosic biomass) and the advancement of conversion technologies used in bioethanol and biodiesel production. The main goal of ecofriendly energy generation should be to increase the energy output while minimizing environmental impacts. The findings from the literature review were collected, identified, and described as objectively as possible. The conclusions drawn are based on the authors’ findings and expert opinions. The future of biofuels depends on the optimal choice of raw materials that ensure the highest production efficiency, low costs, and reduced emissions of harmful atmospheric pollutants. Thus, intensification of agricultural production of non-food crop</w:t>
      </w:r>
    </w:p>
    <w:p>
      <w:pPr/>
      <w:r>
        <w:rPr>
          <w:b/>
        </w:rPr>
        <w:t>POSSIBLE 2025:</w:t>
      </w:r>
      <w:r>
        <w:t xml:space="preserve"> Opportunity cost estimates for spatial conservation prioritisation across terrestrial Europe — https://doi.org/10.1038/s41597-025-05837-5</w:t>
      </w:r>
    </w:p>
    <w:p>
      <w:pPr/>
      <w:r>
        <w:rPr>
          <w:b/>
        </w:rPr>
        <w:t>Shared claim-specific concepts:</w:t>
      </w:r>
      <w:r>
        <w:t xml:space="preserve"> particular, considering, estimated, level; EU scope visible. This is a provisional connection, not an outcome finding.</w:t>
      </w:r>
    </w:p>
    <w:p>
      <w:pPr>
        <w:pStyle w:val="SourceNote"/>
      </w:pPr>
      <w:r>
        <w:rPr>
          <w:b/>
        </w:rPr>
        <w:t>Available abstract (not full text):</w:t>
      </w:r>
      <w:r>
        <w:t xml:space="preserve"> Opportunity costs of conservation represent the foregone economic benefits from using land for nature conservation rather than alternative activities. Considering opportunity costs therefore helps in identifying cost-effective solutions in conservation prioritisation analyses. Since comprehensive, high-resolution, pan-European opportunity cost data are currently lacking, we created a 1 km European layer of opportunity costs (€/ha/yr) for arable, pastoral, forestry and urban lands. To create this layer, we estimated the opportunity costs of productive lands (agriculture and forestry) based on (sub)national land and resource rent data, which we allocated to the grid level integrating agricultural and forestry yield data with country-specific commodity prices. We estimated opportunity costs of urban land based on area-standardised residential rents and urban population density using empirical data from 42 European residential areas. Across land types, urban land comes with the highest opportunity costs, followed by arable, pastoral, and forestry land. We envisage this new opportunity cost layer to be particular useful for broad-scale European conservation prioritisation analyses.</w:t>
      </w:r>
    </w:p>
    <w:p>
      <w:pPr/>
      <w:r>
        <w:rPr>
          <w:b/>
        </w:rPr>
        <w:t>POSSIBLE 2025:</w:t>
      </w:r>
      <w:r>
        <w:t xml:space="preserve"> Coking coal – a critical raw material of Poland and the European Union — https://doi.org/10.7306/2025.26</w:t>
      </w:r>
    </w:p>
    <w:p>
      <w:pPr/>
      <w:r>
        <w:rPr>
          <w:b/>
        </w:rPr>
        <w:t>Shared claim-specific concepts:</w:t>
      </w:r>
      <w:r>
        <w:t xml:space="preserve"> particular, developed, potential; EU scope visible. This is a provisional connection, not an outcome finding.</w:t>
      </w:r>
    </w:p>
    <w:p>
      <w:pPr>
        <w:pStyle w:val="SourceNote"/>
      </w:pPr>
      <w:r>
        <w:rPr>
          <w:b/>
        </w:rPr>
        <w:t>Available abstract (not full text):</w:t>
      </w:r>
      <w:r>
        <w:t xml:space="preserve"> A b s t r a c t.The significance of coking coal in the European Union in relation the standing of this raw material in the global economy is outlined, as well as the occurrence and resources of coking coal in Poland, its importance for the domestic economy, and the possibilities of increasing its resource base in Polish coal basins.Since 2014, coking coal has been treated as a critical raw material for the economy of the European Union.Its annual consumption in the EU countries currently amounts to ~40 million tonnes and is mostly covered by imports.Poland is the only EU country with significant coking coal production (~12-13 million tonnes per year) and substantial resources and reserve base (21.3 and 1.7 billion tonnes, respectively), as well as the potential to increase the resource base, in particular in the Upper Silesian Coal Basin.The Polish government's official prognosis for the coming years is that the domestic coking coal deposits will continue to be developed, and the current coking coal production should be maintained.The existing coking coal resource conditions also allow for an increase in domestic production, including the opening of new mines; under this scenario, coking coal development should take into account mining, environmental, economic and even geopolitical aspects.</w:t>
      </w:r>
    </w:p>
    <w:p>
      <w:pPr/>
      <w:r>
        <w:rPr>
          <w:b/>
        </w:rPr>
        <w:t>POSSIBLE 2025:</w:t>
      </w:r>
      <w:r>
        <w:t xml:space="preserve"> Five or Ten Tonnes? Point-of-Origin Audit Triggers, Global Used Cooking Oil Trade, and the Integrity of UCO-Based Sustainable Aviation Fuel — https://doi.org/10.47363/jpsir/2026(4)165</w:t>
      </w:r>
    </w:p>
    <w:p>
      <w:pPr/>
      <w:r>
        <w:rPr>
          <w:b/>
        </w:rPr>
        <w:t>Shared claim-specific concepts:</w:t>
      </w:r>
      <w:r>
        <w:t xml:space="preserve"> tonne; EU scope visible. This is a provisional connection, not an outcome finding.</w:t>
      </w:r>
    </w:p>
    <w:p>
      <w:pPr>
        <w:pStyle w:val="SourceNote"/>
      </w:pPr>
      <w:r>
        <w:rPr>
          <w:b/>
        </w:rPr>
        <w:t>Available abstract (not full text):</w:t>
      </w:r>
      <w:r>
        <w:t xml:space="preserve"> Used cooking oil (UCO) has become a strategically important feedstock for hydroprocessed esters and fatty acids (HEFA)-based sustainable aviation fuel because it combines technological maturity with the circular-economy appeal of recovering a waste lipid. Its climate value, however, depends on whether the feedstock is genuinely used oil, accurately quantified, traceable to its point of origin, and protected against duplication or substitution. This qualitative literature review examines differences between the point-of-origin requirements of International Sustainability and Carbon Certification for the European Union and for the Carbon Offsetting and Reduction Scheme for International Aviation. It clarifies that the frequently cited 5- and 10-metric-tonne figures are not limits on trade, certification eligibility, or SAF production. They are risk-based triggers determining which non-individually certified points of origin enter the population for sample-based on-site auditing. ISCC EU applies a 5-tonne monthly or 60-tonne annual trigger based principally on volume supplied, whereas the publicly accessible ISCC CORSIA provisions apply a 10-tonne monthly or 120-tonne annual trigger based on volume generated. The lower EU trigger potentially strengthens fraud deterrence and market confidence but enlarges the audit population, increases transaction costs, and may disadvantage fragm</w:t>
      </w:r>
    </w:p>
    <w:p>
      <w:pPr/>
      <w:r>
        <w:rPr>
          <w:b/>
        </w:rPr>
        <w:t>POSSIBLE 2025:</w:t>
      </w:r>
      <w:r>
        <w:t xml:space="preserve"> Feasibility assessment of bioethanol-castor oil blends (CASAHOL) as sustainable marine engine fuel: balancing performance and emissions — https://doi.org/10.1007/s42452-025-07757-w</w:t>
      </w:r>
    </w:p>
    <w:p>
      <w:pPr/>
      <w:r>
        <w:rPr>
          <w:b/>
        </w:rPr>
        <w:t>Shared claim-specific concepts:</w:t>
      </w:r>
      <w:r>
        <w:t xml:space="preserve"> bioethanol, additional; EU scope not established. This is a provisional connection, not an outcome finding.</w:t>
      </w:r>
    </w:p>
    <w:p>
      <w:pPr>
        <w:pStyle w:val="SourceNote"/>
      </w:pPr>
      <w:r>
        <w:rPr>
          <w:b/>
        </w:rPr>
        <w:t>Available abstract (not full text):</w:t>
      </w:r>
      <w:r>
        <w:t xml:space="preserve"> Abstract This research investigates the viability of bioethanol (BE)-castor oil (CO) mixtures (CASAHOL) as an alternative fuel for marine engines, specifically targeting a dual-cylinder, four-stroke, naturally aspired (carburetor) engine. The study seeks to reduce the ecological consequences of fossil fuels by exploring renewable fuel alternatives. Four fuel blends with differing bioethanol and castor oil ratios were evaluated to determine their impact on engine performance, emissions, and fuel characteristics. Experimental results indicate that the 96%BE-4%CO blend attains the best thermal efficiency (24.27%) and produces a power output of 10.7 kW at max speed, establishing it as a formidable alternative to conventional fuels. Nonetheless, it generates comparatively elevated CO2 (10.5% vol) and NOx emissions (1164 ppm at 2000 RPM), signifying a compromise between performance and pollution. Conversely, the 99%BE-1%CO mixture exhibits the lowest NOx emissions (165 ppm at 1000 RPM), although demonstrates inferior thermal efficiency and power production. The research underscores the necessity to refine fuel mixtures to achieve a balance among efficiency, performance, and ecological consequences. The 96% BE-4% CO blend presents a feasible solution, enhancing engine performance while maintaining acceptable emission standards. Additional research is advised to enhance these blends an</w:t>
      </w:r>
    </w:p>
    <w:p>
      <w:pPr/>
      <w:r>
        <w:rPr>
          <w:b/>
        </w:rPr>
        <w:t>POSSIBLE 2025:</w:t>
      </w:r>
      <w:r>
        <w:t xml:space="preserve"> Development of polymeric membranes for the separation of water-alcohol mixtures for bioethanol purification in industry — https://openalex.org/W7113582821</w:t>
      </w:r>
    </w:p>
    <w:p>
      <w:pPr/>
      <w:r>
        <w:rPr>
          <w:b/>
        </w:rPr>
        <w:t>Shared claim-specific concepts:</w:t>
      </w:r>
      <w:r>
        <w:t xml:space="preserve"> bioethanol, developed, potential; EU scope not established. This is a provisional connection, not an outcome finding.</w:t>
      </w:r>
    </w:p>
    <w:p>
      <w:pPr>
        <w:pStyle w:val="SourceNote"/>
      </w:pPr>
      <w:r>
        <w:rPr>
          <w:b/>
        </w:rPr>
        <w:t>Available abstract (not full text):</w:t>
      </w:r>
      <w:r>
        <w:t xml:space="preserve"> The increasing demand for sustainable energy solutions has intensified the focus on bioethanol production as a renewable fuel alternative. However, the energy-intensive distillation process for water-alcohol separation remains a significant challenge in bioethanol purification. This study explores the development and characterization of thin-film composite membranes (TFCMs) for efficient water-alcohol separation, aiming to provide a more energyefficient alternative to traditional methods. The membranes were evaluated under varying conditions of temperature (20°C, 30°C, 40°C, and 50°C) for their performance in separating water from methanol, ethanol, and isopropanol. Results demonstrated that the permeance of water remained dominant at higher temperatures (40°C and 50°C), highlighting the membranes' suitability for selective water removal in bioethanol purification processes. In contrast, alcohols such as methanol and ethanol exhibited higher permeance at lower temperatures (20°C and 30°C), indicating the membranes’ tunable selectivity based on operating conditions. The study further revealed the time-dependent behavior of permeance, with alcohols experiencing a rapid decline in transport efficiency before stabilizing, while water maintained consistent performance over extended periods. This dynamic underscore the membranes' potential for long-term industrial applications with a</w:t>
      </w:r>
    </w:p>
    <w:p>
      <w:pPr/>
      <w:r>
        <w:rPr>
          <w:b/>
        </w:rPr>
        <w:t>POSSIBLE 2025:</w:t>
      </w:r>
      <w:r>
        <w:t xml:space="preserve"> Comparative evaluation on the fermentative potential of single and assorted fruit and vegetable waste for production of bioethanol — https://doi.org/10.1101/2025.07.03.662480</w:t>
      </w:r>
    </w:p>
    <w:p>
      <w:pPr/>
      <w:r>
        <w:rPr>
          <w:b/>
        </w:rPr>
        <w:t>Shared claim-specific concepts:</w:t>
      </w:r>
      <w:r>
        <w:t xml:space="preserve"> bioethanol, biofuel, potential; EU scope not established. This is a provisional connection, not an outcome finding.</w:t>
      </w:r>
    </w:p>
    <w:p>
      <w:pPr>
        <w:pStyle w:val="SourceNote"/>
      </w:pPr>
      <w:r>
        <w:rPr>
          <w:b/>
        </w:rPr>
        <w:t>Available abstract (not full text):</w:t>
      </w:r>
      <w:r>
        <w:t xml:space="preserve"> Fruit and vegetable waste (FVW) constitute a large part of municipal solid waste (MSW) and create significant environmental challenges by emitting the greenhouse gas methane. In contrast, these are a big source of fermentable sugar to produce bioenergy. Therefore, in this study, the Scanning Electron Microscopy (SEM), Attenuated total reflectance-fourier-transform infrared spectroscopy (ATR-FTIR), thermogravimetric analysis (TGA), X-ray diffraction (XRD), and biochemical quantification of alpha-cellulose and acid-insoluble lignin contents were carried out to compare fermentative potential between single (potato peel vs. orange peel) and assorted vegetable and fruit wastes. Collectively, the study indicates that assorted vegetable waste holds enormous biofuel potential by having low moisture content (6.78 %), moderately low decomposition temperature (Tmax: 299.36 degree C), low crystallinity index (CrI: 19.12%), and high alpha-cellulose contents (32.35 - 47.73 gm%) yielding high sugar (325.65 mg/g). The study also optimized several key fermentation parameters such as pH, sugar concentration and the time to produce bioethanol. It was observed that maximum production of ethanol (2.14%) was achieved at 28 degree C, at pH 6.3 with a higher initial sugar concentration of 200mg/g by using Saccharomyces cerevisiae strain NCIM 3594. This study supports the likely utility of unsorted veg</w:t>
      </w:r>
    </w:p>
    <w:p>
      <w:pPr/>
      <w:r>
        <w:rPr>
          <w:b/>
        </w:rPr>
        <w:t>POSSIBLE 2024:</w:t>
      </w:r>
      <w:r>
        <w:t xml:space="preserve"> Harnessing rice husks: Bioethanol production for sustainable future — https://doi.org/10.1016/j.crmicr.2024.100298</w:t>
      </w:r>
    </w:p>
    <w:p>
      <w:pPr/>
      <w:r>
        <w:rPr>
          <w:b/>
        </w:rPr>
        <w:t>Shared claim-specific concepts:</w:t>
      </w:r>
      <w:r>
        <w:t xml:space="preserve"> bioethanol, loss, biofuel, potential; EU scope not established. This is a provisional connection, not an outcome finding.</w:t>
      </w:r>
    </w:p>
    <w:p>
      <w:pPr>
        <w:pStyle w:val="SourceNote"/>
      </w:pPr>
      <w:r>
        <w:rPr>
          <w:b/>
        </w:rPr>
        <w:t>Available abstract (not full text):</w:t>
      </w:r>
      <w:r>
        <w:t xml:space="preserve"> • Rice husks are a promising renewable energy source. • This article highlights their potential and the environmental benefits of their use. • The article details the key stages in converting rice husks to bioethanol and the challenges and innovations in producing bioethanol from rice husks. • It explores the potential of rice husks as a biofuel source and reviews the advancements in bioethanol production technologies. • The article also evaluates the economic and environmental benefits of rice husk bioethanol and calls for continued research to enhance sustainability. The investigation of biofuel production from rice husks highlights its potential as a sustainable energy source amid rising environmental concerns and the gradual loss of fossil fuel sources. Biomass-derived biofuels, notably those derived from lignocellulosic materials, such as rice husks, provide a sustainable and environmentally friendly alternative that reduces greenhouse gas emissions while improving energy security. This review explores the need to produce biofuels along with the progression of biofuel technology throughout the four generations and the specific mechanisms involved in the conversion of bioethanol from rice husks. Several important stages are essential for the production of bioethanol from rice husks, including the disruption of lignocellulosic structure known as pretreatment, hydrolysis of c</w:t>
      </w:r>
    </w:p>
    <w:p>
      <w:pPr/>
      <w:r>
        <w:rPr>
          <w:b/>
        </w:rPr>
        <w:t>POSSIBLE 2024:</w:t>
      </w:r>
      <w:r>
        <w:t xml:space="preserve"> Characterization of Bioethanol Extracted from Napier Grass Using the Fermentation Process — https://doi.org/10.1051/e3sconf/202454013018</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Due to the diminishing supply of fossil fuels, biodiesel is gaining popularity as a feasible fuel. It is produced through the fermentation of Napier liquid with the help of bakery yeast. The pH test, viscosity analysis, multi-cylinder, and other tests yielded favourable results when compared to traditional fuels such as diesel. In the Viscosity analysis, we compare the pure and blended fuel with regular diesel, it was discovered that pure ethanol has reduced dynamic viscosity, which improves when blended with diesel. For the multi-cylinder engine performance test, adding 10 % ethanol to gasoline results in a bit of improvement in efficiency over regular diesel. The efficiency is greater than the previous one when it reaches 20 %. As a significance, we blended ethanol up to 20 % with normal diesel to obtain optimum results. Because complete combustion is achieved due to oxygen contained in ethanoldiesel blends, the exhaust gas temperature of the blends is found to be lower, and Nitrogen emission is higher compared to diesel.</w:t>
      </w:r>
    </w:p>
    <w:p>
      <w:pPr/>
      <w:r>
        <w:rPr>
          <w:b/>
        </w:rPr>
        <w:t>POSSIBLE 2024:</w:t>
      </w:r>
      <w:r>
        <w:t xml:space="preserve"> Delivering a Climate Neutral Europe — https://doi.org/10.4324/9781003493730</w:t>
      </w:r>
    </w:p>
    <w:p>
      <w:pPr/>
      <w:r>
        <w:rPr>
          <w:b/>
        </w:rPr>
        <w:t>Shared claim-specific concepts:</w:t>
      </w:r>
      <w:r>
        <w:t xml:space="preserve"> particular, developed;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2024:</w:t>
      </w:r>
      <w:r>
        <w:t xml:space="preserve"> Bioethanol production from organosolv treated beech wood chips obtained at pilot scale — https://doi.org/10.1016/j.biombioe.2023.107003</w:t>
      </w:r>
    </w:p>
    <w:p>
      <w:pPr/>
      <w:r>
        <w:rPr>
          <w:b/>
        </w:rPr>
        <w:t>Shared claim-specific concepts:</w:t>
      </w:r>
      <w:r>
        <w:t xml:space="preserve"> bioethanol, almost, biofuel; EU scope not established. This is a provisional connection, not an outcome finding.</w:t>
      </w:r>
    </w:p>
    <w:p>
      <w:pPr>
        <w:pStyle w:val="SourceNote"/>
      </w:pPr>
      <w:r>
        <w:rPr>
          <w:b/>
        </w:rPr>
        <w:t>Available abstract (not full text):</w:t>
      </w:r>
      <w:r>
        <w:t xml:space="preserve"> Second generation bioethanol represents an important biofuel, but innovations on biomass pre-treatment and fermentation are needed to improve efficiency and cost-effectiveness in its production. In this work, beech wood chips were treated using an acetone-based organosolv fractionation process at pilot scale, resulting in the isolation of lignin, a high-purity cellulosic pulp and a liquid stream containing hemicellulose sugars. The hemicellulose stream (C5 stream) contained xylose as major sugar and also contained fermentation inhibitors such as furanics, organic acids and phenolics. The cellulosic pulp was enzymatically hydrolysed producing a glucose-rich stream (C6 stream). These streams were used as fermentation substrates by the yeasts Saccharomyces cerevisiae and Spathaspora passalidarum, in separate cultures. Addition of ammonium phosphate or of yeast extract and peptone (YP) as nitrogen sources improved yeast growth. The C6 stream was readily fermentable. When at a sugar concentration of 192 g L−1 and supplemented with YP, the ethanol titre reached 91 g L−1, with a yield of 0.49 g ethanol per g consumed sugars. The C5 stream required detoxification to achieve fermentability. In detoxified C5 stream, S. passalidarum produced 0.46 g ethanol per gram consumed sugars. Fermentation of the resulting streams at 10-L scale confirmed the results obtained at laboratory scale. As a</w:t>
      </w:r>
    </w:p>
    <w:p>
      <w:pPr/>
      <w:r>
        <w:rPr>
          <w:b/>
        </w:rPr>
        <w:t>POSSIBLE 2024:</w:t>
      </w:r>
      <w:r>
        <w:t xml:space="preserve"> Circular transformation of the European steel industry renders scrap metal a strategic resource — https://doi.org/10.48550/arxiv.2406.12098</w:t>
      </w:r>
    </w:p>
    <w:p>
      <w:pPr/>
      <w:r>
        <w:rPr>
          <w:b/>
        </w:rPr>
        <w:t>Shared claim-specific concepts:</w:t>
      </w:r>
      <w:r>
        <w:t xml:space="preserve"> every, additional, recently, estimated; EU scope visible. This is a provisional connection, not an outcome finding.</w:t>
      </w:r>
    </w:p>
    <w:p>
      <w:pPr>
        <w:pStyle w:val="SourceNote"/>
      </w:pPr>
      <w:r>
        <w:rPr>
          <w:b/>
        </w:rPr>
        <w:t>Available abstract (not full text):</w:t>
      </w:r>
      <w:r>
        <w:t xml:space="preserve"> The steel industry is a major contributor to CO2 emissions, accounting for 7% of global emissions. The European steel industry is seeking to reduce its emissions by increasing the use of electric arc furnaces (EAFs), which can produce steel from scrap, marking a major shift towards a circular steel economy. Here, we show by combining trade with business intelligence data that this shift requires a deep restructuring of the global and European scrap trade, as well as a substantial scaling of the underlying business ecosystem. We find that the scrap imports of European countries with major EAF installations have steadily decreased since 2007 while globally scrap trade started to increase recently. Our statistical modelling shows that every 1,000 tonnes of EAF capacity installed is associated with an increase in annual imports of 550 tonnes and a decrease in annual exports of 1,000 tonnes of scrap, suggesting increased competition for scrap metal as countries ramp up their EAF capacity. Furthermore, each scrap company enables an increase of around 79,000 tonnes of EAF-based steel production per year in the EU. Taking these relations as causal and extrapolating to the currently planned EAF capacity, we find that an additional 730 (SD 140) companies might be required, employing about 35,000 people (IQR 29,000-50,000) and generating an additional estimated turnover of USD 35 billion </w:t>
      </w:r>
    </w:p>
    <w:p>
      <w:pPr>
        <w:pStyle w:val="Heading2"/>
      </w:pPr>
      <w:r>
        <w:t>942. Modelling sustainable energy futures for the UK</w:t>
      </w:r>
    </w:p>
    <w:p>
      <w:pPr>
        <w:pStyle w:val="SourceNote"/>
      </w:pPr>
      <w:r>
        <w:rPr>
          <w:b/>
        </w:rPr>
        <w:t>Original source (2014):</w:t>
      </w:r>
      <w:r>
        <w:t xml:space="preserve"> https://doi.org/10.1016/j.futures.2014.01.005</w:t>
      </w:r>
    </w:p>
    <w:p>
      <w:pPr/>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pPr/>
      <w:r>
        <w:rPr>
          <w:b/>
        </w:rPr>
        <w:t>POSSIBLE 2026:</w:t>
      </w:r>
      <w:r>
        <w:t xml:space="preserve"> Instasign:A Traffic Sign Recognition System — https://doi.org/10.1109/iementech202669403.2026.11434062</w:t>
      </w:r>
    </w:p>
    <w:p>
      <w:pPr/>
      <w:r>
        <w:rPr>
          <w:b/>
        </w:rPr>
        <w:t>Shared claim-specific concepts:</w:t>
      </w:r>
      <w:r>
        <w:t xml:space="preserve"> need, reduce, different, overall; EU scope not established. This is a provisional connection, not an outcome finding.</w:t>
      </w:r>
    </w:p>
    <w:p>
      <w:pPr>
        <w:pStyle w:val="SourceNote"/>
      </w:pPr>
      <w:r>
        <w:rPr>
          <w:b/>
        </w:rPr>
        <w:t>Available abstract (not full text):</w:t>
      </w:r>
      <w:r>
        <w:t xml:space="preserve"> Traffic rule violations are a serious issue for society, resulting in serious consequences like road accidents, deaths, physical disabilities, and mental disorders. Improving road safety by adopting sophisticated technological solutions has become the need of the hour to reduce these risks. One of the promising methods is the computer vision-based traffic sign recognition, which are very important in directing and regulating road users in a way to avoid accidents effectively. The work focuses on real-time traffic sign detection with a hardware-based approach combined with Image processing algorithms. With image processing techniques like edge detection, color analysis, and machine learning-based classification, the system recognizes and classifies different traffic signs like speed limits, warning signs, and stop signs. Further, the system is designed to operate effectively under different environmental and light conditions, i.e., rain, fog, or low lighting. Overall, the use of an automatic traffic sign detection system offers a state-of-the-art solution for reducing traffic rule violations and improving road safety.</w:t>
      </w:r>
    </w:p>
    <w:p>
      <w:pPr/>
      <w:r>
        <w:rPr>
          <w:b/>
        </w:rPr>
        <w:t>POSSIBLE 2025:</w:t>
      </w:r>
      <w:r>
        <w:t xml:space="preserve"> Reducing the sign problem with line integrals — https://doi.org/10.1007/jhep02(2025)041</w:t>
      </w:r>
    </w:p>
    <w:p>
      <w:pPr/>
      <w:r>
        <w:rPr>
          <w:b/>
        </w:rPr>
        <w:t>Shared claim-specific concepts:</w:t>
      </w:r>
      <w:r>
        <w:t xml:space="preserve"> result, reduce, possible; EU scope not established. This is a provisional connection, not an outcome finding.</w:t>
      </w:r>
    </w:p>
    <w:p>
      <w:pPr>
        <w:pStyle w:val="SourceNote"/>
      </w:pPr>
      <w:r>
        <w:rPr>
          <w:b/>
        </w:rPr>
        <w:t>Available abstract (not full text):</w:t>
      </w:r>
      <w:r>
        <w:t xml:space="preserve"> A bstract We present a novel strategy to strongly reduce the severity of the sign problem, using line integrals along paths of changing imaginary action. Highly oscillating regions along these paths cancel out, decreasing their contributions. As a result, sampling with standard Monte-Carlo techniques becomes possible in cases that otherwise require methods taking advantage of complex analysis, such as Lefschetz-thimbles or Complex Langevin. We lay out how to write down an ordinary differential equation for the line integrals. As an example of its usage, we apply the results to a 1d quantum mechanical anharmonic oscillator with a x 4 potential in real time, finite temperature.</w:t>
      </w:r>
    </w:p>
    <w:p>
      <w:pPr/>
      <w:r>
        <w:rPr>
          <w:b/>
        </w:rPr>
        <w:t>POSSIBLE 2025:</w:t>
      </w:r>
      <w:r>
        <w:t xml:space="preserve"> A Call to Action to Reduce the Need for a Medical Evaluation Prior to Exercise — https://doi.org/10.1249/jsr.0000000000001245</w:t>
      </w:r>
    </w:p>
    <w:p>
      <w:pPr/>
      <w:r>
        <w:rPr>
          <w:b/>
        </w:rPr>
        <w:t>Shared claim-specific concepts:</w:t>
      </w:r>
      <w:r>
        <w:t xml:space="preserve"> result, need, reduce; EU scope not established. This is a provisional connection, not an outcome finding.</w:t>
      </w:r>
    </w:p>
    <w:p>
      <w:pPr>
        <w:pStyle w:val="SourceNote"/>
      </w:pPr>
      <w:r>
        <w:rPr>
          <w:b/>
        </w:rPr>
        <w:t>Available abstract (not full text):</w:t>
      </w:r>
      <w:r>
        <w:t xml:space="preserve"> The purpose of the American College of Sports Medicine's (ACSM) exercise preparticipation health screening recommendations is to identify individuals who may be at elevated risk for an exercise-related sudden cardiovascular event (1,2). The present ACSM recommendations were revamped in 2015 to reduce unnecessary barriers to adopting and maintaining a regular exercise program and/or a physically active lifestyle and reinforce the public health message that regular physical activity (PA) is important for all. The rationale for doing so was due to growing evidence: exercise is safe, PA has many health benefits; exercise-related cardiovascular events are rare and often preceded by warning signs and symptoms, and the cardiovascular risks associated with exercise wane as individuals become more physically active and/or fit (1). The ACSM recommendations consider three factors when determining if there is a need for medical clearance prior to exercise: 1) the individual's current PA level, 2) presence of signs or symptoms and/or known cardiovascular, metabolic, or renal disease, and 3) exercise intensity (see Supplemental Digital Content, Figure, https://links.lww.com/CSMR/A159) (1,2). For regularly physically active individuals: who are asymptomatic without known cardiovascular, metabolic (i.e., diabetes mellitus, DM), or renal disease, they may continue their usual exercise program a</w:t>
      </w:r>
    </w:p>
    <w:p>
      <w:pPr/>
      <w:r>
        <w:rPr>
          <w:b/>
        </w:rPr>
        <w:t>POSSIBLE 2025:</w:t>
      </w:r>
      <w:r>
        <w:t xml:space="preserve"> International Conventions to Reduce Methane Emissions from Kyoto to Baku — https://doi.org/10.56334/sei/8.2.16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International efforts to reduce methane emissions have evolved significantly from the Kyoto Protocol to recent initiatives like the Global Methane Pledge and discussions in Baku. The Kyoto Protocol (1997) was the first treaty to recognize methane as a greenhouse gas, while the Montreal Protocol indirectly contributed to its reduction. The UNFCCC has facilitated ongoing dialogues about methane, leading to the Global Methane Pledge in 2021, aiming for a 30% reduction by 2030. The Baku Process (2022) further emphasized collaboration and monitoring in the oil and gas sector. Regional initiatives, particularly in the EU and North America, also target methane emissions, reflecting a growing commitment to addressing this potent greenhouse gas in climate strategies</w:t>
      </w:r>
    </w:p>
    <w:p>
      <w:pPr/>
      <w:r>
        <w:rPr>
          <w:b/>
        </w:rPr>
        <w:t>POSSIBLE 2025:</w:t>
      </w:r>
      <w:r>
        <w:t xml:space="preserve"> Enhanced Indian Sign Language Detection — https://doi.org/10.55041/ijsrem49874</w:t>
      </w:r>
    </w:p>
    <w:p>
      <w:pPr/>
      <w:r>
        <w:rPr>
          <w:b/>
        </w:rPr>
        <w:t>Shared claim-specific concepts:</w:t>
      </w:r>
      <w:r>
        <w:t xml:space="preserve"> result, overall; EU scope not established. This is a provisional connection, not an outcome finding.</w:t>
      </w:r>
    </w:p>
    <w:p>
      <w:pPr>
        <w:pStyle w:val="SourceNote"/>
      </w:pPr>
      <w:r>
        <w:rPr>
          <w:b/>
        </w:rPr>
        <w:t>Available abstract (not full text):</w:t>
      </w:r>
      <w:r>
        <w:t xml:space="preserve"> Abstract - The communication problem involving members of society who have speech and hearing impairments is still not fully resolved. In an earlier study, we created a real-time Indian Sign Language (ISL) recognition system which uses LSTM architecture for sequential gesture recognition. The focus of this paper is on further improving this system by changing the architecture from LSTM to CNN to enhance spatial feature extraction and overall system performance. Using a more comprehensive ISL dataset, we trained and tested the model and added new advanced preprocessing techniques such as Gaussian blur and converting the images to grayscale. These modifications improved the accuracy of the model and reduced the processing power needed, allowing for more advanced, rapid, and reliable real-time ISL gesture recognition. The result of this study is in the direction of making available an effective, simple, and easy-to-use technological interface for the deaf and hearing-impaired people in India. Keywords: Indian Sign Language (ISL), Gesture Recognition, Convolutional Neural Networks (CNNs), Real-time Communication, Image Preprocessing, Gaussian Blur, Grayscale Conversion, Sign Language Translation, Computer Vision, Human-Computer Interaction (HCI), Deep Learning</w:t>
      </w:r>
    </w:p>
    <w:p>
      <w:pPr/>
      <w:r>
        <w:rPr>
          <w:b/>
        </w:rPr>
        <w:t>POSSIBLE 2024:</w:t>
      </w:r>
      <w:r>
        <w:t xml:space="preserve"> Construction and Evaluation of a Dynamic Sign Dataset for the Colombian Sign Language — https://doi.org/10.1109/la-cci62337.2024.10814896</w:t>
      </w:r>
    </w:p>
    <w:p>
      <w:pPr/>
      <w:r>
        <w:rPr>
          <w:b/>
        </w:rPr>
        <w:t>Shared claim-specific concepts:</w:t>
      </w:r>
      <w:r>
        <w:t xml:space="preserve"> need, reduce, allows, different; EU scope not established. This is a provisional connection, not an outcome finding.</w:t>
      </w:r>
    </w:p>
    <w:p>
      <w:pPr>
        <w:pStyle w:val="SourceNote"/>
      </w:pPr>
      <w:r>
        <w:rPr>
          <w:b/>
        </w:rPr>
        <w:t>Available abstract (not full text):</w:t>
      </w:r>
      <w:r>
        <w:t xml:space="preserve"> Nowadays the amount of people that is involved in some degree of hearing loss is increasing, and sign languages are useful as a rehabilitation method when there is a complete loss of hearing. However, countries like Colombia where there is not enough infrastructure and interpreters, the teaching of a sign language is affected. On the other hand, start with the learning of basic vocabulary of a sign language is a key factor for building the ability of making sentences. The first signs that are usually learned are: alphabet, colors, numbers, family members, pronouns, and greetings. This is where Computer Vision have brought tools for the translation of various signs. This allows to the development of solutions that reduce the frequent need of interpreters when learning basic vocabulary. This work proposes the creation of a word-based dataset for the signs of colors in the Colombian Sign Language. It was evaluated with three different Neural Network architectures: 1) LSTM, 2) GRU and 3) Conv_2D. Where the input for the network were the landmark coordinates extracted with MediaPipe. On the other hand, the Neural Network was evaluated with a dataset split of 80 % for training and 20 % for testing. Finally, it was seen a higher performance for the architecture based on LSTM, having a precision on detection of 92.6 %. The results, show the importance of Machine Learning tools that con</w:t>
      </w:r>
    </w:p>
    <w:p>
      <w:pPr/>
      <w:r>
        <w:rPr>
          <w:b/>
        </w:rPr>
        <w:t>POSSIBLE 2024:</w:t>
      </w:r>
      <w:r>
        <w:t xml:space="preserve"> A Criticism of the Kyoto Protocol with an Objective Approach — https://doi.org/10.28979/jarnas.1452226</w:t>
      </w:r>
    </w:p>
    <w:p>
      <w:pPr/>
      <w:r>
        <w:rPr>
          <w:b/>
        </w:rPr>
        <w:t>Shared claim-specific concepts:</w:t>
      </w:r>
      <w:r>
        <w:t xml:space="preserve"> kyoto, reduce, emissions; EU scope not established. This is a provisional connection, not an outcome finding.</w:t>
      </w:r>
    </w:p>
    <w:p>
      <w:pPr>
        <w:pStyle w:val="SourceNote"/>
      </w:pPr>
      <w:r>
        <w:rPr>
          <w:b/>
        </w:rPr>
        <w:t>Available abstract (not full text):</w:t>
      </w:r>
      <w:r>
        <w:t xml:space="preserve"> The Kyoto Protocol, established to reduce greenhouse gas emissions, one of the human-induced causes of climate change, imposes obligations on developed countries. In this study: 1) what obligations the articles of the Kyoto Protocol impose on the countries that are party to the protocol, 2) whether the articles of the protocol are impartial, equal, and fair in their obligations to the contracting countries and their binding, 3) how the economic support of developed countries to reduce emissions to developing countries can be evaluated in the context of the principle of equality/justice, 4) it has been discussed whether the non-bindingness of the countries those are not party to the protocol. Considering all protocol items, the discussion was made from a critical but constructive point of view. It can be said that the obligations arising from the Kyoto Protocol bring disadvantages for some countries compared to others.</w:t>
      </w:r>
    </w:p>
    <w:p>
      <w:pPr/>
      <w:r>
        <w:rPr>
          <w:b/>
        </w:rPr>
        <w:t>POSSIBLE 2024:</w:t>
      </w:r>
      <w:r>
        <w:t xml:space="preserve"> The collapse of Kyoto Protocol: An analysis based on Game Theory — https://doi.org/10.1051/shsconf/202418803018</w:t>
      </w:r>
    </w:p>
    <w:p>
      <w:pPr/>
      <w:r>
        <w:rPr>
          <w:b/>
        </w:rPr>
        <w:t>Shared claim-specific concepts:</w:t>
      </w:r>
      <w:r>
        <w:t xml:space="preserve"> kyoto, agreement, reduce, emissions; EU scope not established. This is a provisional connection, not an outcome finding.</w:t>
      </w:r>
    </w:p>
    <w:p>
      <w:pPr>
        <w:pStyle w:val="SourceNote"/>
      </w:pPr>
      <w:r>
        <w:rPr>
          <w:b/>
        </w:rPr>
        <w:t>Available abstract (not full text):</w:t>
      </w:r>
      <w:r>
        <w:t xml:space="preserve"> Everyone is a stakeholder in environmental issues. Contemporarily, climate change is incrementally imposing threats to human development, making multilateral cooperation necessary to minimise the impacts of climate-related risks. The Kyoto Protocol was a significant internationally binding agreement that aimed to reduce greenhouse gases emissions, whereas its signatories failed to achieve its target to a large extent. This paper analyzes the reason behind the failure of the Kyoto Protocol through a game-theoretic literature. The main factors that contributed to the collapse of the Kyoto Protocol include the complex nature of the environmental issue and strategic interest in the treaty ratification procedure. The global environment is defined as a public good, therefore, each country has a free-rider incentive to take advantage of others’ actions in pollution reduction, which is analyzed through a single prisoners’ dilemma game. When such a game is extended to a repeated prisoners’ dilemma game with an infinite horizon, there is a possibility that nations adopt a cooperative strategy in the long run. Simultaneously, the ultimatum game provides a representation of the treaty negotiation and ratification process, highlighting the importance of fairness and reciprocity of the treaty for its signatories. Potential solutions include trade sanctions, tax on exports, and the measure of</w:t>
      </w:r>
    </w:p>
    <w:p>
      <w:pPr/>
      <w:r>
        <w:rPr>
          <w:b/>
        </w:rPr>
        <w:t>POSSIBLE 2024:</w:t>
      </w:r>
      <w:r>
        <w:t xml:space="preserve"> Reducing Training Data Using Pre-Trained Foundation Models: A Case Study on Traffic Sign Segmentation Using the Segment Anything Model — https://doi.org/10.3390/jimaging10090220</w:t>
      </w:r>
    </w:p>
    <w:p>
      <w:pPr/>
      <w:r>
        <w:rPr>
          <w:b/>
        </w:rPr>
        <w:t>Shared claim-specific concepts:</w:t>
      </w:r>
      <w:r>
        <w:t xml:space="preserve"> need, reduce; EU scope not established. This is a provisional connection, not an outcome finding.</w:t>
      </w:r>
    </w:p>
    <w:p>
      <w:pPr>
        <w:pStyle w:val="SourceNote"/>
      </w:pPr>
      <w:r>
        <w:rPr>
          <w:b/>
        </w:rPr>
        <w:t>Available abstract (not full text):</w:t>
      </w:r>
      <w:r>
        <w:t xml:space="preserve"> The utilization of robust, pre-trained foundation models enables simple adaptation to specific ongoing tasks. In particular, the recently developed Segment Anything Model (SAM) has demonstrated impressive results in the context of semantic segmentation. Recognizing that data collection is generally time-consuming and costly, this research aims to determine whether the use of these foundation models can reduce the need for training data. To assess the models' behavior under conditions of reduced training data, five test datasets for semantic segmentation will be utilized. This study will concentrate on traffic sign segmentation to analyze the results in comparison to Mask R-CNN: the field's leading model. The findings indicate that SAM does not surpass the leading model for this specific task, regardless of the quantity of training data. Nevertheless, a knowledge-distilled student architecture derived from SAM exhibits no reduction in accuracy when trained on data that have been reduced by 95%.</w:t>
      </w:r>
    </w:p>
    <w:p>
      <w:pPr/>
      <w:r>
        <w:rPr>
          <w:b/>
        </w:rPr>
        <w:t>POSSIBLE 2024:</w:t>
      </w:r>
      <w:r>
        <w:t xml:space="preserve"> SINSEÑAS: Mobile application for learning and translation of colombian sign language — https://openalex.org/W7167383289</w:t>
      </w:r>
    </w:p>
    <w:p>
      <w:pPr/>
      <w:r>
        <w:rPr>
          <w:b/>
        </w:rPr>
        <w:t>Shared claim-specific concepts:</w:t>
      </w:r>
      <w:r>
        <w:t xml:space="preserve"> result, need, reduce, allows, different; EU scope not established. This is a provisional connection, not an outcome finding.</w:t>
      </w:r>
    </w:p>
    <w:p>
      <w:pPr>
        <w:pStyle w:val="SourceNote"/>
      </w:pPr>
      <w:r>
        <w:rPr>
          <w:b/>
        </w:rPr>
        <w:t>Available abstract (not full text):</w:t>
      </w:r>
      <w:r>
        <w:t xml:space="preserve"> The integration of technological tools as communication alternatives, allows the inclusion of different efforts and development of human capabilities to reduce the communication gap. This article allows visualizing the development of a technological alternative for interpretation and learning of sign language, based on different research proposals. As a result, scopes and limitations were found that allow defining methods and tools for interpretation, translation and learning of sign language used. In addition, the recognition of the population that presents a communicational need and to know the advantages that will provide the deployment of the tool in mobile devices.</w:t>
      </w:r>
    </w:p>
    <w:p>
      <w:pPr/>
      <w:r>
        <w:rPr>
          <w:b/>
        </w:rPr>
        <w:t>POSSIBLE 2024:</w:t>
      </w:r>
      <w:r>
        <w:t xml:space="preserve"> A review of Global Carbon Markets from Kyoto to Paris and beyond: the persistent failure of implementation — https://doi.org/10.3389/fenvs.2024.1368105</w:t>
      </w:r>
    </w:p>
    <w:p>
      <w:pPr/>
      <w:r>
        <w:rPr>
          <w:b/>
        </w:rPr>
        <w:t>Shared claim-specific concepts:</w:t>
      </w:r>
      <w:r>
        <w:t xml:space="preserve"> kyoto, agreement, carbon, different; EU scope not established. This is a provisional connection, not an outcome finding.</w:t>
      </w:r>
    </w:p>
    <w:p>
      <w:pPr>
        <w:pStyle w:val="SourceNote"/>
      </w:pPr>
      <w:r>
        <w:rPr>
          <w:b/>
        </w:rPr>
        <w:t>Available abstract (not full text):</w:t>
      </w:r>
      <w:r>
        <w:t xml:space="preserve"> This review article provides a comprehensive multidisciplinary and in-depth analysis of how the idea of Global Carbon Markets (GCM) has evolved from the Kyoto Protocol to the Paris Agreement and the post-Paris Agreement period (2015–2022) and why no real consensus has been reached after 25 years of negotiations, based on the categorisation of different arguments from different authors. We apply a semi-systematic review to 32 scientific articles, special reports, and relevant websites to analyse the failure in reaching international consensus on GCM. We apply three dichotomies, market vs. non-market-based approaches, top-down vs. bottom-up and national vs. international level. There are two striking findings. First (out of the articles that can easily be placed along all three dichotomies), there is an overwhelming majority of articles combining market-based, top-down, and international level explanations. This is however countered by a second finding, namely, that there is also a clear historical trend which is unlikely to change away from top-down and towards bottom-up approaches since the Paris agreement, combined with a movement towards more non-market-based and national approaches.</w:t>
      </w:r>
    </w:p>
    <w:p>
      <w:pPr/>
      <w:r>
        <w:rPr>
          <w:b/>
        </w:rPr>
        <w:t>POSSIBLE 2024:</w:t>
      </w:r>
      <w:r>
        <w:t xml:space="preserve"> Simple Three-Round Multiparty Schnorr Signing with Full Simulatability — https://doi.org/10.62056/a36c0l5vt</w:t>
      </w:r>
    </w:p>
    <w:p>
      <w:pPr/>
      <w:r>
        <w:rPr>
          <w:b/>
        </w:rPr>
        <w:t>Shared claim-specific concepts:</w:t>
      </w:r>
      <w:r>
        <w:t xml:space="preserve"> result, signing, different; EU scope not established. This is a provisional connection, not an outcome finding.</w:t>
      </w:r>
    </w:p>
    <w:p>
      <w:pPr>
        <w:pStyle w:val="SourceNote"/>
      </w:pPr>
      <w:r>
        <w:rPr>
          <w:b/>
        </w:rPr>
        <w:t>Available abstract (not full text):</w:t>
      </w:r>
      <w:r>
        <w:t xml:space="preserve"> In a multiparty signing protocol, also known as a threshold signature scheme, the private signing key is shared amongst a set of parties and only a quorum of those parties can generate a signature. Research on multiparty signing has been growing in popularity recently due to its application to cryptocurrencies. Most work has focused on reducing the number of rounds to two, and as a result: (a) are not fully simulatable in the sense of MPC real/ideal security definitions, and/or (b) are not secure under concurrent composition, and/or (c) utilize non-standard assumptions of different types in their proofs of security. In this paper, we describe a simple three-round multiparty protocol for Schnorr signatures that is secure for any number of corrupted parties; i.e., in the setting of a dishonest majority. The protocol is fully simulatable, secure under concurrent composition, and proven secure in the standard model or random-oracle model (depending on the instantiations of the commitment and zero-knowledge primitives). The protocol realizes an ideal Schnorr signing functionality with perfect security in the ideal commitment and zero-knowledge hybrid model (and thus the only assumptions needed are for realizing these functionalities). In our presentation, we do not assume that all parties begin with the message to be signed, the identities of the participating parties and a unique c</w:t>
      </w:r>
    </w:p>
    <w:p>
      <w:pPr>
        <w:pStyle w:val="Heading2"/>
      </w:pPr>
      <w:r>
        <w:t>943. More green infrastructure is required to maintain ecosystem services under current trends in land-use change in Europe</w:t>
      </w:r>
    </w:p>
    <w:p>
      <w:pPr>
        <w:pStyle w:val="SourceNote"/>
      </w:pPr>
      <w:r>
        <w:rPr>
          <w:b/>
        </w:rPr>
        <w:t>Original source (2014):</w:t>
      </w:r>
      <w:r>
        <w:t xml:space="preserve"> https://doi.org/10.1007/s10980-014-0083-2</w:t>
      </w:r>
    </w:p>
    <w:p>
      <w:pPr/>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POSSIBLE 2026:</w:t>
      </w:r>
      <w:r>
        <w:t xml:space="preserve"> European Citizens Panels: Assessing their Legitimacy and Meaning for the European Commission — https://openalex.org/W7222989255</w:t>
      </w:r>
    </w:p>
    <w:p>
      <w:pPr/>
      <w:r>
        <w:rPr>
          <w:b/>
        </w:rPr>
        <w:t>Shared claim-specific concepts:</w:t>
      </w:r>
      <w:r>
        <w:t xml:space="preserve"> established, commission, across; EU scope visible. This is a provisional connection, not an outcome finding.</w:t>
      </w:r>
    </w:p>
    <w:p>
      <w:pPr>
        <w:pStyle w:val="SourceNote"/>
      </w:pPr>
      <w:r>
        <w:rPr>
          <w:b/>
        </w:rPr>
        <w:t>Available abstract (not full text):</w:t>
      </w:r>
      <w:r>
        <w:t xml:space="preserve">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pPr/>
      <w:r>
        <w:rPr>
          <w:b/>
        </w:rPr>
        <w:t>POSSIBLE 2026:</w:t>
      </w:r>
      <w:r>
        <w:t xml:space="preserve"> RECOMMENDATIONS TO THE EUROPEAN COMMISSION ON BRAIN-COMPUTER INTERFACES Recommendations to the European Commission on BRAIN-COMPUTER INTERFACES — https://doi.org/10.13140/rg.2.2.35713.21608</w:t>
      </w:r>
    </w:p>
    <w:p>
      <w:pPr/>
      <w:r>
        <w:rPr>
          <w:b/>
        </w:rPr>
        <w:t>Shared claim-specific concepts:</w:t>
      </w:r>
      <w:r>
        <w:t xml:space="preserve"> commission, energy; EU scope visible. This is a provisional connection, not an outcome finding.</w:t>
      </w:r>
    </w:p>
    <w:p>
      <w:pPr>
        <w:pStyle w:val="SourceNote"/>
      </w:pPr>
      <w:r>
        <w:rPr>
          <w:b/>
        </w:rPr>
        <w:t>Available abstract (not full text):</w:t>
      </w:r>
      <w:r>
        <w:t xml:space="preserve"> Implantable technologies, particularly Brain-Computer Interfaces (BCIs), raise significant ethical and societal concerns, notably regarding the physical and mental integrity of citizens in Europe and beyond. Current EU fundings 1 for medical research are allocated on BCIs with limited consideration for their ethical implications. Moreover, Brain-Computer Interfaces (BCIs) are currently categorized under EU Regulation 2017/745 of 5th April, 2017, on Medical Devices 2 . This classification remains unchanged since then, despite its renewal in 2022. However, given the rapid pace of technological progress, EU regulators should reassess the adequacy of existing provisions and expand the regulatory framework to address BCIs and neurotechnologies comprehensively from both ethical and legal perspectives. Our recommendations are based on these initial observations:  Last May 2024, President von der Leyen's political manifesto stated that Europe could capitalise on the upcoming biotech revolution through "biotechnologies, supported by AI and digital tools, which can help modernise entire parts of our economy, from farming and forestry to energy and health" 3 .  The BCIs market is a booming and highly innovative market estimated to grow at a 9.9% CAGR* and potentially reaching approximately $11 billion in size by 2030.  EU Regulatory amendments and new EU policy creation (including fram</w:t>
      </w:r>
    </w:p>
    <w:p>
      <w:pPr/>
      <w:r>
        <w:rPr>
          <w:b/>
        </w:rPr>
        <w:t>POSSIBLE 2026:</w:t>
      </w:r>
      <w:r>
        <w:t xml:space="preserve"> European Wild Bees: moving from assessment to conservation planning — https://doi.org/10.2779/5662020kh-01-25-230</w:t>
      </w:r>
    </w:p>
    <w:p>
      <w:pPr/>
      <w:r>
        <w:rPr>
          <w:b/>
        </w:rPr>
        <w:t>Shared claim-specific concepts:</w:t>
      </w:r>
      <w:r>
        <w:t xml:space="preserve"> established, commission, assess;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2026:</w:t>
      </w:r>
      <w:r>
        <w:t xml:space="preserve"> The European Commission and Dissensus over Liberal Democracy — https://doi.org/10.1007/978-3-032-22481-1_15</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Abstract As guardian of the EU treaties, the European Commission has a key role to play in order to uphold the rule of law, and therefore also finds itself at the forefront when it comes to dissensus over liberal democracy in the Union. The Commission, in order to protect core European values as enshrined in Article 2 TEU, has a number of instruments at its disposal, ranging from soft law such as the rule of law framework and annual reports to binding and indeed punitive sanctions such as infringement procedures, the general regime of conditionality, and the budgetary horizontal enabling conditions. Against this background, the chapter examines the internal and inter-institutional tensions surrounding the Commission’s role in responding to encroachments on liberal democracy. The chapter starts with a review of the Commission’s formal powers pursuant to the EU treaties, its composition and role in the EU’s polity and the mechanisms established to ensure the institution’s internal cohesion, before proceeding to compare and contrast the Commission’s role with respect to two specific crises confronted by the EU over the past decade: the sovereign debt crisis in the Eurozone and the Rule of Law crisis. The chapter concludes that while the Commission’s principled commitment to the values of liberal democracy remains deeply entrenched, there is a significant degree of ambivalence in t</w:t>
      </w:r>
    </w:p>
    <w:p>
      <w:pPr/>
      <w:r>
        <w:rPr>
          <w:b/>
        </w:rPr>
        <w:t>POSSIBLE 2025:</w:t>
      </w:r>
      <w:r>
        <w:t xml:space="preserve"> Climate and Energy Policies of Key European Member States: The cases of France, Italy and Germany — https://openalex.org/W7204333938</w:t>
      </w:r>
    </w:p>
    <w:p>
      <w:pPr/>
      <w:r>
        <w:rPr>
          <w:b/>
        </w:rPr>
        <w:t>Shared claim-specific concepts:</w:t>
      </w:r>
      <w:r>
        <w:t xml:space="preserve"> established, commission, energy, climate, between; EU scope visible. This is a provisional connection, not an outcome finding.</w:t>
      </w:r>
    </w:p>
    <w:p>
      <w:pPr>
        <w:pStyle w:val="SourceNote"/>
      </w:pPr>
      <w:r>
        <w:rPr>
          <w:b/>
        </w:rPr>
        <w:t>Available abstract (not full text):</w:t>
      </w:r>
      <w:r>
        <w:t xml:space="preserve"> The new European Commission has set itself the goal of integrating the European energy markets more closely to increase the security of supply in the EU. Further building blocks for a secure supply are the use of renewable energies and an increase in energy efficiency in the member states. However, this approach has to align with the different national energy systems, which have developed and become established nationally over time. The present analysis reviews the structure of energy supply, as well as the strategies and objectives for expanding renewable energies and reducing energy consumption, using the three biggest EU economies France, Germany and Italy as examples. It shows that there are numerous starting points for a deepened cooperation between the EU member states through the harmonisation of EU energy policy and a common approach to achieving energy and climate targets.</w:t>
      </w:r>
    </w:p>
    <w:p>
      <w:pPr/>
      <w:r>
        <w:rPr>
          <w:b/>
        </w:rPr>
        <w:t>POSSIBLE 2025:</w:t>
      </w:r>
      <w:r>
        <w:t xml:space="preserve"> Assessment of New Climate And Energy Targets for the Baltic States — https://doi.org/10.5709/ce.1897-9254.563</w:t>
      </w:r>
    </w:p>
    <w:p>
      <w:pPr/>
      <w:r>
        <w:rPr>
          <w:b/>
        </w:rPr>
        <w:t>Shared claim-specific concepts:</w:t>
      </w:r>
      <w:r>
        <w:t xml:space="preserve"> established, commission, assess, energy, climate, decrease; EU scope visible. This is a provisional connection, not an outcome finding.</w:t>
      </w:r>
    </w:p>
    <w:p>
      <w:pPr>
        <w:pStyle w:val="SourceNote"/>
      </w:pPr>
      <w:r>
        <w:rPr>
          <w:b/>
        </w:rPr>
        <w:t>Available abstract (not full text):</w:t>
      </w:r>
      <w:r>
        <w:t xml:space="preserve"> The European Union is the global forerunner in climate change mitigation policies. The new climate change mitigation targets were set for the European Union (EU) countries following the Energy and climate package targets established for renewable energy sources, energy efficiency improvements, and greenhouse gas (GHG) emission reductions. The European Commission (EC) has revised targets for 2030 several times, following the increased stringency of climate change mitigation commitments. The EU adopted the Climate Law, setting a legally binding goal to achieve a climate-neutral EU society by 2050. The EC agreed on an interim goal of a net 55% GHG emission decrease by 2030 and developed a Fit for 55 package, bringing EU regulations in line with the 2030 goal. The paper aims to analyze new EU climate change mitigation targets and to assess and compare the situation and advancements achieved by the Baltic States. The new targets for renewable energy sources, energy efficiency, and GHG emission decrease for the Baltic States were analyzed, and progress achieved was evaluated on the basis of data provided in the National Energy and Climate Plans (NECPs) submitted to the EC.</w:t>
      </w:r>
    </w:p>
    <w:p>
      <w:pPr/>
      <w:r>
        <w:rPr>
          <w:b/>
        </w:rPr>
        <w:t>POSSIBLE 2025:</w:t>
      </w:r>
      <w:r>
        <w:t xml:space="preserve"> EUROPEAN PRACTICE OF ASSESSING SOCIAL PROTECTION IN THE CONDITIONS OF A RESILIENT ECONOMY — https://doi.org/10.62204/2336-498x-2025-1-6</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Analysis of approaches, indicators and criteria for determining the impact of Social services on the Global economy socialization revealed the need to improve existing methodological approaches with the need to shift emphasis to assessing the economic component and effects of the Social services provision both at the level of the Global economy and national economic systems. The study of methodological approaches to assessing Social protection of the population in Ukraine revealed a number of challenges both in the national methodology, established by law, and in alternative methods developed with the assistance of international and foreign institutions, in particular the European Commission. Ukraine needs to improve methodological approaches to the assessment of Social services, where special attention should be paid to establishing their impact on the socialization and resilience of global and National economies.</w:t>
      </w:r>
    </w:p>
    <w:p>
      <w:pPr/>
      <w:r>
        <w:rPr>
          <w:b/>
        </w:rPr>
        <w:t>POSSIBLE 2025:</w:t>
      </w:r>
      <w:r>
        <w:t xml:space="preserve"> The European Climate and Energy Modelling Platform (ECEMP)—policy advice and research highlights from its 2023 edition — https://doi.org/10.1088/2753-3751/adef5d</w:t>
      </w:r>
    </w:p>
    <w:p>
      <w:pPr/>
      <w:r>
        <w:rPr>
          <w:b/>
        </w:rPr>
        <w:t>Shared claim-specific concepts:</w:t>
      </w:r>
      <w:r>
        <w:t xml:space="preserve"> established, commission, energy, climate, across; EU scope visible. This is a provisional connection, not an outcome finding.</w:t>
      </w:r>
    </w:p>
    <w:p>
      <w:pPr>
        <w:pStyle w:val="SourceNote"/>
      </w:pPr>
      <w:r>
        <w:rPr>
          <w:b/>
        </w:rPr>
        <w:t>Available abstract (not full text):</w:t>
      </w:r>
      <w:r>
        <w:t xml:space="preserve"> Abstract This paper presents an overview of the European Climate and Energy Modeling Platform (ECEMP) 2023 conference and its associated special issue, highlighting recent advances in climate and energy modeling research across Europe. Originally established as the Energy Modeling Platform for Europe (EMP-E) in 2017, ECEMP has evolved into a central forum connecting researchers, modelers, and policymakers focused on European energy transition and climate policy. The 2023 edition emphasized net zero targets, addressing economic, technological, and societal challenges in achieving decarbonization while considering climate impacts and geopolitical constraints. The special issue features ten articles. The research demonstrates how energy systems modeling continues advancing to address clean energy transition complexities, providing critical insights for policy design and investment decisions. ECEMP’s role as a platform for European researchers, EU-funded projects, and Commission representatives ensures continued policy relevance and research realism in climate transition modeling.</w:t>
      </w:r>
    </w:p>
    <w:p>
      <w:pPr/>
      <w:r>
        <w:rPr>
          <w:b/>
        </w:rPr>
        <w:t>POSSIBLE 2025:</w:t>
      </w:r>
      <w:r>
        <w:t xml:space="preserve"> Climate dissociations: Trade associations, energy policy and climate communications in Europe — https://doi.org/10.1371/journal.pclm.0000467</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This paper focuses on how climate delay narratives populate the information environment of decision makers and regulators in EU policy making. We examine the communications of selected trade associations representing oil and gas extraction interests in Europe. Our analysis offers a novel synthesis, drawing on official data, industry and social media content, using mixed methods and informed by recent theorising on the advocacy activities of trade associations. The paper contextualises the lobbying and communication activities of oil and gas trade associations in Europe using publicly available data on lobbying (drawn from the EU transparency register) and the outputs of oil and gas trade associations (in trade, specialist and social media) to examine their preferred framings and promoted policy prescriptions for addressing climate and energy policy. We find that trade associations representing oil and gas interests in Europe spend millions of euros per annum producing and promoting policy ideas that seek to secure the long-term future of these industries. Wider climate science is rarely directly referenced or acknowledged in their public advocacy. We argue that the normalization of a new form of climate denial has emerged, based on unproven technologies and market mechanisms being pushed by powerful economic interests.</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2024:</w:t>
      </w:r>
      <w:r>
        <w:t xml:space="preserve"> Health impacts methodology in the European Commission — https://doi.org/10.1093/eurpub/ckae144.120</w:t>
      </w:r>
    </w:p>
    <w:p>
      <w:pPr/>
      <w:r>
        <w:rPr>
          <w:b/>
        </w:rPr>
        <w:t>Shared claim-specific concepts:</w:t>
      </w:r>
      <w:r>
        <w:t xml:space="preserve"> commission, across, between; EU scope visible. This is a provisional connection, not an outcome finding.</w:t>
      </w:r>
    </w:p>
    <w:p>
      <w:pPr>
        <w:pStyle w:val="SourceNote"/>
      </w:pPr>
      <w:r>
        <w:rPr>
          <w:b/>
        </w:rPr>
        <w:t>Available abstract (not full text):</w:t>
      </w:r>
      <w:r>
        <w:t xml:space="preserve">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established, between;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pStyle w:val="Heading2"/>
      </w:pPr>
      <w:r>
        <w:t>944. Neglected futures. Considering overlooked poverty in Europe</w:t>
      </w:r>
    </w:p>
    <w:p>
      <w:pPr>
        <w:pStyle w:val="SourceNote"/>
      </w:pPr>
      <w:r>
        <w:rPr>
          <w:b/>
        </w:rPr>
        <w:t>Original source (2014):</w:t>
      </w:r>
      <w:r>
        <w:t xml:space="preserve"> https://doi.org/10.1007/s40309-014-0057-2</w:t>
      </w:r>
    </w:p>
    <w:p>
      <w:pPr/>
      <w:r>
        <w:t>Original wording (abstract; indexed_source_text_not_full_document_verified): This fact poses a major challenge for future planning and the future of social policies.</w:t>
      </w:r>
    </w:p>
    <w:p>
      <w:pPr/>
      <w:r>
        <w:rPr>
          <w:b/>
        </w:rPr>
        <w:t>POSSIBLE 2026:</w:t>
      </w:r>
      <w:r>
        <w:t xml:space="preserve"> International Journal of European, Mediterranean and African Studies — https://doi.org/10.5281/zenodo.20641656</w:t>
      </w:r>
    </w:p>
    <w:p>
      <w:pPr/>
      <w:r>
        <w:rPr>
          <w:b/>
        </w:rPr>
        <w:t>Shared claim-specific concepts:</w:t>
      </w:r>
      <w:r>
        <w:t xml:space="preserve"> fact, poses, major, challenge, policies; EU scope visible. This is a provisional connection, not an outcome finding.</w:t>
      </w:r>
    </w:p>
    <w:p>
      <w:pPr>
        <w:pStyle w:val="SourceNote"/>
      </w:pPr>
      <w:r>
        <w:rPr>
          <w:b/>
        </w:rPr>
        <w:t>Available abstract (not full text):</w:t>
      </w:r>
      <w:r>
        <w:t xml:space="preserve"> Introduction : This year ends in a fog: “soft” trade, alliances, and partnerships worldwide have been challenged like tectonic plates waiting for enough pressure to fracture or shift to a new equilibrium position. We are witnessing a brutal fragmentation of the world, the diversification and multiplication of armed and latent conflicts, and the collapse of multilateralism. These geopolitical earthquakes have accelerated the arms race. This phenomenon is visible in some European countries that imagined they could enjoy the dividends of peace for many more years. The “Global South,” once marginalized, is now at full strength and seeks to take revenge on the West. The latter, which claimed to be democratic, is undermined from within by a loss of collective bearings, the absence of a vision for the future, and the rise of populism. Nothing invites optimism in the face of these critical upheavals. Still, as Antonio Gramsci recommended, one must “combine the pessimism of the intellect with the optimism of the will.” The United Nations Chair for the Alliance of Civilizations and its various scientific publications, including the International Journal for European, Mediterranean and African Studies, strive to encourage their readers, convinced that there is no fatality and that the future depends on what we do. Hence the theme of this issue dedicated to immigration. The phenomenon of i</w:t>
      </w:r>
    </w:p>
    <w:p>
      <w:pPr/>
      <w:r>
        <w:rPr>
          <w:b/>
        </w:rPr>
        <w:t>POSSIBLE 2024:</w:t>
      </w:r>
      <w:r>
        <w:t xml:space="preserve"> Metropolitan Spatial Planning for Functional Urban Areas in Europe — https://openalex.org/W7133591946</w:t>
      </w:r>
    </w:p>
    <w:p>
      <w:pPr/>
      <w:r>
        <w:rPr>
          <w:b/>
        </w:rPr>
        <w:t>Shared claim-specific concepts:</w:t>
      </w:r>
      <w:r>
        <w:t xml:space="preserve"> fact, challenge, planning; EU scope visible. This is a provisional connection, not an outcome finding.</w:t>
      </w:r>
    </w:p>
    <w:p>
      <w:pPr>
        <w:pStyle w:val="SourceNote"/>
      </w:pPr>
      <w:r>
        <w:rPr>
          <w:b/>
        </w:rPr>
        <w:t>Available abstract (not full text):</w:t>
      </w:r>
      <w:r>
        <w:t xml:space="preserve"> Since the publication of the Torremolinos Charter in 1983, metropolitan areas have increasingly consolidated as catalysts and drivers of global development, as a consequence of complex processes of socioeconomic reorganisation and rescaling. These heterogeneous and context-dependent processes make metropolitan challenges hard to define and address from a univocal perspective. The metropolitan conundrum has gained attention in the agenda of EU institutions, acknowledging the fact that to leave this process ungoverned could pose serious threats to social, economic and territorial cohesion. At the same time, it puts traditional spatial governance and planning models into crisis, with existing territorial units that are challenged by spatial development dynamics are hardly manageable through rigid administrative boundaries. Despite the efforts dedicated to adapting the EU action, however, introducing suitable multi-scalar institutional arrangements aimed at metropolitan development and governance remains a challenge.</w:t>
      </w:r>
    </w:p>
    <w:p>
      <w:pPr/>
      <w:r>
        <w:rPr>
          <w:b/>
        </w:rPr>
        <w:t>POSSIBLE 2024:</w:t>
      </w:r>
      <w:r>
        <w:t xml:space="preserve"> Planning for socially sustainable rural housing in Sweden — https://doi.org/10.1016/j.jrurstud.2024.103377</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The aim of this article is to analyse and discuss policies and planning for rural housing, with a special focus on social sustainability . In this endeavour, we review research with such a focus and put this in dialogue with an analysis of the contemporary situation regarding rural housing challenges and policies in Sweden. Countrysides in Europe, including Sweden, are diverse and face different housing-related challenges. The literature illuminates spatial as well as socio-economic inequalities. Both a low demand for housing related to a shrinking labour market and out-migration and a high pressure on the housing market triggering restrictive or conditional measures to avoid speculative developments and rural gentrification affect social sustainability. Our case study on policy and planning measures that deal with rural housing in Sweden shows that there is a need to further investigate and understand the role of housing in rural areas for various groups and people with fewer resources, including further elaboration on the connection between mobilities and housing needs. A narrow focus upon housing provision that does not take into account access to services and communications as well as contemporary mobility flows of different groups challenges equality and well-being in rural areas. In Sweden, housing is primarily a municipal, local responsibility. However, exogenous forces </w:t>
      </w:r>
    </w:p>
    <w:p>
      <w:pPr/>
      <w:r>
        <w:rPr>
          <w:b/>
        </w:rPr>
        <w:t>POSSIBLE 2023:</w:t>
      </w:r>
      <w:r>
        <w:t xml:space="preserve"> An Analysis of the Municipal Waste Management of Romania and Bulgaria in the European Context — https://doi.org/10.61801/ouaess.2022.1.21</w:t>
      </w:r>
    </w:p>
    <w:p>
      <w:pPr/>
      <w:r>
        <w:rPr>
          <w:b/>
        </w:rPr>
        <w:t>Shared claim-specific concepts:</w:t>
      </w:r>
      <w:r>
        <w:t xml:space="preserve"> fact, poses, major; EU scope visible. This is a provisional connection, not an outcome finding.</w:t>
      </w:r>
    </w:p>
    <w:p>
      <w:pPr>
        <w:pStyle w:val="SourceNote"/>
      </w:pPr>
      <w:r>
        <w:rPr>
          <w:b/>
        </w:rPr>
        <w:t>Available abstract (not full text):</w:t>
      </w:r>
      <w:r>
        <w:t xml:space="preserve"> Since municipal waste accounts for 7% -10% of all waste generated in the European Union, this issue drums up major interest at the institutional level, given that increasing the levels of collected waste poses significant challenges to the environment and human health.The European Union adopted a legislative package which promotes the shift towards a more sustainable development model, known as the circular economy.The aim of this article is to analyze the dynamics of municipal waste management in Romania and Bulgaria in the European context, as there are deficiencies in these countries' implementation of the European waste management legislation.Eurostat's data for the 2000-2020 time horizon was used for the undertaken analysis.The results of the study show that both Romania and Bulgaria are facing similar challenges in terms of waste management due to the fact that some of the European directives have not been transposed into the national legislation.</w:t>
      </w:r>
    </w:p>
    <w:p>
      <w:pPr/>
      <w:r>
        <w:rPr>
          <w:b/>
        </w:rPr>
        <w:t>POSSIBLE 2022:</w:t>
      </w:r>
      <w:r>
        <w:t xml:space="preserve"> Platform work and access to social protection across major European countries — https://doi.org/10.1017/ics.2022.13</w:t>
      </w:r>
    </w:p>
    <w:p>
      <w:pPr/>
      <w:r>
        <w:rPr>
          <w:b/>
        </w:rPr>
        <w:t>Shared claim-specific concepts:</w:t>
      </w:r>
      <w:r>
        <w:t xml:space="preserve"> major, challenge; EU scope visible. This is a provisional connection, not an outcome finding.</w:t>
      </w:r>
    </w:p>
    <w:p>
      <w:pPr>
        <w:pStyle w:val="SourceNote"/>
      </w:pPr>
      <w:r>
        <w:rPr>
          <w:b/>
        </w:rPr>
        <w:t>Available abstract (not full text):</w:t>
      </w:r>
      <w:r>
        <w:t xml:space="preserve"> Abstract This paper is a first attempt to analyse the relationship between social protection systems and countries’ responses towards the regulation of platform work. It is argued that the degree of accessibility to social protection for self-employed workers is a predictor for how countries will deal with platform work. Countries that provide wide access to social protection for the self-employed tend to develop a more integrative response towards these work arrangements from a social protection perspective because the social protection of platform workers is a smaller policy challenge. On the other hand, in countries with a low degree of accessibility to social protection schemes, the response towards platform work is more confrontational. These responses are characterised by a larger number of court cases and legislative proposals because social protection for platform workers is a more pressing policy challenge and platform work arrangements are understood to be more antagonistic towards the respective social protection systems.</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major, policies;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2021:</w:t>
      </w:r>
      <w:r>
        <w:t xml:space="preserve"> Land Management for Socially Integrative Cities in Europe — https://doi.org/10.3390/books978-3-03936-679-8-4</w:t>
      </w:r>
    </w:p>
    <w:p>
      <w:pPr/>
      <w:r>
        <w:rPr>
          <w:b/>
        </w:rPr>
        <w:t>Shared claim-specific concepts:</w:t>
      </w:r>
      <w:r>
        <w:t xml:space="preserve"> fact, planning; EU scope visible. This is a provisional connection, not an outcome finding.</w:t>
      </w:r>
    </w:p>
    <w:p>
      <w:pPr>
        <w:pStyle w:val="SourceNote"/>
      </w:pPr>
      <w:r>
        <w:rPr>
          <w:b/>
        </w:rPr>
        <w:t>Available abstract (not full text):</w:t>
      </w:r>
      <w:r>
        <w:t xml:space="preserve"> Since the Joint Declaration on "The EU-China Partnership on Urbanisation" in 2012, there has been a rapidly growing number of systematic joint research activities on sustainable urbanisation between European and Chinese partners.The "EU-China Sustainable Urbanisation Flagship Initiative" identified four priority areas of mutual interest for EU-China research and innovation collaboration, i.e., sustainable development and urban planning, nature-based solutions for cities, green urban mobility and sustainable energy solutions for cities.Within this framework, the TRANS-URBAN-EU-CHINA research and innovation action started in 2018 with two parallel objectives.On the one hand, it aimed to support policy makers, urban authorities, real estate developers, public service providers and citizens in China to create socially integrative cities in an environmentally friendly and financially viable way.On the other hand, it aimed to help urban stakeholders in Europe to reflect and eventually reconsider their own approaches towards sustainable urbanisation.Real-world methods, instruments and good practice examples from Europe and China, e.g., in terms of social inclusiveness, cultural dynamics, environmental friendliness and economic viability, constituted a basis for comparative analysis.Fourteen project partners of excellence conducted the project.With eight European and six Chinese expert</w:t>
      </w:r>
    </w:p>
    <w:p>
      <w:pPr/>
      <w:r>
        <w:rPr>
          <w:b/>
        </w:rPr>
        <w:t>POSSIBLE 2020:</w:t>
      </w:r>
      <w:r>
        <w:t xml:space="preserve"> Understanding the Athena SWAN award scheme for gender equality as a complex social intervention in a complex system: analysis of Silver award action plans in a comparative European perspective — https://doi.org/10.1186/s12961-020-0527-x</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BACKGROUND: Given the complex mix of structural, cultural and institutional factors that produce barriers for women in science, an equally complex intervention is required to understand and address them. The Athena SWAN Award Scheme for Gender Equality has become a widespread means to address barriers for women's advancement and leadership in the United Kingdom, Ireland, Australia, the United States of America and Canada, while the European Commission is exploring the introduction of a similar award scheme across Europe. METHODS: This study analyses the design and implementation of 16 departmental Athena SWAN Silver Action Plans in Medical Sciences at one of the world's leading universities in Oxford, United Kingdom. Data pertaining to the design and implementation of gender equality interventions were extracted from the action plans, analysed thematically, coded using categories from the 2015 Athena SWAN Charter Awards Handbook and synthesised against a typology of gender equality interventions in the European Research Area. The results were further analysed against the complexity research literature framework, where research organisations are perceived as dynamic systems that adapt, interact and co-evolve with other systems. RESULTS: Athena SWAN is a complex contextually embedded system of action planning within the context of universities. It depends on a multitude of contex</w:t>
      </w:r>
    </w:p>
    <w:p>
      <w:pPr/>
      <w:r>
        <w:rPr>
          <w:b/>
        </w:rPr>
        <w:t>POSSIBLE 2020:</w:t>
      </w:r>
      <w:r>
        <w:t xml:space="preserve"> Region Attention Networks for Pose and Occlusion Robust Facial Expression Recognition — https://doi.org/10.1109/tip.2019.2956143</w:t>
      </w:r>
    </w:p>
    <w:p>
      <w:pPr/>
      <w:r>
        <w:rPr>
          <w:b/>
        </w:rPr>
        <w:t>Shared claim-specific concepts:</w:t>
      </w:r>
      <w:r>
        <w:t xml:space="preserve"> fact, poses, major; EU scope not established. This is a provisional connection, not an outcome finding.</w:t>
      </w:r>
    </w:p>
    <w:p>
      <w:pPr>
        <w:pStyle w:val="SourceNote"/>
      </w:pPr>
      <w:r>
        <w:rPr>
          <w:b/>
        </w:rPr>
        <w:t>Available abstract (not full text):</w:t>
      </w:r>
      <w:r>
        <w:t xml:space="preserve"> Occlusion and pose variations, which can change facial appearance significantly, are two major obstacles for automatic Facial Expression Recognition (FER). Though automatic FER has made substantial progresses in the past few decades, occlusion-robust and pose-invariant issues of FER have received relatively less attention, especially in real-world scenarios. This paper addresses the real-world pose and occlusion robust FER problem in the following aspects. First, to stimulate the research of FER under real-world occlusions and variant poses, we annotate several in-the-wild FER datasets with pose and occlusion attributes for the community. Second, we propose a novel Region Attention Network (RAN), to adaptively capture the importance of facial regions for occlusion and pose variant FER. The RAN aggregates and embeds varied number of region features produced by a backbone convolutional neural network into a compact fixed-length representation. Last, inspired by the fact that facial expressions are mainly defined by facial action units, we propose a region biased loss to encourage high attention weights for the most important regions. We validate our RAN and region biased loss on both our built test datasets and four popular datasets: FERPlus, AffectNet, RAF-DB, and SFEW. Extensive experiments show that our RAN and region biased loss largely improve the performance of FER with occ</w:t>
      </w:r>
    </w:p>
    <w:p>
      <w:pPr/>
      <w:r>
        <w:rPr>
          <w:b/>
        </w:rPr>
        <w:t>POSSIBLE 2019:</w:t>
      </w:r>
      <w:r>
        <w:t xml:space="preserve"> Dedicated versus mainstreaming approaches in local climate plans in Europe — https://doi.org/10.1016/j.rser.2019.05.014</w:t>
      </w:r>
    </w:p>
    <w:p>
      <w:pPr/>
      <w:r>
        <w:rPr>
          <w:b/>
        </w:rPr>
        <w:t>Shared claim-specific concepts:</w:t>
      </w:r>
      <w:r>
        <w:t xml:space="preserve"> major, planning, policies; EU scope visible. This is a provisional connection, not an outcome finding.</w:t>
      </w:r>
    </w:p>
    <w:p>
      <w:pPr>
        <w:pStyle w:val="SourceNote"/>
      </w:pPr>
      <w:r>
        <w:rPr>
          <w:b/>
        </w:rPr>
        <w:t>Available abstract (not full text):</w:t>
      </w:r>
      <w:r>
        <w:t xml:space="preserve"> Cities are gaining prominence committing to respond to the threat of climate change , e.g., by developing local climate plans or strategies. However, little is known regarding the approaches and processes of plan development and implementation, or the success and effectiveness of proposed measures. Mainstreaming is regarded as one approach associated with (implementation) success, but the extent of integration of local climate policies and plans in ongoing sectoral and/or development planning is unclear. This paper analyses 885 cities across the 28 European countries to create a first reference baseline on the degree of climate mainstreaming in local climate plans. This will help to compare the benefits of mainstreaming versus dedicated climate plans, looking at policy effectiveness and ultimately delivery of much needed climate change efforts at the city level. All core cities of the European Urban Audit sample were analyzed, and their local climate plans classified as dedicated or mainstreamed in other local policy initiatives. It was found that the degree of mainstreaming is low for mitigation (9% of reviewed cities; 12% of the identified plans) and somewhat higher for adaptation (10% of cities; 29% of plans). In particular horizontal mainstreaming is a major effort for local authorities; an effort that does not necessarily pay off in terms of success of action implementatio</w:t>
      </w:r>
    </w:p>
    <w:p>
      <w:pPr/>
      <w:r>
        <w:rPr>
          <w:b/>
        </w:rPr>
        <w:t>POSSIBLE 2019:</w:t>
      </w:r>
      <w:r>
        <w:t xml:space="preserve"> Application of a new methodology and R package reveals a high burden of healthcare-associated infections (HAI) in Germany compared to the average in the European Union/European Economic Area, 2011 to 2012 — https://doi.org/10.2807/1560-7917.es.2019.24.46.1900135</w:t>
      </w:r>
    </w:p>
    <w:p>
      <w:pPr/>
      <w:r>
        <w:rPr>
          <w:b/>
        </w:rPr>
        <w:t>Shared claim-specific concepts:</w:t>
      </w:r>
      <w:r>
        <w:t xml:space="preserve"> fact, major, challenge; EU scope visible. This is a provisional connection, not an outcome finding.</w:t>
      </w:r>
    </w:p>
    <w:p>
      <w:pPr>
        <w:pStyle w:val="SourceNote"/>
      </w:pPr>
      <w:r>
        <w:rPr>
          <w:b/>
        </w:rPr>
        <w:t>Available abstract (not full text):</w:t>
      </w:r>
      <w:r>
        <w:t xml:space="preserve"> Background Healthcare-associated infections (HAIs) pose a major challenge to health systems. Burden of disease estimations in disability-adjusted life years (DALYs) are useful for comparing and ranking HAIs. Aim To estimate the number of five common HAIs, their attributable number of deaths and burden for Germany. Methods We developed a new method and R package that builds on the approach used by the Burden of Communicable Diseases in Europe (BCoDE) project to estimate the burden of HAIs for individual countries. We used data on healthcare-associated Clostridioides difficile infection, healthcare-associated pneumonia, healthcare-associated primary bloodstream infection, healthcare-associated urinary tract infection and surgical-site infection, which were collected during the point prevalence survey of HAIs in European acute-care hospitals between 2011 and 2012. Results We estimated 478,222 (95% uncertainty interval (UI): 421,350–537,787) cases for Germany, resulting in 16,245 (95% UI: 10,863–22,756) attributable deaths and 248,920 (95% UI: 178,693–336,239) DALYs. Despite the fact that Germany has a relatively low hospital prevalence of HAIs compared with the European Union/European Economic Area (EU/EEA) average, the burden of HAIs in Germany (308.2 DALYs/100,000 population; 95% UI: 221.2–416.3) was higher than the EU/EEA average (290.0 DALYs/100,000 population; 95% UI: 214.9–3</w:t>
      </w:r>
    </w:p>
    <w:p>
      <w:pPr/>
      <w:r>
        <w:rPr>
          <w:b/>
        </w:rPr>
        <w:t>POSSIBLE 2018:</w:t>
      </w:r>
      <w:r>
        <w:t xml:space="preserve"> Social Planning for Trusted Autonomy — https://doi.org/10.1007/978-3-319-64816-3_4</w:t>
      </w:r>
    </w:p>
    <w:p>
      <w:pPr/>
      <w:r>
        <w:rPr>
          <w:b/>
        </w:rPr>
        <w:t>Shared claim-specific concepts:</w:t>
      </w:r>
      <w:r>
        <w:t xml:space="preserve"> challenge, planning; EU scope not established. This is a provisional connection, not an outcome finding.</w:t>
      </w:r>
    </w:p>
    <w:p>
      <w:pPr>
        <w:pStyle w:val="SourceNote"/>
      </w:pPr>
      <w:r>
        <w:rPr>
          <w:b/>
        </w:rPr>
        <w:t>Available abstract (not full text):</w:t>
      </w:r>
      <w:r>
        <w:t xml:space="preserve"> In this chapter, we describe social planning mechanisms for constructing and representing explainable plans in human-agent interactions, addressing one aspect of what it will take to meet the requirements of a trusted autonomous system. Social planning is automated planning in which the planning agent maintains and reasons with an explicit model of the other agents, human or artificial, with which it interacts, including the humans’ goals, intentions, and beliefs, as well as their potential behaviours. The chapter includes a brief overview of the challenge of planning in human-agent teams, and an introduction to a recent body of technical work in multi-agent epistemic planning. The benefits of planning in the presence of nested belief reasoning and first-person multi-agent planning are illustrated in two scenarios, hence indicating how social planning could be used for planning human-agent interaction explicitly as part of an agent’s deliberation. These keywords were added by machine and not by the authors. This process is experimental and the keywords may be updated as the learning algorithm improves.</w:t>
      </w:r>
    </w:p>
    <w:p>
      <w:pPr>
        <w:pStyle w:val="Heading2"/>
      </w:pPr>
      <w:r>
        <w:t>945. New system of employment forecasting in Poland</w:t>
      </w:r>
    </w:p>
    <w:p>
      <w:pPr>
        <w:pStyle w:val="SourceNote"/>
      </w:pPr>
      <w:r>
        <w:rPr>
          <w:b/>
        </w:rPr>
        <w:t>Original source (2014):</w:t>
      </w:r>
      <w:r>
        <w:t xml:space="preserve"> https://doi.org/10.2478/eam-2014-0018</w:t>
      </w:r>
    </w:p>
    <w:p>
      <w:pPr/>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A collaborative analytics framework for artificial intelligence-based demand forecasting in supply chains — https://doi.org/10.1016/j.sca.2026.100235</w:t>
      </w:r>
    </w:p>
    <w:p>
      <w:pPr/>
      <w:r>
        <w:rPr>
          <w:b/>
        </w:rPr>
        <w:t>Shared claim-specific concepts:</w:t>
      </w:r>
      <w:r>
        <w:t xml:space="preserve"> forecasts, drawing, point; EU scope visible. This is a provisional connection, not an outcome finding.</w:t>
      </w:r>
    </w:p>
    <w:p>
      <w:pPr>
        <w:pStyle w:val="SourceNote"/>
      </w:pPr>
      <w:r>
        <w:rPr>
          <w:b/>
        </w:rPr>
        <w:t>Available abstract (not full text):</w:t>
      </w:r>
      <w:r>
        <w:t xml:space="preserve"> Despite substantial advances in artificial intelligence (AI), forecasting systems in practice often remain anchored in traditional, siloed approaches, leaving managers with unreliable and inconsistent signals for decision-making. Such forecasts tend to exacerbate the bullwhip effect, inflate safety stocks and generate significant inefficiencies in working capital and logistics costs. In fast-moving consumer goods (FMCG) supply chains, forecasts that fail to reach a minimum level of reliability are of limited value for operational planning, whereas sufficiently accurate forecasts provide a dependable foundation for managerial decisions. This practice-oriented study examines whether joint AI-based forecasting, combining downstream retailer data with advanced machine-learning techniques, enables firms to consistently achieve forecast reliability levels that are suitable for planning. Drawing on a unique dataset from a Central European manufacturer-retailer partnership, we compare three forecasting scenarios: a Manufacturer baseline forecast based on traditional statistical methods (ARIMA) applied to shipment data; a Manufacturer AI forecast using machine-learning models (XGBoost) trained exclusively on shipment data; and a Joint AI forecast in which machine-learning models (XGBoost) are trained on retailer warehouse outbound data. The analysis shows that Joint AI reduces total abs</w:t>
      </w:r>
    </w:p>
    <w:p>
      <w:pPr/>
      <w:r>
        <w:rPr>
          <w:b/>
        </w:rPr>
        <w:t>POSSIBLE 2026:</w:t>
      </w:r>
      <w:r>
        <w:t xml:space="preserve"> Is the European Union's innovation policy sufficient to enable marine, coastal, and freshwater restoration in Europe? — https://doi.org/10.1111/rec.70333</w:t>
      </w:r>
    </w:p>
    <w:p>
      <w:pPr/>
      <w:r>
        <w:rPr>
          <w:b/>
        </w:rPr>
        <w:t>Shared claim-specific concepts:</w:t>
      </w:r>
      <w:r>
        <w:t xml:space="preserve"> conclusions, abstract; EU scope visible. This is a provisional connection, not an outcome finding.</w:t>
      </w:r>
    </w:p>
    <w:p>
      <w:pPr>
        <w:pStyle w:val="SourceNote"/>
      </w:pPr>
      <w:r>
        <w:rPr>
          <w:b/>
        </w:rPr>
        <w:t>Available abstract (not full text):</w:t>
      </w:r>
      <w:r>
        <w:t xml:space="preserve"> Abstract Introduction The European Union (EU) policy framework emphasizes the importance of innovation to achieve the environmental goals and to ensure continued economic growth and increased EU global competitiveness. Objectives This paper analyses whether those policy instruments can effectively support ecosystem restoration. Methods This paper used the combination of semi‐structured interviews, online surveys, and policy reviews to assess whether EU innovation policies provide adequate support for innovation to play a significant role in achieving the EU restoration targets, with focus on the Atlantic‐Arctic, Danube, and Mediterranean regions. Results Most of the policy goals and tools are focused on technological innovations and are vague when it comes to biodiversity, usually only mentioning “green transition.” The financing mechanisms, governance structures, and policies are still in their infancy in relation to ecosystem restoration innovations. This contrasts with the fact that most restoration experts seem aware of the relevance of different innovations, but there is little policy foundation to build upon. Evidence indicates that public sector support services for developing entrepreneurial initiatives in restoration activities remain limited and there is little to no interest from the private sector in investing in such initiatives. Conclusions While the EU innovation</w:t>
      </w:r>
    </w:p>
    <w:p>
      <w:pPr/>
      <w:r>
        <w:rPr>
          <w:b/>
        </w:rPr>
        <w:t>POSSIBLE 2026:</w:t>
      </w:r>
      <w:r>
        <w:t xml:space="preserve"> Point and Probabilistic Forecasts for Day-Ahead Battery Scheduling — https://doi.org/10.5445/ir/1000189295</w:t>
      </w:r>
    </w:p>
    <w:p>
      <w:pPr/>
      <w:r>
        <w:rPr>
          <w:b/>
        </w:rPr>
        <w:t>Shared claim-specific concepts:</w:t>
      </w:r>
      <w:r>
        <w:t xml:space="preserve"> forecasts, point, system; EU scope not established. This is a provisional connection, not an outcome finding.</w:t>
      </w:r>
    </w:p>
    <w:p>
      <w:pPr>
        <w:pStyle w:val="SourceNote"/>
      </w:pPr>
      <w:r>
        <w:rPr>
          <w:b/>
        </w:rPr>
        <w:t>Available abstract (not full text):</w:t>
      </w:r>
      <w:r>
        <w:t xml:space="preserve"> The global energy transition towards renewable energy sources (RES) poses challenges due to their inherent uncertainty, which reduces the energy system's flexibility and stability. Battery energy storage systems (BESS) offer a solution by increasing flexibility and making aggregated RES and loads dispatchable, enabling them to meet day-ahead dispatch schedules communicated with the grid through effective BESS management. This concept is implemented in a so-called dispatchable feeder (DF), which represents a system consisting of RES generation, loads, and a BESS, working together as a single controllable unit. The operation of the DF is formulated as a stochastic optimisation problem (OP) using forecasts of RES generation and loads as inputs. This thesis focuses on two main aspects affecting the performance of the DF: the forecasts and the mathematical formulation of the OP. In the first half of this thesis, the impact of different point forecasts with different characteristics on the performance of the DF via the so-called forecast value is investigated. Using a dataset of 300 residential buildings, the results show that the forecast characteristics affect the performance of the DF depending on problem-specific parameters. Based on these results, a meta-learning framework is proposed that automates the selection of the value-oriented forecast for the DF. The evaluation shows th</w:t>
      </w:r>
    </w:p>
    <w:p>
      <w:pPr/>
      <w:r>
        <w:rPr>
          <w:b/>
        </w:rPr>
        <w:t>POSSIBLE 2026:</w:t>
      </w:r>
      <w:r>
        <w:t xml:space="preserve"> Essays in financial forecasting — https://doi.org/10.82444/warw.33492655</w:t>
      </w:r>
    </w:p>
    <w:p>
      <w:pPr/>
      <w:r>
        <w:rPr>
          <w:b/>
        </w:rPr>
        <w:t>Shared claim-specific concepts:</w:t>
      </w:r>
      <w:r>
        <w:t xml:space="preserve"> forecasts, point; EU scope not established. This is a provisional connection, not an outcome finding.</w:t>
      </w:r>
    </w:p>
    <w:p>
      <w:pPr>
        <w:pStyle w:val="SourceNote"/>
      </w:pPr>
      <w:r>
        <w:rPr>
          <w:b/>
        </w:rPr>
        <w:t>Available abstract (not full text):</w:t>
      </w:r>
      <w:r>
        <w:t xml:space="preserve"> Forecasting is central to economic and financial decision-making. Government institutions and agents in the private sector often base their decisions on forecasts of financial and economic variables. Forecasting has therefore been a primary concern for practitioners and financial econometricians alike, and the relevant literature has witnessed a renaissance in recent years. This thesis contributes to this literature by investigating three topical issues related to financial and economic forecasting. The first chapter finds its rationale in the large literature suggesting that standard exchange rate models cannot outperform a random walk forecast and that the forward rate is not an optimal predictor of the spot rate. However, there is some evidence that the term structure of forward premia contains valuable information for forecasting future spot exchange rates and that exchange rate dynamics display nonlinearities. This chapter proposes a term-structure forecasting model of exchange rates based on a regime-switching vector equilibrium correction model which is novel in this context. Our model significantly outperforms both a random walk and, to a lesser extent, a linear term-structure vector equilibrium correction model for four major dollar exchange rates across a range of horizons. The second chapter proposes a vector equilibrium correction model of stock returns that exploit</w:t>
      </w:r>
    </w:p>
    <w:p>
      <w:pPr/>
      <w:r>
        <w:rPr>
          <w:b/>
        </w:rPr>
        <w:t>POSSIBLE 2025:</w:t>
      </w:r>
      <w:r>
        <w:t xml:space="preserve"> Does sustainability disclosure improve analysts’ forecast accuracy? Evidence from European banks — https://doi.org/10.1186/s40854-024-00693-5</w:t>
      </w:r>
    </w:p>
    <w:p>
      <w:pPr/>
      <w:r>
        <w:rPr>
          <w:b/>
        </w:rPr>
        <w:t>Shared claim-specific concepts:</w:t>
      </w:r>
      <w:r>
        <w:t xml:space="preserve"> important, abstract; EU scope visible. This is a provisional connection, not an outcome finding.</w:t>
      </w:r>
    </w:p>
    <w:p>
      <w:pPr>
        <w:pStyle w:val="SourceNote"/>
      </w:pPr>
      <w:r>
        <w:rPr>
          <w:b/>
        </w:rPr>
        <w:t>Available abstract (not full text):</w:t>
      </w:r>
      <w:r>
        <w:t xml:space="preserve"> Abstract In this study, we investigate the extent to which sustainability disclosures in the narrative sections of European banks’ annual reports improve analysts’ forecasting accuracy. We capture sustainability disclosures with a machine learning approach and use forecast errors as a proxy for analysts’ forecast accuracy. Our results suggest that sustainability disclosures significantly improve analysts’ forecasting accuracy by reducing forecast errors. In a further analysis, we also find that the introduction of Directive 2014/95/European Union is associated with increased disclosure content, which reduces forecast error. Collectively, our results suggest that sustainability disclosures improve forecast accuracy, and the introduction of the new EU directive strengthens this improvement. These results hold after several robustness tests. Our findings have important implications for market participants and policymakers.</w:t>
      </w:r>
    </w:p>
    <w:p>
      <w:pPr/>
      <w:r>
        <w:rPr>
          <w:b/>
        </w:rPr>
        <w:t>POSSIBLE 2025:</w:t>
      </w:r>
      <w:r>
        <w:t xml:space="preserve"> Multivariate Tests for Point and Probabilistic Forecasts, with an Application to Spatio-temporal Weather Forecast Evaluation — https://doi.org/10.1145/3748777.3748789</w:t>
      </w:r>
    </w:p>
    <w:p>
      <w:pPr/>
      <w:r>
        <w:rPr>
          <w:b/>
        </w:rPr>
        <w:t>Shared claim-specific concepts:</w:t>
      </w:r>
      <w:r>
        <w:t xml:space="preserve"> forecasts, important, point; EU scope not established. This is a provisional connection, not an outcome finding.</w:t>
      </w:r>
    </w:p>
    <w:p>
      <w:pPr>
        <w:pStyle w:val="SourceNote"/>
      </w:pPr>
      <w:r>
        <w:rPr>
          <w:b/>
        </w:rPr>
        <w:t>Available abstract (not full text):</w:t>
      </w:r>
      <w:r>
        <w:t xml:space="preserve"> Spatio-temporal forecasting has become increasingly important across a wide range of applications, from weather prediction to transportation and energy systems.These forecasting tasks naturally involve multiple interdependent variables observed over space and time, making them inherently multivariate in nature.However, evaluation techniques for multivariate forecasts often rely on simple averages of univariate metrics, potentially overlooking joint forecast quality across multiple variables.Such naive comparisons also cannot reliably distinguish whether the observed improvements are genuine or simply due to random variation.Furthermore, despite growing interest in probabilistic forecasting, there remains a lack of formal evaluation methods tailored to assessing the joint distributional accuracy of multiple time series forecasts.To address this gap, we propose multivariate extensions to two popular forecast evaluation hypothesis tests.First, we introduce one-sided multivariate Diebold-Mariano tests [14,21,29] to assess whether the point forecast of one model outperforms another for one or more target variables.Second, we develop a test for correct specification of joint distributions by expanding upon the probability integral transformbased approach originally proposed for univariate densities [37].Both tests are validated through theoretical analysis as well as simulation studi</w:t>
      </w:r>
    </w:p>
    <w:p>
      <w:pPr/>
      <w:r>
        <w:rPr>
          <w:b/>
        </w:rPr>
        <w:t>POSSIBLE 2025:</w:t>
      </w:r>
      <w:r>
        <w:t xml:space="preserve"> Primary School Students' Perceptions of Artificial Intelligence: Metaphor and Drawing Analysis — https://doi.org/10.1111/ejed.70007</w:t>
      </w:r>
    </w:p>
    <w:p>
      <w:pPr/>
      <w:r>
        <w:rPr>
          <w:b/>
        </w:rPr>
        <w:t>Shared claim-specific concepts:</w:t>
      </w:r>
      <w:r>
        <w:t xml:space="preserve"> drawing, perspectives, abstract, present; EU scope not established. This is a provisional connection, not an outcome finding.</w:t>
      </w:r>
    </w:p>
    <w:p>
      <w:pPr>
        <w:pStyle w:val="SourceNote"/>
      </w:pPr>
      <w:r>
        <w:rPr>
          <w:b/>
        </w:rPr>
        <w:t>Available abstract (not full text):</w:t>
      </w:r>
      <w:r>
        <w:t xml:space="preserve"> ABSTRACT Due to the frequent use of artificial intelligence (AI) technologies in daily life, it is thought that primary school students acquire information about this concept from various sources. The way these sources present AI may affect students' perceptions of AI. In the study, it was aimed to examine the perceptions of third and fourth grade primary school students about AI through metaphors and drawings. This research, which was conducted with the participation of 262 students, was conducted with the phenomenological design. When the metaphors of the participants were analysed, it was determined that they produced 100 metaphors, and these metaphors were evaluated in 17 categories as humanistic feature, information source, danger, development, superhuman feature, service, source of happiness, productivity, orientation, commitment, pervasiveness, necessity, security, speed, difficulty, virtual environment and uncertainty. Accordingly, it was determined that the participants evaluated AI from many different perspectives and produced the most metaphors in the categories of humanistic feature, information source and danger. It was determined that the metaphors human, brain and living were prominent in the human characteristic category; the metaphors teacher, wise and book were prominent in the source of information category; and finally, the metaphors enemy, weapon and monste</w:t>
      </w:r>
    </w:p>
    <w:p>
      <w:pPr/>
      <w:r>
        <w:rPr>
          <w:b/>
        </w:rPr>
        <w:t>POSSIBLE 2025:</w:t>
      </w:r>
      <w:r>
        <w:t xml:space="preserve"> Improving Subseasonal Wind Speed Forecasts in Europe with a Nonlinear Model — https://doi.org/10.1175/mwr-d-24-0248.1</w:t>
      </w:r>
    </w:p>
    <w:p>
      <w:pPr/>
      <w:r>
        <w:rPr>
          <w:b/>
        </w:rPr>
        <w:t>Shared claim-specific concepts:</w:t>
      </w:r>
      <w:r>
        <w:t xml:space="preserve"> forecasts, abstract, system; EU scope visible. This is a provisional connection, not an outcome finding.</w:t>
      </w:r>
    </w:p>
    <w:p>
      <w:pPr>
        <w:pStyle w:val="SourceNote"/>
      </w:pPr>
      <w:r>
        <w:rPr>
          <w:b/>
        </w:rPr>
        <w:t>Available abstract (not full text):</w:t>
      </w:r>
      <w:r>
        <w:t xml:space="preserve"> Abstract Subseasonal wind speed forecasts provide valuable guidance for wind power system planning and operations, yet the forecast skills of surface winds decrease sharply after 2 weeks. However, large-scale variables exhibit greater predictability on this time scale. This study explores the potential of leveraging nonlinear relationships between the 500-hPa geopotential height (Z500) and surface wind speed to improve subseasonal wind speed forecast skills in Europe. Our proposed framework uses a multiple linear regression (MLR) or a convolutional neural network (CNN) to regress the surface wind speed from Z500. Evaluations on ERA5 reanalysis indicate that the CNN performs better due to its nonlinearity. Applying these models to subseasonal forecasts from the European Centre for Medium-Range Weather Forecasts, various verification metrics demonstrate the advantages of nonlinearity. Yet, this is partly explained by the fact that these statistical models are underdispersive since they explain only a fraction of the target variable variance. Introducing stochastic perturbations to represent the stochasticity of the unexplained part from the signal helps compensate for this issue. The results show that the perturbed CNN performs better than the perturbed MLR only in the first weeks, while the perturbed MLR’s performance converges toward that of the perturbed CNN after 2 weeks. The</w:t>
      </w:r>
    </w:p>
    <w:p>
      <w:pPr/>
      <w:r>
        <w:rPr>
          <w:b/>
        </w:rPr>
        <w:t>POSSIBLE 2025:</w:t>
      </w:r>
      <w:r>
        <w:t xml:space="preserve"> Time Series Forecasting — https://openalex.org/W7112084374</w:t>
      </w:r>
    </w:p>
    <w:p>
      <w:pPr/>
      <w:r>
        <w:rPr>
          <w:b/>
        </w:rPr>
        <w:t>Shared claim-specific concepts:</w:t>
      </w:r>
      <w:r>
        <w:t xml:space="preserve"> forecasts, point, present; EU scope not established. This is a provisional connection, not an outcome finding.</w:t>
      </w:r>
    </w:p>
    <w:p>
      <w:pPr>
        <w:pStyle w:val="SourceNote"/>
      </w:pPr>
      <w:r>
        <w:rPr>
          <w:b/>
        </w:rPr>
        <w:t>Available abstract (not full text):</w:t>
      </w:r>
      <w:r>
        <w:t xml:space="preserve"> The evolving landscape of the energy industry has heightened the demand for precise consumption forecasting tools, traditionally concentrated on electricity. However, the geopolitical significance of natural gas has propelled the need for forecasting tools in the gas sector. This thesis addresses the criticality of accurate forecasting in the natural gas and electricity domains, which helps to overcome logistical and operation optimization challenges. The thesis proposes a methodology focused on multi-step forecasting, which is based on machine and deep learning algorithms tailored for forecasting tasks in the energy domain. The methodology is evaluated on real-world datasets, demonstrating its effectiveness in handling complex forecasting tasks. Comparative experiments between traditional statistical models and machine learning and deep learning approaches reveal the superiority of machine learning models in terms of accuracy for forecasts of natural gas and electricity consumption. Deep learning models present intermediate results between machine learning- and statistical-based models, suggesting their potential as alternatives to traditional machine learning approaches. However, relying on longer input sequences poses a challenge. In contrast, machine learning methods, while requiring less input data, rely more on engineered features, allowing the incorporation of domain kno</w:t>
      </w:r>
    </w:p>
    <w:p>
      <w:pPr/>
      <w:r>
        <w:rPr>
          <w:b/>
        </w:rPr>
        <w:t>POSSIBLE 2024:</w:t>
      </w:r>
      <w:r>
        <w:t xml:space="preserve"> D5.5 Short-term ecological forecasts in support of the Bioeconomy Strategy and EU citizens — https://doi.org/10.3897/arphapreprints.e119131</w:t>
      </w:r>
    </w:p>
    <w:p>
      <w:pPr/>
      <w:r>
        <w:rPr>
          <w:b/>
        </w:rPr>
        <w:t>Shared claim-specific concepts:</w:t>
      </w:r>
      <w:r>
        <w:t xml:space="preserve"> forecasts, drawing, important; EU scope visible. This is a provisional connection, not an outcome finding.</w:t>
      </w:r>
    </w:p>
    <w:p>
      <w:pPr>
        <w:pStyle w:val="SourceNote"/>
      </w:pPr>
      <w:r>
        <w:rPr>
          <w:b/>
        </w:rPr>
        <w:t>Available abstract (not full text):</w:t>
      </w:r>
      <w:r>
        <w:t xml:space="preserve"> A relevant number of ecological questions raised by policymakers, managers, and citizens often pertain to the short-term future (e.g., the coming days or weeks). In this sense, short-term ecological and biological forecasts can make substantial and practical contributions to achieving policy objectives and benefit society broadly. Specifically, short-term forecasts of Essential Biodiversity Variables (EBVs) and Essential Ecosystem Service Variables (EESVs) can support decision-making by stakeholders from multiple sectors, enabling to anticipate ecological transformations and support proactive, informed decisions that promote conservation, economic activities, and human well-being. The aim of this task was to demonstrate how a European Biodiversity Observation Network can support the generation of short-term spatial forecasts of ecological and biological phenomena relevant to the Bioeconomy Strategy and to EU citizens at large. Our specific objectives included showcasing 1) a computational workflow that enables the production of days-ahead forecasts for distinct ecological or biological phenomena and 2) a specialized computational workflow for days-ahead forecasts of bird aerial biomass. The first, (‘generic’) workflow, is exemplified using two case studies: i) forecasting the fruiting of a wild mushroom of commercial and recreational relevance, and ii) forecasting the life stag</w:t>
      </w:r>
    </w:p>
    <w:p>
      <w:pPr/>
      <w:r>
        <w:rPr>
          <w:b/>
        </w:rPr>
        <w:t>POSSIBLE 2024:</w:t>
      </w:r>
      <w:r>
        <w:t xml:space="preserve"> AN EMPIRICAL STUDY OF BIG DATA–ENABLED PREDICTIVE ANALYTICS AND THEIR IMPACT ON FINANCIAL FORECASTING AND MARKET DECISION-MAKING — https://doi.org/10.63125/1mjfqf10</w:t>
      </w:r>
    </w:p>
    <w:p>
      <w:pPr/>
      <w:r>
        <w:rPr>
          <w:b/>
        </w:rPr>
        <w:t>Shared claim-specific concepts:</w:t>
      </w:r>
      <w:r>
        <w:t xml:space="preserve"> forecasts, enabled; EU scope not established. This is a provisional connection, not an outcome finding.</w:t>
      </w:r>
    </w:p>
    <w:p>
      <w:pPr>
        <w:pStyle w:val="SourceNote"/>
      </w:pPr>
      <w:r>
        <w:rPr>
          <w:b/>
        </w:rPr>
        <w:t>Available abstract (not full text):</w:t>
      </w:r>
      <w:r>
        <w:t xml:space="preserve"> This study addresses the problem that enterprises in data intensive capital market operations may invest in big data and predictive analytics, yet decision quality remains uneven because forecasting signals are not always reliable, interpretable, or embedded in governance routines. The purpose was to test a capability to outcome model in which Big Data Capability (BDC) and Predictive Analytics Capability (PAC) improve Financial Forecasting Accuracy (FA), and FA improves Decision-Making Quality (DMQ). Using a quantitative cross-sectional, case-based survey design, data were collected once from professionals in an enterprise case context, yielding 226 responses and 210 usable cases after screening (max item missingness 1.9%; two outliers removed). Key variables were BDC and PAC (predictors), FA (mediator), and DMQ (outcome), measured on five-point Likert scales with internal consistency (α = .86 to .91). Analysis followed data screening, reliability testing, descriptive statistics, Pearson correlations, multiple regression (Model 1: FA; Model 2: DMQ), and mediation via 5,000 bootstrap resamples. Descriptively, respondents reported moderate to high capability and outcomes (BDC M = 3.78, SD = 0.61; PAC M = 3.69, SD = 0.66; FA M = 3.62, SD = 0.58; DMQ M = 3.74, SD = 0.55). All bivariate associations were positive and significant (BDC, FA r = .52; PAC, FA r = .57; FA, DMQ r = .63; p </w:t>
      </w:r>
    </w:p>
    <w:p>
      <w:pPr>
        <w:pStyle w:val="Heading2"/>
      </w:pPr>
      <w:r>
        <w:t>946. Reform of experimental structures in animal science in France: From exploratory foresight to operational set-up</w:t>
      </w:r>
    </w:p>
    <w:p>
      <w:pPr>
        <w:pStyle w:val="SourceNote"/>
      </w:pPr>
      <w:r>
        <w:rPr>
          <w:b/>
        </w:rPr>
        <w:t>Original source (2014):</w:t>
      </w:r>
      <w:r>
        <w:t xml:space="preserve"> https://doi.org/10.1684/agr.2014.0698</w:t>
      </w:r>
    </w:p>
    <w:p>
      <w:pPr/>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POSSIBLE 2026:</w:t>
      </w:r>
      <w:r>
        <w:t xml:space="preserve"> Eye of Europe Foresight Training Manual — https://openalex.org/W7220785974</w:t>
      </w:r>
    </w:p>
    <w:p>
      <w:pPr/>
      <w:r>
        <w:rPr>
          <w:b/>
        </w:rPr>
        <w:t>Shared claim-specific concepts:</w:t>
      </w:r>
      <w:r>
        <w:t xml:space="preserve"> foresight, level, submitted;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FORMS AND METHODS OF INNOVATIVE ACTIVITY IN THE EDUCATIONAL ENVIRONMENT OF GENERAL SECONDARY SCHOOLS IN EUROPEAN COUNTRIES — https://doi.org/10.36550/2415-7988-2026-1-224-291-295</w:t>
      </w:r>
    </w:p>
    <w:p>
      <w:pPr/>
      <w:r>
        <w:rPr>
          <w:b/>
        </w:rPr>
        <w:t>Shared claim-specific concepts:</w:t>
      </w:r>
      <w:r>
        <w:t xml:space="preserve"> general, carried, out, different, working; EU scope visible. This is a provisional connection, not an outcome finding.</w:t>
      </w:r>
    </w:p>
    <w:p>
      <w:pPr>
        <w:pStyle w:val="SourceNote"/>
      </w:pPr>
      <w:r>
        <w:rPr>
          <w:b/>
        </w:rPr>
        <w:t>Available abstract (not full text):</w:t>
      </w:r>
      <w:r>
        <w:t xml:space="preserve"> This article analyses the forms and methods of innovative activity in the educational environment of general secondary schools in leading countries of Western, Northern and Southern Europe – Italy, France, Finland, the United Kingdom, Germany, Austria and several others. It has been established that pupils’ innovative activities in European schools encompass the following forms and methods: project-based learning; carrying out design tasks; brainstorming; problem-solving; organising pupil clubs and laboratories; running masterclasses, robotics clubs and incubators; the flipped classroom; design thinking; mind mapping; coaching; the aquarium method; the interaction method; the targeted skills development method; the challenge-based learning method; gamification; digital modelling; and several others. Schools also organise special innovation and design days, during which teams made up of pupils from different classes tackle school-related or community issues. It has been established that in European schools, innovative activities are geared towards a shift from passive knowledge acquisition to creativity, solving real-world problems and digital literacy. In order to collaborate directly with local businesses, universities and local authorities, secondary schools are breaking down the walls of the classroom. Pupils are working en masse to address civic issues, positioning themselv</w:t>
      </w:r>
    </w:p>
    <w:p>
      <w:pPr/>
      <w:r>
        <w:rPr>
          <w:b/>
        </w:rPr>
        <w:t>POSSIBLE 2026:</w:t>
      </w:r>
      <w:r>
        <w:t xml:space="preserve"> DATA PROTECTION IN A COMPARATIVE PERSPECTIVE: BRAZILIAN GENERAL DATA PROTECTION LAW – LGPD AND EUROPEAN GENERAL DATA PROTECTION REGULATION – GDPR — https://doi.org/10.56238/arev8n8-065</w:t>
      </w:r>
    </w:p>
    <w:p>
      <w:pPr/>
      <w:r>
        <w:rPr>
          <w:b/>
        </w:rPr>
        <w:t>Shared claim-specific concepts:</w:t>
      </w:r>
      <w:r>
        <w:t xml:space="preserve"> based, general, carried, out, finally; EU scope visible. This is a provisional connection, not an outcome finding.</w:t>
      </w:r>
    </w:p>
    <w:p>
      <w:pPr>
        <w:pStyle w:val="SourceNote"/>
      </w:pPr>
      <w:r>
        <w:rPr>
          <w:b/>
        </w:rPr>
        <w:t>Available abstract (not full text):</w:t>
      </w:r>
      <w:r>
        <w:t xml:space="preserve"> The present study aims to compare the Brazilian data protection framework, represented by the General Data Protection Law (LGPD), Law No. 13,709/2018, and the European system established by the General Data Protection Regulation (GDPR), identifying similarities, differences, and their current regulatory context. It is based on the premise that data protection has become a central issue in contemporary societies, marked by the intense digitalization of social, economic, and political relations, in which the large-scale processing of personal data plays a structural role. In this scenario, the establishment of standards of security, transparency, and informational integrity becomes essential for safeguarding fundamental rights, especially privacy and intimacy. Furthermore, the regulation of activities carried out by entities that collect and process data must be balanced, so as not to hinder technological innovation while ensuring adequate legal safeguards. The study examines the principles, foundations, and mechanisms provided by the LGPD and the GDPR, seeking to understand their points of convergence and divergence, as well as their impacts on the effectiveness of data protection. To this end, a deductive method is adopted, with a qualitative approach, based on bibliographic and documentary review of academic literature and legal frameworks. Finally, the research contributes to</w:t>
      </w:r>
    </w:p>
    <w:p>
      <w:pPr/>
      <w:r>
        <w:rPr>
          <w:b/>
        </w:rPr>
        <w:t>POSSIBLE 2025:</w:t>
      </w:r>
      <w:r>
        <w:t xml:space="preserve"> From Reaction to Foresight: EUPHA’s vision for health security in Europe — https://doi.org/10.1093/eurpub/ckaf071</w:t>
      </w:r>
    </w:p>
    <w:p>
      <w:pPr/>
      <w:r>
        <w:rPr>
          <w:b/>
        </w:rPr>
        <w:t>Shared claim-specific concepts:</w:t>
      </w:r>
      <w:r>
        <w:t xml:space="preserve"> based, foresight, carried, national, different, built;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Human Resource Management in Knowledge-Based Companies — https://doi.org/10.61838/kman.jrmde.4.2.4</w:t>
      </w:r>
    </w:p>
    <w:p>
      <w:pPr/>
      <w:r>
        <w:rPr>
          <w:b/>
        </w:rPr>
        <w:t>Shared claim-specific concepts:</w:t>
      </w:r>
      <w:r>
        <w:t xml:space="preserve"> based, foresight, level; EU scope not established. This is a provisional connection, not an outcome finding.</w:t>
      </w:r>
    </w:p>
    <w:p>
      <w:pPr>
        <w:pStyle w:val="SourceNote"/>
      </w:pPr>
      <w:r>
        <w:rPr>
          <w:b/>
        </w:rPr>
        <w:t>Available abstract (not full text):</w:t>
      </w:r>
      <w:r>
        <w:t xml:space="preserve"> The present study was conducted with the aim of foresight in human resource management in knowledge-based companies. This research falls under the category of mixed-method studies (qualitative and quantitative). The qualitative strategy employed was thematic analysis, and the quantitative strategy was a survey approach. The qualitative sample consisted of 14 experts and managers from knowledge-based companies, selected through purposive and snowball sampling methods. In-depth interviews were conducted with these participants. MAXQDA software (2018) was used to analyze the data. Based on the interviews, components were extracted, and through the coding process and subsequent tests, the final model of the study was developed. Findings from the qualitative section indicated that the dimensions for designing a human resource management model in knowledge-based companies include the individual approach, organizational characteristics, environmental conditions, and technology. In the quantitative section, the statistical population consisted of all employees, deputies, and managers of knowledge-based companies, and 384 questionnaires were distributed and collected using convenience sampling. To analyze the research questions, Structural Equation Modeling (SEM) was performed using SmartPLS 3 software. The results of model evaluation showed that all research hypotheses had a significan</w:t>
      </w:r>
    </w:p>
    <w:p>
      <w:pPr/>
      <w:r>
        <w:rPr>
          <w:b/>
        </w:rPr>
        <w:t>POSSIBLE 2024:</w:t>
      </w:r>
      <w:r>
        <w:t xml:space="preserve"> Emerging Biotechnologies in Europe: Foresight for Policy — https://doi.org/10.2760/4814109</w:t>
      </w:r>
    </w:p>
    <w:p>
      <w:pPr/>
      <w:r>
        <w:rPr>
          <w:b/>
        </w:rPr>
        <w:t>Shared claim-specific concepts:</w:t>
      </w:r>
      <w:r>
        <w:t xml:space="preserve"> foresight, out, external, who;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out, level;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based, foresight, different;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2024:</w:t>
      </w:r>
      <w:r>
        <w:t xml:space="preserve"> ANTI-CORRUPTION AUDIT OF COMPANIES AND FORESIGHT ANALYSIS IN TERMS OF THE STATE'S EUROPEAN INTEGRATION ECONOMIC POLICY — https://doi.org/10.55643/fcaptp.6.59.2024.4509</w:t>
      </w:r>
    </w:p>
    <w:p>
      <w:pPr/>
      <w:r>
        <w:rPr>
          <w:b/>
        </w:rPr>
        <w:t>Shared claim-specific concepts:</w:t>
      </w:r>
      <w:r>
        <w:t xml:space="preserve"> based, general, foresight, carried, out, national; EU scope visible. This is a provisional connection, not an outcome finding.</w:t>
      </w:r>
    </w:p>
    <w:p>
      <w:pPr>
        <w:pStyle w:val="SourceNote"/>
      </w:pPr>
      <w:r>
        <w:rPr>
          <w:b/>
        </w:rPr>
        <w:t>Available abstract (not full text):</w:t>
      </w:r>
      <w:r>
        <w:t xml:space="preserve"> The article examines the current problems of spreading corruption in Ukraine. It has been established that corruption is a negative socio-economic phenomenon that restrains the state's economic development, reduces trust in the authorities and complicates the fight against Russia's military aggression. The coming years will be indicative for Ukraine's international partners in the context of assessing the effectiveness of national anti-corruption policy, and the degree of implementation of planned anti-corruption reforms, which will indicate the level of integration of European values into society and Ukraine's readiness to become a full member of the EU. The perception of the main corruption problems by the public and business was analyzed, and it was established that the general attitude of Ukraine towards corruption is shifting towards intolerance of this negative phenomenon. Based on the analysis of the dynamics of detected financial violations by the State Audit Service of Ukraine in the region for 2019-2023, the TOP-3 conditional regions that are prone to violations, including corruption, have been determined. A trend analysis of the volume of financial violations was carried out, which proved the average annual changes in the volume of the number of accrued violations for the years 2019-2023 and allowed us to make a forecast for 2026. The results of the foresight analysi</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exercise, level, different, horizon;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Foresight: Fifty Years to Think Your Futures — https://doi.org/10.1007/978-3-031-66100-6_4</w:t>
      </w:r>
    </w:p>
    <w:p>
      <w:pPr/>
      <w:r>
        <w:rPr>
          <w:b/>
        </w:rPr>
        <w:t>Shared claim-specific concepts:</w:t>
      </w:r>
      <w:r>
        <w:t xml:space="preserve"> foresight, carried, out, different, who;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Statistical and comparative characteristics of the efficiency of the judicial systems of european countries (based on materials of the European Commission for the efficiency of justice – CEPEJ) — https://doi.org/10.37566/2707-6849-2024-3(48)-2</w:t>
      </w:r>
    </w:p>
    <w:p>
      <w:pPr/>
      <w:r>
        <w:rPr>
          <w:b/>
        </w:rPr>
        <w:t>Shared claim-specific concepts:</w:t>
      </w:r>
      <w:r>
        <w:t xml:space="preserve"> based, general, carried, out, national, different; EU scope visible. This is a provisional connection, not an outcome finding.</w:t>
      </w:r>
    </w:p>
    <w:p>
      <w:pPr>
        <w:pStyle w:val="SourceNote"/>
      </w:pPr>
      <w:r>
        <w:rPr>
          <w:b/>
        </w:rPr>
        <w:t>Available abstract (not full text):</w:t>
      </w:r>
      <w:r>
        <w:t xml:space="preserve"> The article examines individual statistical indicators of the functioning of the judicial systems of European countries and their impact on determining the efficiency of the administration of justice. The analysis is conducted based on materials of the European Commission for the Efficiency of Justice (CEPEJ) obtained during the assessment process as of 2022. The author conducts a comparative analysis of statistical data on the efficiency of the judicial systems of European countries, which will contribute to the further development of systemic changes in the national judicial system of Ukraine. The article emphasizes that there are indicators of the functioning of the judicial system that are objectively measurable (for example, the timeliness of consideration and resolution of court cases), and there are a number of indicators that generally contribute to ensuring the efficiency of justice (specialization and stability of the judicial system, professionalism of judges and court staff) or, in general, are a consequence of the functioning of an effective judicial system (public authority and trust in the court). Despite the full-scale military aggression against Ukraine, the national judicial system has shown signs of resilience and stability, demonstrating indicators corresponding to the average European efficiency of the administration of justice as of 2022. Despite difficult</w:t>
      </w:r>
    </w:p>
    <w:p>
      <w:pPr>
        <w:pStyle w:val="Heading2"/>
      </w:pPr>
      <w:r>
        <w:t>947. Scenario analysis for nutrient emission reduction in the European inland waters</w:t>
      </w:r>
    </w:p>
    <w:p>
      <w:pPr>
        <w:pStyle w:val="SourceNote"/>
      </w:pPr>
      <w:r>
        <w:rPr>
          <w:b/>
        </w:rPr>
        <w:t>Original source (2014):</w:t>
      </w:r>
      <w:r>
        <w:t xml:space="preserve"> https://doi.org/10.1088/1748-9326/9/12/125007</w:t>
      </w:r>
    </w:p>
    <w:p>
      <w:pPr/>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POSSIBLE 2025:</w:t>
      </w:r>
      <w:r>
        <w:t xml:space="preserve"> Outlook on the knowledge gaps to reduce land degradation in Europe — https://doi.org/10.3897/soils4europe.e148999</w:t>
      </w:r>
    </w:p>
    <w:p>
      <w:pPr/>
      <w:r>
        <w:rPr>
          <w:b/>
        </w:rPr>
        <w:t>Shared claim-specific concepts:</w:t>
      </w:r>
      <w:r>
        <w:t xml:space="preserve"> aiming, activities, all; EU scope visible. This is a provisional connection, not an outcome finding.</w:t>
      </w:r>
    </w:p>
    <w:p>
      <w:pPr>
        <w:pStyle w:val="SourceNote"/>
      </w:pPr>
      <w:r>
        <w:rPr>
          <w:b/>
        </w:rPr>
        <w:t>Available abstract (not full text):</w:t>
      </w:r>
      <w:r>
        <w:t xml:space="preserve"> Soils for Europe journal is an innovative open access digital publishing platform, which provides a forum for the open review and co-creation of the European Mission Soil research and innovation roadmaps in support of more integrative and encompassing policies aiming to achieve improvements in soil health and a thriving environment for soil-related research in Europe. Created under the Horizon Europe project SOLO (GA 101091115), the platform will function as an operational tool for authoring, reviewing, publishing, hosting and archiving of documents created in the context of roadmapping activities and the identification of knowledge gaps. The platform will warrant an easier communication of intermediate outputs, generate topical discussions and increase the participation of relevant stakeholders inside or outside the consortium, in an open review process of all outputs of the project and related partnerships. Soils for Europe uses ARPHA - a technologically unique publishing platform which supports the full life cycle of a manuscript, from writing through submission, public peer-review, publication and dissemination</w:t>
      </w:r>
    </w:p>
    <w:p>
      <w:pPr/>
      <w:r>
        <w:rPr>
          <w:b/>
        </w:rPr>
        <w:t>POSSIBLE 2025:</w:t>
      </w:r>
      <w:r>
        <w:t xml:space="preserve"> Evaluating sustainability in Europe with composite indicators — https://doi.org/10.1007/s43621-025-02129-1</w:t>
      </w:r>
    </w:p>
    <w:p>
      <w:pPr/>
      <w:r>
        <w:rPr>
          <w:b/>
        </w:rPr>
        <w:t>Shared claim-specific concepts:</w:t>
      </w:r>
      <w:r>
        <w:t xml:space="preserve"> evaluate, all, two;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2024:</w:t>
      </w:r>
      <w:r>
        <w:t xml:space="preserve"> Role of Renewable Energy Adoption in Reducing Climate Change Impacts in Europe — https://doi.org/10.47672/ajcs.2336</w:t>
      </w:r>
    </w:p>
    <w:p>
      <w:pPr/>
      <w:r>
        <w:rPr>
          <w:b/>
        </w:rPr>
        <w:t>Shared claim-specific concepts:</w:t>
      </w:r>
      <w:r>
        <w:t xml:space="preserve"> reducing, emissions, all, impacts;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2023:</w:t>
      </w:r>
      <w:r>
        <w:t xml:space="preserve"> Towards an “Evaluation Dilemmas Model” – designing an evaluation scheme for a European capital of culture — https://doi.org/10.1108/aam-09-2021-0046</w:t>
      </w:r>
    </w:p>
    <w:p>
      <w:pPr/>
      <w:r>
        <w:rPr>
          <w:b/>
        </w:rPr>
        <w:t>Shared claim-specific concepts:</w:t>
      </w:r>
      <w:r>
        <w:t xml:space="preserve"> present, set, two; EU scope visible. This is a provisional connection, not an outcome finding.</w:t>
      </w:r>
    </w:p>
    <w:p>
      <w:pPr>
        <w:pStyle w:val="SourceNote"/>
      </w:pPr>
      <w:r>
        <w:rPr>
          <w:b/>
        </w:rPr>
        <w:t>Available abstract (not full text):</w:t>
      </w:r>
      <w:r>
        <w:t xml:space="preserve">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pPr/>
      <w:r>
        <w:rPr>
          <w:b/>
        </w:rPr>
        <w:t>POSSIBLE 2023:</w:t>
      </w:r>
      <w:r>
        <w:t xml:space="preserve"> Chemical Profile and Bioactivity Evaluation of Salvia Species from Eastern Europe — https://doi.org/10.3390/antiox12081514</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The Salvia genus comprises about 1000 species endowed with medicinal, aromatic, cosmetic, and ornamental applications. Even though the genus is one of the most-studied taxa of the Lamiaceae family, data on the chemical composition and biological properties of certain locally used Salvia species are still scarce. The present work aimed to evaluate the phytochemical profile and antimicrobial, antioxidant, and cytotoxic potential of ten Salvia species that grow in Eastern Europe (e.g., the Republic of Moldova). LC-HRMS/MS metabolite profiling allowed for the annotation of 15 phenolic and organic acids, 18 flavonoids, 19 diterpenes, 5 sesterpenes, and 2 triterpenes. Multivariate analysis (e.g., principal component analysis, hierarchical cluster analysis) revealed that S. austriaca, S. nutans, and S. officinalis formed individual clusters, whereas the remaining species had a similar composition. S. officinalis showed the highest activity against Staphylococcus aureus and Streptococcus pneumoniae (MIC = 0.625 mg/mL). As evaluated in DPPH, ABTS, and FRAP assays, S. officinalis was one of the most potent radical scavenging and metal-reducing agents (CE50 values of 25.33, 8.13, and 21.01 μg/mL, respectively), followed by S. verticillata, S. sclarea, S. kopetdaghensis, S. aethiopis, and S. tesquicola. Pearson correlation analysis revealed strong correlations with rosmarinic acid, luteoli</w:t>
      </w:r>
    </w:p>
    <w:p>
      <w:pPr/>
      <w:r>
        <w:rPr>
          <w:b/>
        </w:rPr>
        <w:t>POSSIBLE 2023:</w:t>
      </w:r>
      <w:r>
        <w:t xml:space="preserve"> 6.E. Workshop: Evaluating progress in adaptation in the European public health sector — https://doi.org/10.1093/eurpub/ckad160.366</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Abstract Most national climate adaptation plans and strategies mention risks to human health. However, this is not often translated to specific policies, measures or targets to reduce these risks. The ENBEL project, funded by the European Commission under the H2020 program LC-CLA-22-2020, aims to support European policy making on climate change and health. In this workshop we present the results of recent research on the implementation of adaptation measures in Europe and review the evidence needs of EU, national and international decision makers. The workshop aims to support evidence translation for adaptation that prioritises health protection and equity. The workshop will include presentations on stakeholder mapping and interviews with key decion makers, as well as a comparison of current policies in health adaptation. We review the recent European policies on COIVID recovery and evaluate whether these will benefit adaptatoin. Economic evaluations are important for decision making and we review economic assessments for local climate action and for climate services for health. Key messages • Public health professionals can support adaptation actions through intersectoral working. • Post-COVID recovery is missed opportunity to improve adaptation in Europe.</w:t>
      </w:r>
    </w:p>
    <w:p>
      <w:pPr/>
      <w:r>
        <w:rPr>
          <w:b/>
        </w:rPr>
        <w:t>POSSIBLE 2023:</w:t>
      </w:r>
      <w:r>
        <w:t xml:space="preserve"> Extreme Heat Events over Southeast Europe Based on NEX-GDDP Ensemble: Present Climate Evaluation and Future Projections — https://doi.org/10.3390/atmos14061000</w:t>
      </w:r>
    </w:p>
    <w:p>
      <w:pPr/>
      <w:r>
        <w:rPr>
          <w:b/>
        </w:rPr>
        <w:t>Shared claim-specific concepts:</w:t>
      </w:r>
      <w:r>
        <w:t xml:space="preserve"> present, set, all; EU scope visible. This is a provisional connection, not an outcome finding.</w:t>
      </w:r>
    </w:p>
    <w:p>
      <w:pPr>
        <w:pStyle w:val="SourceNote"/>
      </w:pPr>
      <w:r>
        <w:rPr>
          <w:b/>
        </w:rPr>
        <w:t>Available abstract (not full text):</w:t>
      </w:r>
      <w:r>
        <w:t xml:space="preserve"> Southeast Europe is considered one of the most vulnerable regions in the context of climate change, and projected future summer warming is expected to exceed global rates significantly. Despite the importance of this problem, there have been few studies that utilized Coupled Model Intercomparison Project Phase 5 (CMIP5) Global Circulation Models (GCMs) and the multi-model ensemble approach to examine extreme heat events on a regional scale. Additionally, the NEX-GDDP dataset, successfully applied in other parts of the world to assess extreme heat, has not yet been utilized for Southeast Europe. This study aims to fill that gap, presenting the time evolution and spatial distribution of extreme heat events in Southeast Europe for the historical period 1950–2005 and for the expected future climate up to the end of the 21st century based on the NEX-GDDP dataset. In order to leverage the strengths of the multi-model ensemble approach, a set of purpose-tailored indicators, such as the annual number of hot days, the maximum number of consecutive hot days, and hot spell duration at different thresholds, is computed by the daily maximum temperature data from all datasets, produced by NEX-GDDP (21 for the historical period and 42 for the future period). The E-OBS dataset is used as a reference for evaluating the NEX-GDDP’s capability to simulate the features of the observed historical ex</w:t>
      </w:r>
    </w:p>
    <w:p>
      <w:pPr/>
      <w:r>
        <w:rPr>
          <w:b/>
        </w:rPr>
        <w:t>POSSIBLE 2023:</w:t>
      </w:r>
      <w:r>
        <w:t xml:space="preserve"> Costs and benefits of climate services for heat-health adaptation in Europe — https://doi.org/10.1093/eurpub/ckad160.371</w:t>
      </w:r>
    </w:p>
    <w:p>
      <w:pPr/>
      <w:r>
        <w:rPr>
          <w:b/>
        </w:rPr>
        <w:t>Shared claim-specific concepts:</w:t>
      </w:r>
      <w:r>
        <w:t xml:space="preserve"> set, reducing, all, two;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The circular economy implementation at the European Union level. Past, present and future — https://doi.org/10.1016/j.jclepro.2023.138658</w:t>
      </w:r>
    </w:p>
    <w:p>
      <w:pPr/>
      <w:r>
        <w:rPr>
          <w:b/>
        </w:rPr>
        <w:t>Shared claim-specific concepts:</w:t>
      </w:r>
      <w:r>
        <w:t xml:space="preserve"> present, alternative, all; EU scope visible. This is a provisional connection, not an outcome finding.</w:t>
      </w:r>
    </w:p>
    <w:p>
      <w:pPr>
        <w:pStyle w:val="SourceNote"/>
      </w:pPr>
      <w:r>
        <w:rPr>
          <w:b/>
        </w:rPr>
        <w:t>Available abstract (not full text):</w:t>
      </w:r>
      <w:r>
        <w:t xml:space="preserve"> Shifting from a traditional linear to an alternative circular paradigm can foster economic growth and support sustainable capital renewal in the European Union. This topic has attracted growing academic interest in recent years. However, the evaluation of case studies regarding Circular Economy implementation, strategies, and practices (at all levels) is still in its infancy. With the aim of bridging this gap, this paper analyses, through a systematic review of case studies, the implementation of circular practices in all economic sectors and industries of the European Union (from 2015 until April 2023). To this end, this research uses a framework of circular strategies built considering the European Union political framework. Based on this analysis, it can be deduced that recycling was the most used circular strategy (24.2%) to reintegrate materials into the economic system and reduce the use of raw materials (18.9%), demonstrating the existence of virtuous circles in the European Union's economic sectors. The results show that the best performing industry, in terms of circular strategies, is Food and Beverage (17.92%), within the Agri-food economic sector. While the economic sector with the least number of circular strategies (7.86%) is Capital Equipment. This paper proposes several tools for Circular Economy implementation that could lead to future research and support busin</w:t>
      </w:r>
    </w:p>
    <w:p>
      <w:pPr/>
      <w:r>
        <w:rPr>
          <w:b/>
        </w:rPr>
        <w:t>POSSIBLE 2023:</w:t>
      </w:r>
      <w:r>
        <w:t xml:space="preserve"> Next-generation sequencing-based newborn screening initiatives in Europe: an overview — https://doi.org/10.20517/rdodj.2023.26</w:t>
      </w:r>
    </w:p>
    <w:p>
      <w:pPr/>
      <w:r>
        <w:rPr>
          <w:b/>
        </w:rPr>
        <w:t>Shared claim-specific concepts:</w:t>
      </w:r>
      <w:r>
        <w:t xml:space="preserve"> evaluate, set, all, tested; EU scope visible. This is a provisional connection, not an outcome finding.</w:t>
      </w:r>
    </w:p>
    <w:p>
      <w:pPr>
        <w:pStyle w:val="SourceNote"/>
      </w:pPr>
      <w:r>
        <w:rPr>
          <w:b/>
        </w:rPr>
        <w:t>Available abstract (not full text):</w:t>
      </w:r>
      <w:r>
        <w:t xml:space="preserve"> Aim: This article describes results from a survey targeting healthcare professionals (HCPs) leading newborn screening (NBS) initiatives in Europe. The survey was developed within the framework of a dedicated working group set up by the International Rare Diseases Research Consortium (IRDiRC) to gather collective efforts relating to NBS. The objectives of the survey were to gain a better understanding of approaches being tested for the expansion of NBS and to raise awareness of the significant momentum across Europe to evaluate novel technologies for use in future NBS programs. Methods: A web-based survey including 57 questions was developed to gather information about genomic newborn screening initiatives in Europe that are using next-generation sequencing (NGS) as a first-tier test. Responses were analyzed qualitatively, and aggregated results are presented herein. The identity of some initiatives is not presented to preserve confidentiality. Results: The findings of the survey indicated that most initiatives are in the planning stage and have not yet started. Although all 14 studies are heterogeneous in design, there is broad consensus that NGS approaches to NBS will, in the short term, be implemented in parallel with current screening programs. The results of this survey can be used to inform the design of studies still in the early planning stages. Conclusion: Here, we prov</w:t>
      </w:r>
    </w:p>
    <w:p>
      <w:pPr/>
      <w:r>
        <w:rPr>
          <w:b/>
        </w:rPr>
        <w:t>POSSIBLE 2022:</w:t>
      </w:r>
      <w:r>
        <w:t xml:space="preserve"> Pollen-Based Maps of Past Regional Vegetation Cover in Europe Over 12 Millennia—Evaluation and Potential — https://doi.org/10.3389/fevo.2022.795794</w:t>
      </w:r>
    </w:p>
    <w:p>
      <w:pPr/>
      <w:r>
        <w:rPr>
          <w:b/>
        </w:rPr>
        <w:t>Shared claim-specific concepts:</w:t>
      </w:r>
      <w:r>
        <w:t xml:space="preserve"> present, evaluate, anthropogenic, human; EU scope visible. This is a provisional connection, not an outcome finding.</w:t>
      </w:r>
    </w:p>
    <w:p>
      <w:pPr>
        <w:pStyle w:val="SourceNote"/>
      </w:pPr>
      <w:r>
        <w:rPr>
          <w:b/>
        </w:rPr>
        <w:t>Available abstract (not full text):</w:t>
      </w:r>
      <w:r>
        <w:t xml:space="preserve">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pPr/>
      <w:r>
        <w:rPr>
          <w:b/>
        </w:rPr>
        <w:t>POSSIBLE 2022:</w:t>
      </w:r>
      <w:r>
        <w:t xml:space="preserve"> A new dataset of river flood hazard maps for Europe and the Mediterranean Basin — https://doi.org/10.5194/essd-14-1549-2022</w:t>
      </w:r>
    </w:p>
    <w:p>
      <w:pPr/>
      <w:r>
        <w:rPr>
          <w:b/>
        </w:rPr>
        <w:t>Shared claim-specific concepts:</w:t>
      </w:r>
      <w:r>
        <w:t xml:space="preserve"> present, set, activities, all, seas; EU scope visible. This is a provisional connection, not an outcome finding.</w:t>
      </w:r>
    </w:p>
    <w:p>
      <w:pPr>
        <w:pStyle w:val="SourceNote"/>
      </w:pPr>
      <w:r>
        <w:rPr>
          <w:b/>
        </w:rPr>
        <w:t>Available abstract (not full text):</w:t>
      </w:r>
      <w:r>
        <w:t xml:space="preserve"> Abstract. Continental scale hazard maps for riverine floods have grown in importance in the last years. Nowadays, they are used for a variety of research and commercial activities, such as evaluating present and future risk scenarios and adaptation strategies, as well as a support of national and local flood risk management plans. Here, we present a new set of hazard maps for river flooding that covers most of the geographical Europe and all the river basins entering the Mediterranean and Black Seas in the Caucasus, Middle East and Northern Africa countries. Maps represent inundation along 329’000 km of river network at 100 m resolution, for six different flood return periods. The input river flow data is produced by the hydrological model LISFLOOD, while inundation simulations are performed with the 2D hydrodynamic modelling LISFLOOD-FP. To provide an overview of the skill of the new maps, we undertake a detailed validation exercise of the new maps using official hazard maps for Hungary, Italy, Norway, Spain and the United Kingdom. We find that modelled maps can identify on average two-thirds of reference flood extent, however they also overestimate flood-prone areas for flood probabilities below 1-in-100-year, while for return periods equal or above 500 years the maps can correctly identify more than half of flooded areas. We attribute the observed skill to a number of shortc</w:t>
      </w:r>
    </w:p>
    <w:p>
      <w:pPr>
        <w:pStyle w:val="Heading2"/>
      </w:pPr>
      <w:r>
        <w:t>948. Scenarios for renewable energy deployment in North African countries and electricity exchange with Europe – A modelbased analysis for 2050</w:t>
      </w:r>
    </w:p>
    <w:p>
      <w:pPr>
        <w:pStyle w:val="SourceNote"/>
      </w:pPr>
      <w:r>
        <w:rPr>
          <w:b/>
        </w:rPr>
        <w:t>Original source (2014):</w:t>
      </w:r>
      <w:r>
        <w:t xml:space="preserve"> https://doi.org/10.12720/sgce.3.3.299-306</w:t>
      </w:r>
    </w:p>
    <w:p>
      <w:pPr/>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Research Capacity, Scientific Collaboration, and Renewable- Energy Deployment Across Europe: A Longitudinal Systems Analysis — https://doi.org/10.3390/systems14101216</w:t>
      </w:r>
    </w:p>
    <w:p>
      <w:pPr/>
      <w:r>
        <w:rPr>
          <w:b/>
        </w:rPr>
        <w:t>Shared claim-specific concepts:</w:t>
      </w:r>
      <w:r>
        <w:t xml:space="preserve"> deployment, energy; EU scope visible. This is a provisional connection, not an outcome finding.</w:t>
      </w:r>
    </w:p>
    <w:p>
      <w:pPr>
        <w:pStyle w:val="SourceNote"/>
      </w:pPr>
      <w:r>
        <w:rPr>
          <w:b/>
        </w:rPr>
        <w:t>Available abstract (not full text):</w:t>
      </w:r>
      <w:r>
        <w:t xml:space="preserve">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pPr/>
      <w:r>
        <w:rPr>
          <w:b/>
        </w:rPr>
        <w:t>POSSIBLE 2026:</w:t>
      </w:r>
      <w:r>
        <w:t xml:space="preserve"> Geopolitical risk and renewable energy capacity deployment: the moderating role of institutional quality in selected European Union economies — https://doi.org/10.17605/osf.io/b76ny</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North Africa as an emerging green hydrogen hub: Algeria in focus — https://doi.org/10.1016/j.gerr.2026.100171</w:t>
      </w:r>
    </w:p>
    <w:p>
      <w:pPr/>
      <w:r>
        <w:rPr>
          <w:b/>
        </w:rPr>
        <w:t>Shared claim-specific concepts:</w:t>
      </w:r>
      <w:r>
        <w:t xml:space="preserve"> deployment, renewable, energy, north, africa, local; EU scope visible. This is a provisional connection, not an outcome finding.</w:t>
      </w:r>
    </w:p>
    <w:p>
      <w:pPr>
        <w:pStyle w:val="SourceNote"/>
      </w:pPr>
      <w:r>
        <w:rPr>
          <w:b/>
        </w:rPr>
        <w:t>Available abstract (not full text):</w:t>
      </w:r>
      <w:r>
        <w:t xml:space="preserve"> North Africa is emerging as a pivotal geoeconomic link in transcontinental energy flows across Europe, Asia, and Africa. This study evaluates the regional energy landscape, renewable resource endowment, and existing infrastructure in North Africa to identify key conditions enabling development of a green-hydrogen hub, with emphasis on Algeria as a core contributor to a trans-Mediterranean hydrogen corridor. The analysis shows that abundant solar and wind resources, proximity to European markets, and extensive natural gas pipeline and port systems create favorable conditions for cost-competitive green hydrogen production and large-scale export. The dense domestic gas network and existing trans-Mediterranean pipelines in Algeria provide practical pathways for hydrogen transport. However, the region faces persistent challenges, including slow renewable energy deployment, limited grid flexibility, and geopolitical uncertainty. The study concludes that realizing hydrogen potential in North Africa requires firm local industrial demand, coordinated regional governance, and long-term offtake agreements with shared infrastructure investments with the European Union. The findings support evidence-based development of the North Africa–Europe hydrogen corridor and design of regional energy strategies. • Abundant solar and wind resources support green hydrogen potential in North Africa. • T</w:t>
      </w:r>
    </w:p>
    <w:p>
      <w:pPr/>
      <w:r>
        <w:rPr>
          <w:b/>
        </w:rPr>
        <w:t>POSSIBLE 2026:</w:t>
      </w:r>
      <w:r>
        <w:t xml:space="preserve"> The European Union’s energy security based on renewables — https://doi.org/10.18559/978-83-8211-309-9/13</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Energy security is considered through the EU’s efforts to reduce dependence on imported fossil fuels by expanding renewables. The chapter reviews energy-security concepts, import-dependency patterns, post-2022 shifts in supplier relations, EU climate policy and supply chains for solar photovoltaics and wind turbines. Renewable energy can reduce exposure to imported gas, oil and coal, but it does not automatically remove dependency risks. Photovoltaic production is dominated by Chinese firms across raw materials, components and assembly, creating a new vulnerability for Europe. Wind energy offers a stronger European position because EU companies remain important turbine producers and assemblers. The chapter points to a broader resilience agenda: domestic technological capacity, supplier diversification, grid expansion, storage, recycling and sustainable lifecycle management must accompany renewable deployment.</w:t>
      </w:r>
    </w:p>
    <w:p>
      <w:pPr/>
      <w:r>
        <w:rPr>
          <w:b/>
        </w:rPr>
        <w:t>POSSIBLE 2026:</w:t>
      </w:r>
      <w:r>
        <w:t xml:space="preserve"> A systematic review of renewable energy deployment in Africa focusing on trends opportunities and challenges — https://doi.org/10.1007/s44274-026-00716-1</w:t>
      </w:r>
    </w:p>
    <w:p>
      <w:pPr/>
      <w:r>
        <w:rPr>
          <w:b/>
        </w:rPr>
        <w:t>Shared claim-specific concepts:</w:t>
      </w:r>
      <w:r>
        <w:t xml:space="preserve"> deployment, renewable, energy, technologies, africa, growing; EU scope not established. This is a provisional connection, not an outcome finding.</w:t>
      </w:r>
    </w:p>
    <w:p>
      <w:pPr>
        <w:pStyle w:val="SourceNote"/>
      </w:pPr>
      <w:r>
        <w:rPr>
          <w:b/>
        </w:rPr>
        <w:t>Available abstract (not full text):</w:t>
      </w:r>
      <w:r>
        <w:t xml:space="preserve"> Renewable energy in Africa has gained increasing attention as a strategic pathway to achieving sustainable development, energy security, and economic transformation. A structured search of peer-reviewed studies was conducted using Web of Science, Scopus, and ProQuest. Fifteen empirical studies met the strict PRISMA inclusion criteria for detailed systematic synthesis, while additional high-quality review articles, book chapters, and policy reports were incorporated to strengthen contextual interpretation of renewable energy deployment trends across Africa. This systematic review synthesizes empirical evidence on renewable energy deployment across the continent, focusing on trends, challenges, and opportunities. Africa is endowed with abundant solar, wind, hydropower, geothermal, and biomass resources, yet actual utilization remains uneven and limited, with solar and wind experiencing the most rapid growth in recent years. Hydropower continues to dominate installed capacity, while geothermal and emerging technologies remain largely underdeveloped. Persistent barriers to deployment include inadequate grid infrastructure, limited access to finance, policy and regulatory inconsistencies, institutional capacity constraints, and political instability, particularly in rural and decentralized systems. Despite these challenges, opportunities exist in the form of declining technology cos</w:t>
      </w:r>
    </w:p>
    <w:p>
      <w:pPr/>
      <w:r>
        <w:rPr>
          <w:b/>
        </w:rPr>
        <w:t>POSSIBLE 2026:</w:t>
      </w:r>
      <w:r>
        <w:t xml:space="preserve"> Towards resilient renewable energy deployment in Africa through a weather-aware optimization framework — https://doi.org/10.1038/s44406-026-00019-7</w:t>
      </w:r>
    </w:p>
    <w:p>
      <w:pPr/>
      <w:r>
        <w:rPr>
          <w:b/>
        </w:rPr>
        <w:t>Shared claim-specific concepts:</w:t>
      </w:r>
      <w:r>
        <w:t xml:space="preserve"> deployment, renewable, energy, africa, electricity, generation; EU scope not established. This is a provisional connection, not an outcome finding.</w:t>
      </w:r>
    </w:p>
    <w:p>
      <w:pPr>
        <w:pStyle w:val="SourceNote"/>
      </w:pPr>
      <w:r>
        <w:rPr>
          <w:b/>
        </w:rPr>
        <w:t>Available abstract (not full text):</w:t>
      </w:r>
      <w:r>
        <w:t xml:space="preserve"> Abstract Renewable energy deployment in Africa must account for the continent’s pronounced weather variability to ensure a reliable electricity supply. Here, we introduce a weather-aware framework that integrates multi-criteria decision analysis with assessments of meteorological variability to optimize renewable site selection. Optimal solar and wind energy locations are identified not only by their highest average yields but also by evaluating generation variability under major climate oscillations, including the Madden–Julian Oscillation modulated by El Niño–Southern Oscillation. In addition, novel synoptic regimes are derived through self-organizing map cluster analysis, providing further insight into region-specific drivers of variability. Country-level yield estimates reveal the dominant meteorological patterns shaping renewable output and their frequencies of occurrence. Our findings underscore the necessity of accurately forecasting these regimes to enhance system resilience and inform long-term planning. By explicitly linking generation variability to underlying climate drivers, this framework offers a robust pathway for optimizing renewable energy expansion across Africa.</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renewable, energy, technologies, north, africa, both;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2026:</w:t>
      </w:r>
      <w:r>
        <w:t xml:space="preserve"> Renewable Energy Deployments at Sea — https://doi.org/10.4018/979-8-3373-5881-9.ch005</w:t>
      </w:r>
    </w:p>
    <w:p>
      <w:pPr/>
      <w:r>
        <w:rPr>
          <w:b/>
        </w:rPr>
        <w:t>Shared claim-specific concepts:</w:t>
      </w:r>
      <w:r>
        <w:t xml:space="preserve"> renewable, energy, north, both, regions; EU scope visible. This is a provisional connection, not an outcome finding.</w:t>
      </w:r>
    </w:p>
    <w:p>
      <w:pPr>
        <w:pStyle w:val="SourceNote"/>
      </w:pPr>
      <w:r>
        <w:rPr>
          <w:b/>
        </w:rPr>
        <w:t>Available abstract (not full text):</w:t>
      </w:r>
      <w:r>
        <w:t xml:space="preserve"> This chapter per the authors examines the implementation of renewable energy in the marine environment as a critical dimension of the global energy transition. It highlights the consolidation of offshore wind, both fixed-bottom and floating, as a mature technology, while also addressing the potential of emerging resources such as wave and tidal energy, Ocean Thermal Energy Conversion (OTEC), and salinity gradient power. The chapter reviews recent pilot projects in Europe, North America, and Asia, discussing their technical feasibility, cost challenges, and environmental implications. Particular attention is given to hybrid models that combine marine renewables with solar, aquaculture, desalination, and hydrogen production, as well as to policy instruments, marine spatial planning, and community engagement. Through this integrated perspective, the chapter emphasizes the opportunities and limitations of marine renewable energy, presenting it as a driver of the blue economy and a catalyst for sustainable development in coastal and island regions.</w:t>
      </w:r>
    </w:p>
    <w:p>
      <w:pPr/>
      <w:r>
        <w:rPr>
          <w:b/>
        </w:rPr>
        <w:t>POSSIBLE 2026:</w:t>
      </w:r>
      <w:r>
        <w:t xml:space="preserve"> Achieving the net-zero: the role of renewable energy in reducing carbon emission in Europe — https://doi.org/10.1007/s42108-026-00510-y</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Stock Market Return, Market Capitalization and Financial Stability in the Middle East and North Africa Region: The Moderating Role of Renewable Energy — https://doi.org/10.32479/ijeep.23283</w:t>
      </w:r>
    </w:p>
    <w:p>
      <w:pPr/>
      <w:r>
        <w:rPr>
          <w:b/>
        </w:rPr>
        <w:t>Shared claim-specific concepts:</w:t>
      </w:r>
      <w:r>
        <w:t xml:space="preserve"> renewable, energy, north, africa; EU scope not established. This is a provisional connection, not an outcome finding.</w:t>
      </w:r>
    </w:p>
    <w:p>
      <w:pPr>
        <w:pStyle w:val="SourceNote"/>
      </w:pPr>
      <w:r>
        <w:rPr>
          <w:b/>
        </w:rPr>
        <w:t>Available abstract (not full text):</w:t>
      </w:r>
      <w:r>
        <w:t xml:space="preserve"> This study investigates the relationship between stock market return, stock market capitalization, and financial stability in the Middle East and North Africa (MENA) region, with particular emphasis on the moderating role of renewable energy development. Using an unbalanced panel of 16 MENA countries over the period 2000–2021, the analysis employs the System Generalized Method of Moments (SGMM) to address potential endogeneity, unobserved heterogeneity, and dynamic effects. The results indicate several important results. First, stock market return has a positive and significant effect on financial stability, suggesting that higher equity performance contributes to increased financial stability. In contrast, stock market capitalization shows a positive but statistically insignificant effect. Furthermore, findings also indicate that a higher share of renewable energy significantly enhances financial resilience. Nevertheless, the interactions term between stock market return, stock market capitalization and renewable energy do not exert any significant effect on financial stability. These findings imply that financial stability in the MENA region is primarily driven by market performance and the integration of renewable energy, while the sheer size of the stock market plays a limited role. Policies promoting renewable energy and stronger equity performance could therefore jointly </w:t>
      </w:r>
    </w:p>
    <w:p>
      <w:pPr/>
      <w:r>
        <w:rPr>
          <w:b/>
        </w:rPr>
        <w:t>POSSIBLE 2025:</w:t>
      </w:r>
      <w:r>
        <w:t xml:space="preserve"> From energy dependency to energy security: How the war in Ukraine accelerated renewable deployment in Europe — https://doi.org/10.14254/2071-789x.2025/18-3/13</w:t>
      </w:r>
    </w:p>
    <w:p>
      <w:pPr/>
      <w:r>
        <w:rPr>
          <w:b/>
        </w:rPr>
        <w:t>Shared claim-specific concepts:</w:t>
      </w:r>
      <w:r>
        <w:t xml:space="preserve"> deployment, renewable, energy, technologies, both, electricity; EU scope visible. This is a provisional connection, not an outcome finding.</w:t>
      </w:r>
    </w:p>
    <w:p>
      <w:pPr>
        <w:pStyle w:val="SourceNote"/>
      </w:pPr>
      <w:r>
        <w:rPr>
          <w:b/>
        </w:rPr>
        <w:t>Available abstract (not full text):</w:t>
      </w:r>
      <w:r>
        <w:t xml:space="preserve"> The war in Ukraine has transformed Europe’s energy landscape, prompting urgent efforts to accelerate the transition to renewable energy in response to both security and climate imperatives. The aim of this research is to examine whether the geopolitical shock of 2022, together with associated sanctions, produced a measurable acceleration in renewable electricity deployment across European countries. Using panel data for 34 countries from 2014 to 2023, the study employs difference-in-differences, event study, and triple-difference models, which utilise Eurostat and World Bank data, and variables are normalised through Yeo–Johnson transformations. The results demonstrate a significant structural break in 2022. Aggregate renewable and waste capacity increased by 0.55 (p &lt; 0.001) on average, an effect that remained robust, though reduced to 0.16 (p &lt; 0.001), when country-specific trends were controlled for. Technology-specific estimates reveal firm heterogeneity: solar expanded most rapidly (1.30, p &lt; 0.001), wind capacity also rose (0.64, p &lt; 0.01), whereas hydropower exhibited only marginal gains (0.10, p ≈ 0.05) and biofuels showed no systematic change. A triple-difference specification confirms that post-2022 acceleration was concentrated in fast-deploying technologies, with a differential effect of 1.55 (p &lt; 0.001) compared to hydro and biofuels. These findings demonstrate tha</w:t>
      </w:r>
    </w:p>
    <w:p>
      <w:pPr>
        <w:pStyle w:val="Heading2"/>
      </w:pPr>
      <w:r>
        <w:t>949. Scenarios of water resources development in Poland up to 2030</w:t>
      </w:r>
    </w:p>
    <w:p>
      <w:pPr>
        <w:pStyle w:val="SourceNote"/>
      </w:pPr>
      <w:r>
        <w:rPr>
          <w:b/>
        </w:rPr>
        <w:t>Original source (2014):</w:t>
      </w:r>
      <w:r>
        <w:t xml:space="preserve"> https://doi.org/10.1134/s0097807814060219</w:t>
      </w:r>
    </w:p>
    <w:p>
      <w:pPr/>
      <w:r>
        <w:t>Original wording (abstract; indexed_source_text_not_full_document_verified): Sensitivity of the results of the applied techniques of development scenarios shows a need for further research.</w:t>
      </w:r>
    </w:p>
    <w:p>
      <w:pPr/>
      <w:r>
        <w:rPr>
          <w:b/>
        </w:rPr>
        <w:t>POSSIBLE 2026:</w:t>
      </w:r>
      <w:r>
        <w:t xml:space="preserve"> Modern Stochastic Techniques for Multifaceted Sensitivity Analysis — https://doi.org/10.3390/engproc2026150036</w:t>
      </w:r>
    </w:p>
    <w:p>
      <w:pPr/>
      <w:r>
        <w:rPr>
          <w:b/>
        </w:rPr>
        <w:t>Shared claim-specific concepts:</w:t>
      </w:r>
      <w:r>
        <w:t xml:space="preserve"> sensitivity, techniques, further; EU scope visible. This is a provisional connection, not an outcome finding.</w:t>
      </w:r>
    </w:p>
    <w:p>
      <w:pPr>
        <w:pStyle w:val="SourceNote"/>
      </w:pPr>
      <w:r>
        <w:rPr>
          <w:b/>
        </w:rPr>
        <w:t>Available abstract (not full text):</w:t>
      </w:r>
      <w:r>
        <w:t xml:space="preserve"> This paper introduces a sophisticated stochastic methodology grounded in a lattice rule featuring an optimized generating vector, which has been rigorously developed and comprehensively analyzed. At the heart of this investigation lies the Unified Danish Eulerian Model (UNI-DEM), an extensive large-scale mathematical framework designed to accurately capture the complex physical and chemical processes occurring within the atmosphere. The proposed lattice-based approach is systematically compared against state-of-the-art techniques, including the modified Sobol sequence and the Fibonacci lattice rule. The comparative analysis demonstrates the superiority of the proposed method in the estimation of high-dimensional integrals, highlighting its enhanced robustness and computational efficiency. These characteristics render it particularly well-suited for the computation of sensitivity indices, which are crucial for ensuring the reliability of scientific models. Furthermore, the study employs variance-based sensitivity analysis methods, notably the Sobol technique, to quantify the influence of input parameters on model outputs rigorously. A comprehensive experimental evaluation is undertaken, integrating advanced Monte Carlo algorithms in conjunction with stochastic scrambling strategies to further enhance computational performance. In addition, the research examines the effects of va</w:t>
      </w:r>
    </w:p>
    <w:p>
      <w:pPr/>
      <w:r>
        <w:rPr>
          <w:b/>
        </w:rPr>
        <w:t>POSSIBLE 2026:</w:t>
      </w:r>
      <w:r>
        <w:t xml:space="preserve"> Assessment of the potential of combined geodetic-based drought indices for studying climate change in Europe — https://doi.org/10.5194/egusphere-egu26-21651</w:t>
      </w:r>
    </w:p>
    <w:p>
      <w:pPr/>
      <w:r>
        <w:rPr>
          <w:b/>
        </w:rPr>
        <w:t>Shared claim-specific concepts:</w:t>
      </w:r>
      <w:r>
        <w:t xml:space="preserve"> sensitivity, applied, techniques, further; EU scope visible. This is a provisional connection, not an outcome finding.</w:t>
      </w:r>
    </w:p>
    <w:p>
      <w:pPr>
        <w:pStyle w:val="SourceNote"/>
      </w:pPr>
      <w:r>
        <w:rPr>
          <w:b/>
        </w:rPr>
        <w:t>Available abstract (not full text):</w:t>
      </w:r>
      <w:r>
        <w:t xml:space="preserve"> Europe is undergoing increasingly extreme events, especially droughts that have become more frequent and severe. The observed conditions lead to water scarcity, agricultural impacts, and river flow issues, with projections indicating worsening conditions despite some regional variability. It is therefore crucial to find methods that can monitor drought conditions such as intensity, categories, and patterns, and that can assess the pacing of those changes over Europe. In recent years, there is an increasing application of geodetic techniques such as the Gravity Recovery and Climate Experiment (GRACE) and the Global Positioning System (GPS) in hydroclimatic research that enable monitoring of the continental water storage and Earth's displacement by observing the gravity field variations or the changes in the position of permanent stations, respectively. The recalculation of these changes into Drought Severity Index (DSI) provides a successful method for studying drought characteristics. However, limitations of both techniques, such as GRACE signal leakage and systematic errors of GPS, do not allow for an unambiguous assessment of drought. Thus, in our study, we overcome the limitations of both geodetic techniques by calculating a Multivariate DSI (MDSI) based on a combination of time series using the Frank copulas concept. We focus on emphasizing the potential of MDSI in describi</w:t>
      </w:r>
    </w:p>
    <w:p>
      <w:pPr/>
      <w:r>
        <w:rPr>
          <w:b/>
        </w:rPr>
        <w:t>POSSIBLE 2025:</w:t>
      </w:r>
      <w:r>
        <w:t xml:space="preserve"> Integrated assessment of economic vulnerability in the European Union: A multi-criteria sensitivity-adaptability approach (2000-2023) — https://doi.org/10.63341/econ/3.2025.45</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With the increasing frequency and magnitude of global shocks (financial crises, pandemics, geopolitical conflicts), traditional macroeconomic indicators are proving insufficient to assess how national economies respond to and recover from external shocks. There is an urgent need to develop a comprehensive tool that simultaneously captures the sensitivity of economies to shocks and their adaptive capacity. The aim of the study was to develop and apply an integrated economic vulnerability index for European Union countries for the period 2000-2023 to comprehensively assess their structural weaknesses. To achieve this goal, a multifactor sensitivity-adaptability model was used, combining 29 macroeconomic indicators from the real, financial, public, and external sectors. To increase the objectivity of the assessment, multiple objective weighting methods were applied, including Entropy, CRITIC, and Gini indices. A new assessment approach has been developed that quantitatively reflects the economy’s capacity for self-recovery and flexibility, unlike models with fixed weightings. Significant heterogeneity in levels of economic vulnerability and resilience among European countries has been identified, driven by structural and macroeconomic factors. In particular, the Netherlands, Germany, and Estonia show lower vulnerability due to industrial diversification and financial sector resili</w:t>
      </w:r>
    </w:p>
    <w:p>
      <w:pPr/>
      <w:r>
        <w:rPr>
          <w:b/>
        </w:rPr>
        <w:t>POSSIBLE 2023:</w:t>
      </w:r>
      <w:r>
        <w:t xml:space="preserve"> Improving Diagnostic Sensitivity for Imbalanced Musculoskeletal Disorder Data: A Sensitivity-Based Multi-Sampling Technique for Osteoarthritis Prediction — https://doi.org/10.1101/2023.11.19.23298738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pPr/>
      <w:r>
        <w:rPr>
          <w:b/>
        </w:rPr>
        <w:t>POSSIBLE 2023:</w:t>
      </w:r>
      <w:r>
        <w:t xml:space="preserve"> Emergent Molecular Techniques Applied to the Detection of Porcine Viruses — https://doi.org/10.3390/vetsci10100609</w:t>
      </w:r>
    </w:p>
    <w:p>
      <w:pPr/>
      <w:r>
        <w:rPr>
          <w:b/>
        </w:rPr>
        <w:t>Shared claim-specific concepts:</w:t>
      </w:r>
      <w:r>
        <w:t xml:space="preserve"> applied, techniques; EU scope not established. This is a provisional connection, not an outcome finding.</w:t>
      </w:r>
    </w:p>
    <w:p>
      <w:pPr>
        <w:pStyle w:val="SourceNote"/>
      </w:pPr>
      <w:r>
        <w:rPr>
          <w:b/>
        </w:rPr>
        <w:t>Available abstract (not full text):</w:t>
      </w:r>
      <w:r>
        <w:t xml:space="preserve"> Molecular diagnostic tests have evolved very rapidly in the field of human health, especially with the arrival of the recent pandemic caused by the SARS-CoV-2 virus. However, the animal sector is constantly neglected, even though accurate detection by molecular tools could represent economic advantages by preventing the spread of viruses. In this regard, the swine industry is of great interest. The main viruses that affect the swine industry are described in this review, including African swine fever virus (ASFV), porcine reproductive and respiratory syndrome virus (PRRSV), porcine epidemic diarrhea virus (PEDV), and porcine circovirus (PCV), which have been effectively detected by different molecular tools in recent times. Here, we describe the rationale of molecular techniques such as multiplex PCR, isothermal methods (LAMP, NASBA, RPA, and PSR) and novel methods such as CRISPR-Cas and microfluidics platforms. Successful molecular diagnostic developments are presented by highlighting their most important findings. Finally, we describe the barriers that hinder the large-scale development of affordable, accessible, rapid, and easy-to-use molecular diagnostic tests. The evolution of diagnostic techniques is critical to prevent the spread of viruses and the development of viral reservoirs in the swine industry that impact the possible development of future pandemics and the world</w:t>
      </w:r>
    </w:p>
    <w:p>
      <w:pPr/>
      <w:r>
        <w:rPr>
          <w:b/>
        </w:rPr>
        <w:t>POSSIBLE 2023:</w:t>
      </w:r>
      <w:r>
        <w:t xml:space="preserve"> Larger diurnal temperature range undermined later autumn leaf senescence with warming in Europe — https://doi.org/10.1111/geb.13674</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Abstract Aim Climate change regulates autumn leaf senescence date (LSD), exhibiting a strong phenological control of plant carbon uptake. Unlike the delaying effect of daily mean temperature ( T mean ) on LSD, the impact of warming asymmetry in daytime and nighttime, as evidenced by variations of the diurnal temperature range (DTR), remains elusive. The objectives of this study were to investigate physiological and ecological impacts of DTR on LSD using long‐term in situ observations and to predict the future trends of LSD under warming. Location Europe. Time period 1950–2015. Major taxa studied Plant phenology. Methods We used partial correlation analysis, multiple linear regression and ridge regression to explore the impacts of DTR on LSD. To quantify the importance of potential drivers of LSD, we trained random forest models and applied the SHapley Additive exPlanations method to isolate the marginal contributions of each predictor on LSD. For LSD modelling and projection, we first evaluated two temperature‐driven LSD models [i.e., cooling‐degree‐day (CDD, without DTR effect) and day–night‐temperature CDD (DN CDD , with DTR effect)], then applied them to predict future LSDs. Results We found that observational increases in T mean and DTR had contrasting effects on LSD. Increased T mean delayed the LSD, whereas larger DTR overall had an advancing effect. Considering the DTR e</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applied, further;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r>
        <w:rPr>
          <w:b/>
        </w:rPr>
        <w:t>POSSIBLE 2022:</w:t>
      </w:r>
      <w:r>
        <w:t xml:space="preserve"> Use of data mining techniques to explain the primary factors influencing water sensitivity of asphalt mixtures — https://doi.org/10.1016/j.conbuildmat.2022.128039</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pPr/>
      <w:r>
        <w:rPr>
          <w:b/>
        </w:rPr>
        <w:t>POSSIBLE 2022:</w:t>
      </w:r>
      <w:r>
        <w:t xml:space="preserve"> Shifting sensitivity of septoria tritici blotch compromises field performance and yield of main fungicides in Europe — https://doi.org/10.3389/fpls.2022.1060428</w:t>
      </w:r>
    </w:p>
    <w:p>
      <w:pPr/>
      <w:r>
        <w:rPr>
          <w:b/>
        </w:rPr>
        <w:t>Shared claim-specific concepts:</w:t>
      </w:r>
      <w:r>
        <w:t xml:space="preserve"> sensitivity, applied, shows, need, further; EU scope visible. This is a provisional connection, not an outcome finding.</w:t>
      </w:r>
    </w:p>
    <w:p>
      <w:pPr>
        <w:pStyle w:val="SourceNote"/>
      </w:pPr>
      <w:r>
        <w:rPr>
          <w:b/>
        </w:rPr>
        <w:t>Available abstract (not full text):</w:t>
      </w:r>
      <w:r>
        <w:t xml:space="preserve"> Septoria tritici blotch (STB; Zymoseptoria tritici) is a severe leaf disease on wheat in Northern Europe. Fungicide resistance in the populations of Z. tritici is increasingly challenging future control options. Twenty-five field trials were carried out in nine countries across Europe from 2019 to 2021 to investigate the efficacy of specific DMI and SDHI fungicides against STB. During the test period, two single DMIs (prothioconazole and mefentrifluconazole) and four different SDHIs (fluxapyroxad, bixafen, benzovindiflupyr and fluopyram) along with different co-formulations of DMIs and SDHIs applied at flag leaf emergence were tested. Across all countries, significant differences in azole performances against STB were seen; prothioconazole was outperformed in all countries by mefentrifluconazole. The effects also varied substantially between the SDHIs, with fluxapyroxad providing the best efficacy overall, while the performance of fluopyram was inferior to other SDHIs. In Ireland and the UK, the efficacy of SDHIs was significantly lower compared with results from continental Europe. This reduction in performances from both DMIs and SDHIs was reflected in yield responses and also linked to decreased sensitivity of Z. tritici isolates measured as EC50 values. A clear and significant gradient in EC50 values was seen across Europe. The lower sensitivity to SDHIs in Ireland and the </w:t>
      </w:r>
    </w:p>
    <w:p>
      <w:pPr/>
      <w:r>
        <w:rPr>
          <w:b/>
        </w:rPr>
        <w:t>POSSIBLE 2022:</w:t>
      </w:r>
      <w:r>
        <w:t xml:space="preserve"> Invasive round goby shows higher sensitivity to salinization than native European perch — https://doi.org/10.3897/neobiota.75.86528</w:t>
      </w:r>
    </w:p>
    <w:p>
      <w:pPr/>
      <w:r>
        <w:rPr>
          <w:b/>
        </w:rPr>
        <w:t>Shared claim-specific concepts:</w:t>
      </w:r>
      <w:r>
        <w:t xml:space="preserve"> sensitivity, shows, further; EU scope visible. This is a provisional connection, not an outcome finding.</w:t>
      </w:r>
    </w:p>
    <w:p>
      <w:pPr>
        <w:pStyle w:val="SourceNote"/>
      </w:pPr>
      <w:r>
        <w:rPr>
          <w:b/>
        </w:rPr>
        <w:t>Available abstract (not full text):</w:t>
      </w:r>
      <w:r>
        <w:t xml:space="preserve"> Salinity is an influential abiotic environmental factor in aquatic species, specifically in freshwater, where salinization causes ecosystem degradation. Secondary salinization, that is increases in salinity due to anthropogenic activities, can affect both osmoregulation and behaviour in freshwater fishes. It is generally believed that invasive species handle climatic change and environmental degradation better than native species, which is one reason for their invasion success. However, how invasive and native species cope with salinity changes remains little understood. Therefore, we investigated how low (500 µS/cm) and high salinity (2000 µS/cm) conditions affected oxygen consumption and behaviour in the invasive round goby (Neogobius melanostomus) and the native European perch (Perca fluviatilis). Our results showed that in round goby oxygen consumption increased and swimming and non-swimming movements changed in response to salinity increments, whereas European perch was not affected by salinity. Thus, it seems as if the invasive round goby is more sensitive to changes in salinity than the native European perch. Our results fit with the minority of studies indicating invasive species being less tolerant than some native species to environmental changes. This finding could be explained by the adaptation of round goby to low salinity due to its long establishment in River Rhi</w:t>
      </w:r>
    </w:p>
    <w:p>
      <w:pPr/>
      <w:r>
        <w:rPr>
          <w:b/>
        </w:rPr>
        <w:t>POSSIBLE 2021:</w:t>
      </w:r>
      <w:r>
        <w:t xml:space="preserve"> Sensitivity and Uncertainty of the FLORIS Model Applied on the Lillgrund Wind Farm — https://doi.org/10.3390/en14051293</w:t>
      </w:r>
    </w:p>
    <w:p>
      <w:pPr/>
      <w:r>
        <w:rPr>
          <w:b/>
        </w:rPr>
        <w:t>Shared claim-specific concepts:</w:t>
      </w:r>
      <w:r>
        <w:t xml:space="preserve"> sensitivity, applied, shows; EU scope not established. This is a provisional connection, not an outcome finding.</w:t>
      </w:r>
    </w:p>
    <w:p>
      <w:pPr>
        <w:pStyle w:val="SourceNote"/>
      </w:pPr>
      <w:r>
        <w:rPr>
          <w:b/>
        </w:rPr>
        <w:t>Available abstract (not full text):</w:t>
      </w:r>
      <w:r>
        <w:t xml:space="preserve">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pPr/>
      <w:r>
        <w:rPr>
          <w:b/>
        </w:rPr>
        <w:t>POSSIBLE 2021:</w:t>
      </w:r>
      <w:r>
        <w:t xml:space="preserve"> A sequential calibration technique to improve IRI using TEC estimates of the GNSS network in Europe — https://doi.org/10.5194/egusphere-egu21-4190</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development of space-geodetic observation techniques has brought out a wide range of applications such as positioning and navigation, where the Global Navigation Satellite System (GNSS) is the main tools to provide surveying measurements in these applications. Though GNSS signals enable the calculation of receiver's position, some errors restrict their accuracy. Among these errors, the ionospheric delay is considered as an important error source in the Standard Point Positioning (SPP) applications. Empirical ionospheric models such as Klobuchar, International Reference Ionosphere (IRI), and NeQuick are often applied for computing the Total Electron Content (TEC) within ionosphere and its equivalent delays. However the simulation and forecasting skills of these models are limited due to the simplified model structures and model sensitivity to the calibration period. In this study, we present a novel sequential Calibration approach based on the Ensemble Kalman Filter (C-EnKF) to improve the performance of TEC estimations for SPP applications. To demonstrate the results, the IRI model is used as our basis and the TEC estimates from 56 IGS stations in Europe are applied as observation. The C-EnKF is applied to calibrate some selected model parameter so that IRI can be tuned over Europe. The numerical assessments are performed against the TEC estimates from dual frequency GNSS m</w:t>
      </w:r>
    </w:p>
    <w:p>
      <w:pPr>
        <w:pStyle w:val="Heading2"/>
      </w:pPr>
      <w:r>
        <w:t>950. Securing a bioenergy future without imports</w:t>
      </w:r>
    </w:p>
    <w:p>
      <w:pPr>
        <w:pStyle w:val="SourceNote"/>
      </w:pPr>
      <w:r>
        <w:rPr>
          <w:b/>
        </w:rPr>
        <w:t>Original source (2014):</w:t>
      </w:r>
      <w:r>
        <w:t xml:space="preserve"> https://doi.org/10.1016/j.enpol.2013.11.079</w:t>
      </w:r>
    </w:p>
    <w:p>
      <w:pPr/>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POSSIBLE 2026:</w:t>
      </w:r>
      <w:r>
        <w:t xml:space="preserve"> Indigenous Pastoral Counseling Model in the Evangelical Christian Church in Halmahera — https://doi.org/10.64753/jcasc.v11i1.4299</w:t>
      </w:r>
    </w:p>
    <w:p>
      <w:pPr/>
      <w:r>
        <w:rPr>
          <w:b/>
        </w:rPr>
        <w:t>Shared claim-specific concepts:</w:t>
      </w:r>
      <w:r>
        <w:t xml:space="preserve"> indigenous, resources; EU scope not established. This is a provisional connection, not an outcome finding.</w:t>
      </w:r>
    </w:p>
    <w:p>
      <w:pPr>
        <w:pStyle w:val="SourceNote"/>
      </w:pPr>
      <w:r>
        <w:rPr>
          <w:b/>
        </w:rPr>
        <w:t>Available abstract (not full text):</w:t>
      </w:r>
      <w:r>
        <w:t xml:space="preserve"> This research aimed to explore indigenous pastoral counseling practices in the Evangelical Christian Church in Halmahera, focusing on the integration of local cultural values into the process. The main problems identified were the lack of counseling approach contextual to local culture, as well as challenges such as limited resources and stigma regarding psychological problems. Specifically, this research mapped existing pastoral counseling practices, identified local cultural elements, and developed an effective indigenous model. A qualitative case study design was used to collect data through in-depth interviews with church leaders, pastoral counselors, and congregation members, as well as participant observation and document analysis. The results showed that integrating local cultural values, such as in-depth dialogue, family and community inclusion, as well as the use of cultural rituals and symbols, increased the effectiveness of pastoral counseling. This approach helped the congregation feel more holistically connected and supported. However, challenges such as limited resources and stigma remained barriers. A critical discussion connected the result to theories of culture-based counseling, emphasizing the importance of a holistic approach that integrated spiritual, psychological, and social aspects. The development of an indigenous pastoral counseling model contextualize</w:t>
      </w:r>
    </w:p>
    <w:p>
      <w:pPr/>
      <w:r>
        <w:rPr>
          <w:b/>
        </w:rPr>
        <w:t>POSSIBLE 2026:</w:t>
      </w:r>
      <w:r>
        <w:t xml:space="preserve"> Modeling of distributed energy resources (DERs) in a distribution grid — https://doi.org/10.1051/epjconf/202637206007</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Modeling of distributed energy resources (DERs) in a distribution grid — https://doi.org/10.1051/epjconf/202637206007/pdf</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Scheduler Modeling of Distributed Energy Resources for Providing Ancillary Services — https://doi.org/10.2172/3019719</w:t>
      </w:r>
    </w:p>
    <w:p>
      <w:pPr/>
      <w:r>
        <w:rPr>
          <w:b/>
        </w:rPr>
        <w:t>Shared claim-specific concepts:</w:t>
      </w:r>
      <w:r>
        <w:t xml:space="preserve"> resources, energy, systems, show, provide, providing; EU scope not established. This is a provisional connection, not an outcome finding.</w:t>
      </w:r>
    </w:p>
    <w:p>
      <w:pPr>
        <w:pStyle w:val="SourceNote"/>
      </w:pPr>
      <w:r>
        <w:rPr>
          <w:b/>
        </w:rPr>
        <w:t>Available abstract (not full text):</w:t>
      </w:r>
      <w:r>
        <w:t xml:space="preserve"> Distribution energy resources (DERs) have been integral components of modern power systems, and their capability to provide grid services has been widely studied. To promote the deployment of these resources in providing grid services in real-world utility operations, this paper proposes a day-ahead scheduler model for a distribution system connected DER plant. A certain amount of generation capacity of this DER plant is reserved for frequency services, and some ancillary services for the distribution system-including peak load reduction, voltage regulation, and power factor control-are integrated into the model. The model is tested on a real-world distribution system. From the simulation results, the energy and reserve schedule of the solar photovoltaic (PV) unit and battery energy storage system (BESS) can be determined, and voltage and power factor are well maintained. Additionally, in order to demonstrate the specific characteristics of the co-located and hybrid operation modes for the PV and BESS, these two modes are analyzed both theoretically and through real-time simulation. Simulation results show that most of PV's variability is transferred to the net power in the co-located mode, whereas it is transferred to the BESS in the hybrid mode. This proposed scheduler model and the comparison of co-located and hybrid modes can provide practical guidance for the applications </w:t>
      </w:r>
    </w:p>
    <w:p>
      <w:pPr/>
      <w:r>
        <w:rPr>
          <w:b/>
        </w:rPr>
        <w:t>POSSIBLE 2026:</w:t>
      </w:r>
      <w:r>
        <w:t xml:space="preserve"> Indigenous Water as Life — https://doi.org/10.4018/979-8-3373-7559-5.ch003</w:t>
      </w:r>
    </w:p>
    <w:p>
      <w:pPr/>
      <w:r>
        <w:rPr>
          <w:b/>
        </w:rPr>
        <w:t>Shared claim-specific concepts:</w:t>
      </w:r>
      <w:r>
        <w:t xml:space="preserve"> shows, indigenous, systems, resource; EU scope not established. This is a provisional connection, not an outcome finding.</w:t>
      </w:r>
    </w:p>
    <w:p>
      <w:pPr>
        <w:pStyle w:val="SourceNote"/>
      </w:pPr>
      <w:r>
        <w:rPr>
          <w:b/>
        </w:rPr>
        <w:t>Available abstract (not full text):</w:t>
      </w:r>
      <w:r>
        <w:t xml:space="preserve"> Chapter Three argues that Indigenous water relationships are grounded in ceremonial, spiritual, and ecological responsibilities that position water not as a resource but as a sacred, sentient relative. Through thirteen themes and nineteen subthemes, the chapter demonstrates how water ceremonies function as systems of governance, healing, and intergenerational cultural continuity. Indigenous communities' articulate water as life, emphasize the gendered responsibilities of grandmothers and ceremonial leaders, and describe the spiritual and ecological consequences of industrial contamination, drying springs, and climate disruption. The chapter foregrounds how land-based teachings, daily offerings, advocacy movements, and relational ethics sustain water protection across generations. It also shows how Indigenous water ceremonies integrate spiritual knowledge with environmental observation, creating holistic frameworks for resilience. Ultimately, the chapter reframes water governance as ceremonial, relational, and embodied, offering a decolonial model for ecological stewardship.</w:t>
      </w:r>
    </w:p>
    <w:p>
      <w:pPr/>
      <w:r>
        <w:rPr>
          <w:b/>
        </w:rPr>
        <w:t>POSSIBLE 2025:</w:t>
      </w:r>
      <w:r>
        <w:t xml:space="preserve"> TRANSFORMATIVE EMBODIMENT IN INDIGENOUS DANCES: TOWARDS A PERFORMATIVE SUSTAINABILITY MODEL — https://doi.org/10.52152/7cnmbj06</w:t>
      </w:r>
    </w:p>
    <w:p>
      <w:pPr/>
      <w:r>
        <w:rPr>
          <w:b/>
        </w:rPr>
        <w:t>Shared claim-specific concepts:</w:t>
      </w:r>
      <w:r>
        <w:t xml:space="preserve"> indigenous, resources, show; EU scope not established. This is a provisional connection, not an outcome finding.</w:t>
      </w:r>
    </w:p>
    <w:p>
      <w:pPr>
        <w:pStyle w:val="SourceNote"/>
      </w:pPr>
      <w:r>
        <w:rPr>
          <w:b/>
        </w:rPr>
        <w:t>Available abstract (not full text):</w:t>
      </w:r>
      <w:r>
        <w:t xml:space="preserve"> The study proposes a novel Performative Sustainability Model based on the analysis of meanings of symbols present in the Bukidnon Dances using Charles Sanders Peirce’ Semiotic Theory. The findings show that the symbols common in Bukidnon Indigenous are the foot, hand, head, and body movements of the dancers; the distance between them and the materials they use such as white and red cloths, and spear. These symbols represent the movements of certain animals in Mt. Kitanglad and the cultural practices of as courtship, rituals, war, and weaving. Animals being mimicked in the indigenous dances are found in the air, the trees, the waters, and the land. The cultural practices imitated in the dance movements are usually performed in reverence to guardians of nature, utilization of natural resources, natural tendencies of choosing purity and peace. The dances’ mimesis to the elements of nature signifies recognition and respect to the guardians of nature, and failing to perform these activities means the absence of guidance and providence. It means that the indigenous dances communicate the interdependence between animals and people on nature and transform attitude towards the environment. Based on this, a Performative Sustainability Model (PSM) is proposed. This research outcome offers a significant contribution to the area of environmental sustainability through art and culture as exe</w:t>
      </w:r>
    </w:p>
    <w:p>
      <w:pPr/>
      <w:r>
        <w:rPr>
          <w:b/>
        </w:rPr>
        <w:t>POSSIBLE 2025:</w:t>
      </w:r>
      <w:r>
        <w:t xml:space="preserve"> An Innovative HDM Model for Assessing Renewable Heat Energy Resources in Utility Energy Systems — https://doi.org/10.15760/etd.4068</w:t>
      </w:r>
    </w:p>
    <w:p>
      <w:pPr/>
      <w:r>
        <w:rPr>
          <w:b/>
        </w:rPr>
        <w:t>Shared claim-specific concepts:</w:t>
      </w:r>
      <w:r>
        <w:t xml:space="preserve"> shows, biomass, resources, energy, systems, resource; EU scope not established. This is a provisional connection, not an outcome finding.</w:t>
      </w:r>
    </w:p>
    <w:p>
      <w:pPr>
        <w:pStyle w:val="SourceNote"/>
      </w:pPr>
      <w:r>
        <w:rPr>
          <w:b/>
        </w:rPr>
        <w:t>Available abstract (not full text):</w:t>
      </w:r>
      <w:r>
        <w:t xml:space="preserve"> Renewable Heat Energy projects exhibit numerous unique, complex, and often conflicting characteristics, including varying project sizes, diverse energy resources, stakeholder demands, and significant challenges in energy conversion applications. Traditionally, cash flow analysis and return on investment are the most widely recognized metrics for evaluating remote energy projects. However, numerous quantitative and qualitative factors influence the overall performance and success of Renewable Heat Energy System (RHES) projects. A comprehensive approach using advanced tools is essential for assessing the factors and criteria that significantly impact these projects. This research investigates the key quantitative and qualitative factors that contribute to the successful implementation of renewable heat energy projects. It also analyzes these factors using a hierarchical decision model (HDM), emphasizing the importance of renewable heat energy resources in RHES projects for utility energy. A comprehensive literature review was conducted to identify appropriate and effective methodologies for developing a model that identifies, recognizes, and scores complex factors. Four utilities were selected as the off-take uses for the heat energy resource alternatives. These utilities include electricity generation, heat generation, cooling production, and water purification or desalination. </w:t>
      </w:r>
    </w:p>
    <w:p>
      <w:pPr/>
      <w:r>
        <w:rPr>
          <w:b/>
        </w:rPr>
        <w:t>POSSIBLE 2025:</w:t>
      </w:r>
      <w:r>
        <w:t xml:space="preserve"> Hybrid Ontology and NLP-Based Annotation Model for Indigenous Lexicon and Folklore Preservation — https://doi.org/10.51983/ijiss-2025.ijiss.15.2.41</w:t>
      </w:r>
    </w:p>
    <w:p>
      <w:pPr/>
      <w:r>
        <w:rPr>
          <w:b/>
        </w:rPr>
        <w:t>Shared claim-specific concepts:</w:t>
      </w:r>
      <w:r>
        <w:t xml:space="preserve"> indigenous, resource; EU scope not established. This is a provisional connection, not an outcome finding.</w:t>
      </w:r>
    </w:p>
    <w:p>
      <w:pPr>
        <w:pStyle w:val="SourceNote"/>
      </w:pPr>
      <w:r>
        <w:rPr>
          <w:b/>
        </w:rPr>
        <w:t>Available abstract (not full text):</w:t>
      </w:r>
      <w:r>
        <w:t xml:space="preserve"> This model combines an ontology with NLPtechnology to aid in retaining Indigenous vocabularies andfolklore aimed at low-resource languages. Automatic annotationand classification of culture-specific narratives is achievedthrough semantic web technologies and natural languageprocessing. Contextual intricacies are preserved culturally andcontextually. The model contains a folklore ontology annotatedwith the aid of community and expert volunteers, therebyensuring relevancy and accuracy. Case studies on the Uzbeklanguages showed enhanced digitization, increased accessibility,and the semantic understanding of indigenous ontologicalknowledge. The study also highlighted contextual digitalpreservation addressing resource sensitivity, rare dialectalvariation, and culture-informed context preservation. Futurework includes broadening the Corpora, optimizing the modelsfor specific dialects, and establishing ethical frameworks forcommunity-centric preservation initiatives. This will helpresolve concerns about erasing indigenous knowledge whiledeveloping avenues for research on digital heritagepreservation.</w:t>
      </w:r>
    </w:p>
    <w:p>
      <w:pPr/>
      <w:r>
        <w:rPr>
          <w:b/>
        </w:rPr>
        <w:t>POSSIBLE 2025:</w:t>
      </w:r>
      <w:r>
        <w:t xml:space="preserve"> Scheduler Modeling of Distributed Energy Resources for Providing Ancillary Services — https://doi.org/10.1109/pesgm52009.2025.11225708</w:t>
      </w:r>
    </w:p>
    <w:p>
      <w:pPr/>
      <w:r>
        <w:rPr>
          <w:b/>
        </w:rPr>
        <w:t>Shared claim-specific concepts:</w:t>
      </w:r>
      <w:r>
        <w:t xml:space="preserve"> resources, energy, systems, show, provide, providing; EU scope not established. This is a provisional connection, not an outcome finding.</w:t>
      </w:r>
    </w:p>
    <w:p>
      <w:pPr>
        <w:pStyle w:val="SourceNote"/>
      </w:pPr>
      <w:r>
        <w:rPr>
          <w:b/>
        </w:rPr>
        <w:t>Available abstract (not full text):</w:t>
      </w:r>
      <w:r>
        <w:t xml:space="preserve"> Distribution energy resources (DERs) have been integral components of modern power systems, and their capability to provide grid services has been widely studied. To promote the deployment of these resources in providing grid services in real-world utility operations, this paper proposes a day-ahead scheduler model for a distribution system connected DER plant. A certain amount of generation capacity of this DER plant is reserved for frequency services, and some ancillary services for the distribution system—including peak load reduction, voltage regulation, and power factor control—are integrated into the model. The model is tested on a real-world distribution system. From the simulation results, the energy and reserve schedule of the solar photovoltaic (PV) unit and battery energy storage system (BESS) can be determined, and voltage and power factor are well maintained. Additionally, in order to demonstrate the specific characteristics of the co-located and hybrid operation modes for the PV and BESS, these two modes are analyzed both theoretically and through real-time simulation. Simulation results show that most of PV’s variability is transferred to the net power in the co-located mode, whereas it is transferred to the BESS in the hybrid mode. This proposed scheduler model and the comparison of co-located and hybrid modes can provide practical guidance for the applications </w:t>
      </w:r>
    </w:p>
    <w:p>
      <w:pPr/>
      <w:r>
        <w:rPr>
          <w:b/>
        </w:rPr>
        <w:t>POSSIBLE 2025:</w:t>
      </w:r>
      <w:r>
        <w:t xml:space="preserve"> Linking Western Psychological models and Sundanese Indigenous Wisdom in the real world — https://doi.org/10.17576/geo-2025-2103-06</w:t>
      </w:r>
    </w:p>
    <w:p>
      <w:pPr/>
      <w:r>
        <w:rPr>
          <w:b/>
        </w:rPr>
        <w:t>Shared claim-specific concepts:</w:t>
      </w:r>
      <w:r>
        <w:t xml:space="preserve"> shows, indigenous; EU scope not established. This is a provisional connection, not an outcome finding.</w:t>
      </w:r>
    </w:p>
    <w:p>
      <w:pPr>
        <w:pStyle w:val="SourceNote"/>
      </w:pPr>
      <w:r>
        <w:rPr>
          <w:b/>
        </w:rPr>
        <w:t>Available abstract (not full text):</w:t>
      </w:r>
      <w:r>
        <w:t xml:space="preserve"> This study examines the integration of Western Psychological Well-Being (PWB) models with Sundanese indigenous values, specifically Pancawaluya, a local philosophical framework comprising five principles: Cageur (healthy), Bageur (kind), Bener (truthful), Pinter (intelligent), and Singer (resilient). The aim is to understand how these local values interact with global models of well-being and to construct a culturally relevant conceptual framework for the psychological well-being of the Sundanese people. A mixed-methods approach was employed. Quantitative data were gathered from 150 respondents through an online survey using a structured Google Form, while qualitative insights were obtained from in-depth interviews with 80 of the participants. Respondents were purposively selected from the native Sundanese community across various age groups (15 to over 60 years) and professional backgrounds. The analysis combined descriptive statistics with thematic coding to capture both measurable patterns and deeper cultural meanings. The findings reveal that Sundanese well-being emphasizes harmony, simplicity, and interconnectedness, offering a holistic perspective distinct from the individualistic orientation of Western PWB models such as Ryff’s. The Quadrant Coordinates model shows that Sundanese individuals tend to score high in Bageur (kindness) but face challenges in Pinter (intellige</w:t>
      </w:r>
    </w:p>
    <w:p>
      <w:pPr/>
      <w:r>
        <w:rPr>
          <w:b/>
        </w:rPr>
        <w:t>POSSIBLE 2025:</w:t>
      </w:r>
      <w:r>
        <w:t xml:space="preserve"> DEVELOPING A LEGAL CLINICAL EDUCATION MODEL FOR INDIGENOUS COMMUNITIES IN THE REGIONAL AUTONOMY ERA — https://openalex.org/W7220221260</w:t>
      </w:r>
    </w:p>
    <w:p>
      <w:pPr/>
      <w:r>
        <w:rPr>
          <w:b/>
        </w:rPr>
        <w:t>Shared claim-specific concepts:</w:t>
      </w:r>
      <w:r>
        <w:t xml:space="preserve"> indigenous, service, show; EU scope not established. This is a provisional connection, not an outcome finding.</w:t>
      </w:r>
    </w:p>
    <w:p>
      <w:pPr>
        <w:pStyle w:val="SourceNote"/>
      </w:pPr>
      <w:r>
        <w:rPr>
          <w:b/>
        </w:rPr>
        <w:t>Available abstract (not full text):</w:t>
      </w:r>
      <w:r>
        <w:t xml:space="preserve"> Legal clinical education is an approach to legal learning that emphasizes direct practice through social interaction and community service. In the context of indigenous communities, legal clinical education can be an important tool for strengthening community legal capacity and safeguarding their customary rights amidst the dynamics of regional autonomy. This article aims to develop a legal clinical education model relevant to the needs of indigenous communities in the era of regional autonomy, with a focus on a participatory, local wisdom-based, and collaborative approach between legal education institutions, local governments, and customary institutions. This study uses qualitative methods with a descriptive analytical approach. The results show that the indigenous community-based legal clinical education model is able to increase legal awareness, strengthen community bargaining power in dispute resolution, and serve as an instrument of social empowerment at the local level. These findings are expected to serve as a reference in the development of a more inclusive legal curriculum based on social practice and community service in Indonesia.</w:t>
      </w:r>
    </w:p>
    <w:p>
      <w:pPr/>
      <w:r>
        <w:rPr>
          <w:b/>
        </w:rPr>
        <w:t>POSSIBLE 2025:</w:t>
      </w:r>
      <w:r>
        <w:t xml:space="preserve"> Models of care for Indigenous children in rural and remote settings: A global scoping review. — https://doi.org/10.1371/journal.pgph.0004934</w:t>
      </w:r>
    </w:p>
    <w:p>
      <w:pPr/>
      <w:r>
        <w:rPr>
          <w:b/>
        </w:rPr>
        <w:t>Shared claim-specific concepts:</w:t>
      </w:r>
      <w:r>
        <w:t xml:space="preserve"> indigenous, impacting, show, primary; EU scope not established. This is a provisional connection, not an outcome finding.</w:t>
      </w:r>
    </w:p>
    <w:p>
      <w:pPr>
        <w:pStyle w:val="SourceNote"/>
      </w:pPr>
      <w:r>
        <w:rPr>
          <w:b/>
        </w:rPr>
        <w:t>Available abstract (not full text):</w:t>
      </w:r>
      <w:r>
        <w:t xml:space="preserve"> Indigenous communities internationally have demonstrated remarkable strength despite significant challenges. Health disparities among Indigenous peoples persist due to historical injustices and ongoing racial discrimination, not inherent vulnerabilities. Disparities are rooted in a legacy of colonisation, systemic exclusion, and socio-economic inequities impacting access to healthcare, education, and employment. Preliminary searches show limited literature on models of care for remote living Indigenous children. This review aimed to identify internationally, effective models of care for Indigenous children in rural and remote areas. A scoping review was conducted, analysing literature on models of care for remote Indigenous children. This study followed the JBI's Scoping Review Guidance and PRISMA Scoping Review guideline. Inclusion criteria were aged ≤18, rural or remote areas, majority Indigenous, reported health outcomes, described a model of care, in English, and published since 1990. Data were systematically extracted, quality appraised using the 'Aboriginal and Torres Strait Islander Quality Appraisal Tool' then analysed using descriptive-analytical methodology. This review included 16 papers: 8 case series, 3 qualitative studies, and 5 trials. Of these, 7 studies were in Australia, 7 in the USA and 2 in Canada. All studies primary aim was to improve quality of care. Mode</w:t>
      </w:r>
    </w:p>
    <w:p>
      <w:pPr>
        <w:pStyle w:val="Heading2"/>
      </w:pPr>
      <w:r>
        <w:t>951. Shaping science policy in Europe</w:t>
      </w:r>
    </w:p>
    <w:p>
      <w:pPr>
        <w:pStyle w:val="SourceNote"/>
      </w:pPr>
      <w:r>
        <w:rPr>
          <w:b/>
        </w:rPr>
        <w:t>Original source (2014):</w:t>
      </w:r>
      <w:r>
        <w:t xml:space="preserve"> https://doi.org/10.1016/j.molonc.2014.03.013</w:t>
      </w:r>
    </w:p>
    <w:p>
      <w:pPr/>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POSSIBLE 2026:</w:t>
      </w:r>
      <w:r>
        <w:t xml:space="preserve"> The scientific contributions of the first modern Colombian astronomer — https://doi.org/10.22201/ia.14052059p.2026.60.34</w:t>
      </w:r>
    </w:p>
    <w:p>
      <w:pPr/>
      <w:r>
        <w:rPr>
          <w:b/>
        </w:rPr>
        <w:t>Shared claim-specific concepts:</w:t>
      </w:r>
      <w:r>
        <w:t xml:space="preserve"> creation, scientific, important, community, major; EU scope visible. This is a provisional connection, not an outcome finding.</w:t>
      </w:r>
    </w:p>
    <w:p>
      <w:pPr>
        <w:pStyle w:val="SourceNote"/>
      </w:pPr>
      <w:r>
        <w:rPr>
          <w:b/>
        </w:rPr>
        <w:t>Available abstract (not full text):</w:t>
      </w:r>
      <w:r>
        <w:t xml:space="preserve"> Astronomical interest within the current Colombian territory has its roots in the Botanical Expedition of the New Kingdom of Granada, which stimulated the creation of an astronomical observatory in 1803, the first one established in the New World to pursue systematic observations and meteorological studies. After the death in 1816 of its first director, Francisco José de Caldas, during the convulsive independence period, no major astronomical observations were made for decades, with few exceptions. In this work we delve into the contributions of the astronomer José María González Benito (JMGB), main reactivator of the National Astronomical Observatory of Colombia (OAN) in the second half of the 19th century, pointing out his pioneering efforts that put worldwide attention to it, and to his own private observatory. We have collected evidence supporting the fact that JMGB was one of the most important figures in the history of Colombian astronomy, not only due to the advances and discoveries that he achieved as a result of innumerable investigations and projects but also because of his unique sense of patriotism. As director of the OAN and of his private observatory (Flammarion Observatory), JMGB made numerous observations on different astronomical topics, being reports on comets among the most extended ones. In 1893 he observed the comet Rordame-Quénisset, nine days before the o</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panel, need, comprehensive, innovation;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Refugees as humanitarian actors : explaining the creation of organisations led by displaced and stateless persons in Europe — https://openalex.org/W7116221800</w:t>
      </w:r>
    </w:p>
    <w:p>
      <w:pPr/>
      <w:r>
        <w:rPr>
          <w:b/>
        </w:rPr>
        <w:t>Shared claim-specific concepts:</w:t>
      </w:r>
      <w:r>
        <w:t xml:space="preserve"> creation, community, level; EU scope visible. This is a provisional connection, not an outcome finding.</w:t>
      </w:r>
    </w:p>
    <w:p>
      <w:pPr>
        <w:pStyle w:val="SourceNote"/>
      </w:pPr>
      <w:r>
        <w:rPr>
          <w:b/>
        </w:rPr>
        <w:t>Available abstract (not full text):</w:t>
      </w:r>
      <w:r>
        <w:t xml:space="preserve"> This study presents an original mapping of organisations led by forcibly displaced and stateless persons (DSP) in Europe. Based on a multilingual survey of 100 organisations conducted between December 2024 and March 2025, it provides an overview of their goals, activities, and challenges, highlighting their critical role in humanitarian action, advocacy, and social cohesion. The mapping reveals a dynamic of crisis-driven formation: DSP-led organisations often emerge during acute displacement events, filling gaps in humanitarian assistance and advocacy. This also reveals a potential fragility: organisations created in response to emergencies face sustainability challenges, raising questions about their longevity and capacity to institutionalise beyond the immediate crisis. Those that do manage to institutionalise, demonstrate remarkable resilience, often sustaining activities through innovative resource mobilisation, strong community networks, and partnerships with other civil society actors. Most of these organisations operate with limited resources at the local level and prioritise meeting urgent needs such as housing, legal assistance, and social support, while challenging narratives that portray refugees as passive recipients of aid. Recognising and supporting this agency through targeted funding, capacity-building, and formal inclusion in policy processes is essential to st</w:t>
      </w:r>
    </w:p>
    <w:p>
      <w:pPr/>
      <w:r>
        <w:rPr>
          <w:b/>
        </w:rPr>
        <w:t>POSSIBLE 2025:</w:t>
      </w:r>
      <w:r>
        <w:t xml:space="preserve"> Conclusions by the Scientific Editor — https://doi.org/10.14712/23366478.2025.49</w:t>
      </w:r>
    </w:p>
    <w:p>
      <w:pPr/>
      <w:r>
        <w:rPr>
          <w:b/>
        </w:rPr>
        <w:t>Shared claim-specific concepts:</w:t>
      </w:r>
      <w:r>
        <w:t xml:space="preserve"> creation, scientific, important, need; EU scope visible. This is a provisional connection, not an outcome finding.</w:t>
      </w:r>
    </w:p>
    <w:p>
      <w:pPr>
        <w:pStyle w:val="SourceNote"/>
      </w:pPr>
      <w:r>
        <w:rPr>
          <w:b/>
        </w:rPr>
        <w:t>Available abstract (not full text):</w:t>
      </w:r>
      <w:r>
        <w:t xml:space="preserve"> Finally, everything has been written, there comes a scientific editor and his task is not easy.It is not appropriate for him to repeat everything, but everybody expects him to summarize and to write final conclusions.Our accession to the European Union as a historical occasion for which this volume has been prepared is to be a sufficient reason to use historical method to describe circumstances of creation of the present volume.The idea to prepare a special volume of the Acta Universitatis Carolinae -Iuridica on the Czech Law on the threshold of the European Union was pronounced shortly after the announcement of the official date of our accession to the European Union.We considered as necessary not only to greet this important milestone of our modem history but particularly to express the impact of our accession on our legal system.Such an intention provoked a fundamental discussion on the concept of this volume between two principal opinions.First option was to summarise the results of "europeisation" of the Czech legal system as they were achieved during the past more than ten years.The second option was to show fundamental problems in selected matters of each legal discipline.After a very stimulating exchange of views, the second option was adopted as a leading principie of this volume.We came to a conclusion that a simple report on harmonisation of the Czech legal system wi</w:t>
      </w:r>
    </w:p>
    <w:p>
      <w:pPr/>
      <w:r>
        <w:rPr>
          <w:b/>
        </w:rPr>
        <w:t>POSSIBLE 2025:</w:t>
      </w:r>
      <w:r>
        <w:t xml:space="preserve"> Assessing the Role of Renewable Energy in the Sustainable Economic Growth of the European Union — https://doi.org/10.3390/en18040760</w:t>
      </w:r>
    </w:p>
    <w:p>
      <w:pPr/>
      <w:r>
        <w:rPr>
          <w:b/>
        </w:rPr>
        <w:t>Shared claim-specific concepts:</w:t>
      </w:r>
      <w:r>
        <w:t xml:space="preserve"> creation, scientific, panel, long-term; EU scope visible. This is a provisional connection, not an outcome finding.</w:t>
      </w:r>
    </w:p>
    <w:p>
      <w:pPr>
        <w:pStyle w:val="SourceNote"/>
      </w:pPr>
      <w:r>
        <w:rPr>
          <w:b/>
        </w:rPr>
        <w:t>Available abstract (not full text):</w:t>
      </w:r>
      <w:r>
        <w:t xml:space="preserve"> The adoption of renewable energy sources offers significant economic and sustainability benefits. These sources—solar, wind, hydro, biomass, and geothermal—are crucial for transitioning to a sustainable, low-pollution energy model. Key benefits of renewable energy include job creation, reduced energy costs, decreased reliance on imported resources, minimized environmental impact, and long-term economic stability. Renewable energy also plays a vital role in achieving environmental and sustainability goals. By reducing dependence on imported energy resources, it enhances energy security. Countries investing in renewables lower their reliance on international supply chains and geopolitical risks, which is particularly relevant for European Union nations historically dependent on energy imports. Domestic renewable energy resources help stabilize prices and ensure a consistent long-term energy supply. This study aimed to assess the impact of renewable energy sources on the economy and sustainable development in the European Union. Data for all variables were collected from the Eurostat database. The unbalanced panel data sample consisted of 27 EU countries (N = 27), covering the period 2001–2022 (T = 22). The analysis and generalization of the scientific literature compared theoretical and practical statements, econometric models, and the least squares method. Here, the hypothesis t</w:t>
      </w:r>
    </w:p>
    <w:p>
      <w:pPr/>
      <w:r>
        <w:rPr>
          <w:b/>
        </w:rPr>
        <w:t>POSSIBLE 2024:</w:t>
      </w:r>
      <w:r>
        <w:t xml:space="preserve"> Contribution of the Cultural and Creative Industries to Regional Development and Revitalization: A European Perspective — https://doi.org/10.3390/urbansci8020039</w:t>
      </w:r>
    </w:p>
    <w:p>
      <w:pPr/>
      <w:r>
        <w:rPr>
          <w:b/>
        </w:rPr>
        <w:t>Shared claim-specific concepts:</w:t>
      </w:r>
      <w:r>
        <w:t xml:space="preserve"> creation, contribution, comprehensive, innovation; EU scope visible. This is a provisional connection, not an outcome finding.</w:t>
      </w:r>
    </w:p>
    <w:p>
      <w:pPr>
        <w:pStyle w:val="SourceNote"/>
      </w:pPr>
      <w:r>
        <w:rPr>
          <w:b/>
        </w:rPr>
        <w:t>Available abstract (not full text):</w:t>
      </w:r>
      <w:r>
        <w:t xml:space="preserve"> Cultural and Creative Industries (CCIs) have emerged as powerful drivers of regional development and revitalization in Europe in recent years. This study explores the impact of CCIs on European regions, focusing on their economic, social, and cultural contributions. Drawing on extensive literature review and empirical research, this study examines the role of CCIs in job creation, GDP growth, innovation, social cohesion, cultural identity, urban regeneration, and the revitalization of declining areas. Data were collected using questionnaires distributed to 345 key players in the Cultural and Creative Industry of Greece. The findings reveal that CCIs significantly enhance job opportunities in European regions, with 74.4% of participants acknowledging their role in reducing unemployment and underemployment. Moreover, 71.4% recognized the substantial contribution of CCIs to regional GDP, highlighting that their economic importance is comparable to traditional industries. CCIs are seen as catalysts for social cohesion and cultural identity, as 75.6% of respondents attested to their role in uniting diverse communities. These results emphasize the sensitivity of CCIs to the existing cultural and historical context of these areas. Furthermore, this study identifies outcomes of regional development and revitalization, including improved education facilities (21.7%), preservation of reg</w:t>
      </w:r>
    </w:p>
    <w:p>
      <w:pPr/>
      <w:r>
        <w:rPr>
          <w:b/>
        </w:rPr>
        <w:t>POSSIBLE 2024:</w:t>
      </w:r>
      <w:r>
        <w:t xml:space="preserve"> What is the Role of Social Capital in the Innovation Creation Process? Evidence from the European Union — https://doi.org/10.34190/ecmlg.20.1.3120</w:t>
      </w:r>
    </w:p>
    <w:p>
      <w:pPr/>
      <w:r>
        <w:rPr>
          <w:b/>
        </w:rPr>
        <w:t>Shared claim-specific concepts:</w:t>
      </w:r>
      <w:r>
        <w:t xml:space="preserve"> creation, panel, community, innovation; EU scope visible. This is a provisional connection, not an outcome finding.</w:t>
      </w:r>
    </w:p>
    <w:p>
      <w:pPr>
        <w:pStyle w:val="SourceNote"/>
      </w:pPr>
      <w:r>
        <w:rPr>
          <w:b/>
        </w:rPr>
        <w:t>Available abstract (not full text):</w:t>
      </w:r>
      <w:r>
        <w:t xml:space="preserve"> This study empirically analyzes whether social capital has any role in shaping the innovation creation process in 25 members of the European Union over the period 2013-2021. In this context, the innovation model is constructed utilizing balanced panel data and hierarchically estimated with the Poisson Pseudo Maximum Likelihood (PPML) method which is the most appropriate method since the model includes some negative values and count data. The finding strongly supports the encouraging effect of social capital on innovation since it is statistically significant and positive in all model specifications. Besides, the innovation creation process is positively associated with human development, research and development expenditure, population, government effectiveness, and income per capita. When comparatively evaluated estimation results, human development, and social capital lead to forth in terms of contributing more innovation creation process. As a core result of the study, social capital may be considered the workhorse for the innovation creation process since it promotes better coordination of activities through improved interpersonal interactions, increased community trust, and vision-sharing, leading to increased market efficiency and decreased costs. Therefore, it is recommended that these countries develop strategies to enhance their social capital and implement policies to</w:t>
      </w:r>
    </w:p>
    <w:p>
      <w:pPr/>
      <w:r>
        <w:rPr>
          <w:b/>
        </w:rPr>
        <w:t>POSSIBLE 2024:</w:t>
      </w:r>
      <w:r>
        <w:t xml:space="preserve"> Information accessibility and knowledge creation: the impact of Google’s withdrawal from China on scientific research — https://doi.org/10.1080/13662716.2023.2298293</w:t>
      </w:r>
    </w:p>
    <w:p>
      <w:pPr/>
      <w:r>
        <w:rPr>
          <w:b/>
        </w:rPr>
        <w:t>Shared claim-specific concepts:</w:t>
      </w:r>
      <w:r>
        <w:t xml:space="preserve"> creation, scientific, important; EU scope not established. This is a provisional connection, not an outcome finding.</w:t>
      </w:r>
    </w:p>
    <w:p>
      <w:pPr>
        <w:pStyle w:val="SourceNote"/>
      </w:pPr>
      <w:r>
        <w:rPr>
          <w:b/>
        </w:rPr>
        <w:t>Available abstract (not full text):</w:t>
      </w:r>
      <w:r>
        <w:t xml:space="preserve"> How important is Google for scientific research? This paper exploits the exogenous shock represented by Google’s sudden withdrawal of its services from mainland China to assess the importance of access to information for the knowledge production function of scientific scholars in the field of economics. For economists, a type of scholar with a simple knowledge production function, results from difference-in-difference analyses, which compare their scientific output to scholars located in the neighboring regions, show that the scientific productivity declines by about 28% in volume and 30% in terms of citations. These results are consistent with the view that information accessibility is an important driver of scientific progress. Considering that the negative effect of the shock is stronger for top scholars located in China, Google’s sudden exit bears the risk that researchers lose touch with the research frontier and persistently lag behind their foreign peers.</w:t>
      </w:r>
    </w:p>
    <w:p>
      <w:pPr/>
      <w:r>
        <w:rPr>
          <w:b/>
        </w:rPr>
        <w:t>POSSIBLE 2024:</w:t>
      </w:r>
      <w:r>
        <w:t xml:space="preserve"> Creation by Means of Loss and the Paradox of Expenditure—A Contribution of Theology to the Vulnerability Dispositive — https://doi.org/10.3390/rel15091106</w:t>
      </w:r>
    </w:p>
    <w:p>
      <w:pPr/>
      <w:r>
        <w:rPr>
          <w:b/>
        </w:rPr>
        <w:t>Shared claim-specific concepts:</w:t>
      </w:r>
      <w:r>
        <w:t xml:space="preserve"> creation, scientific, important, contribution, political; EU scope not established. This is a provisional connection, not an outcome finding.</w:t>
      </w:r>
    </w:p>
    <w:p>
      <w:pPr>
        <w:pStyle w:val="SourceNote"/>
      </w:pPr>
      <w:r>
        <w:rPr>
          <w:b/>
        </w:rPr>
        <w:t>Available abstract (not full text):</w:t>
      </w:r>
      <w:r>
        <w:t xml:space="preserve"> This article argues that the COVID-19 pandemic has created a new dispositive of power, the vulnerability dispositive, and it clears up what a power dispositive is. It then explains what theology can contribute to this new dispositive. The paradox of expenditure (creation by means of loss) plays a special role here. Human vulnerability is an unprecedented power in personal and political life, social and cultural life, and not least in religion. It is therefore not surprising that it has become a key concept in international, interdisciplinary research in recent decades. At least since the 1980s, it has resulted in an enormous number of scientific publications in almost all scientific disciplines. For Christian theology, this has particular significance because of the doctrine of the Incarnation: when God becomes human in Jesus Christ, God risks being wounded. Christianity ascribes salvific significance to this path into vulnerability. But what significance does this have for interdisciplinary discourse beyond theology? What can theology contribute to interdisciplinary vulnerability research? The starting point for the following considerations is a specific point in vulnerability discourse: the new dispositive of vulnerability that emerged during the COVID-19 pandemic. It made vulnerability an important argument in social, political, and religious debates. The vulnerability parad</w:t>
      </w:r>
    </w:p>
    <w:p>
      <w:pPr/>
      <w:r>
        <w:rPr>
          <w:b/>
        </w:rPr>
        <w:t>POSSIBLE 2024:</w:t>
      </w:r>
      <w:r>
        <w:t xml:space="preserve"> I. I. von Felbiger and the creation of the European school education system — https://doi.org/10.32744/pse.2024.5.38</w:t>
      </w:r>
    </w:p>
    <w:p>
      <w:pPr/>
      <w:r>
        <w:rPr>
          <w:b/>
        </w:rPr>
        <w:t>Shared claim-specific concepts:</w:t>
      </w:r>
      <w:r>
        <w:t xml:space="preserve"> creation, scientific, important, comprehensive; EU scope visible. This is a provisional connection, not an outcome finding.</w:t>
      </w:r>
    </w:p>
    <w:p>
      <w:pPr>
        <w:pStyle w:val="SourceNote"/>
      </w:pPr>
      <w:r>
        <w:rPr>
          <w:b/>
        </w:rPr>
        <w:t>Available abstract (not full text):</w:t>
      </w:r>
      <w:r>
        <w:t xml:space="preserve"> Introduction. One of the most important conditions for the success of any type of activity is its systematic nature. This statement fully applies to such an important area of the spiritual life of society as education. The creation of the educational system in Europe is associated with the name of the outstanding teacher-reformer Johann Ignaz von Felbiger (1724-1788), who vividly proved himself as a scientist, founder of educational institutions, author of important documents and textbooks that for many decades determined the content and nature of schooling in European countries and in Russia. Materials and methods. The author uses the following research methods: analysis of historical and pedagogical literature, biographical and historical methods, an axiological scientific approach to the study of the value content in the activities of I. I. von Felbiger. The work uses publications by foreign and Russian authors. Results. The period of I. I. von Felbiger's life and his organizational activities coincided with the age of Enlightenment, which led to an increase in interest among a significant part of the population of many European countries in science and its practical use in the interests of society, as well as to the problems of educational development. I. I. von Felbiger acted as the organizer of educational institutions designed for various groups the population and the le</w:t>
      </w:r>
    </w:p>
    <w:p>
      <w:pPr/>
      <w:r>
        <w:rPr>
          <w:b/>
        </w:rPr>
        <w:t>POSSIBLE 2024:</w:t>
      </w:r>
      <w:r>
        <w:t xml:space="preserve"> The Non-Parameter Evaluation of the Quality of Education in European Countries Based on Panel Data — https://doi.org/10.15678/pg.2024.69.3.02</w:t>
      </w:r>
    </w:p>
    <w:p>
      <w:pPr/>
      <w:r>
        <w:rPr>
          <w:b/>
        </w:rPr>
        <w:t>Shared claim-specific concepts:</w:t>
      </w:r>
      <w:r>
        <w:t xml:space="preserve"> panel, important, contribution, level; EU scope visible. This is a provisional connection, not an outcome finding.</w:t>
      </w:r>
    </w:p>
    <w:p>
      <w:pPr>
        <w:pStyle w:val="SourceNote"/>
      </w:pPr>
      <w:r>
        <w:rPr>
          <w:b/>
        </w:rPr>
        <w:t>Available abstract (not full text):</w:t>
      </w:r>
      <w:r>
        <w:t xml:space="preserve"> Objective: The aim of this paper is to evaluate the performance of sustainable development in the education sector through a relative comparison of thirty-five European countries in the period of 2013–2021. Sustainable Development Goal number 4, namely the quality of education, was taken as a benchmark for evaluation. Research Design &amp; Methods: The performance of the countries was evaluated using the combined Slack Based Measure DEA Window model, which has a higher discriminating power than the standard DEA model and a dynamic dimension of observation. Finally, the robustness and sensitivity of the results was tested using bootstrapping methods. Findings: The results showed that the performance of the quality of education, measured in terms of the DEA concept of efficiency, in the period 2013–2021, was at a relatively low but stable level overall. It was shown that, above all, the observed countries that are not members of the EU achieved a far worse level of the quality of education in the observed period, including the United Kingdom. Contribution / Value Added: The obtained results are important in terms of benchmarking public policies related to sustainable development, especially in terms of contributing to discussions regarding the evaluation of countries’ performance, especially in the field of education, as one of the key goals of sustainable development. Also, the resu</w:t>
      </w:r>
    </w:p>
    <w:p>
      <w:pPr/>
      <w:r>
        <w:rPr>
          <w:b/>
        </w:rPr>
        <w:t>POSSIBLE 2023:</w:t>
      </w:r>
      <w:r>
        <w:t xml:space="preserve"> A panel fsQCA investigation on European regional innovation — https://doi.org/10.1016/j.techfore.2023.123042</w:t>
      </w:r>
    </w:p>
    <w:p>
      <w:pPr/>
      <w:r>
        <w:rPr>
          <w:b/>
        </w:rPr>
        <w:t>Shared claim-specific concepts:</w:t>
      </w:r>
      <w:r>
        <w:t xml:space="preserve"> panel, important, innovation; EU scope visible. This is a provisional connection, not an outcome finding.</w:t>
      </w:r>
    </w:p>
    <w:p>
      <w:pPr>
        <w:pStyle w:val="SourceNote"/>
      </w:pPr>
      <w:r>
        <w:rPr>
          <w:b/>
        </w:rPr>
        <w:t>Available abstract (not full text):</w:t>
      </w:r>
      <w:r>
        <w:t xml:space="preserve"> Taking an evolutionary economic geography perspective, we build on literature on innovation modes, the aim of this study being to explain variations in SME innovation performance across European regions over time. Drawing on five waves of data from the EU Regional Innovation Scoreboard between 2011 and 2019, our sample includes 221 regions across 27 EU Member States, as well as Norway, UK, Serbia, and Switzerland. We apply nascent panel fuzzy-set Qualitative Comparative Analysis to explore how different combinations of SME innovation modes explain innovation performance across different EU regions (i.e. geographical scope) as well as within different EU regions over time (i.e. temporal stability). Findings show that whether DUI or STI modes are more effective in the context of SMEs crucially depends on the timeframe considered, but also the geographical location of SMEs. The study offers novel insights into the diverse and complex nature through which regional innovation evolves over time, advancing understanding on regionalization as well as temporality of SME innovation modes in Europe. It also provides an important basis for discussing innovation policy across Europe.</w:t>
      </w:r>
    </w:p>
    <w:p>
      <w:pPr>
        <w:pStyle w:val="Heading2"/>
      </w:pPr>
      <w:r>
        <w:t>952. The EU climate and energy policy: what about the new targets for 2030?</w:t>
      </w:r>
    </w:p>
    <w:p>
      <w:pPr>
        <w:pStyle w:val="SourceNote"/>
      </w:pPr>
      <w:r>
        <w:rPr>
          <w:b/>
        </w:rPr>
        <w:t>Original source (2014):</w:t>
      </w:r>
      <w:r>
        <w:t xml:space="preserve"> https://doi.org/10.3280/efe2014-001002</w:t>
      </w:r>
    </w:p>
    <w:p>
      <w:pPr/>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POSSIBLE 2026:</w:t>
      </w:r>
      <w:r>
        <w:t xml:space="preserve"> Short-term renewable energy forecast errors in Europe: Spatial dependence and smoothing potential — https://doi.org/10.1016/j.renene.2026.126047</w:t>
      </w:r>
    </w:p>
    <w:p>
      <w:pPr/>
      <w:r>
        <w:rPr>
          <w:b/>
        </w:rPr>
        <w:t>Shared claim-specific concepts:</w:t>
      </w:r>
      <w:r>
        <w:t xml:space="preserve"> finally, increase, energy; EU scope visible. This is a provisional connection, not an outcome finding.</w:t>
      </w:r>
    </w:p>
    <w:p>
      <w:pPr>
        <w:pStyle w:val="SourceNote"/>
      </w:pPr>
      <w:r>
        <w:rPr>
          <w:b/>
        </w:rPr>
        <w:t>Available abstract (not full text):</w:t>
      </w:r>
      <w:r>
        <w:t xml:space="preserve"> Renewable energy forecast errors result in costly countermeasures, including countertrading, redispatch, and increased operating reserves. Correlated regional forecast errors increase risks in renewable energy portfolios, yet their spatial dependencies are poorly understood. Therefore, we derive site-specific correlation lengths and assess the potential for spatial smoothing of forecast errors across Europe for intraday up to two-days-ahead lead time. By increasing site separation beyond 150 km, weather-driven renewable energy forecast errors effectively become uncorrelated, reducing mean absolute errors and extreme forecast error events by over 33% for wind energy and approximately 25% for solar energy at day-ahead lead times. Additionally, accounting for principal error directions can reduce the necessary site separation for effective error mitigation. Finally, we evaluate current and planned renewable energy sites in Europe based on these findings and identify regions with elevated forecast errors. This study provides a characterization of renewable energy forecast errors in Europe and offers actionable insights for decision-makers designing resilient renewable energy portfolios.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finally, increase, energy, also;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European energy vision 2050 and beyond: Designing scenarios for Europe’s energy transition — https://doi.org/10.1016/j.rser.2025.116074</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energy relationship between Russia and Europe — https://openalex.org/W7112172010</w:t>
      </w:r>
    </w:p>
    <w:p>
      <w:pPr/>
      <w:r>
        <w:rPr>
          <w:b/>
        </w:rPr>
        <w:t>Shared claim-specific concepts:</w:t>
      </w:r>
      <w:r>
        <w:t xml:space="preserve"> finally, increase, energy, efficiency, also, green; EU scope visible. This is a provisional connection, not an outcome finding.</w:t>
      </w:r>
    </w:p>
    <w:p>
      <w:pPr>
        <w:pStyle w:val="SourceNote"/>
      </w:pPr>
      <w:r>
        <w:rPr>
          <w:b/>
        </w:rPr>
        <w:t>Available abstract (not full text):</w:t>
      </w:r>
      <w:r>
        <w:t xml:space="preserve"> The historical evolution of the energy relationship between Russia and Europe, from Cold War up to the break after 2022, is examined in this thesis. Furthermore, the way this shift reshaped the EU’s security of supply, market design and decarbonisation pathway is analysed. Βy using official statistics, policy documents and academic literature, the thesis maps how interdependency grew around long-term pipeline contracts. It also identifies the episodes that exposed structural vulnerabilities and the broader framework of diversification and energy transition that was triggered by the 2022 war in Ukraine, resulting in the REPowerEU package. It is shown how energy price shocks, storage dynamics and reliance on imports led to structural responses in the EU framework. Specifically, internal market rules, reverse-flow systems, interconnections and storage obligations are included in these responses. They were complemented by the Green Deal that directs investment to renewables, grids and flexibility. Moreover, transatlantic dynamics are taken into account. It is shown how flexible US LNG, alongside with Europe’s regasification capacity and market integration, have provided short-term flexibility. Thus, Russian pipeline volumes could be gradually replaced and storage to be refilled. However, it is expected that gas demand will be in decline because of the increase in electrification, e</w:t>
      </w:r>
    </w:p>
    <w:p>
      <w:pPr/>
      <w:r>
        <w:rPr>
          <w:b/>
        </w:rPr>
        <w:t>POSSIBLE 2025:</w:t>
      </w:r>
      <w:r>
        <w:t xml:space="preserve"> D19.3 Report describing recommendations for activities to increase the attractiveness of Europe for performing clinical trials — https://doi.org/10.5281/zenodo.18936560</w:t>
      </w:r>
    </w:p>
    <w:p>
      <w:pPr/>
      <w:r>
        <w:rPr>
          <w:b/>
        </w:rPr>
        <w:t>Shared claim-specific concepts:</w:t>
      </w:r>
      <w:r>
        <w:t xml:space="preserve"> finally, increase, efficiency, also, continue, commission; EU scope visible. This is a provisional connection, not an outcome finding.</w:t>
      </w:r>
    </w:p>
    <w:p>
      <w:pPr>
        <w:pStyle w:val="SourceNote"/>
      </w:pPr>
      <w:r>
        <w:rPr>
          <w:b/>
        </w:rPr>
        <w:t>Available abstract (not full text):</w:t>
      </w:r>
      <w:r>
        <w:t xml:space="preserve"> EXECUTIVE SUMMARY Enhancing Europe’s attractiveness as a destination for clinical trials is vital to sustaining its global competitiveness in medical research, improving patient access to innovative therapies, strengthening global healthcare systems and fostering economic growth. Despite Europe’s scientific excellence, fragmented regulations, administrative burdens, and inconsistent national practices continue to hinder the efficiency and appeal of conducting trials across Member States. Addressing these challenges requires a coordinated, strategic approach at both EU and national levels. In line with ERA4health’s strategic objectives:•Supporting relevant medical research including clinical fields and intervention areas (prevention, diagnosis, treatment)•Building capacity, in particular in conducting IICS at EU scale, the purpose of this report is describing potential activities (recommendations) to be undertaken both at general level and during the ERA4Health partnership, based on hurdles identified as part of D14.1 “Report on Bottlenecks to multicountry IICS”. Key priorities include promoting well-designed and adequately funded multinational trial calls, streamlining national and European Commission procedures, and investing in modern trial methodologies such as adaptive, platform, and decentralized designs. Strengthening digital health capabilities—through toolkits for remot</w:t>
      </w:r>
    </w:p>
    <w:p>
      <w:pPr/>
      <w:r>
        <w:rPr>
          <w:b/>
        </w:rPr>
        <w:t>POSSIBLE 2025:</w:t>
      </w:r>
      <w:r>
        <w:t xml:space="preserve"> Participation as a pathway to procedural justice: A review of energy initiatives across eight European countries — https://doi.org/10.1016/j.erss.2025.103982</w:t>
      </w:r>
    </w:p>
    <w:p>
      <w:pPr/>
      <w:r>
        <w:rPr>
          <w:b/>
        </w:rPr>
        <w:t>Shared claim-specific concepts:</w:t>
      </w:r>
      <w:r>
        <w:t xml:space="preserve"> finally, energy, also; EU scope visible. This is a provisional connection, not an outcome finding.</w:t>
      </w:r>
    </w:p>
    <w:p>
      <w:pPr>
        <w:pStyle w:val="SourceNote"/>
      </w:pPr>
      <w:r>
        <w:rPr>
          <w:b/>
        </w:rPr>
        <w:t>Available abstract (not full text):</w:t>
      </w:r>
      <w:r>
        <w:t xml:space="preserve"> The engagement of citizens in the energy transition through a variety of energy initiatives is an important component of a just energy transition. Through analyses of 378 energy initiatives, along with 81 interviews with energy professionals across eight European countries, including Austria, Bulgaria, Greece, Germany, Italy, Norway, Switzerland, and Türkiye, we examine how and in what ways these initiatives address justice outcomes. Specifically, we look at citizen participation as an avenue to procedural justice, which may enable forms or distributional and recognitional justice as well. We critically examine the different forms of citizen engagement put forward by such initiatives, classifying such initiatives into three types: i) demand side action, ii) supply side action and iii) political action. While all forms of engagement are instrumental, the latter two attach greater importance to collective actions and the political agency of individuals. For demand side actions, we find that people tend to be reduced to economic actors subject to top-down directives, given agency in the privacy of their homes through atomized, individual action. Supply side initiatives, like energy communities, may encourage increased citizen involvement, yet they may not fully reflect the ideals of collective political action. Direct participation in shaping energy policies is found to be an aven</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but, green;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Friend, Not Foe - Energy Prices and European Monetary Policy — https://doi.org/10.2139/ssrn.4892583</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Attractiveness of Clean Energy Stocks in Europe: The Importance of Shocks in Oil and Gas Prices — https://doi.org/10.2139/ssrn.4727356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Energy Economic Development in Europe — https://doi.org/10.3390/books978-3-0365-7112-6</w:t>
      </w:r>
    </w:p>
    <w:p>
      <w:pPr/>
      <w:r>
        <w:rPr>
          <w:b/>
        </w:rPr>
        <w:t>Shared claim-specific concepts:</w:t>
      </w:r>
      <w:r>
        <w:t xml:space="preserve"> energy, efficiency, also;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Energy Support for Firms in Europe: Best Practice Considerations and Recent Experience — https://doi.org/10.5089/9798400255007.001</w:t>
      </w:r>
    </w:p>
    <w:p>
      <w:pPr/>
      <w:r>
        <w:rPr>
          <w:b/>
        </w:rPr>
        <w:t>Shared claim-specific concepts:</w:t>
      </w:r>
      <w:r>
        <w:t xml:space="preserve"> finally, energy, early; EU scope visible. This is a provisional connection, not an outcome finding.</w:t>
      </w:r>
    </w:p>
    <w:p>
      <w:pPr>
        <w:pStyle w:val="SourceNote"/>
      </w:pPr>
      <w:r>
        <w:rPr>
          <w:b/>
        </w:rPr>
        <w:t>Available abstract (not full text):</w:t>
      </w:r>
      <w:r>
        <w:t xml:space="preserve"> The surge in energy prices due to Russia’s February 2022 invasion of Ukraine significantly increased costs for European firms, prompting governments to introduce a range of support schemes. Although energy prices had eased by early 2023, uncertainty around prices remains unusually large. Against this backdrop, this paper examines the case for government intervention and identifies best practices with a view to improving the design of existing energy support schemes, facilitating exit from those schemes, and preparing policymakers for a downside scenario in which energy prices flare up again. The paper argues that support should be limited in size, strictly temporary in nature, narrowly targeted, and accompanied by strong safeguards and conditionality, while preserving price signals as much as possible to encourage energy conservation. Finally, the paper reviews recent support schemes introduced by European governments in light of the identified best practice considerations.</w:t>
      </w:r>
    </w:p>
    <w:p>
      <w:pPr>
        <w:pStyle w:val="Heading2"/>
      </w:pPr>
      <w:r>
        <w:t>953. The Future of Visitor Attractions in The Netherlands</w:t>
      </w:r>
    </w:p>
    <w:p>
      <w:pPr>
        <w:pStyle w:val="SourceNote"/>
      </w:pPr>
      <w:r>
        <w:rPr>
          <w:b/>
        </w:rPr>
        <w:t>Original source (2014):</w:t>
      </w:r>
      <w:r>
        <w:t xml:space="preserve"> https://doi.org/10.1080/02508281.2014.11087010</w:t>
      </w:r>
    </w:p>
    <w:p>
      <w:pPr/>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POSSIBLE 2026:</w:t>
      </w:r>
      <w:r>
        <w:t xml:space="preserve"> Amusement Ride Collection: Creating a Complete Attraction Portfolio with GT Amusement — https://doi.org/10.5281/zenodo.18162222</w:t>
      </w:r>
    </w:p>
    <w:p>
      <w:pPr/>
      <w:r>
        <w:rPr>
          <w:b/>
        </w:rPr>
        <w:t>Shared claim-specific concepts:</w:t>
      </w:r>
      <w:r>
        <w:t xml:space="preserve"> used, create, business, services, attraction, reliable; EU scope visible. This is a provisional connection, not an outcome finding.</w:t>
      </w:r>
    </w:p>
    <w:p>
      <w:pPr>
        <w:pStyle w:val="SourceNote"/>
      </w:pPr>
      <w:r>
        <w:rPr>
          <w:b/>
        </w:rPr>
        <w:t>Available abstract (not full text):</w:t>
      </w:r>
      <w:r>
        <w:t xml:space="preserve"> A successful amusement park is built on more than just individual attractions—it thrives on a well-planned Amusement Ride Collection that delivers excitement, variety, and unforgettable experiences for visitors of all ages. From thrill rides that define a park’s skyline to family and kiddie attractions that keep guests engaged throughout the day, the right ride collection is the foundation of long-term success. At GT Amusement, we specialize in helping park operators design, expand, and upgrade comprehensive amusement ride collections that balance entertainment value, safety, and profitability. What Is an Amusement Ride Collection? An Amusement Ride Collection refers to the complete range of rides and attractions offered within an amusement park, theme park, fairground, or entertainment venue. A balanced ride collection typically includes: Thrill rides Family rides Kiddie rides Water rides Indoor and outdoor attractions Fixed and portable rides This combination ensures that every visitor—regardless of age or preference—finds something to enjoy. Why a Well-Planned Ride Collection Matters 1. Appeals to a Wider Audience A diverse amusement ride collection attracts families, thrill seekers, school groups, and tourists. Offering multiple ride types increases overall footfall and visitor satisfaction. 2. Encourages Repeat Visits When guests experience variety and quality, they are mo</w:t>
      </w:r>
    </w:p>
    <w:p>
      <w:pPr/>
      <w:r>
        <w:rPr>
          <w:b/>
        </w:rPr>
        <w:t>POSSIBLE 2026:</w:t>
      </w:r>
      <w:r>
        <w:t xml:space="preserve"> Four Risks for Europe — https://doi.org/10.1007/978-3-032-29056-4_6</w:t>
      </w:r>
    </w:p>
    <w:p>
      <w:pPr/>
      <w:r>
        <w:rPr>
          <w:b/>
        </w:rPr>
        <w:t>Shared claim-specific concepts:</w:t>
      </w:r>
      <w:r>
        <w:t xml:space="preserve"> four, strategies, services; EU scope visible. This is a provisional connection, not an outcome finding.</w:t>
      </w:r>
    </w:p>
    <w:p>
      <w:pPr>
        <w:pStyle w:val="SourceNote"/>
      </w:pPr>
      <w:r>
        <w:rPr>
          <w:b/>
        </w:rPr>
        <w:t>Available abstract (not full text):</w:t>
      </w:r>
      <w:r>
        <w:t xml:space="preserve"> This chapter consolidates earlier analyses to outline four central risks of ageing for Europe and the Netherlands: economic stagnation, high government debt and divergence, upward pressure on inflation, and social and political tensions within and between member states. It traces how rising pension costs can drive higher tax burdens, crowd out growth-enhancing public services, and drive divergence among member states, while planned austerity may depress aggregate demand and risk impoverishment of the elderly. If reforms prove politically fragile, debt-financing can heighten financial instability and complicate ECB policy, potentially reinforcing inflationary pressures. The chapter emphasises that enlarging the total pie through higher labour participation is the most attractive route, complemented by trade diversification and investment strategies that account for demographic dividends, while keeping a broad European and Dutch interest central.</w:t>
      </w:r>
    </w:p>
    <w:p>
      <w:pPr/>
      <w:r>
        <w:rPr>
          <w:b/>
        </w:rPr>
        <w:t>POSSIBLE 2026:</w:t>
      </w:r>
      <w:r>
        <w:t xml:space="preserve"> Project SOLO: co-creating research and innovation roadmaps to restore European soils — https://doi.org/10.5194/egusphere-egu26-19590</w:t>
      </w:r>
    </w:p>
    <w:p>
      <w:pPr/>
      <w:r>
        <w:rPr>
          <w:b/>
        </w:rPr>
        <w:t>Shared claim-specific concepts:</w:t>
      </w:r>
      <w:r>
        <w:t xml:space="preserve"> four, different, develop, strategies, services, aim; EU scope visible. This is a provisional connection, not an outcome finding.</w:t>
      </w:r>
    </w:p>
    <w:p>
      <w:pPr>
        <w:pStyle w:val="SourceNote"/>
      </w:pPr>
      <w:r>
        <w:rPr>
          <w:b/>
        </w:rPr>
        <w:t>Available abstract (not full text):</w:t>
      </w:r>
      <w:r>
        <w:t xml:space="preserve"> Healthy soils are fundamental for life on Earth, providing essential ecosystem services such as food production, climate regulation, and disease control. Yet, over 60% of soils in Europe is degraded. In response, the Soil Strategy of the European Union aims to restore all soils in Europe by 2050. Achieving this aim requires more than scientific understanding of soil processes and novel technologies, since soils are embedded in complex societal systems. For instance, agricultural soils are part of food supply chains that influence how farmers can manage their soils. Improving soil health therefore also requires understanding the societal processes that affect soil health, and what knowledge or innovation can help steering these processes towards sustainability. To assess the latter, input from societal soil stakeholders is essential.Project SOLO addresses this challenge by developing transdisciplinary roadmaps for future European soil research. These roadmaps identify what knowledge or innovation is needed to restore all soils in Europe towards a healthy state. Nine thematic roadmaps, covering issues such as soil biodiversity and erosion, are co-created by diverse groups of scientists and societal stakeholders. These roadmaps are updated annually, and open for review. The context-dependence of what we want from soils and what is possible is captured by four regional nodes that d</w:t>
      </w:r>
    </w:p>
    <w:p>
      <w:pPr/>
      <w:r>
        <w:rPr>
          <w:b/>
        </w:rPr>
        <w:t>POSSIBLE 2025:</w:t>
      </w:r>
      <w:r>
        <w:t xml:space="preserve"> EXPLORING TOURISM ATTRACTIONS IN OUIDAH, BENIN: VISITOR EXPERIENCES AND RECOMMENDATIONS — https://doi.org/10.30892/gtg.634spl16-1631</w:t>
      </w:r>
    </w:p>
    <w:p>
      <w:pPr/>
      <w:r>
        <w:rPr>
          <w:b/>
        </w:rPr>
        <w:t>Shared claim-specific concepts:</w:t>
      </w:r>
      <w:r>
        <w:t xml:space="preserve"> strategies, aim, opportunities; EU scope not established. This is a provisional connection, not an outcome finding.</w:t>
      </w:r>
    </w:p>
    <w:p>
      <w:pPr>
        <w:pStyle w:val="SourceNote"/>
      </w:pPr>
      <w:r>
        <w:rPr>
          <w:b/>
        </w:rPr>
        <w:t>Available abstract (not full text):</w:t>
      </w:r>
      <w:r>
        <w:t xml:space="preserve"> The aim of the study is to explore visitor experiences and propose strategic improvements for tourism in Ouidah (Benin), a town renowned for its cultural and historical landmarks, including the Route of the Slaves and the Temple of Pythons. Using data collected from an online survey of 105 participants from Benin and abroad, the research highlights the strong appeal of Ouidah’s heritage attractions while identifying critical areas for enhancement, such as infrastructure, accessibility, and promotional efforts. Findings show the Slaves’ Route (24.8%), Python Temple (24.3%), and Gate of No Return (22%) are the most visited, while sites like the Indigo Color Home (3.1%) remain under-visited, indicating the need for better promotion.Wordof-mouth of 46% of respondents was the main information source, followed by miscellaneous sources (36%), while internet and travel agencies played minor roles. Infrastructure was rated mainly “Good” (58%), though issues included poor road conditions, limited public transport, lack of signage, and inadequate amenities such as restrooms and shaded areas. Safety, environmental management, and authenticity of Vodun heritage interpretation were also concerns. A rate of 70% of respondents would “definitely” recommend Ouidah, showing strong potential for repeat and referral tourism. Recommendations include infrastructure upgrades, accessibility improvement</w:t>
      </w:r>
    </w:p>
    <w:p>
      <w:pPr/>
      <w:r>
        <w:rPr>
          <w:b/>
        </w:rPr>
        <w:t>POSSIBLE 2025:</w:t>
      </w:r>
      <w:r>
        <w:t xml:space="preserve"> The Influence Of Tourist Attraction On Visit Decision Through Visitor Experience At Taman Mini Indonesia, Jakarta — https://doi.org/10.22334/jbhost.v11i2.514</w:t>
      </w:r>
    </w:p>
    <w:p>
      <w:pPr/>
      <w:r>
        <w:rPr>
          <w:b/>
        </w:rPr>
        <w:t>Shared claim-specific concepts:</w:t>
      </w:r>
      <w:r>
        <w:t xml:space="preserve"> used, attraction, visitors; EU scope not established. This is a provisional connection, not an outcome finding.</w:t>
      </w:r>
    </w:p>
    <w:p>
      <w:pPr>
        <w:pStyle w:val="SourceNote"/>
      </w:pPr>
      <w:r>
        <w:rPr>
          <w:b/>
        </w:rPr>
        <w:t>Available abstract (not full text):</w:t>
      </w:r>
      <w:r>
        <w:t xml:space="preserve"> This study examines the factors influencing the decision to visit Taman Mini Indonesia Indah (TMII), Jakarta, focusing on the roles of tourist attraction, visitor experience, and their impact on visit decision. Understanding these dynamics is crucial for improving the destination's appeal and enhancing visitor satisfaction. The research employed a quantitative approach using surveys from visitors to collect data, with SmartPLS used for data analysis. The results show that tourist attraction directly affects the decision to visit and also exerts an indirect effect through visitor experience, which acts as a mediator. These findings emphasize the importance of improving visitor experiences to influence future visit intentions. The study contributes to tourism management by highlighting key factors that influence visitor decision-making and provides practical insights for destination marketing. Future research could explore broader contexts and the impact of digital engagement on visitor decisions.</w:t>
      </w:r>
    </w:p>
    <w:p>
      <w:pPr/>
      <w:r>
        <w:rPr>
          <w:b/>
        </w:rPr>
        <w:t>POSSIBLE 2025:</w:t>
      </w:r>
      <w:r>
        <w:t xml:space="preserve"> Assessing Climate Change Impacts on Outdoor Recreation: Insights from Visitor and Business Perspectives — https://doi.org/10.3390/su17083400</w:t>
      </w:r>
    </w:p>
    <w:p>
      <w:pPr/>
      <w:r>
        <w:rPr>
          <w:b/>
        </w:rPr>
        <w:t>Shared claim-specific concepts:</w:t>
      </w:r>
      <w:r>
        <w:t xml:space="preserve"> four, business, strategies, visitors; EU scope visible. This is a provisional connection, not an outcome finding.</w:t>
      </w:r>
    </w:p>
    <w:p>
      <w:pPr>
        <w:pStyle w:val="SourceNote"/>
      </w:pPr>
      <w:r>
        <w:rPr>
          <w:b/>
        </w:rPr>
        <w:t>Available abstract (not full text):</w:t>
      </w:r>
      <w:r>
        <w:t xml:space="preserve"> Tourism and recreation are critical components of global economies and are significantly impacted by climate change due to their climate-dependent nature. This study aimed to assess the effects of climate change on outdoor recreation within the tourism sector, as perceived by stakeholders and tourists, through a systematic review. Following the PRISMA 2020 guidelines, a comprehensive search of the Web of Science database was conducted, resulting in a systematic review of 42 publications that met the inclusion–exclusion criteria out of a total of 226 publications published between 2007 and 2024. The comprehensive analysis identified four primary themes: vulnerability, adaptation, climate change perception, and tourist behavior. The USA emerges as the most researched country, followed by the UK, Germany, and France. The predominant research methods include regression analysis (37.2%) and thematic analysis (20.9%). Coping behaviors regarding climate change are influenced by various factors, such as geography, participant expertise, the type of activity, and the development levels of countries. Tourists adopt locational, temporal, strategic, activity substitution, and informational coping strategies in response to climate change. Conversely, businesses face challenges like reservation cancellations and mitigate global warming effects by modifying activities and adjusting routes due</w:t>
      </w:r>
    </w:p>
    <w:p>
      <w:pPr/>
      <w:r>
        <w:rPr>
          <w:b/>
        </w:rPr>
        <w:t>POSSIBLE 2024:</w:t>
      </w:r>
      <w:r>
        <w:t xml:space="preserve"> Visitor Satisfaction on Attractions and Attributes at Tarangire National Park — https://doi.org/10.11648/j.hss.20241203.12</w:t>
      </w:r>
    </w:p>
    <w:p>
      <w:pPr/>
      <w:r>
        <w:rPr>
          <w:b/>
        </w:rPr>
        <w:t>Shared claim-specific concepts:</w:t>
      </w:r>
      <w:r>
        <w:t xml:space="preserve"> used, services, attraction, visitors; EU scope not established. This is a provisional connection, not an outcome finding.</w:t>
      </w:r>
    </w:p>
    <w:p>
      <w:pPr>
        <w:pStyle w:val="SourceNote"/>
      </w:pPr>
      <w:r>
        <w:rPr>
          <w:b/>
        </w:rPr>
        <w:t>Available abstract (not full text):</w:t>
      </w:r>
      <w:r>
        <w:t xml:space="preserve"> Existing tourist destinations draw an increasing number of visitors as travel and tourism continue to rise. In this scenario, the growth in demand for tourism gives rise to new markets, which means that tourism sites are facing more and more intense competition which makes visitor satisfaction on tourism destination a prerequisite for tourism destination development. It is for this reason this research was undertaken. The study was aimed at assessing visitor satisfaction on attractions and attributes at Tarangire National Park. Questionnaire was used for data collection and a total of 242 visitors (tourists) were sampled. The results showed that visitor satisfaction was highly significant between country of origin and accommodation (F = (1.359), df = 64, p&lt; 0.000), attraction (F = (1.469), df = 64, p&lt; 0.000), Game viewing roads (F = (99.32), df = 64, p&lt; 0.003), and significant for interpretation (F = (85.745), df = 64, p&lt; 0.036), game viewing (F = (85.190), df = 64, p&lt; 0.040), and signage (F = (84.479), df = 64, p&lt; 0.044), highly significant for nature of travel and signage (F = (22.620), df = 64, p&lt; 0.000), and significant for game viewing (F = (10.668) df = 64, p&lt; 0.005). Out of 15 attractions which were identified, elephant was considered the best attraction and the least was ostrich. Generally, tourists were satisfied with the attractions, attributes and services provided b</w:t>
      </w:r>
    </w:p>
    <w:p>
      <w:pPr/>
      <w:r>
        <w:rPr>
          <w:b/>
        </w:rPr>
        <w:t>POSSIBLE 2024:</w:t>
      </w:r>
      <w:r>
        <w:t xml:space="preserve"> Children’s understanding of well-being related questions: results of cognitive interviews in four European countries — https://doi.org/10.1080/13645579.2024.2312621</w:t>
      </w:r>
    </w:p>
    <w:p>
      <w:pPr/>
      <w:r>
        <w:rPr>
          <w:b/>
        </w:rPr>
        <w:t>Shared claim-specific concepts:</w:t>
      </w:r>
      <w:r>
        <w:t xml:space="preserve"> create, four, different, aim; EU scope visible. This is a provisional connection, not an outcome finding.</w:t>
      </w:r>
    </w:p>
    <w:p>
      <w:pPr>
        <w:pStyle w:val="SourceNote"/>
      </w:pPr>
      <w:r>
        <w:rPr>
          <w:b/>
        </w:rPr>
        <w:t>Available abstract (not full text):</w:t>
      </w:r>
      <w:r>
        <w:t xml:space="preserve"> This paper presents the results of cognitive interviews with 8-year-old children from four European countries – Croatia, France, Finland, and Ireland. The aim of the interviews was to pre-test a selection of well-being-related questions as a part of questionnaire development for the first European multinational birth cohort study – Growing up in Digital Europe (GUIDE)/EuroCohort. Unlike most previous studies, we focused on a younger and more age-homogenous sample, as well as a more diverse set of well-known questionnaires. A total of 68 children participated in the study. The main suggestion for the interviewing procedure is to create a safe environment yet minimize the parents’ interference in answering. The questionnaires should use child-friendly vocabulary, tangible examples, avoid complex sentence structure and negative statements. The use of timeframes in questions should be minimal. The children can use Likert-type scales, but the number of different scales in the questionnaire should be limited.</w:t>
      </w:r>
    </w:p>
    <w:p>
      <w:pPr/>
      <w:r>
        <w:rPr>
          <w:b/>
        </w:rPr>
        <w:t>POSSIBLE 2024:</w:t>
      </w:r>
      <w:r>
        <w:t xml:space="preserve"> Typical earthworm assemblages of European ecosystem types — https://doi.org/10.1111/ejss.13584</w:t>
      </w:r>
    </w:p>
    <w:p>
      <w:pPr/>
      <w:r>
        <w:rPr>
          <w:b/>
        </w:rPr>
        <w:t>Shared claim-specific concepts:</w:t>
      </w:r>
      <w:r>
        <w:t xml:space="preserve"> used, four, different;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Europe as Ideological Resource — https://doi.org/10.1093/oso/9780198892366.001.0001</w:t>
      </w:r>
    </w:p>
    <w:p>
      <w:pPr/>
      <w:r>
        <w:rPr>
          <w:b/>
        </w:rPr>
        <w:t>Shared claim-specific concepts:</w:t>
      </w:r>
      <w:r>
        <w:t xml:space="preserve"> used, create, four, concepts; EU scope visible. This is a provisional connection, not an outcome finding.</w:t>
      </w:r>
    </w:p>
    <w:p>
      <w:pPr>
        <w:pStyle w:val="SourceNote"/>
      </w:pPr>
      <w:r>
        <w:rPr>
          <w:b/>
        </w:rPr>
        <w:t>Available abstract (not full text):</w:t>
      </w:r>
      <w:r>
        <w:t xml:space="preserve"> Abstract How did the far right go from illegitimate fringe to contender for public office, and did Europe have anything to do with it? This book argues that European integration functioned as an ideological resource for far-right parties looking for legitimation because it enabled them to refashion their political message in a more acceptable form, while maintaining the allegiance of their existing supporters. Drawing on the qualitative analysis of over 400 documents produced by the Movimento Sociale Italiano/Alleanza Nazionale in Italy (1978–2009) and the Rassemblement National in France (1978–2019), the book identifies the core concepts and discourses the parties used to talk about Europe, and the legitimation mechanisms associated with them. The book’s narrative is developed through the analysis of four key concepts: the concept of identity, which enabled the parties to transnationalize their message and create a positive association between themselves and Europe; the concept of liberty, which made it possible for them to foster an image of actors holding uncontroversial positions; the concept of threat, which helped them promote the idea that ‘desperate times call for desperate measures’; and the concept of national interest, which helped them stress commitment to core principles in their ideology. Ever since its re-emergence on the European political scene, scholars have s</w:t>
      </w:r>
    </w:p>
    <w:p>
      <w:pPr/>
      <w:r>
        <w:rPr>
          <w:b/>
        </w:rPr>
        <w:t>POSSIBLE 2024:</w:t>
      </w:r>
      <w:r>
        <w:t xml:space="preserve"> Using the Blockchain to Reduce Carbon Emissions in the Visitor Economy — https://doi.org/10.3390/su16104000</w:t>
      </w:r>
    </w:p>
    <w:p>
      <w:pPr/>
      <w:r>
        <w:rPr>
          <w:b/>
        </w:rPr>
        <w:t>Shared claim-specific concepts:</w:t>
      </w:r>
      <w:r>
        <w:t xml:space="preserve"> used, develop, strategies, aim; EU scope not established. This is a provisional connection, not an outcome finding.</w:t>
      </w:r>
    </w:p>
    <w:p>
      <w:pPr>
        <w:pStyle w:val="SourceNote"/>
      </w:pPr>
      <w:r>
        <w:rPr>
          <w:b/>
        </w:rPr>
        <w:t>Available abstract (not full text):</w:t>
      </w:r>
      <w:r>
        <w:t xml:space="preserve"> The visitor economy is responsible for a substantial percentage of the global carbon footprint. The mechanisms used to decarbonize it are insufficient, and the industry is relying on carbon trading with substandard credits that allow businesses to outsource the responsibility to decarbonize. We aim to transform carbon markets, help finance climate investments, and support decarbonization strategies. We identify and define the problem, outline the components and their interactions, and develop a conceptual model to transform carbon markets. The new, blockchain-based Carbon Tokenomics Model rolls out a decentralized database to store, trade, and manage carbon credits, with the goal of enabling sustainable climate finance investment. We outline the criteria needed for an industry-wide carbon calculator. We explain the process needed to increase rigor in climate investments in the visitor economy and introduce a delegated Proof of Commitment consensus mechanism. Our inclusive and transparent model illustrates how to reduce transaction costs and how to build consumer and industry trust, generating much-needed investments for decarbonization.</w:t>
      </w:r>
    </w:p>
    <w:p>
      <w:pPr/>
      <w:r>
        <w:rPr>
          <w:b/>
        </w:rPr>
        <w:t>POSSIBLE 2024:</w:t>
      </w:r>
      <w:r>
        <w:t xml:space="preserve"> BUSINESS TRAVEL MOTIVATIONS AND OBJECTIVES OF TRADE FAIRS VISITORS: EXPERIENCE FROM THE TRADE FAIRS IN THESSALONIKI, GREECE — https://doi.org/10.30892/gtg.53207-1219</w:t>
      </w:r>
    </w:p>
    <w:p>
      <w:pPr/>
      <w:r>
        <w:rPr>
          <w:b/>
        </w:rPr>
        <w:t>Shared claim-specific concepts:</w:t>
      </w:r>
      <w:r>
        <w:t xml:space="preserve"> used, business, aim, visitors; EU scope visible. This is a provisional connection, not an outcome finding.</w:t>
      </w:r>
    </w:p>
    <w:p>
      <w:pPr>
        <w:pStyle w:val="SourceNote"/>
      </w:pPr>
      <w:r>
        <w:rPr>
          <w:b/>
        </w:rPr>
        <w:t>Available abstract (not full text):</w:t>
      </w:r>
      <w:r>
        <w:t xml:space="preserve"> This research investigates the motivations and objectives of visitor participation in trade fairs in Thessaloniki. In particular, the trend of combining professional goals with the entertainment of visitors is investigated. The aim of the research is to determine whether the inclination to blend economic goals with entertainment is a shared characteristic among attendees of all trade fair events, or if it varies in any manner. Mixed methods research was used: quantitative research (1,066 participants) and in-depth interviews (51 participants). In order to comprehensively understand phenomena and ensure validity, the triangulation approach was used. The results showed that the type of trade fair is related to visitors' participation objectives. Specifically, the reason for visiting the trade fairs addressed to the general public is mainly entertainment, while those of the specialized sectoral trade fairs are mainly business-related. However, even in the sectoral trade fairs there is a significant percentage in several cases that mentions fun-entertainment as an objective. These results are of great research importance, but also of managerial importance, both for the trade fair organizers and for the local tourism development agencies.</w:t>
      </w:r>
    </w:p>
    <w:p>
      <w:pPr>
        <w:pStyle w:val="Heading2"/>
      </w:pPr>
      <w:r>
        <w:t>954. The feasibility of a European‐wide integrated CO 2 transport network</w:t>
      </w:r>
    </w:p>
    <w:p>
      <w:pPr>
        <w:pStyle w:val="SourceNote"/>
      </w:pPr>
      <w:r>
        <w:rPr>
          <w:b/>
        </w:rPr>
        <w:t>Original source (2014):</w:t>
      </w:r>
      <w:r>
        <w:t xml:space="preserve"> https://doi.org/10.1002/ghg.1410</w:t>
      </w:r>
    </w:p>
    <w:p>
      <w:pPr/>
      <w:r>
        <w:t>Original wording (abstract; indexed_source_text_not_full_document_verified):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Climate at what cost? A survey experiment on trade-offs between decarbonization ambitions and socioeconomic costs — https://doi.org/10.1016/j.erss.2026.104877</w:t>
      </w:r>
    </w:p>
    <w:p>
      <w:pPr/>
      <w:r>
        <w:rPr>
          <w:b/>
        </w:rPr>
        <w:t>Shared claim-specific concepts:</w:t>
      </w:r>
      <w:r>
        <w:t xml:space="preserve"> decarbonization, suggests, role; EU scope visible. This is a provisional connection, not an outcome finding.</w:t>
      </w:r>
    </w:p>
    <w:p>
      <w:pPr>
        <w:pStyle w:val="SourceNote"/>
      </w:pPr>
      <w:r>
        <w:rPr>
          <w:b/>
        </w:rPr>
        <w:t>Available abstract (not full text):</w:t>
      </w:r>
      <w:r>
        <w:t xml:space="preserve"> Survey research typically suggests strong support for climate and decarbonization policies. These findings contrast with anecdotal and observational evidence suggesting that individuals are sensitive to personal and collective losses incurred from climate policies. To address this, we field an experiment in five Western European countries, where respondents are asked to trade-off personal and collective income losses expected with different decarbonization paths. Our results show that, while respondents support ambitious decarbonization strategies ceteris paribus , this support softens in the face of possible individual and collective income losses associated with a given decarbonization path. Next, we explore the moderating role of income, profession, education, green values, and climate and inflation concerns. The experimental focus on different distributional consequences at different levels of citizen experience contribute to a growing literature focusing on the socioeconomic implications of climate change policies, offering a sobering look at the actual level of political support these policies enjoy in western Europe, suggesting that existing compensation policies are likely insufficient.</w:t>
      </w:r>
    </w:p>
    <w:p>
      <w:pPr/>
      <w:r>
        <w:rPr>
          <w:b/>
        </w:rPr>
        <w:t>POSSIBLE 2026:</w:t>
      </w:r>
      <w:r>
        <w:t xml:space="preserve"> European Climate Law : Effects on competences, normative substance, and governance of the European Union — https://openalex.org/W7223077861</w:t>
      </w:r>
    </w:p>
    <w:p>
      <w:pPr/>
      <w:r>
        <w:rPr>
          <w:b/>
        </w:rPr>
        <w:t>Shared claim-specific concepts:</w:t>
      </w:r>
      <w:r>
        <w:t xml:space="preserve"> union, ambition, role; EU scope visible. This is a provisional connection, not an outcome finding.</w:t>
      </w:r>
    </w:p>
    <w:p>
      <w:pPr>
        <w:pStyle w:val="SourceNote"/>
      </w:pPr>
      <w:r>
        <w:rPr>
          <w:b/>
        </w:rPr>
        <w:t>Available abstract (not full text):</w:t>
      </w:r>
      <w:r>
        <w:t xml:space="preserve"> This doctoral thesis examines the implementation of EU Climate Law through the lens of competence allocation, legal coherence and consistency, and governance within the EU. Anchored in the adoption of Regulation (EU) 2021/1119 establishing the framework for achieving climate neutrality by 2050, the study analyses how climate objectives have progressively reshaped the vertical and horizontal distribution of powers between the Union, its institutions, and the Member States. While EU Climate Law does not formally modify the principle of conferral, its dense regulatory framework significantly constrains Member State autonomy and reinforces the significant role of the European Commission in steering, monitoring, and enforcing climate action. This evolution challenges traditional conceptions of the separation of powers and gives rise to a form of polycentric governance characterised by institutional concentration, fragmented accountability, and asymmetrical implementation. Through a doctrinal and comparative analysis of EU primary and secondary law, CJEU jurisprudence, national and European climate litigation, and the Union’s external commitments—particularly within the WTO framework—the thesis highlights persistent tensions between environmental ambition, internal market integration, democratic legitimacy, and legal certainty. To address these challenges, the thesis argues for a rec</w:t>
      </w:r>
    </w:p>
    <w:p>
      <w:pPr/>
      <w:r>
        <w:rPr>
          <w:b/>
        </w:rPr>
        <w:t>POSSIBLE 2026:</w:t>
      </w:r>
      <w:r>
        <w:t xml:space="preserve"> Decarbonizing the Greek Electricity System Under the Energy Storage Context: Between Ambition and Reality — https://doi.org/10.3390/su18157588</w:t>
      </w:r>
    </w:p>
    <w:p>
      <w:pPr/>
      <w:r>
        <w:rPr>
          <w:b/>
        </w:rPr>
        <w:t>Shared claim-specific concepts:</w:t>
      </w:r>
      <w:r>
        <w:t xml:space="preserve"> ambition, decarbonization, role, storage; EU scope visible. This is a provisional connection, not an outcome finding.</w:t>
      </w:r>
    </w:p>
    <w:p>
      <w:pPr>
        <w:pStyle w:val="SourceNote"/>
      </w:pPr>
      <w:r>
        <w:rPr>
          <w:b/>
        </w:rPr>
        <w:t>Available abstract (not full text):</w:t>
      </w:r>
      <w:r>
        <w:t xml:space="preserve"> Decarbonization has been set as the ultimate target of the European energy policy, and, under this frame, Greece has substantially reformed its electricity mix over the last two decades. Yet, the rapid transition of the country’s electricity production system towards a model that strongly relies on non-controllable renewables, without improving its energy storage means, has caused several adverse impacts that reasonably raise serious concerns about its sustainability. Further questions arise when accounting for the projections and underlying assumptions reported in the National Energy and Climate Plan. In this vein, key policy, societal, technical, sustainability and science issues are discussed, involving the challenges, perspectives and potential drawbacks of Greece’s long-term energy planning. To reveal the critical role of storage, a toy simulation-optimization model is applied at the national scale to evaluate several scenarios of wind and solar P/V development under the premise of a theoretically fully decarbonized mix. This allows the exploration of trade-offs between energy storage and power capacity needs against key performance metrics (frequency and quantity of deficits and percentage of rejected renewable energy). Preliminary feasibility issues are also highlighted by considering alternative configurations of pumped hydropower storage units and associating their app</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ambition, total, decarbonization, transport;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decarbonization, large, carbon; EU scope visible. This is a provisional connection, not an outcome finding.</w:t>
      </w:r>
    </w:p>
    <w:p>
      <w:pPr>
        <w:pStyle w:val="SourceNote"/>
      </w:pPr>
      <w:r>
        <w:rPr>
          <w:b/>
        </w:rPr>
        <w:t>Available abstract (not full text):</w:t>
      </w:r>
      <w:r>
        <w:t xml:space="preserve">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2025:</w:t>
      </w:r>
      <w:r>
        <w:t xml:space="preserve"> The Idea of the European Union as a Cosmopolitan Empire: A Critical Assessment — https://doi.org/10.33067/se.1.2025.4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pPr/>
      <w:r>
        <w:rPr>
          <w:b/>
        </w:rPr>
        <w:t>POSSIBLE 2025:</w:t>
      </w:r>
      <w:r>
        <w:t xml:space="preserve"> The green hydrogen ambition and implementation gap — https://doi.org/10.1038/s41560-024-01684-7</w:t>
      </w:r>
    </w:p>
    <w:p>
      <w:pPr/>
      <w:r>
        <w:rPr>
          <w:b/>
        </w:rPr>
        <w:t>Shared claim-specific concepts:</w:t>
      </w:r>
      <w:r>
        <w:t xml:space="preserve"> abstract, ambition, carbon, pipeline;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Towards a common defence? : the European Union between ambition and constraints — https://openalex.org/W7132684404</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Russian invasion of Ukraine in 2022 has marked a new phase of instability, bringing high- intensity ground warfare back to the European continent and underscoring the European Union’s (EU) urgent need to strengthen its security and defence posture. This turning point has reignited the debate – both among national governments and within European institutions – on the prospect of establishing a common defence, and even, in the longer term, a common European army. Yet significant questions remain regarding what the creation of a European army would entail and the concrete steps to achieve it.This dissertation investigates the process of European integration in the field of defence, with particular attention to the legal and institutional instruments that have shaped the evolution of the Common Security and Defence Policy (CSDP), as well as the debate surrounding the potential development of a unified army for the 27 Member States. The analysis focuses on the mechanisms of cooperation already in place at the European level and the challenges the Union faces in reconciling political ambition, legal constraints, and national resistance.This thesis seeks to assess whether, over time, the EU has developed adequate instruments to ensure strategic autonomy and operational capability in the field of defence and how these might lay the groundwork for the eventual creation of a common E</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Towards climate neutrality in the European Union — https://doi.org/10.12681/ri.40696</w:t>
      </w:r>
    </w:p>
    <w:p>
      <w:pPr/>
      <w:r>
        <w:rPr>
          <w:b/>
        </w:rPr>
        <w:t>Shared claim-specific concepts:</w:t>
      </w:r>
      <w:r>
        <w:t xml:space="preserve"> union, ambition, achieve, carbon, transport; EU scope visible. This is a provisional connection, not an outcome finding.</w:t>
      </w:r>
    </w:p>
    <w:p>
      <w:pPr>
        <w:pStyle w:val="SourceNote"/>
      </w:pPr>
      <w:r>
        <w:rPr>
          <w:b/>
        </w:rPr>
        <w:t>Available abstract (not full text):</w:t>
      </w:r>
      <w:r>
        <w:t xml:space="preserve"> The European Union (EU) has significantly reduced its net greenhouse gas (GHG) emissions since 2005. However, the pace of reductions must accelerate substantially—more than doubling the average annual rate observed between 2005 and 2022—if the EU is to achieve its 2030 target of at least a 55% net reduction in GHG emissions compared to 1990 levels, and climate neutrality by 2050. Additional efforts are needed across all sectors, i.e. energy, transport, industry, buildings and others. In addition, attention is needed regarding the land use, land-use change, and forestry (LULUCF) sector, where the carbon sink has sharply declined since 2015. Achieving the 2030 target depends on the effective implementation of the Fit for 55 package, especially at the national level. This paper1 provides a brief overview of the EU’s climate ambition and presents key findings and recommendations of the European Scientific Advisory Board on Climate Change (hereinafter referred to as the Advisory Board) on the consistency of EU and national measures with the overarching climate neutrality objectives.</w:t>
      </w:r>
    </w:p>
    <w:p>
      <w:pPr/>
      <w:r>
        <w:rPr>
          <w:b/>
        </w:rPr>
        <w:t>POSSIBLE 2025:</w:t>
      </w:r>
      <w:r>
        <w:t xml:space="preserve"> Comparative analysis of public policies for port decarbonization: a study between the European Union, the United States and Brazil — https://openalex.org/W7216632254</w:t>
      </w:r>
    </w:p>
    <w:p>
      <w:pPr/>
      <w:r>
        <w:rPr>
          <w:b/>
        </w:rPr>
        <w:t>Shared claim-specific concepts:</w:t>
      </w:r>
      <w:r>
        <w:t xml:space="preserve"> union, total, decarbonization; EU scope visible. This is a provisional connection, not an outcome finding.</w:t>
      </w:r>
    </w:p>
    <w:p>
      <w:pPr>
        <w:pStyle w:val="SourceNote"/>
      </w:pPr>
      <w:r>
        <w:rPr>
          <w:b/>
        </w:rPr>
        <w:t>Available abstract (not full text):</w:t>
      </w:r>
      <w:r>
        <w:t xml:space="preserve"> O presente artigo tem como escopo promover uma discussão sobre as políticas públicas de descarbonização portuária adentrando na sua conceitualização e no seu impacto como motor na promoção da redução de emissões de gases de efeito estufa provenientes das atividades portuárias e marítimas, buscando analisar de forma comparativa como União Européia, Estados Unidos e o Brasil lidam com tais questões. Este artigo traça uma retrospectiva analisando questões específicas de Direito Ambiental e de Direito Portuário. Ainda, se estudará e se explorará as legislações e como os países lidam com as emerrgências climáticas, estas que exigem que todos os setores da economia promovam políticas que visem a descarbonização das suas atividades e a mitigação dos impactos das mudanças climáticas, bem como, o reflexo disso na atividade portuária. Tal estudo revela desafios e avanços em cada sistema, evidenciando a importância do sistema portuário como um todo, vez que, o transporte marítimo é responsável por 3% do total das emissões de gases de efeito estufa, valor esse que aumentou 9,6% entre 2012 e 2018, desempenando um papel central para a transição voltada à descarbonização, por serem, simultaneamente, grandes emissores e também, uma possibilidade operacional para soluções mais sustentáveis. Ainda, se buscará analisar os papéis das governanças internacionais de cada Estado nesse cenário e as pol</w:t>
      </w:r>
    </w:p>
    <w:p>
      <w:pPr>
        <w:pStyle w:val="Heading2"/>
      </w:pPr>
      <w:r>
        <w:t>955. The future of financial markets and regulation: what strategy for Europe?</w:t>
      </w:r>
    </w:p>
    <w:p>
      <w:pPr>
        <w:pStyle w:val="SourceNote"/>
      </w:pPr>
      <w:r>
        <w:rPr>
          <w:b/>
        </w:rPr>
        <w:t>Original source (2014):</w:t>
      </w:r>
      <w:r>
        <w:t xml:space="preserve"> https://doi.org/10.1108/fs-05-2012-0039</w:t>
      </w:r>
    </w:p>
    <w:p>
      <w:pPr/>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POSSIBLE 2025:</w:t>
      </w:r>
      <w:r>
        <w:t xml:space="preserve"> Adapting MAIN to European Portuguese — https://doi.org/10.21248/zaspil.66.2025.887</w:t>
      </w:r>
    </w:p>
    <w:p>
      <w:pPr/>
      <w:r>
        <w:rPr>
          <w:b/>
        </w:rPr>
        <w:t>Shared claim-specific concepts:</w:t>
      </w:r>
      <w:r>
        <w:t xml:space="preserve"> finally, main, tools, features; EU scope visible. This is a provisional connection, not an outcome finding.</w:t>
      </w:r>
    </w:p>
    <w:p>
      <w:pPr>
        <w:pStyle w:val="SourceNote"/>
      </w:pPr>
      <w:r>
        <w:rPr>
          <w:b/>
        </w:rPr>
        <w:t>Available abstract (not full text):</w:t>
      </w:r>
      <w:r>
        <w:t xml:space="preserve"> This paper presents the adaptation and translation of the Multilingual Assessment Instrument for Narratives (MAIN) to European Portuguese, addressing the need for linguistically and culturally relevant assessment tools in Portuguese-speaking contexts. Following an overview of European Portuguese and its unique linguistic features, we examine key distinctions from Brazilian Portuguese, to which MAIN had previously been adapted. We outline the adaptation process, which involved translation and expert review to ensure the instrument reads naturally for European Portuguese speakers and resonates with familiar linguistic patterns. This adaptation is essential for accurately assessing language abilities in multilingual and heritage language settings, where linguistic diversity can impact children’s comprehension and engagement. Finally, we discuss the implications of providing separate European and Brazilian Portuguese versions of MAIN, emphasizing the importance of tailored language assessments that respect the distinct identities and linguistic experiences of Portuguese-speaking children.</w:t>
      </w:r>
    </w:p>
    <w:p>
      <w:pPr/>
      <w:r>
        <w:rPr>
          <w:b/>
        </w:rPr>
        <w:t>POSSIBLE 2024:</w:t>
      </w:r>
      <w:r>
        <w:t xml:space="preserve"> The opportunities and potential of camelina in marginal land in Europe — https://doi.org/10.1016/j.indcrop.2024.118224</w:t>
      </w:r>
    </w:p>
    <w:p>
      <w:pPr/>
      <w:r>
        <w:rPr>
          <w:b/>
        </w:rPr>
        <w:t>Shared claim-specific concepts:</w:t>
      </w:r>
      <w:r>
        <w:t xml:space="preserve"> build, among, two;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2023:</w:t>
      </w:r>
      <w:r>
        <w:t xml:space="preserve"> European consumers’ beliefs about the main pillars of the sustainability: a comparison between wild and farmed fish — https://doi.org/10.1007/s10499-023-01070-2</w:t>
      </w:r>
    </w:p>
    <w:p>
      <w:pPr/>
      <w:r>
        <w:rPr>
          <w:b/>
        </w:rPr>
        <w:t>Shared claim-specific concepts:</w:t>
      </w:r>
      <w:r>
        <w:t xml:space="preserve"> finally, five, according, main; EU scope visible. This is a provisional connection, not an outcome finding.</w:t>
      </w:r>
    </w:p>
    <w:p>
      <w:pPr>
        <w:pStyle w:val="SourceNote"/>
      </w:pPr>
      <w:r>
        <w:rPr>
          <w:b/>
        </w:rPr>
        <w:t>Available abstract (not full text):</w:t>
      </w:r>
      <w:r>
        <w:t xml:space="preserve"> Abstract Aquaculture can represent an alternative means of economic yield and food security. Despite this fact, consumers still have a more negative perception of farmed fish when compared with wild fish, including its sustainability. Understanding how consumers perceive sustainability is essential in building an effective strategy to encourage sustainable fish consumption. A survey with 2145 consumers was conducted in five European countries (France, Germany, Italy, Poland, and Spain) to inquire into consumers’ beliefs about the main pillars of the sustainability (environmental, social, and economic) when farmed and wild fish are compared, as well as to identify segments of consumers with similar beliefs about fish sustainability. Overall, results showed that European consumers perceived farmed fish as being more sustainable, locally obtained, providing environmental benefits, generating employment, improving human living conditions, generating rural development, and ensuring more fair fish prices than wild fish. Conversely, wild fish was perceived as ensuring animal welfare and being more organic but causing more environmental damage than farmed fish. Additionally, it seems that to effectively communicate aquaculture sustainability, it would be better to focus on single aspects of sustainability (beliefs) rather than focusing on the whole concept of sustainability. Finally, f</w:t>
      </w:r>
    </w:p>
    <w:p>
      <w:pPr/>
      <w:r>
        <w:rPr>
          <w:b/>
        </w:rPr>
        <w:t>POSSIBLE 2022:</w:t>
      </w:r>
      <w:r>
        <w:t xml:space="preserve"> GLAM metadata in museums and university collections: a state-of-the-art (Spain and other European countries) — https://doi.org/10.1108/gkmc-06-2022-0133</w:t>
      </w:r>
    </w:p>
    <w:p>
      <w:pPr/>
      <w:r>
        <w:rPr>
          <w:b/>
        </w:rPr>
        <w:t>Shared claim-specific concepts:</w:t>
      </w:r>
      <w:r>
        <w:t xml:space="preserve"> finally, according, main, used, findings, highly; EU scope visible. This is a provisional connection, not an outcome finding.</w:t>
      </w:r>
    </w:p>
    <w:p>
      <w:pPr>
        <w:pStyle w:val="SourceNote"/>
      </w:pPr>
      <w:r>
        <w:rPr>
          <w:b/>
        </w:rPr>
        <w:t>Available abstract (not full text):</w:t>
      </w:r>
      <w:r>
        <w:t xml:space="preserve"> Purpose The purpose of this study is to determine which metadata schemas are used in the museums and university collections of the main universities in Spain and other European countries. Although libraries and archives are also university memory institutions (according to a Galleries, Libraries, Archives and Museums perspective), their collections are not included in this study because their metadata systems are highly standardized and their inclusion would, therefore, skew our understanding of the diverse realities that the study aims to capture. Design/methodology/approach The analysis has three components. The first is a bibliographic review based on Web of Science. The second is a direct survey of the individuals responsible for university collections to understand their internal work and documentation systems. Finally, the results obtained are complemented by an analysis of collective university heritage portals in Europe. Findings The results of this study confirmed the hypothesis that isolation and a lack of resources are still major issues in many cases. Increasing digitalization and the desire to participate in content aggregation systems are forcing change, although the responsibility for that change at universities is still vague. Originality/value Universities, particularly those with a long history, have an important heritage whose parts are often scattered or hid</w:t>
      </w:r>
    </w:p>
    <w:p>
      <w:pPr/>
      <w:r>
        <w:rPr>
          <w:b/>
        </w:rPr>
        <w:t>POSSIBLE 2022:</w:t>
      </w:r>
      <w:r>
        <w:t xml:space="preserve"> Review and Analysis of National Monitoring Systems for Antimicrobial Resistance in Animal Bacterial Pathogens in Europe: A Basis for the Development of the European Antimicrobial Resistance Surveillance Network in Veterinary Medicine (EARS-Vet) — https://doi.org/10.3389/fmicb.2022.838490</w:t>
      </w:r>
    </w:p>
    <w:p>
      <w:pPr/>
      <w:r>
        <w:rPr>
          <w:b/>
        </w:rPr>
        <w:t>Shared claim-specific concepts:</w:t>
      </w:r>
      <w:r>
        <w:t xml:space="preserve"> they, build, among; EU scope visible. This is a provisional connection, not an outcome finding.</w:t>
      </w:r>
    </w:p>
    <w:p>
      <w:pPr>
        <w:pStyle w:val="SourceNote"/>
      </w:pPr>
      <w:r>
        <w:rPr>
          <w:b/>
        </w:rPr>
        <w:t>Available abstract (not full text):</w:t>
      </w:r>
      <w:r>
        <w:t xml:space="preserve"> The monitoring of antimicrobial resistance (AMR) in bacterial pathogens of animals is not currently coordinated at European level. To fill this gap, experts of the European Union Joint Action on Antimicrobial Resistance and Healthcare Associated Infections (EU-JAMRAI) recommended building the European Antimicrobial Resistance Surveillance network in Veterinary medicine (EARS-Vet). In this study, we (i) identified national monitoring systems for AMR in bacterial pathogens of animals (both companion and food-producing) among 27 countries affiliated to EU-JAMRAI, (ii) described their structures and operations, and (iii) analyzed their respective strengths, weaknesses, opportunities and threats (SWOT). Twelve countries reported having at least one national monitoring system in place, representing an opportunity to launch EARS-Vet, but highlighting important gaps in AMR data generation in Europe. In total, 15 national monitoring systems from 11 countries were described and analyzed. They displayed diverse structures and operations, but most of them shared common weaknesses (e.g., data management and representativeness) and common threats (e.g., economic vulnerability and data access), which could be addressed collectively under EARS-Vet. This work generated useful information to countries planning to build or improve their system, by learning from others' experience. It also enabled</w:t>
      </w:r>
    </w:p>
    <w:p>
      <w:pPr/>
      <w:r>
        <w:rPr>
          <w:b/>
        </w:rPr>
        <w:t>POSSIBLE 2022:</w:t>
      </w:r>
      <w:r>
        <w:t xml:space="preserve"> Policies to build research infrastructures in Europe - following traditions or building new momentum? — https://doi.org/10.24406/publica-fhg-296369</w:t>
      </w:r>
    </w:p>
    <w:p>
      <w:pPr/>
      <w:r>
        <w:rPr>
          <w:b/>
        </w:rPr>
        <w:t>Shared claim-specific concepts:</w:t>
      </w:r>
      <w:r>
        <w:t xml:space="preserve"> finally, they, build, main, findings, two; EU scope visible. This is a provisional connection, not an outcome finding.</w:t>
      </w:r>
    </w:p>
    <w:p>
      <w:pPr>
        <w:pStyle w:val="SourceNote"/>
      </w:pPr>
      <w:r>
        <w:rPr>
          <w:b/>
        </w:rPr>
        <w:t>Available abstract (not full text):</w:t>
      </w:r>
      <w:r>
        <w:t xml:space="preserve"> As next to all aspects of research are becoming internationalised at a more and more rapid pace the need for the creation of transnational research infrastructures can no longer be seen as limited to certain fields of natural sciences. Against the background, new policies have been launched with the stated ambition of developing world-class research infrastructures through the creation of critical mass for scientific undertakings across the continent. Thus they seek to contribute to the establishment of a European Research Area in which the fragmentation of scientific resources can be minimised. Against this background, it was the aim of this paper to analyse whether selected policies with the aim to build capacity in this field are likely to contribute to their objective to help foster the emerging European Research Area. Based on a recent representative survey of 598 European research organisations and available data for the 6th and 7th Framework Programmes for Research, evidence was collected to address two main research questions. Firstly, we found that the four largest EU countries (Germany, France, Italy, UK) still dominate both lines of actions aimed at building or extending research infrastructures in Europe (I3 actions and design actions) with a view to budget, project co-ordination and, to a lesser degree, participation. Nonetheless, their dominance seems to subside g</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finally, build, findings, present;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Human Babesiosis in Europe — https://doi.org/10.3390/pathogens10091165</w:t>
      </w:r>
    </w:p>
    <w:p>
      <w:pPr/>
      <w:r>
        <w:rPr>
          <w:b/>
        </w:rPr>
        <w:t>Shared claim-specific concepts:</w:t>
      </w:r>
      <w:r>
        <w:t xml:space="preserve"> tools, present, since;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European guideline and expert statements on the management of narcolepsy in adults and children — https://doi.org/10.1111/ene.14888</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AIM: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in adults-scheduled naps, modafinil, pitolisant, sodium oxybate (SXB), solriamfetol (all strong), methylphenidate, amphetamine derivates (both weak); (ii) cataplexy in adults-SXB, venlafaxine, clomipramine (all strong) and pitolisant (weak); (iii) excessive daytime sleepiness in children-scheduled naps, SXB (both strong), modafinil, methylphenidate, pitolisant, amphetamine derivates (all weak); (iv) cataplexy in children-SXB (strong), antidepressants (weak). Treatment choices should be tailored to eac</w:t>
      </w:r>
    </w:p>
    <w:p>
      <w:pPr/>
      <w:r>
        <w:rPr>
          <w:b/>
        </w:rPr>
        <w:t>POSSIBLE 2021:</w:t>
      </w:r>
      <w:r>
        <w:t xml:space="preserve"> European guideline and expert statements on the management of narcolepsy in adults and children — https://doi.org/10.1111/jsr.13387</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PURPOSE: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(EDS) in adults-scheduled naps, modafinil, pitolisant, sodium oxybate (SXB), solriamfetol (all strong); methylphenidate, amphetamine derivatives (both weak); (ii) cataplexy in adults-SXB, venlafaxine, clomipramine (all strong) and pitolisant (weak); (iii) EDS in children-scheduled naps, SXB (both strong), modafinil, methylphenidate, pitolisant, amphetamine derivatives (all weak); (iv) cataplexy in children-SXB (strong), antidepressants (weak). Treatment choices should be tailored to each patient'</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finally, they, tools, present;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finally, build, tools, present;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pStyle w:val="Heading2"/>
      </w:pPr>
      <w:r>
        <w:t>956. The future of global trade and the WTO</w:t>
      </w:r>
    </w:p>
    <w:p>
      <w:pPr>
        <w:pStyle w:val="SourceNote"/>
      </w:pPr>
      <w:r>
        <w:rPr>
          <w:b/>
        </w:rPr>
        <w:t>Original source (2014):</w:t>
      </w:r>
      <w:r>
        <w:t xml:space="preserve"> https://doi.org/10.1108/fs-06-2012-0044</w:t>
      </w:r>
    </w:p>
    <w:p>
      <w:pPr/>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POSSIBLE 2026:</w:t>
      </w:r>
      <w:r>
        <w:t xml:space="preserve"> Theorizing international branch campuses in a fragmented world: Four approaches to the geopolitics of higher education — https://doi.org/10.1016/j.phe.2026.06.002</w:t>
      </w:r>
    </w:p>
    <w:p>
      <w:pPr/>
      <w:r>
        <w:rPr>
          <w:b/>
        </w:rPr>
        <w:t>Shared claim-specific concepts:</w:t>
      </w:r>
      <w:r>
        <w:t xml:space="preserve"> four, world, economy, international, university, influence; EU scope not established. This is a provisional connection, not an outcome finding.</w:t>
      </w:r>
    </w:p>
    <w:p>
      <w:pPr>
        <w:pStyle w:val="SourceNote"/>
      </w:pPr>
      <w:r>
        <w:rPr>
          <w:b/>
        </w:rPr>
        <w:t>Available abstract (not full text):</w:t>
      </w:r>
      <w:r>
        <w:t xml:space="preserve"> International branch campuses (IBCs) have expanded rapidly in recent decades, but the geopolitical conditions in which they operate are changing drastically. What was once framed as outward internationalisation within a relatively stable global order is increasingly shaped by geopolitical fragmentation, regulatory divergence, and concerns over sovereignty, security, and influence. This article examines how different theoretical vocabularies shape the study of IBCs as educational and geopolitical institutions. It examines four influential approaches to the geopolitics of higher education: soft power and knowledge diplomacy, critical cultural political economy, the “new geopolitics” framework, and postcolonial and non-Western perspectives. The article demonstrates that these approaches do not simply offer different explanations of the same phenomenon. Rather, they rest on distinct assumptions about power, the state, space, and knowledge. It finds that IBCs are constituted differently within each framework: as instruments of influence and relationship-building, infrastructures of capital and governance, multiscalar assemblages of actors and interests, or sites of epistemic and civilisational ordering. Drawing on the Peking University HSBC Business School campus in the United Kingdom, the article shows how the same institutional setting is interpreted differently depending on the t</w:t>
      </w:r>
    </w:p>
    <w:p>
      <w:pPr/>
      <w:r>
        <w:rPr>
          <w:b/>
        </w:rPr>
        <w:t>POSSIBLE 2026:</w:t>
      </w:r>
      <w:r>
        <w:t xml:space="preserve"> Real GDP Forecasts by International Organisations — https://doi.org/10.47688/rdp2026-05</w:t>
      </w:r>
    </w:p>
    <w:p>
      <w:pPr/>
      <w:r>
        <w:rPr>
          <w:b/>
        </w:rPr>
        <w:t>Shared claim-specific concepts:</w:t>
      </w:r>
      <w:r>
        <w:t xml:space="preserve"> four, world, international, influence, present; EU scope visible. This is a provisional connection, not an outcome finding.</w:t>
      </w:r>
    </w:p>
    <w:p>
      <w:pPr>
        <w:pStyle w:val="SourceNote"/>
      </w:pPr>
      <w:r>
        <w:rPr>
          <w:b/>
        </w:rPr>
        <w:t>Available abstract (not full text):</w:t>
      </w:r>
      <w:r>
        <w:t xml:space="preserve"> We study forecasts for real gross domestic product growth by international organisations. These forecasts influence policy decisions by international organisations and national governments, and receive significant attention from the private sector. First, we compare the accuracy of forecasters and test the rationality of forecasts using a large dataset of forecasts by four international organisations (the International Monetary Fund, the World Bank, the European Commission and the Organisation for Economic Co-operation and Development) and private-sector forecasts. Second, we derive a new decomposition of differences in forecast accuracy into contributions from disagreement and the accuracy of the average forecast. Finally, we present theoretical results and empirical evidence on two explanations for the rejection of forecast rationality: the use of conditioning assumptions and the practice of making modal forecasts.</w:t>
      </w:r>
    </w:p>
    <w:p>
      <w:pPr/>
      <w:r>
        <w:rPr>
          <w:b/>
        </w:rPr>
        <w:t>POSSIBLE 2026:</w:t>
      </w:r>
      <w:r>
        <w:t xml:space="preserve"> On European Fragmentation and the Single Currency in an Uncertain World — https://doi.org/10.65644/eiie.079.01.0001</w:t>
      </w:r>
    </w:p>
    <w:p>
      <w:pPr/>
      <w:r>
        <w:rPr>
          <w:b/>
        </w:rPr>
        <w:t>Shared claim-specific concepts:</w:t>
      </w:r>
      <w:r>
        <w:t xml:space="preserve"> world, international, challenges, trade; EU scope visible. This is a provisional connection, not an outcome finding.</w:t>
      </w:r>
    </w:p>
    <w:p>
      <w:pPr>
        <w:pStyle w:val="SourceNote"/>
      </w:pPr>
      <w:r>
        <w:rPr>
          <w:b/>
        </w:rPr>
        <w:t>Available abstract (not full text):</w:t>
      </w:r>
      <w:r>
        <w:t xml:space="preserve"> Europe faces growing strategic and economic challenges arising from the policies of the second Trump administration, extending beyond trade to energy, defence, digital services, and cross-border payments. Heightened uncertainty over US policy has raised concerns about the stability of the international monetary system and the future role of the dollar. In this context, some observers argue that the European Union could strengthen its geopolitical position and that the euro could assume a more prominent role as an international reserve currency. However, market fragmentation, political divisions and heterogenous legal frameworks continue to constrain this prospect. Sustaining Europe’s economic and geopolitical standing in the face of demographic, technological, and market pressures requires a coherent reform agenda aimed at deepening integration, improving policy coordination and communication, preserving economic openness, and managing the social consequences of economic transformation.</w:t>
      </w:r>
    </w:p>
    <w:p>
      <w:pPr/>
      <w:r>
        <w:rPr>
          <w:b/>
        </w:rPr>
        <w:t>POSSIBLE 2026:</w:t>
      </w:r>
      <w:r>
        <w:t xml:space="preserve"> International survey in four European countries on diagnostic reference levels based on clinical indications in computed tomography — https://doi.org/10.1186/s13244-026-02241-4</w:t>
      </w:r>
    </w:p>
    <w:p>
      <w:pPr/>
      <w:r>
        <w:rPr>
          <w:b/>
        </w:rPr>
        <w:t>Shared claim-specific concepts:</w:t>
      </w:r>
      <w:r>
        <w:t xml:space="preserve"> four, international, main; EU scope visible. This is a provisional connection, not an outcome finding.</w:t>
      </w:r>
    </w:p>
    <w:p>
      <w:pPr>
        <w:pStyle w:val="SourceNote"/>
      </w:pPr>
      <w:r>
        <w:rPr>
          <w:b/>
        </w:rPr>
        <w:t>Available abstract (not full text):</w:t>
      </w:r>
      <w:r>
        <w:t xml:space="preserve"> OBJECTIVE: To collect and analyze radiation dose metrics from 23 commonly performed CT procedures, for which no national DRLs have yet been defined, as part of an international cooperation. The body region, the clinical task, and the relevant technical parameters were considered to define clinical diagnostic reference levels (DRLs). MATERIALS AND METHODS: During 2022-2023, a multicenter study was performed in Austria, Germany, Italy, and Switzerland. Healthcare providers supplied processed data from their dose management systems. The 5%-level was used to assess the statistical significance of dose differences between the countries of participants, as well as age and manufacturer of the scanners. RESULTS: Dose metrics from 87 CT systems in academic and non-academic, public and private healthcare facilities were analyzed. Dose values from the same body region but for different clinical tasks and/or using different techniques might differ significantly. For the same procedures, median dose values varied between systems by a factor of up to 39. Approximately a third of the surveyed systems showed doses within the DRLs suggested in this study, while 6% do not fulfill any DRL. No significant dose differences were observed between systems when comparing age, manufacturer or country. CONCLUSIONS: In this international study, clinical DRLs were suggested for the first time for many diff</w:t>
      </w:r>
    </w:p>
    <w:p>
      <w:pPr/>
      <w:r>
        <w:rPr>
          <w:b/>
        </w:rPr>
        <w:t>POSSIBLE 2026:</w:t>
      </w:r>
      <w:r>
        <w:t xml:space="preserve"> Four Worlds, One Dying Earth: The Four Modes of Existence and the War on the Cosmobian World — https://doi.org/10.5281/zenodo.20621277</w:t>
      </w:r>
    </w:p>
    <w:p>
      <w:pPr/>
      <w:r>
        <w:rPr>
          <w:b/>
        </w:rPr>
        <w:t>Shared claim-specific concepts:</w:t>
      </w:r>
      <w:r>
        <w:t xml:space="preserve"> four, world, present; EU scope not established. This is a provisional connection, not an outcome finding.</w:t>
      </w:r>
    </w:p>
    <w:p>
      <w:pPr>
        <w:pStyle w:val="SourceNote"/>
      </w:pPr>
      <w:r>
        <w:rPr>
          <w:b/>
        </w:rPr>
        <w:t>Available abstract (not full text):</w:t>
      </w:r>
      <w:r>
        <w:t xml:space="preserve"> This paper introduces and elaborates the foundational analytical framework of the psycho-cosmocide paradigm: the identification of four broad modes of existence that provide a framework for examining human life across past, present, and speculatively future contexts. These modes are: (I) Civilisational existence, organised through cities, states, institutions, and administered power; (II) cosmobian existence, organised through living relationships with land, ecology, kinship, ancestral memory, and cosmological understanding; (III) Lost and Pre-historical Worlds, whose languages and cosmological systems have largely vanished beyond recovery; and (IV) Transcendent and Metaphysical existence, encompassing dimensions of reality that exceed direct empirical verification. The paper argues that contemporary civilisation has constructed a hierarchy of value in which the symbolic products of Civilisational existence are accorded greater protection, reverence, and moral urgency than the living ecological and cosmobian systems that sustain human existence. This inversion of value—identified by the paradigm as a form of civilisational psychopathology—is not merely an aesthetic or philosophical concern but an urgent practical crisis: the systematic destruction of cosmobian worlds entails the permanent loss of ecological knowledge systems, ontological frameworks, and ways of inhabiting the e</w:t>
      </w:r>
    </w:p>
    <w:p>
      <w:pPr/>
      <w:r>
        <w:rPr>
          <w:b/>
        </w:rPr>
        <w:t>POSSIBLE 2025:</w:t>
      </w:r>
      <w:r>
        <w:t xml:space="preserve"> IMPACT OF SHORT-TERM EXTERNAL SHOCKS ON THE WORLD AND EUROPEAN ECONOMIES — https://doi.org/10.35774/jee2025.04.553</w:t>
      </w:r>
    </w:p>
    <w:p>
      <w:pPr/>
      <w:r>
        <w:rPr>
          <w:b/>
        </w:rPr>
        <w:t>Shared claim-specific concepts:</w:t>
      </w:r>
      <w:r>
        <w:t xml:space="preserve"> world, economy, trade; EU scope visible. This is a provisional connection, not an outcome finding.</w:t>
      </w:r>
    </w:p>
    <w:p>
      <w:pPr>
        <w:pStyle w:val="SourceNote"/>
      </w:pPr>
      <w:r>
        <w:rPr>
          <w:b/>
        </w:rPr>
        <w:t>Available abstract (not full text):</w:t>
      </w:r>
      <w:r>
        <w:t xml:space="preserve">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pPr/>
      <w:r>
        <w:rPr>
          <w:b/>
        </w:rPr>
        <w:t>POSSIBLE 2025:</w:t>
      </w:r>
      <w:r>
        <w:t xml:space="preserve"> The European Union in an illiberal world — https://openalex.org/W7134097304</w:t>
      </w:r>
    </w:p>
    <w:p>
      <w:pPr/>
      <w:r>
        <w:rPr>
          <w:b/>
        </w:rPr>
        <w:t>Shared claim-specific concepts:</w:t>
      </w:r>
      <w:r>
        <w:t xml:space="preserve"> world, international, project, challenges, university, issues; EU scope visible. This is a provisional connection, not an outcome finding.</w:t>
      </w:r>
    </w:p>
    <w:p>
      <w:pPr>
        <w:pStyle w:val="SourceNote"/>
      </w:pPr>
      <w:r>
        <w:rPr>
          <w:b/>
        </w:rPr>
        <w:t>Available abstract (not full text):</w:t>
      </w:r>
      <w:r>
        <w:t xml:space="preserve"> The European Union (EU) has in many ways been the most thorough creation of the international liberal order, and its upending – especially by the EU's historical ally the US – poses a multi-dimensional challenge to the Union. The immediate security and trade threats are obvious enough. But more challenging still are the rise of nationalism and great power geopolitics, historical forces which the whole European project has been designed to overcome. Moreover, the rise of illiberalism across the globe also profoundly threatens international cooperation in absolutely vital areas like climate change and biodiversity, as well as more on prosaic issues like finance and artificial intelligence. This e-book is the follow-up publication to an online conference organised by the Global Governance Research Group of the UNA Europa university alliance, which took place in June 2025. It brings together a wide range of contributions which seek to address the complex internal and external challenges of illiberalism to the EU, along with the Union's capacities and failures in dealing with these.</w:t>
      </w:r>
    </w:p>
    <w:p>
      <w:pPr/>
      <w:r>
        <w:rPr>
          <w:b/>
        </w:rPr>
        <w:t>POSSIBLE 2025:</w:t>
      </w:r>
      <w:r>
        <w:t xml:space="preserve"> External shocks in the world economy: a SVAR approach — https://doi.org/10.21919/remef.v21i1.1129</w:t>
      </w:r>
    </w:p>
    <w:p>
      <w:pPr/>
      <w:r>
        <w:rPr>
          <w:b/>
        </w:rPr>
        <w:t>Shared claim-specific concepts:</w:t>
      </w:r>
      <w:r>
        <w:t xml:space="preserve"> four, world, economy; EU scope visible. This is a provisional connection, not an outcome finding.</w:t>
      </w:r>
    </w:p>
    <w:p>
      <w:pPr>
        <w:pStyle w:val="SourceNote"/>
      </w:pPr>
      <w:r>
        <w:rPr>
          <w:b/>
        </w:rPr>
        <w:t>Available abstract (not full text):</w:t>
      </w:r>
      <w:r>
        <w:t xml:space="preserve"> This research quantifies and compares the effects of shocks to U.S. GDP growth, Chinese GDP and commodity prices on the economic growth rates of four regions: i) Latin America and the Caribbean (LAC), ii) the European Union (EU), iii) ASEAN-5 and iv) Middle East and Central Asia (MECA), during the period 1983-2023. To this end, a SVAR (Structural Autoregressive Model) model with long-run restrictions is estimated for each region. The results indicate that external shocks significantly impact the economies of LAC, EU, ASEAN-5 and MECA, with regional variations in direction and magnitude. One limitation is the exclusion of economies such as India, Russia and Japan. This paper is the first study to address the impact of these shocks at the regional level within the global context.</w:t>
      </w:r>
    </w:p>
    <w:p>
      <w:pPr/>
      <w:r>
        <w:rPr>
          <w:b/>
        </w:rPr>
        <w:t>POSSIBLE 2025:</w:t>
      </w:r>
      <w:r>
        <w:t xml:space="preserve"> Circular Economy Policies in China and Europe: A Systematic Literature Review — https://doi.org/10.1007/s43615-025-00689-y</w:t>
      </w:r>
    </w:p>
    <w:p>
      <w:pPr/>
      <w:r>
        <w:rPr>
          <w:b/>
        </w:rPr>
        <w:t>Shared claim-specific concepts:</w:t>
      </w:r>
      <w:r>
        <w:t xml:space="preserve"> economy, challenges, main; EU scope visible. This is a provisional connection, not an outcome finding.</w:t>
      </w:r>
    </w:p>
    <w:p>
      <w:pPr>
        <w:pStyle w:val="SourceNote"/>
      </w:pPr>
      <w:r>
        <w:rPr>
          <w:b/>
        </w:rPr>
        <w:t>Available abstract (not full text):</w:t>
      </w:r>
      <w:r>
        <w:t xml:space="preserve"> Abstract Many governments have developed policies to drive the much-needed transition to a circular economy (CE). This systematic literature review covers CE policy progress and the state-of-the-art research in China and Europe. Combining content analysis and contingency analysis, we analyze 119 journal articles to identify the main policy interventions in China and Europe, challenges, outcomes, and their interrelationships. Our review shows that China diligently enforces “ cleaner production ” policies through a top-down approach, while Europe focuses more on “sustainable product” policies such as ecodesign and extended producer responsibility , relying more on a bottom-up approach. The two economies face some common challenges in policy development. The most prominent challenges lie in the difficulty in formulating consistent, coherent, and stable policies , difficulty in formulating sector- and region-specific policies , and difficulty in formulating comprehensive policies . Research in policy outcome is scant, especially in the social dimension. Our findings suggest that policymakers must consider integrated policy bundles in policy design, ensure consistency, coherence, and stability in policy development and implementation, incorporate the social dimension into CE policies, and customize CE policies for different contexts. Based on the identified knowledge gaps, we call f</w:t>
      </w:r>
    </w:p>
    <w:p>
      <w:pPr/>
      <w:r>
        <w:rPr>
          <w:b/>
        </w:rPr>
        <w:t>POSSIBLE 2024:</w:t>
      </w:r>
      <w:r>
        <w:t xml:space="preserve"> USA AND CHINA IN THE WORLD ECONOMY — https://doi.org/10.34660/inf.2020.27.60235</w:t>
      </w:r>
    </w:p>
    <w:p>
      <w:pPr/>
      <w:r>
        <w:rPr>
          <w:b/>
        </w:rPr>
        <w:t>Shared claim-specific concepts:</w:t>
      </w:r>
      <w:r>
        <w:t xml:space="preserve"> world, economy, international, issues; EU scope not established. This is a provisional connection, not an outcome finding.</w:t>
      </w:r>
    </w:p>
    <w:p>
      <w:pPr>
        <w:pStyle w:val="SourceNote"/>
      </w:pPr>
      <w:r>
        <w:rPr>
          <w:b/>
        </w:rPr>
        <w:t>Available abstract (not full text):</w:t>
      </w:r>
      <w:r>
        <w:t xml:space="preserve"> We thank all participants of our conference "Scientific research of the SCO countries: synergy and integration" for the interest shown, for your speeches and reports.Such a wide range of participants, representing all the countries that are members of the Shanghai Cooperation Organization, speaks about the necessity and importance of this event.The reports of the participants cover a wide range of topical scientific problems and our joint interaction will contribute to the further development of both theoretical and applied modern scientific research by scientists from different countries.The result of the conference was the participation of 56 authors from 7 countries (China, Russia, Uzbekistan, Kazakhstan, Azerbaijan, Tajikistan, Kyrgyzstan).This conference was a result of the serious interest of the world academic community, the state authorities of China and the Chinese Communist Party to preserve and strengthen international cooperation in the field of science.We also thank our Russian partner Infinity Publishing House for assistance in organizing the conference, preparing and publishing the conference proceedings in Chinese Part and English Part.I hope that the collection of this conference will be useful to a wide range of readers.It will help to consider issues, that would interest the public, under a new point of view.It will also allow to find contacts among scientist</w:t>
      </w:r>
    </w:p>
    <w:p>
      <w:pPr/>
      <w:r>
        <w:rPr>
          <w:b/>
        </w:rPr>
        <w:t>POSSIBLE 2024:</w:t>
      </w:r>
      <w:r>
        <w:t xml:space="preserve"> Universality in International Law Beyond the European — https://doi.org/10.1093/oso/9780198899419.003.0013</w:t>
      </w:r>
    </w:p>
    <w:p>
      <w:pPr/>
      <w:r>
        <w:rPr>
          <w:b/>
        </w:rPr>
        <w:t>Shared claim-specific concepts:</w:t>
      </w:r>
      <w:r>
        <w:t xml:space="preserve"> four, world, international, issues; EU scope visible. This is a provisional connection, not an outcome finding.</w:t>
      </w:r>
    </w:p>
    <w:p>
      <w:pPr>
        <w:pStyle w:val="SourceNote"/>
      </w:pPr>
      <w:r>
        <w:rPr>
          <w:b/>
        </w:rPr>
        <w:t>Available abstract (not full text):</w:t>
      </w:r>
      <w:r>
        <w:t xml:space="preserve"> Abstract While universality is a necessary corollary of international law, its global effectiveness is hampered by its apparent Eurocentric essentialism. Consequently, many states of the Global South, especially in the Muslim world, often perceive international law suspiciously as a trojan horse with a hidden baggage of imperialism, hegemony, and the imposition of Western civilizational superiority. For a more globally effective international law, this chapter argues dialogically, from an Islamic law perspective, for a more inclusive universality that acknowledges the possible contributions that non-Western worldviews and civilizations can make to strengthen its universal acceptability. It identifies that the Eurocentric universality of international law is perpetuated through four major channels: (1) the textbook historical narrative of international law, (2) norm recognition and formation in international law, (3) judicial interpretation and recognized principles of international law, and (4) political manipulations of international law. It proposes complementarity between European and Islamic perspectives of international law and argues for recognition of relevant Islamic principles relating to each of the four identified issues to ensure genuine universalism in international law beyond the European in relation to the Muslim world.</w:t>
      </w:r>
    </w:p>
    <w:p>
      <w:pPr/>
      <w:r>
        <w:rPr>
          <w:b/>
        </w:rPr>
        <w:t>POSSIBLE 2024:</w:t>
      </w:r>
      <w:r>
        <w:t xml:space="preserve"> Facing Europe in Crisis: Shakespeare’s World and Present Challenges — https://doi.org/10.21747/978-989-746-388-4/fac</w:t>
      </w:r>
    </w:p>
    <w:p>
      <w:pPr/>
      <w:r>
        <w:rPr>
          <w:b/>
        </w:rPr>
        <w:t>Shared claim-specific concepts:</w:t>
      </w:r>
      <w:r>
        <w:t xml:space="preserve"> world, challenges, present; EU scope visible. This is a provisional connection, not an outcome finding.</w:t>
      </w:r>
    </w:p>
    <w:p>
      <w:pPr>
        <w:pStyle w:val="SourceNote"/>
      </w:pPr>
      <w:r>
        <w:rPr>
          <w:b/>
        </w:rPr>
        <w:t>Available abstract (not full text):</w:t>
      </w:r>
      <w:r>
        <w:t xml:space="preserve"> Montecchi dietro le sbarre</w:t>
      </w:r>
    </w:p>
    <w:p>
      <w:pPr>
        <w:pStyle w:val="Heading2"/>
      </w:pPr>
      <w:r>
        <w:t>957. The future of trade unions in Croatia – various stakeholders’ perspectives</w:t>
      </w:r>
    </w:p>
    <w:p>
      <w:pPr>
        <w:pStyle w:val="SourceNote"/>
      </w:pPr>
      <w:r>
        <w:rPr>
          <w:b/>
        </w:rPr>
        <w:t>Original source (2014):</w:t>
      </w:r>
      <w:r>
        <w:t xml:space="preserve"> https://doi.org/10.1177/1024258914546277</w:t>
      </w:r>
    </w:p>
    <w:p>
      <w:pPr/>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POSSIBLE 2026:</w:t>
      </w:r>
      <w:r>
        <w:t xml:space="preserve"> Trump's Trade Gambit: Chaos as a Calculated Strategy — https://doi.org/10.1177/00207020261439150</w:t>
      </w:r>
    </w:p>
    <w:p>
      <w:pPr/>
      <w:r>
        <w:rPr>
          <w:b/>
        </w:rPr>
        <w:t>Shared claim-specific concepts:</w:t>
      </w:r>
      <w:r>
        <w:t xml:space="preserve"> article, explores, trade, union; EU scope visible. This is a provisional connection, not an outcome finding.</w:t>
      </w:r>
    </w:p>
    <w:p>
      <w:pPr>
        <w:pStyle w:val="SourceNote"/>
      </w:pPr>
      <w:r>
        <w:rPr>
          <w:b/>
        </w:rPr>
        <w:t>Available abstract (not full text):</w:t>
      </w:r>
      <w:r>
        <w:t xml:space="preserve"> This article challenges the widespread perception among European commentators that the trade policies of the Trump administration, particularly its trade wars with China, the European Union, and other nations with current account deficits, lack a coherent strategy. Instead, it argues that these policies are rooted in chaos theory, which posits that within apparent disorder lies an underlying order. By applying this theoretical framework, the article examines the strategic objectives behind the administration's seemingly erratic decisions. It explores how calculated disruptions in global trade relations aim to redefine economic dynamics and reinforce US hegemony. This analysis highlights the risks and implications of this approach, including potential instability in multilateral relations and the emergence of alternative economic blocs. Ultimately, the article provides a nuanced understanding of the “calculated chaos” strategy, offering insights into its role in reshaping international trade and economic governance.</w:t>
      </w:r>
    </w:p>
    <w:p>
      <w:pPr/>
      <w:r>
        <w:rPr>
          <w:b/>
        </w:rPr>
        <w:t>POSSIBLE 2026:</w:t>
      </w:r>
      <w:r>
        <w:t xml:space="preserve"> From Stigma to Support: Exploring Perceptions of Menstrual Leave Policies in European Workplaces — https://doi.org/10.1111/gwao.70256</w:t>
      </w:r>
    </w:p>
    <w:p>
      <w:pPr/>
      <w:r>
        <w:rPr>
          <w:b/>
        </w:rPr>
        <w:t>Shared claim-specific concepts:</w:t>
      </w:r>
      <w:r>
        <w:t xml:space="preserve"> perceptions, croatia, about, they; EU scope visible. This is a provisional connection, not an outcome finding.</w:t>
      </w:r>
    </w:p>
    <w:p>
      <w:pPr>
        <w:pStyle w:val="SourceNote"/>
      </w:pPr>
      <w:r>
        <w:rPr>
          <w:b/>
        </w:rPr>
        <w:t>Available abstract (not full text):</w:t>
      </w:r>
      <w:r>
        <w:t xml:space="preserve"> ABSTRACT Menstrual leave is an emerging reproductive health organizational policy gaining attention in Europe but research remains limited. Drawing on 45 semi‐structured interviews with menstruating and nonmenstruating workers in Croatia, Germany, and Italy, we applied thematic analysis to explore workplace perceptions of menstruation and menstrual leave policies (MLPs). We found that menstruation was widely positioned as taboo in the workplace, with participants both experiencing and anticipating stigma. Menstruating was associated with incompetence, emotional instability, and unprofessionalism—as contradictory to ideal worker norms and expectations. Although participants could identify and acknowledge potential benefits of MLPs, they also expressed reluctance and even women participants felt reticent. In particular, women participants would refrain from using them and were concerned about misuse. Our research contributes to work and organizational psychology by highlighting how ideal worker norms perpetuate menstrual stigma which in turn enables the stigmatization of menstrual leave policies. Interventions that align with diffusion of innovations theory could increase awareness of menstruation and decrease menstrual stigma in the workplace to prepare workplaces before implementing menstrual leave policies.</w:t>
      </w:r>
    </w:p>
    <w:p>
      <w:pPr/>
      <w:r>
        <w:rPr>
          <w:b/>
        </w:rPr>
        <w:t>POSSIBLE 2026:</w:t>
      </w:r>
      <w:r>
        <w:t xml:space="preserve"> Exploring the European Road Freight Transport Survey: Potentials, Challenges, and Limitations — https://doi.org/10.1016/j.trpro.2026.04.188</w:t>
      </w:r>
    </w:p>
    <w:p>
      <w:pPr/>
      <w:r>
        <w:rPr>
          <w:b/>
        </w:rPr>
        <w:t>Shared claim-specific concepts:</w:t>
      </w:r>
      <w:r>
        <w:t xml:space="preserve"> article, different, not; EU scope visible. This is a provisional connection, not an outcome finding.</w:t>
      </w:r>
    </w:p>
    <w:p>
      <w:pPr>
        <w:pStyle w:val="SourceNote"/>
      </w:pPr>
      <w:r>
        <w:rPr>
          <w:b/>
        </w:rPr>
        <w:t>Available abstract (not full text):</w:t>
      </w:r>
      <w:r>
        <w:t xml:space="preserve"> This paper examines the European Road Freight Transport Survey, a comprehensive European microdata set compiled under Regulation (EU) No. 70/2012, to assess its potential, challenges, and limitations. These include both the limitations of the data collected and methodological inaccuracies in the surveys in different countries. The article describes the structure of the data set, which consists of three interlinked data sets: vehicle, journey and goods records. The aim is to explore methodological inconsistencies and data limitations, offering recommendations for enhancing the dataset’s reliability and usability. The analysis shows significant impact of different exclusion criteria such as the weight or age of vehicles. One effect is that the majority of routes that are recorded in one country are not recorded at all in other countries. Limiting to the most restrictive limit would have little impact on the overall data and would filter out less than 5% of the observations Another important result concerns the age structure of vehicles. In some countries, such as Italy and France, there are strict age limits for the vehicles surveyed, which has an impact on the representativeness of the data. The article concludes with recommendations for harmonizing the methodology or providing a harmonized data set and raising awareness of the limitations of this data in official disseminations</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perceptions, managers, they, many;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Border Regions and Attitudes towards International Trade in the European Union — https://doi.org/10.1017/s1474745625101432</w:t>
      </w:r>
    </w:p>
    <w:p>
      <w:pPr/>
      <w:r>
        <w:rPr>
          <w:b/>
        </w:rPr>
        <w:t>Shared claim-specific concepts:</w:t>
      </w:r>
      <w:r>
        <w:t xml:space="preserve"> article, trade, union; EU scope visible. This is a provisional connection, not an outcome finding.</w:t>
      </w:r>
    </w:p>
    <w:p>
      <w:pPr>
        <w:pStyle w:val="SourceNote"/>
      </w:pPr>
      <w:r>
        <w:rPr>
          <w:b/>
        </w:rPr>
        <w:t>Available abstract (not full text):</w:t>
      </w:r>
      <w:r>
        <w:t xml:space="preserve"> Abstract A large body of literature examines the drivers of individual attitudes towards international trade policies. This article contributes to this literature by exploring the role of border regions across the European Union (EU). Border regions offer a unique context for examining trade attitudes. Residency in either EU, non-EU, or maritime borders generates differential impacts on individuals’ support for distinct trade policies. Focusing on attitudes towards import duties and EU trade agreements, this article demonstrates that individuals in non-EU borderlands and maritime border regions are particularly supportive of lowering import duties, whereas support for extra-EU trade agreements is largely uniform across regions, with only a modest positive tendency among maritime residents. Broader sentiment on trade shows limited regional differences, chiefly between EU-border and non-EU-border residents. Including a battery of control variables drawn from the literature, the article leverages individual-level data at the most fine-grained level available in the EU to explore these dynamics relying on several regression models. This article speaks to both the literature on trade attitudes and border studies by offering a conceptualization of borders that distinguishes between EU borders, non-EU borders, and maritime borders, each of which has distinct implications for individua</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explores, different, trade, reveal, not;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Staging the Semah s: Performing Aleviness in Turkey and Europe — https://doi.org/10.1111/sena.70029</w:t>
      </w:r>
    </w:p>
    <w:p>
      <w:pPr/>
      <w:r>
        <w:rPr>
          <w:b/>
        </w:rPr>
        <w:t>Shared claim-specific concepts:</w:t>
      </w:r>
      <w:r>
        <w:t xml:space="preserve"> article, explores, different; EU scope visible. This is a provisional connection, not an outcome finding.</w:t>
      </w:r>
    </w:p>
    <w:p>
      <w:pPr>
        <w:pStyle w:val="SourceNote"/>
      </w:pPr>
      <w:r>
        <w:rPr>
          <w:b/>
        </w:rPr>
        <w:t>Available abstract (not full text):</w:t>
      </w:r>
      <w:r>
        <w:t xml:space="preserve"> ABSTRACT The semah , a genre of music and movement practices imbued with values of gender, class, age and ethical egalitarianism, lies at the core of the Alevis' ayn‐i cem rituals. Since the 1970s, processes of urbanisation, migration, folklore production and heritage‐making have facilitated the circulation of semah beyond ritual contexts, particularly within amateur and professional performing arts projects. Focusing on staged and festival performances of the semah , this article examines how embodied learning and theatrical adaptation have contributed to the transnational articulation of Alevi identities. Drawing on long‐term, multisited ethnographic research conducted in Turkey, the United Kingdom and Europe, it analyses theatre and dance productions as well as large‐scale cultural events, revealing distinct layers in the contemporary reimagining and performance of the semah . Adopting a transnational and performance‐based perspective, the discussion explores how Alevi ritual forms have been recovered, preserved and displayed on stage. By foregrounding embodied participation as ethnographic method and by offering a perspective on some of these dramatic adaptations, the article contributes to understanding the contingent and processual dimensions through which Alevi practices are transmitted, reconfigured and publicly negotiated. Particular attention is paid to the politics o</w:t>
      </w:r>
    </w:p>
    <w:p>
      <w:pPr/>
      <w:r>
        <w:rPr>
          <w:b/>
        </w:rPr>
        <w:t>POSSIBLE 2025:</w:t>
      </w:r>
      <w:r>
        <w:t xml:space="preserve"> Green Economy, Trade, and Consumers – Interactions in European Green Transition — https://doi.org/10.7494/geom.2025.19.2.25</w:t>
      </w:r>
    </w:p>
    <w:p>
      <w:pPr/>
      <w:r>
        <w:rPr>
          <w:b/>
        </w:rPr>
        <w:t>Shared claim-specific concepts:</w:t>
      </w:r>
      <w:r>
        <w:t xml:space="preserve"> article, trade, reveal, union, face;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Perceptions of the Costs and Benefits of Farm Digitalisation in Europe — https://doi.org/10.1111/1746-692x.12471</w:t>
      </w:r>
    </w:p>
    <w:p>
      <w:pPr/>
      <w:r>
        <w:rPr>
          <w:b/>
        </w:rPr>
        <w:t>Shared claim-specific concepts:</w:t>
      </w:r>
      <w:r>
        <w:t xml:space="preserve"> article, stakeholders, perceptions, trade, face; EU scope visible. This is a provisional connection, not an outcome finding.</w:t>
      </w:r>
    </w:p>
    <w:p>
      <w:pPr>
        <w:pStyle w:val="SourceNote"/>
      </w:pPr>
      <w:r>
        <w:rPr>
          <w:b/>
        </w:rPr>
        <w:t>Available abstract (not full text):</w:t>
      </w:r>
      <w:r>
        <w:t xml:space="preserve"> Summary Farm digitalisation is revolutionising European agriculture, offering enhanced productivity, resource efficiency and sustainability. Technologies like sensors, robotics and data‐driven tools enable precise decision‐making thereby reducing time and resource use. This article draws on insights from 18 focus groups in European living labs, engaging farmers, policymakers and advisors to explore the trade‐offs of digital adoption. Key benefits include time‐saving tools that streamline operations, promote sustainability and support innovative business models. Digital platforms improve traceability, reduce chemical inputs and enhance food safety. Farmers also value how technology attracts younger generations and fosters inclusivity. Examples from France, Germany, Hungary and Italy illustrate region‐specific applications, such as real‐time data use and soil‐scanning technologies. However, significant challenges accompany digitalisation. Farmers cite high costs, a steep learning curve and infrastructure gaps like limited internet connectivity. Trust issues persist among farmers, governments and technology providers, while concerns over data ownership and governance hinder adoption. Small farms face disproportionate burdens due to financial constraints and skill shortages. This study underscores the need for equitable support systems, transparent governance and tailored solutions</w:t>
      </w:r>
    </w:p>
    <w:p>
      <w:pPr/>
      <w:r>
        <w:rPr>
          <w:b/>
        </w:rPr>
        <w:t>POSSIBLE 2025:</w:t>
      </w:r>
      <w:r>
        <w:t xml:space="preserve"> Trade Unionism and Perception of Workplace Conflicts in Nigeria — https://doi.org/10.36108/ljerhrm/5202.50.0240</w:t>
      </w:r>
    </w:p>
    <w:p>
      <w:pPr/>
      <w:r>
        <w:rPr>
          <w:b/>
        </w:rPr>
        <w:t>Shared claim-specific concepts:</w:t>
      </w:r>
      <w:r>
        <w:t xml:space="preserve"> different, trade, unions, findings, respondents, union; EU scope not established. This is a provisional connection, not an outcome finding.</w:t>
      </w:r>
    </w:p>
    <w:p>
      <w:pPr>
        <w:pStyle w:val="SourceNote"/>
      </w:pPr>
      <w:r>
        <w:rPr>
          <w:b/>
        </w:rPr>
        <w:t>Available abstract (not full text):</w:t>
      </w:r>
      <w:r>
        <w:t xml:space="preserve"> The relationship between trade unionism and workplace conflict perception in Nigeria remains understudied, particularly regarding the impact of union members’ activeness, economic locations, and union size on conflict perception. Despite the prevalence of workplace conflicts, there is a lack of systematic research on how these factors influence conflict perception, which hinders a comprehensive understanding of the dynamics at play. These related themes were explored in this study using the survey design methodology. Eighty-Six (86) respondents completed and returned the self-constructed electronic questionnaire which contained Eighteen (18) items. Reliability test result of the instrument indicated α =0.714 level of internal and external consistency. Data analyses was done using simple percentages, ANOVA and regression analyses respectively. With F = 6.565 at α = 0.012 which is greater than of 0.05 (1 and 84 degrees of freedom), Ho1a was rejected that perception of workplace and industrial conflict by union members was significantly different based on union members activeness. Secondly, with F-value of 11.979 at α = .001 which is less than 0.05 (1 and 82 degrees of freedom), Ho2i = Ho2A, hence, the effect of member’s activeness on their perception of workplace and industrial conflict is not significantly different for public and private sector unions. Lastly, F = 3.861 at α = </w:t>
      </w:r>
    </w:p>
    <w:p>
      <w:pPr/>
      <w:r>
        <w:rPr>
          <w:b/>
        </w:rPr>
        <w:t>POSSIBLE 2025:</w:t>
      </w:r>
      <w:r>
        <w:t xml:space="preserve"> Forest ecosystem services in Europe : policy and perceptions — https://doi.org/10.54612/a.mmuhgmra2k</w:t>
      </w:r>
    </w:p>
    <w:p>
      <w:pPr/>
      <w:r>
        <w:rPr>
          <w:b/>
        </w:rPr>
        <w:t>Shared claim-specific concepts:</w:t>
      </w:r>
      <w:r>
        <w:t xml:space="preserve"> explores, perceptions, findings, they; EU scope visible. This is a provisional connection, not an outcome finding.</w:t>
      </w:r>
    </w:p>
    <w:p>
      <w:pPr>
        <w:pStyle w:val="SourceNote"/>
      </w:pPr>
      <w:r>
        <w:rPr>
          <w:b/>
        </w:rPr>
        <w:t>Available abstract (not full text):</w:t>
      </w:r>
      <w:r>
        <w:t xml:space="preserve"> This thesis explores policy concerning, and perceptions of, forest ecosystem services, which illustrates the multiple uses and societal benefits provided by forested landscapes, including their roles in climate change mitigation, adaptation, and biodiversity conservation. This is done through a policy analysis investigating how forest ecosystem services are addressed within the European policy landscape, and an international survey-study that examines public perceptions and prioritizations related to forest ecosystem services. Five European regions were selected as case studies—Grisons (Switzerland), Estonia, Sweden, Catalonia (Spain), and the German states of Hesse and Thuringia—representing a range of forest types, governance systems, and cultural contexts. The findings indicate that relevant policy sectors are increasingly acknowledging both synergies and trade-offs related to forest ecosystem services, and they tend to be aligned in their overarching objectives. Furthermore, survey results show that the public consistently places the highest value on the regulating services of clean air and water, irrespective of regional differences in forest cover or associated economic benefits.</w:t>
      </w:r>
    </w:p>
    <w:p>
      <w:pPr/>
      <w:r>
        <w:rPr>
          <w:b/>
        </w:rPr>
        <w:t>POSSIBLE 2025:</w:t>
      </w:r>
      <w:r>
        <w:t xml:space="preserve"> Sustainable solutions: exploring trade-offs in marine protected areas from six European case sites — https://doi.org/10.1038/s44183-025-00167-w</w:t>
      </w:r>
    </w:p>
    <w:p>
      <w:pPr/>
      <w:r>
        <w:rPr>
          <w:b/>
        </w:rPr>
        <w:t>Shared claim-specific concepts:</w:t>
      </w:r>
      <w:r>
        <w:t xml:space="preserve"> stakeholders, findings, face; EU scope visible. This is a provisional connection, not an outcome finding.</w:t>
      </w:r>
    </w:p>
    <w:p>
      <w:pPr>
        <w:pStyle w:val="SourceNote"/>
      </w:pPr>
      <w:r>
        <w:rPr>
          <w:b/>
        </w:rPr>
        <w:t>Available abstract (not full text):</w:t>
      </w:r>
      <w:r>
        <w:t xml:space="preserve"> Maritime Spatial Planning (MSP) is a crucial tool for the sustainable use of ocean resources, requiring the negotiation of trade-offs among ecological, economic, and social interests. This study validates a participatory four-block methodology—preparation, option setting, trade-off negotiation and implementation—applied across six European case sites within the MSP4BIO project. It produced practical guidance—especially for the ‘Trade-off Negotiation’ phase, in a participatory context. This process was operationalized across the sites through three core phases: (I) preparation, (II) collaborative engagement with stakeholders, and (III) post-meeting consolidation. Participatory mapping tools such as SeaSketch were used to visualize spatial conflicts and support stakeholder engagement. Findings show that trade-offs are highly context-specific, requiring flexible, data-driven, and inclusive decision-making processes. Common challenges include data limitations, varying technical capacities, and the need for stronger integration of MSP and Marine Protected Areas (MPAs). A qualitative cross-case comparison emphasized the importance of harmonized and adaptive methods to support participatory governance, and ecological resilience in the face of climate change and increasing anthropogenic pressures on marine environments. This study is the first operational test in case sites, across six</w:t>
      </w:r>
    </w:p>
    <w:p>
      <w:pPr>
        <w:pStyle w:val="Heading2"/>
      </w:pPr>
      <w:r>
        <w:t>958. The implications of regional and national demographic projections for future GMS costs in Ireland through to 2026</w:t>
      </w:r>
    </w:p>
    <w:p>
      <w:pPr>
        <w:pStyle w:val="SourceNote"/>
      </w:pPr>
      <w:r>
        <w:rPr>
          <w:b/>
        </w:rPr>
        <w:t>Original source (2014):</w:t>
      </w:r>
      <w:r>
        <w:t xml:space="preserve"> https://doi.org/10.1186/1472-6963-14-477</w:t>
      </w:r>
    </w:p>
    <w:p>
      <w:pPr/>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POSSIBLE 2026:</w:t>
      </w:r>
      <w:r>
        <w:t xml:space="preserve"> Monte Carlo Greeks for European Pandemic Options under Stochastic SIS Model — https://openalex.org/W7167764542</w:t>
      </w:r>
    </w:p>
    <w:p>
      <w:pPr/>
      <w:r>
        <w:rPr>
          <w:b/>
        </w:rPr>
        <w:t>Shared claim-specific concepts:</w:t>
      </w:r>
      <w:r>
        <w:t xml:space="preserve"> monte, carlo, over; EU scope visible. This is a provisional connection, not an outcome finding.</w:t>
      </w:r>
    </w:p>
    <w:p>
      <w:pPr>
        <w:pStyle w:val="SourceNote"/>
      </w:pPr>
      <w:r>
        <w:rPr>
          <w:b/>
        </w:rPr>
        <w:t>Available abstract (not full text):</w:t>
      </w:r>
      <w:r>
        <w:t xml:space="preserve">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pPr/>
      <w:r>
        <w:rPr>
          <w:b/>
        </w:rPr>
        <w:t>POSSIBLE 2026:</w:t>
      </w:r>
      <w:r>
        <w:t xml:space="preserve"> Monte Carlo Simulation of European Option Prices under the Heston Stochastic-Volatility Model — https://doi.org/10.54254/2754-1169/2026.ld37980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pPr/>
      <w:r>
        <w:rPr>
          <w:b/>
        </w:rPr>
        <w:t>POSSIBLE 2026:</w:t>
      </w:r>
      <w:r>
        <w:t xml:space="preserve"> Lévy Stochastic Models, GARCH-Type Volatility, and Heavy-Tailed Innovations: Pricing European Options under Randomized Quasi-Monte Carlo Methods — https://doi.org/10.24818/18423264/60.2.26.01</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pPr/>
      <w:r>
        <w:rPr>
          <w:b/>
        </w:rPr>
        <w:t>POSSIBLE 2026:</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Shared claim-specific concepts:</w:t>
      </w:r>
      <w:r>
        <w:t xml:space="preserve"> monte, carlo, average; EU scope visible. This is a provisional connection, not an outcome finding.</w:t>
      </w:r>
    </w:p>
    <w:p>
      <w:pPr>
        <w:pStyle w:val="SourceNote"/>
      </w:pPr>
      <w:r>
        <w:rPr>
          <w:b/>
        </w:rPr>
        <w:t>Available abstract (not full text):</w:t>
      </w:r>
      <w:r>
        <w:t xml:space="preserve">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pPr/>
      <w:r>
        <w:rPr>
          <w:b/>
        </w:rPr>
        <w:t>POSSIBLE 2026:</w:t>
      </w:r>
      <w:r>
        <w:t xml:space="preserve"> Wavelet Monte Carlo dynamics — https://doi.org/10.82444/warw.33802774</w:t>
      </w:r>
    </w:p>
    <w:p>
      <w:pPr/>
      <w:r>
        <w:rPr>
          <w:b/>
        </w:rPr>
        <w:t>Shared claim-specific concepts:</w:t>
      </w:r>
      <w:r>
        <w:t xml:space="preserve"> monte, carlo, used, simulate, different; EU scope not established. This is a provisional connection, not an outcome finding.</w:t>
      </w:r>
    </w:p>
    <w:p>
      <w:pPr>
        <w:pStyle w:val="SourceNote"/>
      </w:pPr>
      <w:r>
        <w:rPr>
          <w:b/>
        </w:rPr>
        <w:t>Available abstract (not full text):</w:t>
      </w:r>
      <w:r>
        <w:t xml:space="preserve"> The Wavelet Monte Carlo dynamics (WMCD) algorithm is developed from scratch to simulate hydrodynamically coupled Brownian particles at low Reynolds numbers. The basic premise is to construct a regularised version of the Oseen tensor out of a distribution of 3-dimensional vector wavelets that displace groups of particles so as to evolve the system in time while correlating the motion of all particles according to their separation. In doing so, the Oseen tensor is made implicit in the simulation code and the computational complexity of WMCD scales with system size N as N lnN (or even linearly in fractal systems), comparing favourably to existing Brownian dynamics algorithms, while the absence of any solvent degrees of freedom also leads to favourable comparisons with explicit-solvent methods. WMCD therefore holds promise to simulate system sizes beyond the reach of the alternatives. Key extensions to the basic algorithm are presented - none of which affect the computational complexity - including additional Fourier moves and smart Monte Carlo biasing to improve the algorithm's dynamical fidelity, as well as schemes to build in polydispersity and hydrodynamic coupling of particle rotations. WMCD is then used in a comprehensive study of the diffusion of isolated polymer chains, using the properties of the centre of mass velocity autocorrelation to identify distinct short and long-t</w:t>
      </w:r>
    </w:p>
    <w:p>
      <w:pPr/>
      <w:r>
        <w:rPr>
          <w:b/>
        </w:rPr>
        <w:t>POSSIBLE 2026:</w:t>
      </w:r>
      <w:r>
        <w:t xml:space="preserve"> Monte Carlo Models for Asset Pricing and Financial Risk — https://doi.org/10.4018/979-8-3373-8372-9.ch003</w:t>
      </w:r>
    </w:p>
    <w:p>
      <w:pPr/>
      <w:r>
        <w:rPr>
          <w:b/>
        </w:rPr>
        <w:t>Shared claim-specific concepts:</w:t>
      </w:r>
      <w:r>
        <w:t xml:space="preserve"> monte, carlo, used, simulate; EU scope visible. This is a provisional connection, not an outcome finding.</w:t>
      </w:r>
    </w:p>
    <w:p>
      <w:pPr>
        <w:pStyle w:val="SourceNote"/>
      </w:pPr>
      <w:r>
        <w:rPr>
          <w:b/>
        </w:rPr>
        <w:t>Available abstract (not full text):</w:t>
      </w:r>
      <w:r>
        <w:t xml:space="preserve"> Monte Carlo simulation is now used in modern finance to process complex derivatives, uncertainty in the market and valid risk analysis in non-linear and multi-factor contexts. The traditional models of analysis are often limited by assumptions such as constant volatility and normal returns because real market dynamics are often not captured by traditional analytical models. The chapter provides a well-rounded model that incorporates the theoretical basis of Monte Carlo methods, its computer implementation and business applications. Its code support of useful Python and R functions to simulate the asset path, price European, American, and Asian options, compute Value at risk and Expected shortfall, use variance reduction, and many fundamental stochastic processes, including Geometric Brownian Motion, jump-diffusion and the Heston model. Banking, insurance, asset management, and corporate finance examples are given of applications that are decision-oriented and the regulatory relevance and reliability is demonstrated through convergence diagnostics and back testing.</w:t>
      </w:r>
    </w:p>
    <w:p>
      <w:pPr/>
      <w:r>
        <w:rPr>
          <w:b/>
        </w:rPr>
        <w:t>POSSIBLE 2026:</w:t>
      </w:r>
      <w:r>
        <w:t xml:space="preserve"> Variance Reduction Techniques for Monte Carlo Pricing of European Call Options — https://doi.org/10.5281/zenodo.21727184</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Monte Carlo simulation is one of many methods for pricing financial derivatives, such as European call options, but its slow convergence rate makes it nearly impossible to use in practice. This paper compares four Monte Carlo estimators for pricing a European call option under the Black-Scholes model: basic Monte Carlo, antithetic variates, control variates, and Quasi-Monte Carlo using Sobol low-discrepancy sequences. Using repeated simulations across multiple sample sizes, we measure the standard deviation of pricing errors relative to the analytical Black-Scholes value. Antithetic variates provide acceptable improvement, control variates yield substantially lower variance, and Quasi-Monte Carlo delivers the most impressive results, with variance reductions of up to two orders of magnitude. These results demonstrate the effectiveness of advanced sampling techniques in improving Monte Carlo efficiency.</w:t>
      </w:r>
    </w:p>
    <w:p>
      <w:pPr/>
      <w:r>
        <w:rPr>
          <w:b/>
        </w:rPr>
        <w:t>POSSIBLE 2026:</w:t>
      </w:r>
      <w:r>
        <w:t xml:space="preserve"> Parallel Markov Chain Monte Carlo — https://doi.org/10.82444/warw.33491350</w:t>
      </w:r>
    </w:p>
    <w:p>
      <w:pPr/>
      <w:r>
        <w:rPr>
          <w:b/>
        </w:rPr>
        <w:t>Shared claim-specific concepts:</w:t>
      </w:r>
      <w:r>
        <w:t xml:space="preserve"> monte, carlo, used; EU scope not established. This is a provisional connection, not an outcome finding.</w:t>
      </w:r>
    </w:p>
    <w:p>
      <w:pPr>
        <w:pStyle w:val="SourceNote"/>
      </w:pPr>
      <w:r>
        <w:rPr>
          <w:b/>
        </w:rPr>
        <w:t>Available abstract (not full text):</w:t>
      </w:r>
      <w:r>
        <w:t xml:space="preserve"> The increasing availability of multi-core and multi-processor architectures provides new opportunities for improving the performance of many computer simulations. Markov Chain Monte Carlo (MCMC) simulations are widely used for approximate counting problems, Bayesian inference and as a means for estimating very highdimensional integrals. As such MCMC has found a wide variety of applications in fields including computational biology and physics,financial econometrics, machine learning and image processing. This thesis presents a number of new method for reducing the runtime of Markov Chain Monte Carlo simulations by using SMP machines and/or clusters. Two of the methods speculatively perform iterations in parallel, reducing the runtime of MCMC programs whilst producing statistically identical results to conventional sequential implementations. The other methods apply only to problem domains that can be presented as an image, and involve using various means of dividing the image into subimages that can be proceed with some degree of independence. Where possible the thesis includes a theoretical analysis of the reduction in runtime that may be achieved using our technique under perfect conditions, and in all cases the methods are tested and compared on selection of multi-core and multi-processor architectures. A framework is provided to allow easy construction of MCMC application t</w:t>
      </w:r>
    </w:p>
    <w:p>
      <w:pPr/>
      <w:r>
        <w:rPr>
          <w:b/>
        </w:rPr>
        <w:t>POSSIBLE 2026:</w:t>
      </w:r>
      <w:r>
        <w:t xml:space="preserve"> Option Pricing Model Comparison between Black Scholes Merton Model and Monte Carlo Simulation — https://doi.org/10.61173/xh544756</w:t>
      </w:r>
    </w:p>
    <w:p>
      <w:pPr/>
      <w:r>
        <w:rPr>
          <w:b/>
        </w:rPr>
        <w:t>Shared claim-specific concepts:</w:t>
      </w:r>
      <w:r>
        <w:t xml:space="preserve"> monte, carlo, between; EU scope visible. This is a provisional connection, not an outcome finding.</w:t>
      </w:r>
    </w:p>
    <w:p>
      <w:pPr>
        <w:pStyle w:val="SourceNote"/>
      </w:pPr>
      <w:r>
        <w:rPr>
          <w:b/>
        </w:rPr>
        <w:t>Available abstract (not full text):</w:t>
      </w:r>
      <w:r>
        <w:t xml:space="preserve"> The rapid growth of global option markets underscores the importance of accurate option pricing models for effective risk management and trading strategies. This paper focuses on two cornerstone methods: the Black–Scholes–Merton (BSM) model and Monte Carlo simulation. The central question is how the analytical efficiency of the BSM model compares with the flexibility of Monte Carlo simulation when applied to standard and complex options. The paper introduces the theoretical foundations of both models, highlighting the BSM model’s closed-form precision under strict assumptions and Monte Carlo simulation’s ability to handle stochastic, path-dependent payoffs. A case study of a three-month European call option on Apple Inc. illustrates the respective strengths and limitations of the two models. The findings of this paper conclude that the Black Scholes Merton model is still the benchmark for the standard option pricing market. In contrast, the Monte Carlo simulation provides better flexibility in pricing exotic options and adapting to a more volatile market. By combining these two methods, this study provides a more robust basis for valuation and decision-making in modern finance.</w:t>
      </w:r>
    </w:p>
    <w:p>
      <w:pPr/>
      <w:r>
        <w:rPr>
          <w:b/>
        </w:rPr>
        <w:t>POSSIBLE 2026:</w:t>
      </w:r>
      <w:r>
        <w:t xml:space="preserve"> Monte Carlo methods in derivative modelling — https://doi.org/10.82444/warw.33599494</w:t>
      </w:r>
    </w:p>
    <w:p>
      <w:pPr/>
      <w:r>
        <w:rPr>
          <w:b/>
        </w:rPr>
        <w:t>Shared claim-specific concepts:</w:t>
      </w:r>
      <w:r>
        <w:t xml:space="preserve"> monte, carlo, average, over; EU scope not established. This is a provisional connection, not an outcome finding.</w:t>
      </w:r>
    </w:p>
    <w:p>
      <w:pPr>
        <w:pStyle w:val="SourceNote"/>
      </w:pPr>
      <w:r>
        <w:rPr>
          <w:b/>
        </w:rPr>
        <w:t>Available abstract (not full text):</w:t>
      </w:r>
      <w:r>
        <w:t xml:space="preserve"> This thesis addresses issues in discretization and variance reduction methods for Monte Carlo simulation. For the discretization methods, we investigate the convergence properties of various Itˆo-Taylor schemes and the strong Taylor expansion (Siopacha and Teichmann [77]) for the LIBOR market model. We also provide an improvement on the strong Taylor expansion method which produces lower pricing bias. For the variance reduction methods, we have four contributions. Firstly, we formulate a general stochastic volatility model nesting many existing models in the literature. Secondly, we construct a correlation control variate for this model. Thirdly, we apply the model as well as the new control variate to pricing average rate and barrier options. Numerical results demonstrate the improvement over using old control variates alone. Last but not least, with the help of our model and control variate, we explore the variations in barrier option pricing consistent with the implied volatility surface.</w:t>
      </w:r>
    </w:p>
    <w:p>
      <w:pPr/>
      <w:r>
        <w:rPr>
          <w:b/>
        </w:rPr>
        <w:t>POSSIBLE 2026:</w:t>
      </w:r>
      <w:r>
        <w:t xml:space="preserve"> The Effect of Moneyness on the Pricing Accuracy of Monte Carlo Simulation: Evidence from European Call Options — https://doi.org/10.54254/2754-1169/2026.lh33729</w:t>
      </w:r>
    </w:p>
    <w:p>
      <w:pPr/>
      <w:r>
        <w:rPr>
          <w:b/>
        </w:rPr>
        <w:t>Shared claim-specific concepts:</w:t>
      </w:r>
      <w:r>
        <w:t xml:space="preserve"> monte, carlo, used, different; EU scope visible. This is a provisional connection, not an outcome finding.</w:t>
      </w:r>
    </w:p>
    <w:p>
      <w:pPr>
        <w:pStyle w:val="SourceNote"/>
      </w:pPr>
      <w:r>
        <w:rPr>
          <w:b/>
        </w:rPr>
        <w:t>Available abstract (not full text):</w:t>
      </w:r>
      <w:r>
        <w:t xml:space="preserve"> Option pricing is a central issue in financial economics because derivative valuation is essential for risk management, hedging, and investment decision-making. Among pricing methods, Monte Carlo simulation is widely used due to its flexibility and applicability in computational finance. However, for European call options, it is already well proved that Monte Carlo simulation can generate valid prices and that larger simulation sizes generally improve accuracy. Therefore, this study focuses on a more specific question: whether the finite-sample pricing accuracy of Monte Carlo simulation differs across in-the-money (ITM), at-the-money (ATM), and out-of-the-money (OTM) European call options. Using the Black-Scholes model as an analytical benchmark, the study applies an R-based Monte Carlo simulation framework to compare pricing performance under different moneyness scenarios and simulation sizes. The analysis shows that Monte Carlo pricing performance is not same across option states, as differences in payoff structure lead to different levels of pricing error and stability. The study points out that moneyness is an important factor of finite-sample simulation accuracy in European call option pricing.</w:t>
      </w:r>
    </w:p>
    <w:p>
      <w:pPr/>
      <w:r>
        <w:rPr>
          <w:b/>
        </w:rPr>
        <w:t>POSSIBLE 2025:</w:t>
      </w:r>
      <w:r>
        <w:t xml:space="preserve"> OptionMC: A Python Package for Monte Carlo Pricing of European Options — https://doi.org/10.18517/ijods.6.2.70-84.2025</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This article presents OptionMC, a Python package designed for educational purposes that implements Monte Carlo methods for European option pricing. We describe the package's architecture and demonstrate its application through systematic testing against established Black-Scholes analytical solutions. The implementation supports both standard Monte Carlo estimation and variance reduction via antithetic variates, allowing examination of convergence patterns and computational efficiency. Our results suggest that Monte Carlo estimates converge toward analytical solutions as the number of iterations increases, with convergence behavior generally consistent with theoretical expectations. Analysis of parameter sensitivity indicates the package appropriately captures fundamental pricing relationships, including volatility effects, time decay, and moneyness considerations. The distributional characteristics of simulated stock prices and option payoffs align reasonably well with theoretical predictions. While OptionMC primarily serves pedagogical objectives rather than high-performance applications, it offers a transparent framework that may benefit students and researchers seeking to understand the practical implementation of option pricing algorithms through Monte Carlo techniques.</w:t>
      </w:r>
    </w:p>
    <w:p>
      <w:pPr>
        <w:pStyle w:val="Heading2"/>
      </w:pPr>
      <w:r>
        <w:t>959. Two futures: EU-Russia relations in the context of Ukraine.</w:t>
      </w:r>
    </w:p>
    <w:p>
      <w:pPr>
        <w:pStyle w:val="SourceNote"/>
      </w:pPr>
      <w:r>
        <w:rPr>
          <w:b/>
        </w:rPr>
        <w:t>Original source (2014):</w:t>
      </w:r>
      <w:r>
        <w:t xml:space="preserve"> https://doi.org/10.1007/s40309-014-0052-7</w:t>
      </w:r>
    </w:p>
    <w:p>
      <w:pPr/>
      <w:r>
        <w:t>Original wording (abstract; indexed_source_text_not_full_document_verified): Or should it rather continue to tighten the screws on the Putin regime, in the hope that doing so will concurrently compel the Russian Federation to moderate its behaviour?</w:t>
      </w:r>
    </w:p>
    <w:p>
      <w:pPr/>
      <w:r>
        <w:rPr>
          <w:b/>
        </w:rPr>
        <w:t>POSSIBLE 2026:</w:t>
      </w:r>
      <w:r>
        <w:t xml:space="preserve"> Putinism. Key Definitions, Elements and Origins of the Russian Federation Political Regime — https://doi.org/10.31861/mhpi2026.53.133-144</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This article presents a comprehensive analysis of the nature, origins, and systemic evolution of the political regime of the Russian Federation. Drawing on political systems theory and psychological models of state formation, the study demonstrates that traditional democratic-authoritarian dichotomies cannot fully classify contemporary Russia. Tracing the historical continuum from imperial and Bolshevik despotism, the study conceptualizes “Putinism” as a conservative, personalistic autocracy supported by a rent-oriented economy, total propaganda, and society’s psychological dependence on a strong leader. Additionally the increased radicalization following the 2022 full scale invasion of Ukraine demonstrates how Putinism has shed its imitative democratic facade to institutionalize “Rashism” – an aggressive, neo-totalitarian quasi-ideology driven by imperial expansionism, great-power chauvinism, and revanchism, posing a serious threat to international relations and global security.</w:t>
      </w:r>
    </w:p>
    <w:p>
      <w:pPr/>
      <w:r>
        <w:rPr>
          <w:b/>
        </w:rPr>
        <w:t>POSSIBLE 2026:</w:t>
      </w:r>
      <w:r>
        <w:t xml:space="preserve"> Tightening or Loosening? The Effects of Uncertainty on the Design of Preferential Trade Agreements — https://doi.org/10.1017/s1474745625101419</w:t>
      </w:r>
    </w:p>
    <w:p>
      <w:pPr/>
      <w:r>
        <w:rPr>
          <w:b/>
        </w:rPr>
        <w:t>Shared claim-specific concepts:</w:t>
      </w:r>
      <w:r>
        <w:t xml:space="preserve"> rather, tighten, doing; EU scope not established. This is a provisional connection, not an outcome finding.</w:t>
      </w:r>
    </w:p>
    <w:p>
      <w:pPr>
        <w:pStyle w:val="SourceNote"/>
      </w:pPr>
      <w:r>
        <w:rPr>
          <w:b/>
        </w:rPr>
        <w:t>Available abstract (not full text):</w:t>
      </w:r>
      <w:r>
        <w:t xml:space="preserve"> Abstract To mitigate uncertainty, it is often assumed that governments negotiate ample flexibility provisions when entering new international treaties. Yet, the case of preferential trade agreements (PTAs) suggests that governments prioritize the more stringent commitments when faced with uncertainty. In this paper, we investigate the effects of uncertainty spikes occurring during negotiations on the design of 251 bilateral PTAs. Our theory proposes that sharp increases in uncertainty make governments more prone to signing deeper PTAs to emphasize their commitment to liberalization. In doing so, governments cater to firms’ demands for institutions protecting investment, upholding intellectual property rights, and promoting regulatory harmonization. We find robust evidence that PTAs are deeper when the contracting parties are faced with uncertainty spikes during negotiations. However, we do not find equally consistent evidence that countries also make PTAs more flexible. While much of the rational-design literature has focused on flexibility as a tool to cope with uncertainty, our findings suggest that countries rather tend to tighten their international commitments in turbulent times.</w:t>
      </w:r>
    </w:p>
    <w:p>
      <w:pPr/>
      <w:r>
        <w:rPr>
          <w:b/>
        </w:rPr>
        <w:t>POSSIBLE 2025:</w:t>
      </w:r>
      <w:r>
        <w:t xml:space="preserve"> PUTINISM AS A THIN IDEOLOGY OR BRICOLAGE? THEORETICAL OUTCOMES RELATED TO THE RADICALIZATION OF THE SUPPORT FOR RUSSIAN FEDERATION AUTHORITARIAN REGIME — https://doi.org/10.25019/europolity.2025.19.1.2</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For a long time, the question has been raised whether there is an ideology called "putinism" and whether it can be assimilated to fascism.The premise of this article is that putinism exists, it is an ideology in the making, "thinly centered" like populism.The article presents the dispute between "eternal fascism" and "defascization of fascism", as well as the most important positions of some authors in the field on the possibility of equating putinism with fascism.The article concludes that putinism is a new phenomenon, an ideological bricolage specific of today's Russia, the result of a symbiosis of nationalism, fascism and far-left ideas, plus a form of messianism that transcends Russia's political regimes and ideologies.Putinism has not reached the stage of ideology, but it manifests itself in extreme violence (the war in Ukraine), a sign of political radicalism.</w:t>
      </w:r>
    </w:p>
    <w:p>
      <w:pPr/>
      <w:r>
        <w:rPr>
          <w:b/>
        </w:rPr>
        <w:t>POSSIBLE 2025:</w:t>
      </w:r>
      <w:r>
        <w:t xml:space="preserve"> Electoral Violence in Putin´s Russia: Modern Authoritarianism in Practice — https://doi.org/10.58036/stss.v9i1.294</w:t>
      </w:r>
    </w:p>
    <w:p>
      <w:pPr/>
      <w:r>
        <w:rPr>
          <w:b/>
        </w:rPr>
        <w:t>Shared claim-specific concepts:</w:t>
      </w:r>
      <w:r>
        <w:t xml:space="preserve"> putin, regime, russian, federation; EU scope not established. This is a provisional connection, not an outcome finding.</w:t>
      </w:r>
    </w:p>
    <w:p>
      <w:pPr>
        <w:pStyle w:val="SourceNote"/>
      </w:pPr>
      <w:r>
        <w:rPr>
          <w:b/>
        </w:rPr>
        <w:t>Available abstract (not full text):</w:t>
      </w:r>
      <w:r>
        <w:t xml:space="preserve"> The paper identifies and analyses the acts of electoral violence that occurred during the 2011 parliamentary and 2012 presidential elections in the Russian Federation, and connects them with the practices of modern authoritarian regimes. The analytical tool employed is based on an electoral violence research framework, which provides insight into the negative dynamics of an electoral competition and its outcomes. The authors argue that electoral violence is used to advance the Russian authoritarian regime, which is a modern form of authoritarian rule. By analysing the post-electoral turmoil and the response of authorities to public demonstrations, we depict the regime's ability to adapt its position to maximise outcomes in the political conflict and opportunistically select the best tool to achieve its goals. We further argue that Russia, with its authoritarian tendencies, utilises confrontation dynamics during elections in order to allow the politicisation of various latent conflicts (interest- or value-oriented) that are impossible to solve in the everyday depoliticised routine of the undemocratic system.</w:t>
      </w:r>
    </w:p>
    <w:p>
      <w:pPr/>
      <w:r>
        <w:rPr>
          <w:b/>
        </w:rPr>
        <w:t>POSSIBLE 2025:</w:t>
      </w:r>
      <w:r>
        <w:t xml:space="preserve"> PRESIDENT OF THE RUSSIAN FEDERATION – V.V. PUTIN, IS MOVING FORWARD — https://doi.org/10.56082/annalsarscimilit.2025.3.18</w:t>
      </w:r>
    </w:p>
    <w:p>
      <w:pPr/>
      <w:r>
        <w:rPr>
          <w:b/>
        </w:rPr>
        <w:t>Shared claim-specific concepts:</w:t>
      </w:r>
      <w:r>
        <w:t xml:space="preserve"> putin, regime, russian, federation; EU scope visible. This is a provisional connection, not an outcome finding.</w:t>
      </w:r>
    </w:p>
    <w:p>
      <w:pPr>
        <w:pStyle w:val="SourceNote"/>
      </w:pPr>
      <w:r>
        <w:rPr>
          <w:b/>
        </w:rPr>
        <w:t>Available abstract (not full text):</w:t>
      </w:r>
      <w:r>
        <w:t xml:space="preserve"> Analyzing with great interest and attention the events that took place on the international stage, in connection with the increasingly cruel war, launched by Putin against Ukraine, three and a half years ago (24.02.2022), as well as the actions of President Donald Trump, after taking the oath of office for the new term (21.01.2025) to end the bloody conflict and to bring the two leaders – Putin and Zelensky to the negotiating table, we find that in the past seven months we have been part of a “dialogue” of the deaf. All the pressures and promises of President Trump have had no positive effect, on the contrary, after each Putin-Trump dialogue, Russia has carried out new destructive bombings, targeting residential areas, destroying apartment buildings and deliberately and plannedly killing dozens of civilians, including many children. I believe, with sufficient arguments, that this war primarily affects all of Europe, but also most of the world’s states, having profoundly negative effects on the world economy and vital trade flows. Given the evolution of events in recent weeks, most political and military analysts, both abroad and in Romania, are skeptical and do not see a solution to stop the aggression of the Russian Federation; on the contrary, Putin is moving forward, with the aim of conquering all of Ukraine, transforming it into a Vassal Governorate, with an obedient regime</w:t>
      </w:r>
    </w:p>
    <w:p>
      <w:pPr/>
      <w:r>
        <w:rPr>
          <w:b/>
        </w:rPr>
        <w:t>POSSIBLE 2025:</w:t>
      </w:r>
      <w:r>
        <w:t xml:space="preserve"> Putin, Finland, and NATO in Far North in 2024–2025 — https://doi.org/10.18485/fb_ijcss.2025.1.2.14</w:t>
      </w:r>
    </w:p>
    <w:p>
      <w:pPr/>
      <w:r>
        <w:rPr>
          <w:b/>
        </w:rPr>
        <w:t>Shared claim-specific concepts:</w:t>
      </w:r>
      <w:r>
        <w:t xml:space="preserve"> rather, putin, russian, moderate; EU scope visible. This is a provisional connection, not an outcome finding.</w:t>
      </w:r>
    </w:p>
    <w:p>
      <w:pPr>
        <w:pStyle w:val="SourceNote"/>
      </w:pPr>
      <w:r>
        <w:rPr>
          <w:b/>
        </w:rPr>
        <w:t>Available abstract (not full text):</w:t>
      </w:r>
      <w:r>
        <w:t xml:space="preserve"> In May 2022, Finland applied for NATO, and in late 2022, launched talks on bilateral defence cooperation with the US.The country joined the alliance in April 2023; eight months later, Helsinki and Washington D.C. signed DCA.From the first days of Finland's NATO process, Moscow anticipated the outcome: according to President Putin, the alliance is not a threat but its role as a camouflage of the US interests.In this article, I employ a mitigation-and legitimization-oriented discourse analysis to probe Putin's Finland-related utterances from January 2024 to August 2025.Through the stratagems Putin utilizes in his public appearances, I differentiate Moscow's standpoints on NATO's enlargement in Far North and Finland's position as of today.Putin does not consider Finland as a risk, despite its substantial military power.Rather, the country was insnared in NATO.First, these explanations are targeted to domestic spectators, to moderate the paradox of now having NATO next to the Russian Arctic.Second, Putin deems Finland's membership as "absolutely senseless"; combining storytelling and history, he insists "ideal relations" reigned between Moscow and Helsinki.Above all, militarization of the Arctic -Russia's core nuclear base and its key source of critical minerals and raw materials -legitimizes Moscow's equal measures in Far North.The number of Russian soldiers rise to 70 to 100 thou</w:t>
      </w:r>
    </w:p>
    <w:p>
      <w:pPr/>
      <w:r>
        <w:rPr>
          <w:b/>
        </w:rPr>
        <w:t>POSSIBLE 2024:</w:t>
      </w:r>
      <w:r>
        <w:t xml:space="preserve"> Putinism – Post-Soviet Russian Regime Ideology — https://doi.org/10.4324/9781003243892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 key question for the contemporary world: What is Putin’s ideology? This book analyses this ideology, which it terms “Putinism”. It examines a range of factors that feed into the ideology – conservative thought in Russia from the nineteenth century onwards, Russian and Soviet history and their memorialisation, Russian Orthodox religion and its political connections, a focus on traditional values, and Russia’s sense of itself as a unique civilisation, different from the West and due a special, respected place in the world. The book highlights that although the resulting ideology lacks coherence and universalism comparable to that of Soviet-era Marxism-Leninism, it is nevertheless effective in aligning the population to the regime and is flexible and applicable in different circumstances. And that therefore it is not attached to Putin as a person, is likely to outlive him, and is potentially appealing elsewhere in the world outside Russia, especially to countries that feel belittled by the West and let down by the West’s failure to resolve problems of global injustice and inequality.</w:t>
      </w:r>
    </w:p>
    <w:p>
      <w:pPr/>
      <w:r>
        <w:rPr>
          <w:b/>
        </w:rPr>
        <w:t>POSSIBLE 2024:</w:t>
      </w:r>
      <w:r>
        <w:t xml:space="preserve"> Gender systems in the Putin autocracy — https://doi.org/10.3389/fsoc.2024.1327946</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Over the last 23 years, Russian President Vladimir Putin's autocracy has revealed a set of interlocking gender systems that have come to the fore particularly vividly since the full-scale invasion of Ukraine on February 24, 2022. How, this article asks, have the masculinist cultural and political practices of the Putin regime undermined democratic practices and engagement broadly speaking? How have they organized Russian state and society in ways that have led to today's war in Ukraine with its massive destruction, violence, and brutality? And have there been earlier signals that should have warned observers that this regime might undertake such a war of aggression? Drawing on public, mass media data, this article analyzes the gendered structures of power in Russia that have contributed to the degeneration of democracy in three main areas: (1) male-on-male domination in discourse and practice that supports Putin's personal rule and emasculates his enemies; (2) the elevation of male power clans, including the President's personal praetorian guard and the Russian private military companies; and (3) the overall taming and emasculation of the Russian Parliament combined with the elevation of tough women deputies, whom I call the Baba Commissars. These female MPs support the President's domination by creating an appearance of a threatening outside world that needs to be kept at bay.</w:t>
      </w:r>
    </w:p>
    <w:p>
      <w:pPr/>
      <w:r>
        <w:rPr>
          <w:b/>
        </w:rPr>
        <w:t>POSSIBLE 2024:</w:t>
      </w:r>
      <w:r>
        <w:t xml:space="preserve"> Vladimir Putin on Channel One, 2000–2022 — https://doi.org/10.1080/10584609.2024.2380438</w:t>
      </w:r>
    </w:p>
    <w:p>
      <w:pPr/>
      <w:r>
        <w:rPr>
          <w:b/>
        </w:rPr>
        <w:t>Shared claim-specific concepts:</w:t>
      </w:r>
      <w:r>
        <w:t xml:space="preserve"> rather, putin, regime; EU scope not established. This is a provisional connection, not an outcome finding.</w:t>
      </w:r>
    </w:p>
    <w:p>
      <w:pPr>
        <w:pStyle w:val="SourceNote"/>
      </w:pPr>
      <w:r>
        <w:rPr>
          <w:b/>
        </w:rPr>
        <w:t>Available abstract (not full text):</w:t>
      </w:r>
      <w:r>
        <w:t xml:space="preserve"> Drawing on transcripts from the television network Channel One, a popular news source in Russia, this article addresses the question: “How was Vladimir Putin covered by state-controlled media while the regime became increasingly centralized?” The literature on the subject is scarce and inconclusive. Dictators create different images of themselves, and the portrayals of present-day spin dictators — those who primarily rely on the power of propaganda to persuade rather than dominate — are understudied. While some analysts point to Putin’s omnipresence in mass media, others uncover the lack of media personalization and relatively neutral coverage. Using 385,981 news transcripts from 2000–2022 and relying on techniques from natural language processing, I examine how a present-day autocrat attempts to optimize the intensity of state-controlled propaganda. I uncover three main tendencies. First, during all the years in power, the ruler has been more frequently referred to through positive stories. Second, there is only partial evidence that the relative references to Putin on Channel One have significantly increased over time. Third, during all his years in power, Putin has been more frequently mentioned in domestic news rather than in stories about foreign affairs. However, I also demonstrate that the share of news about foreign affairs and events abroad that mentions the ruler has </w:t>
      </w:r>
    </w:p>
    <w:p>
      <w:pPr/>
      <w:r>
        <w:rPr>
          <w:b/>
        </w:rPr>
        <w:t>POSSIBLE 2024:</w:t>
      </w:r>
      <w:r>
        <w:t xml:space="preserve"> Sympathies for Putin Within the German Public: A Consequence of Political Alienation? — https://doi.org/10.1007/s11615-024-00541-2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Abstract Why do individuals in democratic nations sympathize with autocratic leaders from abroad? In this article, we address this general question with regard to Germans’ attitudes toward Vladimir Putin in the aftermath of the Russian invasion of Ukraine in February 2022. Building on the intuition that “the enemy of my enemy is my friend” and its formalization in balance theory, our study focuses on the role of political alienation at home. To study this role comprehensively, we consider several facets of political alienation: a lack of trust in political institutions, low support for democracy as a regime, a sense of estrangement from public discourse, and an inclination toward conspiracy thinking. Using longitudinal analyses on data from the German Longitudinal Election Study panel, we provide empirical evidence consistent with our argument that political alienation—particularly in terms of low political trust and a proclivity for conspiracy thinking—drives sympathies for Putin and his regime. Against the backdrop of mounting attempts by Russia and other autocratic powers to influence discourses in Western societies via some segments of society, our findings illuminate one important source of sympathy for Putin and, potentially, foreign autocrats more broadly.</w:t>
      </w:r>
    </w:p>
    <w:p>
      <w:pPr/>
      <w:r>
        <w:rPr>
          <w:b/>
        </w:rPr>
        <w:t>POSSIBLE 2024:</w:t>
      </w:r>
      <w:r>
        <w:t xml:space="preserve"> More than Putin: managed pluralism in Russia's foreign policy — https://doi.org/10.1093/ia/iiae005</w:t>
      </w:r>
    </w:p>
    <w:p>
      <w:pPr/>
      <w:r>
        <w:rPr>
          <w:b/>
        </w:rPr>
        <w:t>Shared claim-specific concepts:</w:t>
      </w:r>
      <w:r>
        <w:t xml:space="preserve"> putin, russian, behaviour; EU scope not established. This is a provisional connection, not an outcome finding.</w:t>
      </w:r>
    </w:p>
    <w:p>
      <w:pPr>
        <w:pStyle w:val="SourceNote"/>
      </w:pPr>
      <w:r>
        <w:rPr>
          <w:b/>
        </w:rPr>
        <w:t>Available abstract (not full text):</w:t>
      </w:r>
      <w:r>
        <w:t xml:space="preserve"> Abstract The Russian full-scale invasion of Ukraine took most experts by surprise, but before the war, there were numerous voices in the Russian public debate calling for much tougher policies towards Ukraine and the West than the ones pursued by the government. This article challenges explanations that prioritize external factors or focus solely on President Putin and shows that examining opposition, state media and government discourses is necessary to understand Russia's foreign policy properly. The article contends that the concept of managed pluralism (defined by Harley Balzer in 2003), which has not yet been used in the analysis of Moscow's international behaviour, is a useful tool that can address the gap in the literature and shed light on important mechanisms behind Russia's foreign policy-making. Consequently, the article reveals mechanisms that, by allowing certain voices while eliminating others, steer Russia's foreign policy in a specific direction, which in this case made the invasion of Ukraine possible. Finally, it indicates that observing actors admitted to the public debate and their propositions may be a clue to the direction of Russia's future foreign policy. More broadly, this article points to policy implications and theoretical benefits of managed pluralism for our understanding of other states' foreign policies.</w:t>
      </w:r>
    </w:p>
    <w:p>
      <w:pPr/>
      <w:r>
        <w:rPr>
          <w:b/>
        </w:rPr>
        <w:t>POSSIBLE 2023:</w:t>
      </w:r>
      <w:r>
        <w:t xml:space="preserve"> The Ideology of Putinism: Is It Sustainable? — https://doi.org/10.15868/socialsector.42609</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The Ideology of Putinism | 2This report argues that Vladimir Putin's regime does have an ideology.As the authors show, from the start of his rule over two decades ago, the Kremlin has made serious, consistent, and increasing investments in promoting certain values.Borrowing heavily from czarist and Soviet themes, as well as other intellectual sources like the twentieth-century radical right, Putinism elevates an idea of imperialnationalist statism amplified by Russian greatness, exceptionalism, and historical struggle against the West.Notable throughout this period has been the Kremlin's attention to education and memory politics, accompanied by a growing emphasis and reactionary in nature, on what the Kremlin describes as traditional values.Since the mid-2010s this was followed by a shift in focus from narratives and monuments alone to establishing and funding public engagement with these narratives.Phases marked by the more active promotion of these ideas coincide with external and internal challenges to the regime, often triggered by color revolutions in Russia's "near abroad," domestic protests, or the wars Putin started.Russia's 2022 invasion of Ukraine and its radical break with the West have prompted the regime to mount a more sustainable ideology-building effort.A common critique of the Putin regime's attachment to ideology is that Russian politicians do not live by the</w:t>
      </w:r>
    </w:p>
    <w:p>
      <w:pPr>
        <w:pStyle w:val="Heading2"/>
      </w:pPr>
      <w:r>
        <w:t>960. Understanding and enhancing future infrastructure resiliency: a socio‐ecological approach</w:t>
      </w:r>
    </w:p>
    <w:p>
      <w:pPr>
        <w:pStyle w:val="SourceNote"/>
      </w:pPr>
      <w:r>
        <w:rPr>
          <w:b/>
        </w:rPr>
        <w:t>Original source (2014):</w:t>
      </w:r>
      <w:r>
        <w:t xml:space="preserve"> https://doi.org/10.1111/disa.12114</w:t>
      </w:r>
    </w:p>
    <w:p>
      <w:pPr/>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pPr/>
      <w:r>
        <w:rPr>
          <w:b/>
        </w:rPr>
        <w:t>POSSIBLE 2026:</w:t>
      </w:r>
      <w:r>
        <w:t xml:space="preserve"> Problematising scripted curricula: Stenhouse’s vision of teacher enquiry in new times — https://doi.org/10.1080/09650792.2026.2626541</w:t>
      </w:r>
    </w:p>
    <w:p>
      <w:pPr/>
      <w:r>
        <w:rPr>
          <w:b/>
        </w:rPr>
        <w:t>Shared claim-specific concepts:</w:t>
      </w:r>
      <w:r>
        <w:t xml:space="preserve"> identify, united; EU scope not established. This is a provisional connection, not an outcome finding.</w:t>
      </w:r>
    </w:p>
    <w:p>
      <w:pPr>
        <w:pStyle w:val="SourceNote"/>
      </w:pPr>
      <w:r>
        <w:rPr>
          <w:b/>
        </w:rPr>
        <w:t>Available abstract (not full text):</w:t>
      </w:r>
      <w:r>
        <w:t xml:space="preserve"> This paper critically examines the proliferation of scripted curricula across Anglophone educational systems. Drawing on a prescriptive continuum analytical framework, we identify three distinct but interconnected script typologies: pedagogical, curricular, and behavioural. Through comparative examples from the United States, England, and Australia, we analyse four interrelated problem framings – efficiency, quality assurance, expertise, and consistency – that construct scripted curricula as solutions to perceived educational deficiencies. We interrogate how these framings construct particular conceptions of teaching and teacher development, while marginalising or foreclosing alternative approaches. Stenhouse’s vision of teachers as curriculum researchers serves as a critical counterpoint, highlighting what is at stake across the prescriptive spectrum when professional judgement is subordinated to external direction. Through systematic discursive analysis, this paper advances understanding of how scripted curricula materially affect teacher professionalism, pedagogical autonomy, contextual responsiveness, and educational equity, contributing to ongoing critical debates about teacher expertise and curriculum control in contemporary education systems.</w:t>
      </w:r>
    </w:p>
    <w:p>
      <w:pPr/>
      <w:r>
        <w:rPr>
          <w:b/>
        </w:rPr>
        <w:t>POSSIBLE 2026:</w:t>
      </w:r>
      <w:r>
        <w:t xml:space="preserve"> The architecture of crisis: problematising a global ban on the three-cueing system in reading education — https://doi.org/10.1007/s44020-026-00130-3</w:t>
      </w:r>
    </w:p>
    <w:p>
      <w:pPr/>
      <w:r>
        <w:rPr>
          <w:b/>
        </w:rPr>
        <w:t>Shared claim-specific concepts:</w:t>
      </w:r>
      <w:r>
        <w:t xml:space="preserve"> identify, context, united; EU scope not established. This is a provisional connection, not an outcome finding.</w:t>
      </w:r>
    </w:p>
    <w:p>
      <w:pPr>
        <w:pStyle w:val="SourceNote"/>
      </w:pPr>
      <w:r>
        <w:rPr>
          <w:b/>
        </w:rPr>
        <w:t>Available abstract (not full text):</w:t>
      </w:r>
      <w:r>
        <w:t xml:space="preserve"> Abstract Contemporary literacy policy is increasingly shaped by crisis narratives that position reading achievement as a problem requiring urgent intervention. This paper examines the growing movement to ban or discredit the three-cueing system in reading education through an analysis of contemporary policy discourse in the United States. Drawing on Carol Bacchi’s framework for analysing problem representations in policy, we investigate how legislation and public commentary aligned with the Science of Reading (SoR) construct three-cueing as a harmful instructional practice that should be removed from classrooms. Using an Alabama news report on Alabama Senate Bill 168, we identify the assumptions, silences, and effects embedded within this representation of the problem. The analysis shows that three-cueing is frequently conflated with guessing from pictures or context and positioned as incompatible with scientific evidence, despite ongoing debate about its purpose, interpretation, and role in reading. We argue that this framing relies on selective interpretations of research, simplifies complex questions about reading instruction, and legitimises increased state control over pedagogy. In doing so, it narrows the range of perspectives considered legitimate in literacy policy debates and constrains alternative approaches to reading instruction. More broadly, the case illustrates h</w:t>
      </w:r>
    </w:p>
    <w:p>
      <w:pPr/>
      <w:r>
        <w:rPr>
          <w:b/>
        </w:rPr>
        <w:t>POSSIBLE 2024:</w:t>
      </w:r>
      <w:r>
        <w:t xml:space="preserve"> Access to Work for Those Seeking Asylum: Concerns Arising from British and Swedish Legal Strategies — https://doi.org/10.1093/indlaw/dwae004</w:t>
      </w:r>
    </w:p>
    <w:p>
      <w:pPr/>
      <w:r>
        <w:rPr>
          <w:b/>
        </w:rPr>
        <w:t>Shared claim-specific concepts:</w:t>
      </w:r>
      <w:r>
        <w:t xml:space="preserve"> seeks, identify, perspective, context; EU scope visible. This is a provisional connection, not an outcome finding.</w:t>
      </w:r>
    </w:p>
    <w:p>
      <w:pPr>
        <w:pStyle w:val="SourceNote"/>
      </w:pPr>
      <w:r>
        <w:rPr>
          <w:b/>
        </w:rPr>
        <w:t>Available abstract (not full text):</w:t>
      </w:r>
      <w:r>
        <w:t xml:space="preserve"> ABSTRACT This article seeks to probe the controversial relationship between seeking asylum and the permission (or obligation) to work. In doing so, we recognise the concurrent claims that can be made for asylum and access to the labour market, problematising the concept of ‘work’ and its relationship to freedom and dignity from the perspective of international refugee law and European human rights norms alongside European Union (EU) law. We examine how British and Swedish legal systems have reflected two starkly opposed policy stances. The UK has long denied asylum seekers the financial and psychological benefits that come with work usually until refugee status is formally granted, but the Swedish system has facilitated a complementary pathway for asylum seekers whose labour can make (what is determined politically to be) a sufficient contribution to the economy. We identify the perceived benefits and failings of each strategy. In this context, we observe that the status quo in both countries is changing and even arguably converging around an illiberal consensus regarding the relationship between asylum and work, which will demand further attention and potentially legal challenges in the years to come.</w:t>
      </w:r>
    </w:p>
    <w:p>
      <w:pPr/>
      <w:r>
        <w:rPr>
          <w:b/>
        </w:rPr>
        <w:t>POSSIBLE 2024:</w:t>
      </w:r>
      <w:r>
        <w:t xml:space="preserve"> What is a ‘quality TVET lecturer’? Problematising the concept of quality in vocational education — https://doi.org/10.14426/jovacet.v7i2.421</w:t>
      </w:r>
    </w:p>
    <w:p>
      <w:pPr/>
      <w:r>
        <w:rPr>
          <w:b/>
        </w:rPr>
        <w:t>Shared claim-specific concepts:</w:t>
      </w:r>
      <w:r>
        <w:t xml:space="preserve"> identify, based, challenge; EU scope not established. This is a provisional connection, not an outcome finding.</w:t>
      </w:r>
    </w:p>
    <w:p>
      <w:pPr>
        <w:pStyle w:val="SourceNote"/>
      </w:pPr>
      <w:r>
        <w:rPr>
          <w:b/>
        </w:rPr>
        <w:t>Available abstract (not full text):</w:t>
      </w:r>
      <w:r>
        <w:t xml:space="preserve"> Notions of ‘quality’ in technical and vocational education and training (TVET) and the ‘quality TVET lecturer’ are often referred to in policy and public discourse in South Africa but are rarely defined. This leads to only partial identification of what is necessary for driving up quality. This article reports on a review and survey of how the ‘quality TVET lecturer’ is understood in academic literature and public and policy discourse in South Africa. Through the Bourdieusian lens of fields, we identify the quality TVET lecturer as a player in two fields – education and the economy, which have distinct identities, rules and power dynamics. We argue that knowledge, skills, expertise and qualifications from both the education and the economic fields are important. Therefore, attempts to improve quality by focusing on the competence and commitment of TVET lecturers according to their teaching is likely to have a limited impact on TVET lecturer quality. While the model presented is based on work in South Africa, this framing of quality is relevant to Sustainable Development Goal 4 and the challenge faced by many TVET systems of linking TVET to industry.</w:t>
      </w:r>
    </w:p>
    <w:p>
      <w:pPr/>
      <w:r>
        <w:rPr>
          <w:b/>
        </w:rPr>
        <w:t>POSSIBLE 2023:</w:t>
      </w:r>
      <w:r>
        <w:t xml:space="preserve"> Problematising current coaching strategies from a worldview perspective — https://doi.org/10.4102/sajip.v49i0.2034</w:t>
      </w:r>
    </w:p>
    <w:p>
      <w:pPr/>
      <w:r>
        <w:rPr>
          <w:b/>
        </w:rPr>
        <w:t>Shared claim-specific concepts:</w:t>
      </w:r>
      <w:r>
        <w:t xml:space="preserve"> problematise, perspective, context; EU scope not established. This is a provisional connection, not an outcome finding.</w:t>
      </w:r>
    </w:p>
    <w:p>
      <w:pPr>
        <w:pStyle w:val="SourceNote"/>
      </w:pPr>
      <w:r>
        <w:rPr>
          <w:b/>
        </w:rPr>
        <w:t>Available abstract (not full text):</w:t>
      </w:r>
      <w:r>
        <w:t xml:space="preserve"> Orientation: Leaders need goodness-of-fit with the context in which they are leading, and coaching is considered an effective strategy to achieve this.Research purpose: To critically problematise current dominant coaching strategies in terms of their underlying worldviews, in order to assess their potential effectiveness and relevance in enhancing context‒leadership goodness-of-fit, given the emerging context faced by leaders.Motivation for the study: The current ever-changing context of leaders requires different thinking, including with regard to coaching. The framework of the coaching landscape, with its associated building blocks, provides the conceptual framework for the review of current coaching strategies. Three dominant worldviews that have historically influenced the thinking in social sciences are employed in this review, namely Newtonian, general systems theory and complexity or chaos (second-order systemic thinking).Research approach/design and method: This was a critical conceptual study aimed at problematising the worldviews informing the currently dominant coaching strategies.Main findings: The problematising of the worldviews underlying the dominant coaching strategies revealed that these strategies are not always informed by a worldview congruent with that demanded by the qualities and features of the world that leaders currently face. There is a pressing need</w:t>
      </w:r>
    </w:p>
    <w:p>
      <w:pPr/>
      <w:r>
        <w:rPr>
          <w:b/>
        </w:rPr>
        <w:t>POSSIBLE 2023:</w:t>
      </w:r>
      <w:r>
        <w:t xml:space="preserve"> Seeking or not Seeking Help? Using an Online Learning Environment in an Adult Training — https://openalex.org/W4368618633</w:t>
      </w:r>
    </w:p>
    <w:p>
      <w:pPr/>
      <w:r>
        <w:rPr>
          <w:b/>
        </w:rPr>
        <w:t>Shared claim-specific concepts:</w:t>
      </w:r>
      <w:r>
        <w:t xml:space="preserve"> identify, based, context; EU scope not established. This is a provisional connection, not an outcome finding.</w:t>
      </w:r>
    </w:p>
    <w:p>
      <w:pPr>
        <w:pStyle w:val="SourceNote"/>
      </w:pPr>
      <w:r>
        <w:rPr>
          <w:b/>
        </w:rPr>
        <w:t>Available abstract (not full text):</w:t>
      </w:r>
      <w:r>
        <w:t xml:space="preserve"> This paper comes from a research entitled "xCALE" (eXplaining Competency and Autonomy development in Learning Environments) and aims to analyze how learners self-regulate during an online training. In a context where lifelong learning and online training, researchers went to understand how students learn in these formations. Self-regulated learning is a key to understanding success in an online environment (Kizilcec et al., 2017). We present an empirical study on self-regulation strategies in adult training using online resources. Self-regulation is defined as “the degree that they are metacognitively, motivationally, and behaviorally active participants in their own learning process” (Zimmerman, 1989, p.329). We examine two self-regulated learning strategies: seeking information and seeking social assistance (Zimmerman and Pons, 1986). The objective is to identify and describe the practices of learners asking for help during the use of online training. Our questions are: which helpers are mobilized when learners ask for help? Why do they choose online support or social assistance? On what do learners rely when choosing to seek for help? The study is based on 23 interviews with adults in digital training. The analysis underlines a diversity of practices of help requests and emphasizes that there are favorable conditions for requesting help. Results show the existence of rules o</w:t>
      </w:r>
    </w:p>
    <w:p>
      <w:pPr/>
      <w:r>
        <w:rPr>
          <w:b/>
        </w:rPr>
        <w:t>POSSIBLE 2022:</w:t>
      </w:r>
      <w:r>
        <w:t xml:space="preserve"> Problematising philosophical assumptions in EE's Invisible College — https://doi.org/10.1108/ijebr-07-2021-0553</w:t>
      </w:r>
    </w:p>
    <w:p>
      <w:pPr/>
      <w:r>
        <w:rPr>
          <w:b/>
        </w:rPr>
        <w:t>Shared claim-specific concepts:</w:t>
      </w:r>
      <w:r>
        <w:t xml:space="preserve"> seeks, perspective, heuristic; EU scope not established. This is a provisional connection, not an outcome finding.</w:t>
      </w:r>
    </w:p>
    <w:p>
      <w:pPr>
        <w:pStyle w:val="SourceNote"/>
      </w:pPr>
      <w:r>
        <w:rPr>
          <w:b/>
        </w:rPr>
        <w:t>Available abstract (not full text):</w:t>
      </w:r>
      <w:r>
        <w:t xml:space="preserve">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r>
        <w:rPr>
          <w:b/>
        </w:rPr>
        <w:t>POSSIBLE 2022:</w:t>
      </w:r>
      <w:r>
        <w:t xml:space="preserve"> Explaining adults’ mental health help-seeking through the lens of the theory of planned behavior: a scoping review — https://doi.org/10.1186/s13643-022-02034-y</w:t>
      </w:r>
    </w:p>
    <w:p>
      <w:pPr/>
      <w:r>
        <w:rPr>
          <w:b/>
        </w:rPr>
        <w:t>Shared claim-specific concepts:</w:t>
      </w:r>
      <w:r>
        <w:t xml:space="preserve"> based, address, context; EU scope not established. This is a provisional connection, not an outcome finding.</w:t>
      </w:r>
    </w:p>
    <w:p>
      <w:pPr>
        <w:pStyle w:val="SourceNote"/>
      </w:pPr>
      <w:r>
        <w:rPr>
          <w:b/>
        </w:rPr>
        <w:t>Available abstract (not full text):</w:t>
      </w:r>
      <w:r>
        <w:t xml:space="preserve"> BACKGROUND: Despite evidence-based efficacy, mental health services are underutilized due to low rates of help-seeking, leaving unmet mental health needs a global concern. The Theory of Planned Behavior (TPB) has been applied to understand the help-seeking process and in the development of behavior change interventions. The aim of this scoping review was to map the literature on the TPB as applied to mental health help-seeking in adults aged &gt;18 years. METHODS: This scoping review was conducted based on the methodology presented by Arksey and O'Malley (2005). Six databases (CINAHL, PsycINFO, MEDLINE, ProQuest Health and Medicine, ProQuest Dissertations and Theses, Web of Science) and two grey literature sources (OpenGrey, Google Scholar) were systematically searched in February 2018 and updated in March 2020. Studies that explicitly discussed the TPB in the context of mental health help-seeking were initially selected; only studies that explored formal help-seeking for mental health problems and were published in English were retained. Data were extracted using Microsoft Excel. RESULTS: Initially, 8898 records were identified. Of these, 49 met the selection criteria and were included: 32 were journal articles and 17 were theses. Forty-three papers reported on non-intervention studies and seven articles reported on TPB-based interventions. Most studies (n = 39) identified predic</w:t>
      </w:r>
    </w:p>
    <w:p>
      <w:pPr/>
      <w:r>
        <w:rPr>
          <w:b/>
        </w:rPr>
        <w:t>POSSIBLE 2022:</w:t>
      </w:r>
      <w:r>
        <w:t xml:space="preserve"> Identifying Subgroups of Cannabis Users Based on Help-Seeking Preferences: A Latent Class Analysis — https://doi.org/10.1159/000524938</w:t>
      </w:r>
    </w:p>
    <w:p>
      <w:pPr/>
      <w:r>
        <w:rPr>
          <w:b/>
        </w:rPr>
        <w:t>Shared claim-specific concepts:</w:t>
      </w:r>
      <w:r>
        <w:t xml:space="preserve"> identify, based; EU scope not established. This is a provisional connection, not an outcome finding.</w:t>
      </w:r>
    </w:p>
    <w:p>
      <w:pPr>
        <w:pStyle w:val="SourceNote"/>
      </w:pPr>
      <w:r>
        <w:rPr>
          <w:b/>
        </w:rPr>
        <w:t>Available abstract (not full text):</w:t>
      </w:r>
      <w:r>
        <w:t xml:space="preserve"> BACKGROUND: The majority of people with cannabis use disorder do not seek treatment. If we were able to gain more insight into different subgroups of cannabis users based on help-seeking preferences, we could use this information to inform the development and promotion of interventions targeted at specific subgroups of cannabis users, to ultimately narrow the treatment gap. METHODS: An online survey was conducted among 1,015 Dutch frequent cannabis users (18-72 years) to assess their cannabis use, help-seeking preferences, psychopathology, and psychological distress. Latent class analysis was used to identify classes of cannabis users based on their help-seeking preferences. Differences between the identified classes in terms of sociodemographics, cannabis use, and psychopathology were examined. RESULTS: We identified four classes with distinct preferences for support. Class 1 ("no support/only social," n = 548) had a low probability of finding any form of support appealing other than social support. Class 2 ("online help," n = 170) had relatively high probabilities of finding online help appealing. Class 3 ("GP/outpatient," n = 208) had a relatively high probability of finding support from the general practitioner and outpatient substance use disorder treatment appealing. Class 4 ("all sources," n = 89) had moderate to high probabilities for all sources of support. In terms of</w:t>
      </w:r>
    </w:p>
    <w:p>
      <w:pPr/>
      <w:r>
        <w:rPr>
          <w:b/>
        </w:rPr>
        <w:t>POSSIBLE 2021:</w:t>
      </w:r>
      <w:r>
        <w:t xml:space="preserve"> A resource‐based view of green innovation as a strategic firm resource: Present status and future directions — https://doi.org/10.1002/bse.2961</w:t>
      </w:r>
    </w:p>
    <w:p>
      <w:pPr/>
      <w:r>
        <w:rPr>
          <w:b/>
        </w:rPr>
        <w:t>Shared claim-specific concepts:</w:t>
      </w:r>
      <w:r>
        <w:t xml:space="preserve"> perspective, based, address; EU scope not established. This is a provisional connection, not an outcome finding.</w:t>
      </w:r>
    </w:p>
    <w:p>
      <w:pPr>
        <w:pStyle w:val="SourceNote"/>
      </w:pPr>
      <w:r>
        <w:rPr>
          <w:b/>
        </w:rPr>
        <w:t>Available abstract (not full text):</w:t>
      </w:r>
      <w:r>
        <w:t xml:space="preserve"> Abstract Green innovation could become a valuable firm resource for establishing competitive advantage while simultaneously contributing towards sustainable development; in other words, green innovation has the potential to address the dilemma between consuming available resources and preserving them for the future. However, there is a dearth of studies systematically examining the present structure and future scope of research on green innovation as a firm resource. Seeking to explain the sustainable development dilemma of green innovations through the theoretical perspective of the resource‐based view of the firm, we address this gap with a comprehensive bibliometric analysis of 951 relevant articles. The key contributors to the extant literature are recognised with bibliographic coupling, citation analysis and co‐authorship analysis. A co‐citation analysis identifies four major thematic areas of research: green supply chain management, green product design, corporate environmental responsibilities and social sustainability. Further, a dynamic co‐citation analysis tracks the progression of these thematic areas. Content analysis of the thematic areas provides insights into the status of the research domain. This study also contributes to the extant literature by identifying prestigious articles on green innovation as a firm resource, analysing the co‐occurrence of keywords and</w:t>
      </w:r>
    </w:p>
    <w:p>
      <w:pPr/>
      <w:r>
        <w:rPr>
          <w:b/>
        </w:rPr>
        <w:t>POSSIBLE 2021:</w:t>
      </w:r>
      <w:r>
        <w:t xml:space="preserve"> Identifying the indicators of the problems of couples seeking a divorce in Torkaman city — https://doi.org/10.61838/kman.aftj.2.3.9</w:t>
      </w:r>
    </w:p>
    <w:p>
      <w:pPr/>
      <w:r>
        <w:rPr>
          <w:b/>
        </w:rPr>
        <w:t>Shared claim-specific concepts:</w:t>
      </w:r>
      <w:r>
        <w:t xml:space="preserve"> identify, perspective, based; EU scope not established. This is a provisional connection, not an outcome finding.</w:t>
      </w:r>
    </w:p>
    <w:p>
      <w:pPr>
        <w:pStyle w:val="SourceNote"/>
      </w:pPr>
      <w:r>
        <w:rPr>
          <w:b/>
        </w:rPr>
        <w:t>Available abstract (not full text):</w:t>
      </w:r>
      <w:r>
        <w:t xml:space="preserve"> Aim: The present research was written to identify the problems of couples of Torkaman city from the perspective of Torkaman couples. Methods: This research was a qualitative content analysis method. The statistical population of this study included all Torkaman couples seeking divorce referred to the counseling center by the judiciary for peace and reconciliation. Twenty couples were selected based on purposive sampling and saturation criteria and participated in the study. An in-depth semi-structured interview method was used to collect the data. Results: After analyzing the data, 4 main categories of marital inefficiency, individual inefficiency, underlying conditions, and cultural conditions were obtained. Marital inefficiency included 14 sub-categories (couple's reaction in the event of a dispute, dysfunctional relationship, lack of alignment and coordination with each other, lack of sexual intimacy, infidelity, deprivation of love, disregard for kinship and friendship, failure to play marital roles, and destructive role of families, reaction of families when there is a dispute, lack of transparency and honesty in the relationship, inefficient life stages, negative attitude towards the future of the relationship, inattention and difference in religious attitude). Individual inefficiency included 1 sub-category (effective personality traits in divorce). Underlying conditions</w:t>
      </w:r>
    </w:p>
    <w:p>
      <w:pPr/>
      <w:r>
        <w:rPr>
          <w:b/>
        </w:rPr>
        <w:t>POSSIBLE 2021:</w:t>
      </w:r>
      <w:r>
        <w:t xml:space="preserve"> The construction of the affinity-seeking strategies of Airbnb homestay hosts — https://doi.org/10.1108/ijchm-10-2020-1157</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Purpose This study aims to explore the dimensions and sub-factors of Airbnb hosts’ affinity-seeking strategies. It also aims to build a conceptual framework of hosts’ affinity-seeking strategies and their impact on Airbnb guests’ feelings of affection toward their host and/or the homestay and their behavioral intentions. Design/methodology/approach Based on 150,161 Inside Airbnb online reviews in three major US cities, this study uses semantic analysis to explore processes through which hosts’ affinity-seeking strategies are constructed. Findings A conceptual framework is proposed to identify two dimensions (warmth and competency) and their sub-factors (“presenting friendly attitudes,” “showing personality traits,” “providing service and help” and “promoting social interaction and sharing”) of Airbnb homestay hosts’ affinity-seeking strategies. The framework shows a positive relationship between these strategies and guests’ affection and behavior in response. Practical implications The research findings provide valuable insights to hosts for improving their affinity and strengthening their competitive advantages. They also offer guidance to destination management organizations on how to build a positive destination image. Originality/value To the best of the authors’ knowledge, this study is the first to conceptualize Airbnb homestay hosts’ affinity-seeking strategies. It contr</w:t>
      </w:r>
    </w:p>
    <w:p>
      <w:pPr>
        <w:pStyle w:val="Heading2"/>
      </w:pPr>
      <w:r>
        <w:t>961. Will the real security foresight expert please stand up?</w:t>
      </w:r>
    </w:p>
    <w:p>
      <w:pPr>
        <w:pStyle w:val="SourceNote"/>
      </w:pPr>
      <w:r>
        <w:rPr>
          <w:b/>
        </w:rPr>
        <w:t>Original source (2014):</w:t>
      </w:r>
      <w:r>
        <w:t xml:space="preserve"> https://doi.org/10.1007/s40309-014-0037-6</w:t>
      </w:r>
    </w:p>
    <w:p>
      <w:pPr/>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POSSIBLE 2026:</w:t>
      </w:r>
      <w:r>
        <w:t xml:space="preserve"> Language teaching in Europe: A comparative overview of pedagogical, theoretical and decolonial approaches from the region — https://openalex.org/W7208794743</w:t>
      </w:r>
    </w:p>
    <w:p>
      <w:pPr/>
      <w:r>
        <w:rPr>
          <w:b/>
        </w:rPr>
        <w:t>Shared claim-specific concepts:</w:t>
      </w:r>
      <w:r>
        <w:t xml:space="preserve"> critical, comparative, overview, argues; EU scope visible. This is a provisional connection, not an outcome finding.</w:t>
      </w:r>
    </w:p>
    <w:p>
      <w:pPr>
        <w:pStyle w:val="SourceNote"/>
      </w:pPr>
      <w:r>
        <w:rPr>
          <w:b/>
        </w:rPr>
        <w:t>Available abstract (not full text):</w:t>
      </w:r>
      <w:r>
        <w:t xml:space="preserve">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pPr/>
      <w:r>
        <w:rPr>
          <w:b/>
        </w:rPr>
        <w:t>POSSIBLE 2026:</w:t>
      </w:r>
      <w:r>
        <w:t xml:space="preserve"> A Comparative Review of Healthcare Systems in India, the Middle East, and Europe: Strengths, Weaknesses, and Lessons for Improvement — https://doi.org/10.25258/ijddt.16.38s.65</w:t>
      </w:r>
    </w:p>
    <w:p>
      <w:pPr/>
      <w:r>
        <w:rPr>
          <w:b/>
        </w:rPr>
        <w:t>Shared claim-specific concepts:</w:t>
      </w:r>
      <w:r>
        <w:t xml:space="preserve"> critical, comparative, methods; EU scope visible. This is a provisional connection, not an outcome finding.</w:t>
      </w:r>
    </w:p>
    <w:p>
      <w:pPr>
        <w:pStyle w:val="SourceNote"/>
      </w:pPr>
      <w:r>
        <w:rPr>
          <w:b/>
        </w:rPr>
        <w:t>Available abstract (not full text):</w:t>
      </w:r>
      <w:r>
        <w:t xml:space="preserve"> Background: Healthcare systems vary significantly across global regions in their structure, financing, delivery, and outcomes. A comparative analysis of India, the Middle East, and Europe offers critical insight into the spectrum of health system performance, ranging from resource-constrained universal aspirations to oil-funded public systems and mature social insurance models. Objective: This paper critically examines the healthcare systems of India, selected Middle Eastern nations (Saudi Arabia, the United Arab Emirates, and Iran), and representative European countries (the United Kingdom, Germany, and Sweden), evaluating their organisational frameworks, financing mechanisms, access disparities, quality indicators, and reform trajectories. Methods: A narrative comparative review was conducted drawing on peer-reviewed literature, World Health Organization (WHO) reports, World Bank data, and regional health ministry publications. Thematic analysis was applied across six domains: governance, financing, access, quality, workforce, and technology. Results: European systems demonstrate high performance on equity, preventive care, and health outcomes, though face sustainability pressures from ageing populations and cost inflation. Middle Eastern systems have achieved rapid infrastructure development but struggle with over-reliance on expatriate health workers, public-private imbalan</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comparative, they;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Digitization and inclusive growth: Comparative evidence from Africa, Asia, and Europe — https://doi.org/10.1016/j.ssaho.2026.103262</w:t>
      </w:r>
    </w:p>
    <w:p>
      <w:pPr/>
      <w:r>
        <w:rPr>
          <w:b/>
        </w:rPr>
        <w:t>Shared claim-specific concepts:</w:t>
      </w:r>
      <w:r>
        <w:t xml:space="preserve"> critical, comparative, many; EU scope visible. This is a provisional connection, not an outcome finding.</w:t>
      </w:r>
    </w:p>
    <w:p>
      <w:pPr>
        <w:pStyle w:val="SourceNote"/>
      </w:pPr>
      <w:r>
        <w:rPr>
          <w:b/>
        </w:rPr>
        <w:t>Available abstract (not full text):</w:t>
      </w:r>
      <w:r>
        <w:t xml:space="preserve"> While developed nations benefit from advanced digital infrastructure, many middle and low-income countries lag in ICT adoption. This study examines how digitization impacts inclusive growth measured by youth unemployment, poverty, and income inequality across Africa, Asia, and Europe. Africa represents lagging ICT adoption, Asia reflects intermediate development, and Europe captures advanced digital economies. Using panel data from 2000 to 2023, the study analyses three ICT indicators specifically mobile cellular subscriptions, internet usage, and fixed broadband subscriptions. Findings are shown using the Driscoll-Kraay regression to address cross-sectional dependence and slope heterogeneity. In Africa, mobile subscriptions significantly reduce youth unemployment, poverty, and inequality. Internet use and broadband access significantly reduce only income inequality in Africa. In Asia and Europe, all ICT indicators consistently reduce poverty and inequality, suggesting improved digital systems. In Asia, higher internet use is associated with rising youth unemployment, indicating possible skill mismatches. In Europe, ICT has no significant impact on youth unemployment. These findings underscore the need for region-specific digital strategies. In Africa, mobile network expansion remains critical, while Asia and Europe should align digital access with labour market demands to maxi</w:t>
      </w:r>
    </w:p>
    <w:p>
      <w:pPr/>
      <w:r>
        <w:rPr>
          <w:b/>
        </w:rPr>
        <w:t>POSSIBLE 2026:</w:t>
      </w:r>
      <w:r>
        <w:t xml:space="preserve"> Critical theory and European labour law : insights from the past — https://openalex.org/W7114825387</w:t>
      </w:r>
    </w:p>
    <w:p>
      <w:pPr/>
      <w:r>
        <w:rPr>
          <w:b/>
        </w:rPr>
        <w:t>Shared claim-specific concepts:</w:t>
      </w:r>
      <w:r>
        <w:t xml:space="preserve"> critical, comparative, different; EU scope visible. This is a provisional connection, not an outcome finding.</w:t>
      </w:r>
    </w:p>
    <w:p>
      <w:pPr>
        <w:pStyle w:val="SourceNote"/>
      </w:pPr>
      <w:r>
        <w:rPr>
          <w:b/>
        </w:rPr>
        <w:t>Available abstract (not full text):</w:t>
      </w:r>
      <w:r>
        <w:t xml:space="preserve"> This chapter employs insights from critical theory to critique the current shape of European labour law and to generate insights into the different political, economic, and social factors which shaped its development. In order to undertake such a critique, this chapter operationalises critical theory through minor literature and comparative law, or the concept of a ‘minor comparativism’. A ‘minor comparativism’ as a legal method aims to reveal something about the legal system that would not reveal itself but through the practice of adopting a ‘foreign’ or ‘minority’ perspective; focusing on those whose views have escaped the legal record. It enables scholars and policymakers both to challenge conventional assumptions and to reimagine the development of the legal system by taking up the reflections of the minority. By adopting such a perspective, the critique of European labour law’s historical development unearths the foundational value of solidarity and considers how this value provides opportunities for scholars and policymakers to develop different starting points for European labour law’s development.</w:t>
      </w:r>
    </w:p>
    <w:p>
      <w:pPr/>
      <w:r>
        <w:rPr>
          <w:b/>
        </w:rPr>
        <w:t>POSSIBLE 2025:</w:t>
      </w:r>
      <w:r>
        <w:t xml:space="preserve"> Emergency Regimes in the European Constitutions – A Comparative Overview — https://doi.org/10.1017/err.2025.22</w:t>
      </w:r>
    </w:p>
    <w:p>
      <w:pPr/>
      <w:r>
        <w:rPr>
          <w:b/>
        </w:rPr>
        <w:t>Shared claim-specific concepts:</w:t>
      </w:r>
      <w:r>
        <w:t xml:space="preserve"> comparative, overview, they, many; EU scope visible. This is a provisional connection, not an outcome finding.</w:t>
      </w:r>
    </w:p>
    <w:p>
      <w:pPr>
        <w:pStyle w:val="SourceNote"/>
      </w:pPr>
      <w:r>
        <w:rPr>
          <w:b/>
        </w:rPr>
        <w:t>Available abstract (not full text):</w:t>
      </w:r>
      <w:r>
        <w:t xml:space="preserve">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pPr/>
      <w:r>
        <w:rPr>
          <w:b/>
        </w:rPr>
        <w:t>POSSIBLE 2025:</w:t>
      </w:r>
      <w:r>
        <w:t xml:space="preserve"> Regulation of laboratory-developed tests and in-house in vitro diagnostic medical devices in the United States and the European Union—a comparative overview — https://doi.org/10.1016/j.esmoop.2025.105909</w:t>
      </w:r>
    </w:p>
    <w:p>
      <w:pPr/>
      <w:r>
        <w:rPr>
          <w:b/>
        </w:rPr>
        <w:t>Shared claim-specific concepts:</w:t>
      </w:r>
      <w:r>
        <w:t xml:space="preserve"> critical, comparative, overview, used; EU scope visible. This is a provisional connection, not an outcome finding.</w:t>
      </w:r>
    </w:p>
    <w:p>
      <w:pPr>
        <w:pStyle w:val="SourceNote"/>
      </w:pPr>
      <w:r>
        <w:rPr>
          <w:b/>
        </w:rPr>
        <w:t>Available abstract (not full text):</w:t>
      </w:r>
      <w:r>
        <w:t xml:space="preserve">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pPr/>
      <w:r>
        <w:rPr>
          <w:b/>
        </w:rPr>
        <w:t>POSSIBLE 2025:</w:t>
      </w:r>
      <w:r>
        <w:t xml:space="preserve"> Comparative measurements of circular economy performance among European countries: Reviewing approaches and limitations — https://doi.org/10.1016/j.jenvman.2025.124414</w:t>
      </w:r>
    </w:p>
    <w:p>
      <w:pPr/>
      <w:r>
        <w:rPr>
          <w:b/>
        </w:rPr>
        <w:t>Shared claim-specific concepts:</w:t>
      </w:r>
      <w:r>
        <w:t xml:space="preserve"> critical, comparative, methods, help; EU scope visible. This is a provisional connection, not an outcome finding.</w:t>
      </w:r>
    </w:p>
    <w:p>
      <w:pPr>
        <w:pStyle w:val="SourceNote"/>
      </w:pPr>
      <w:r>
        <w:rPr>
          <w:b/>
        </w:rPr>
        <w:t>Available abstract (not full text):</w:t>
      </w:r>
      <w:r>
        <w:t xml:space="preserve"> Dissensions among specialists over progress of the European Union (EU) strategies for transitioning into circular economy (CE) could be resolved by assessments of countries' performance in this area. Measuring levels of circularity is however in its elementary stages and numerous efforts have been made to improve current CE indicators frameworks. While literature on the topic proliferates and increasing numbers of studies comparing countries' degrees of advance confirm the importance of this research field, a lack of publications reviewing methodological approaches and outcomes of comparative analyses is noticeable. This review is one of the early contributions to fill this gap, reflecting on disparate results of CE performance ranking and clustering despite using the same databases (e.g. Eurostat), on limitations of such studies, and their contributions. Conducting a systematic review, we applied specific procedures to select illustrative examples of studies, replicating their methods alongside additional descriptive statistics to characterise distinctive features of CE progress not presented by the examined articles, which highlight aspects that help clarify details of their findings. A critical discussion section of this paper provides insights into unexplored aspects of limitations identified through in-depth reflections on the reviewed studies, opening avenues for further </w:t>
      </w:r>
    </w:p>
    <w:p>
      <w:pPr/>
      <w:r>
        <w:rPr>
          <w:b/>
        </w:rPr>
        <w:t>POSSIBLE 2025:</w:t>
      </w:r>
      <w:r>
        <w:t xml:space="preserve"> An Overview of Intelligent Transportation Systems in Europe — https://doi.org/10.3390/wevj16070387</w:t>
      </w:r>
    </w:p>
    <w:p>
      <w:pPr/>
      <w:r>
        <w:rPr>
          <w:b/>
        </w:rPr>
        <w:t>Shared claim-specific concepts:</w:t>
      </w:r>
      <w:r>
        <w:t xml:space="preserve"> overview, many; EU scope visible. This is a provisional connection, not an outcome finding.</w:t>
      </w:r>
    </w:p>
    <w:p>
      <w:pPr>
        <w:pStyle w:val="SourceNote"/>
      </w:pPr>
      <w:r>
        <w:rPr>
          <w:b/>
        </w:rPr>
        <w:t>Available abstract (not full text):</w:t>
      </w:r>
      <w:r>
        <w:t xml:space="preserve"> A revolutionary approach to improving the efficiency, safety and sustainability of transport networks across the continent is the deployment of Intelligent Transport Systems (ITS) in Europe. Since the European Commission’s 2010 Directive, the Framework for the Deployment of ITS has made significant progress to address important issues such as traffic congestion, road safety and environmental impact. ITS is considered essential for achieving the EU’s ambitious climate goals and for improving the quality of urban life through innovative mobility solutions.ITS has a vital role in optimizing transportation operations and integrating complex technologies such as vehicle-to-vehicle communication, real-time data analysis, and automated traffic management. This integration has improved the transportation ecosystem, providing both operators and users with better decision-making opportunities. Studies show that ITS initiatives also have many socioeconomic benefits, such as reduced fuel consumption and shorter travel times.In Europe, the development of ITS face obstacles despite progress. These include regulatory issues, technical interoperability issues and the need to increase data sharing between stakeholders. These issues have sparked ongoing discussions about the effectiveness of the current legislative framework and the need for more uniform policies to promote innovation and cooper</w:t>
      </w:r>
    </w:p>
    <w:p>
      <w:pPr/>
      <w:r>
        <w:rPr>
          <w:b/>
        </w:rPr>
        <w:t>POSSIBLE 2024:</w:t>
      </w:r>
      <w:r>
        <w:t xml:space="preserve"> A COMPARATIVE REVIEW OF DATA ENCRYPTION METHODS IN THE USA AND EUROPE — https://doi.org/10.51594/csitrj.v5i2.815</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Data encryption is a critical aspect of modern information security, and understanding the approaches taken by different regions is vital for a comprehensive analysis. In the United States and Europe, data encryption methods vary in implementation, legal frameworks, and overall priorities. In the United States, encryption methods are primarily governed by a combination of federal laws and industry standards. The National Institute of Standards and Technology (NIST) plays a central role in recommending cryptographic standards, while the Department of Commerce oversees export controls on encryption technology. The focus in the U.S. is on balancing national security needs with individual privacy rights. The tension between law enforcement's desire for access to encrypted data for criminal investigations and the right to privacy has sparked debates and legal battles. On the other hand, Europe has taken a more privacy-centric approach to data protection. The General Data Protection Regulation (GDPR) is a cornerstone in the European Union's efforts to safeguard individual privacy rights. GDPR mandates the use of encryption to protect personal data, and failure to implement adequate measures can result in hefty fines. European countries also emphasize the importance of end-to-end encryption in communication services to ensure confidentiality. Both regions prioritize encryption, but th</w:t>
      </w:r>
    </w:p>
    <w:p>
      <w:pPr/>
      <w:r>
        <w:rPr>
          <w:b/>
        </w:rPr>
        <w:t>POSSIBLE 2024:</w:t>
      </w:r>
      <w:r>
        <w:t xml:space="preserve"> ENTREPRENEURIAL ECOSYSTEMS IN THE USA: A COMPARATIVE REVIEW WITH EUROPEAN MODELS — https://doi.org/10.51594/ijmer.v6i2.799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This Review provides a concise overview of a comparative review exploring entrepreneurial ecosystems in the United States and their counterparts in Europe. The examination seeks to identify key characteristics, strengths, and challenges within these ecosystems, shedding light on the factors influencing entrepreneurship on both sides of the Atlantic. The entrepreneurial landscape in the United States has long been considered a global benchmark, characterized by a dynamic ecosystem that nurtures innovation, risk-taking, and venture capital. This review engages in a comparative analysis, juxtaposing the American entrepreneurial ecosystem with models prevalent in Europe. It delves into the structural elements, support mechanisms, and cultural factors that shape and differentiate these ecosystems. In the USA, a robust ecosystem is marked by a convergence of factors such as world-class universities, a prolific venture capital landscape, and a culture that embraces risk and failure as integral to the entrepreneurial journey. The review scrutinizes how these elements contribute to the rapid formation and scaling of startups, fostering a culture of innovation and resilience. Contrastingly, European entrepreneurial ecosystems exhibit a diverse range of models influenced by regional variations in culture, regulatory environments, and historical contexts. The analysis probes into the stren</w:t>
      </w:r>
    </w:p>
    <w:p>
      <w:pPr/>
      <w:r>
        <w:rPr>
          <w:b/>
        </w:rPr>
        <w:t>POSSIBLE 2024:</w:t>
      </w:r>
      <w:r>
        <w:t xml:space="preserve"> Comparative Literature in Europe — https://doi.org/10.1515/9783110645033-049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A Short Prognosis (as presented at the ACLA meeting in Utrecht on 6 July, 2017)The first prerequisite for a prognosis regarding the future of European comparatism would logically be to give a full overview of CompLit, or, in order to avoid problems of terminology, General and/or Comparative Literature, as it is in Europe today.Now this would entail a major effort, not only because Europe is such a difficult geographical, political, ethnic, cultural, and linguistic entity and is hard to define for our purpose, but also because there is no such thing as a general European logic behind the development of sciences and scholarly work, even though the European Council and the European Union as well as other political unities would perhaps nurture expectations and develop programmes along that line.Even worse: At this moment, we are tempted to quote Chinua Achebe: Things fall apart.Which means that we can only sum up some facts as they are, and some impressions, which need not be correct in each and every detail.Europe comprises some 47 countriescounting the very small ones like San Marino and the very distant ones (from here) like Kazakhstan, or contested ones like Cyprus or Kosovo.To make it easier, let us count 40 larger states, seven of which are successors of former Yugoslavia, with a total of ¾ billion people.Belgium, Bulgaria, Croatia, Estonia, Finland, France, Georgia, Greece,</w:t>
      </w:r>
    </w:p>
    <w:p>
      <w:pPr>
        <w:pStyle w:val="Heading2"/>
      </w:pPr>
      <w:r>
        <w:t>962. A strategic energy technology policy towards 2050: no-regret strategies for European technology push</w:t>
      </w:r>
    </w:p>
    <w:p>
      <w:pPr>
        <w:pStyle w:val="SourceNote"/>
      </w:pPr>
      <w:r>
        <w:rPr>
          <w:b/>
        </w:rPr>
        <w:t>Original source (2013):</w:t>
      </w:r>
      <w:r>
        <w:t xml:space="preserve"> https://doi.org/10.1504/ijetp.2013.058143</w:t>
      </w:r>
    </w:p>
    <w:p>
      <w:pPr/>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security;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2025:</w:t>
      </w:r>
      <w:r>
        <w:t xml:space="preserve"> H2 and CO2 network strategies for the European energy system — https://doi.org/10.1038/s41560-025-01752-6</w:t>
      </w:r>
    </w:p>
    <w:p>
      <w:pPr/>
      <w:r>
        <w:rPr>
          <w:b/>
        </w:rPr>
        <w:t>Shared claim-specific concepts:</w:t>
      </w:r>
      <w:r>
        <w:t xml:space="preserve"> energy, effective, carbon;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2024:</w:t>
      </w:r>
      <w:r>
        <w:t xml:space="preserve"> Assessing Critical Raw Materials and Their Supply Risk in Energy Technologies—A Literature Review — https://doi.org/10.3390/en18010086</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Climate change is leading modern society to seek innovative solutions for sustainable development and a zero-carbon economy. Nevertheless, new technologies strongly rely on precious raw materials and might suffer from supply chain risks. The European Union has identified a set of raw materials deemed to be critical or strategic because they appear essential for energy transition technologies. Consequently, long-term energy system planning must factor in the availability of these critical raw materials when selecting specific technologies, as their supply could be affected by global policies or conflicts. This paper provides a literature review on the assessment of critical raw materials in energy technologies comparing the main approaches on critical raw materials content assessment in technologies, long-term planning studies considering critical raw materials, and the development of indicators for critical raw materials content in energy technologies. The main findings of this review suggest that existing reliable databases with the bill of materials, such as life cycle inventories, should be exploited and that proper indicators to rank the criticality of materials and the importance of a specific technology should be developed. These findings are discussed and organized proposing a method for the optimal planning of an energy technologies mix in regional or national energy sy</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discuss, energy, security;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Role of Renewable Energy Adoption in Reducing Climate Change Impacts in Europe — https://doi.org/10.47672/ajcs.2336</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2024:</w:t>
      </w:r>
      <w:r>
        <w:t xml:space="preserve"> Strengthening European Energy Policy — https://doi.org/10.1007/978-3-031-66481-6</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This open access book is collaborations between the Social Sciences and Humanities, and Science, Technology, Engineering Mathematics disciplines</w:t>
      </w:r>
    </w:p>
    <w:p>
      <w:pPr/>
      <w:r>
        <w:rPr>
          <w:b/>
        </w:rPr>
        <w:t>POSSIBLE 2024:</w:t>
      </w:r>
      <w:r>
        <w:t xml:space="preserve"> European roadmaps to achieving 2030 renewable energy targets — https://doi.org/10.1016/j.jup.2024.101729</w:t>
      </w:r>
    </w:p>
    <w:p>
      <w:pPr/>
      <w:r>
        <w:rPr>
          <w:b/>
        </w:rPr>
        <w:t>Shared claim-specific concepts:</w:t>
      </w:r>
      <w:r>
        <w:t xml:space="preserve"> energy, effective; EU scope visible. This is a provisional connection, not an outcome finding.</w:t>
      </w:r>
    </w:p>
    <w:p>
      <w:pPr>
        <w:pStyle w:val="SourceNote"/>
      </w:pPr>
      <w:r>
        <w:rPr>
          <w:b/>
        </w:rPr>
        <w:t>Available abstract (not full text):</w:t>
      </w:r>
      <w:r>
        <w:t xml:space="preserve"> Increasing the renewable energy share of electricity generation is central to decarbonization policies, and the European Union has set up binding 2030 targets. This study evaluates the potential enhancement of these countries’ paths toward these targets and provides insights into their performance in meeting their National Energy and Climate Plan targets. It predicts the distance to these targets through a three-step approach and estimates potential improvements. European performance could improve by 1.65% by 2030 if it emulates top-performing countries, independent of further policy interventions. These insights can aid policymakers in designing effective policies and utilities in developing industrial strategies.</w:t>
      </w:r>
    </w:p>
    <w:p>
      <w:pPr/>
      <w:r>
        <w:rPr>
          <w:b/>
        </w:rPr>
        <w:t>POSSIBLE 2023:</w:t>
      </w:r>
      <w:r>
        <w:t xml:space="preserve"> Proposal for a sustainability framework for energy technologies — https://doi.org/10.2760/11063</w:t>
      </w:r>
    </w:p>
    <w:p>
      <w:pPr/>
      <w:r>
        <w:rPr>
          <w:b/>
        </w:rPr>
        <w:t>Shared claim-specific concepts:</w:t>
      </w:r>
      <w:r>
        <w:t xml:space="preserve"> energy, technology, security; EU scope visible. This is a provisional connection, not an outcome finding.</w:t>
      </w:r>
    </w:p>
    <w:p>
      <w:pPr>
        <w:pStyle w:val="SourceNote"/>
      </w:pPr>
      <w:r>
        <w:rPr>
          <w:b/>
        </w:rPr>
        <w:t>Available abstract (not full text):</w:t>
      </w:r>
      <w:r>
        <w:t xml:space="preserve">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discuss, energy, technology, technological, focus;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The Use of Information and Communication Technologies and Renewable Energy in Europe — https://doi.org/10.4018/978-1-6684-5996-6.ch009</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pPr/>
      <w:r>
        <w:rPr>
          <w:b/>
        </w:rPr>
        <w:t>POSSIBLE 2023:</w:t>
      </w:r>
      <w:r>
        <w:t xml:space="preserve"> Energy Economic Development in Europe — https://doi.org/10.3390/books978-3-0365-7112-6</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pStyle w:val="Heading2"/>
      </w:pPr>
      <w:r>
        <w:t>963. Alternative future energy pathways: Assessment of the potential of innovative decentralised energy systems in the UK</w:t>
      </w:r>
    </w:p>
    <w:p>
      <w:pPr>
        <w:pStyle w:val="SourceNote"/>
      </w:pPr>
      <w:r>
        <w:rPr>
          <w:b/>
        </w:rPr>
        <w:t>Original source (2013):</w:t>
      </w:r>
      <w:r>
        <w:t xml:space="preserve"> https://doi.org/10.1016/j.enpol.2013.10.080</w:t>
      </w:r>
    </w:p>
    <w:p>
      <w:pPr/>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POSSIBLE 2026:</w:t>
      </w:r>
      <w:r>
        <w:t xml:space="preserve"> Fleet renewal and retrofit for emission reductions in offshore logistics — https://doi.org/10.1016/j.martra.2026.100150</w:t>
      </w:r>
    </w:p>
    <w:p>
      <w:pPr/>
      <w:r>
        <w:rPr>
          <w:b/>
        </w:rPr>
        <w:t>Shared claim-specific concepts:</w:t>
      </w:r>
      <w:r>
        <w:t xml:space="preserve"> order, meet, reduction, system, case; EU scope not established. This is a provisional connection, not an outcome finding.</w:t>
      </w:r>
    </w:p>
    <w:p>
      <w:pPr>
        <w:pStyle w:val="SourceNote"/>
      </w:pPr>
      <w:r>
        <w:rPr>
          <w:b/>
        </w:rPr>
        <w:t>Available abstract (not full text):</w:t>
      </w:r>
      <w:r>
        <w:t xml:space="preserve"> To achieve the emission reduction targets set by the maritime industry, large investments must be made in renewing and retrofitting the existing fleets in various shipping segments. This paper studies the strategic supply vessel fleet renewal and retrofit problem (SVFRRP) for guiding the transition towards a greener fleet of platform supply vessels (PSVs) used for offshore oil and gas logistics. Since the future costs of the different relevant fuel types are uncertain, we propose a new two-stage integer stochastic programming model for the SVFRRP. In each time period of the planning horizon, the model includes strategic decisions to meet the specified emission requirements. Existing vessels might be retrofitted to a new power system, or scrapped, while new vessels can be acquired and introduced to the fleet. Furthermore, the fleet deployment is considered, controlling the use of each vessel in order to fulfill the required cargo demands at each offshore installation serviced by the PSV fleet. We perform an extensive assessment of available fuel technologies for PSVs and use this in computational analyses for two real case studies from the Norwegian oil and gas industry. We compare the optimal fleet renewal strategies and corresponding costs from different emission reduction trajectories, and the results from the analyses provide valuable insights to the impact of various emissi</w:t>
      </w:r>
    </w:p>
    <w:p>
      <w:pPr/>
      <w:r>
        <w:rPr>
          <w:b/>
        </w:rPr>
        <w:t>POSSIBLE 2026:</w:t>
      </w:r>
      <w:r>
        <w:t xml:space="preserve"> Optimized fractional-order control for finite-time stabilization of energy-saving and emission-reduction process — https://doi.org/10.1080/02286203.2026.2708078</w:t>
      </w:r>
    </w:p>
    <w:p>
      <w:pPr/>
      <w:r>
        <w:rPr>
          <w:b/>
        </w:rPr>
        <w:t>Shared claim-specific concepts:</w:t>
      </w:r>
      <w:r>
        <w:t xml:space="preserve"> meet, system, systems; EU scope not established. This is a provisional connection, not an outcome finding.</w:t>
      </w:r>
    </w:p>
    <w:p>
      <w:pPr>
        <w:pStyle w:val="SourceNote"/>
      </w:pPr>
      <w:r>
        <w:rPr>
          <w:b/>
        </w:rPr>
        <w:t>Available abstract (not full text):</w:t>
      </w:r>
      <w:r>
        <w:t xml:space="preserve"> This paper presents a novel finite-time stabilization method for an energy-saving and emission-reduction hyperchaotic system (F-oESERHS), modeled by fractional-order (Fr-o) differential equations. The proposed modified fractional-order prediction-based controller (MFoP-bC), which is characterized by the difference between the fractional form of the predicted future state error vector of the uncontrolled fractional-order chaotic system (Fo-CS) and the current state error vector, is developed to stabilize the unstable equilibrium points (EPs) of the F-oESERHS in finite time. The two components of the control law are scaled by matrices consisting of elementary gain coefficients, which are subject to optimization. The design process is formulated as a multiobjective optimization problem to meet finite-time stabilization performance criteria. Finite-time stability (FT-Stab) is rigorously established via the Lyapunov direct method, incorporating recent theoretical stability results for Fr-o systems. Furthermore, the proposed enhanced artificial gorilla troops algorithm (E-AGTA) is employed as the optimization tool. A barrier function is used to handle the convex optimization interaction between the E-AGTA and the system under consideration. Finally, numerical simulations and a comparative analysis of four control strategies are performed to validate the effectiveness of the proposed </w:t>
      </w:r>
    </w:p>
    <w:p>
      <w:pPr/>
      <w:r>
        <w:rPr>
          <w:b/>
        </w:rPr>
        <w:t>POSSIBLE 2026:</w:t>
      </w:r>
      <w:r>
        <w:t xml:space="preserve"> LDL CHOLESTEROL TARGETS IN SECONDARY PREVENTION: HOW TO MEET THIS CHALLENGE? — https://doi.org/10.54033/stebook.978-65-83309-61-7_8</w:t>
      </w:r>
    </w:p>
    <w:p>
      <w:pPr/>
      <w:r>
        <w:rPr>
          <w:b/>
        </w:rPr>
        <w:t>Shared claim-specific concepts:</w:t>
      </w:r>
      <w:r>
        <w:t xml:space="preserve"> meet, challenge, case, present, high; EU scope not established. This is a provisional connection, not an outcome finding.</w:t>
      </w:r>
    </w:p>
    <w:p>
      <w:pPr>
        <w:pStyle w:val="SourceNote"/>
      </w:pPr>
      <w:r>
        <w:rPr>
          <w:b/>
        </w:rPr>
        <w:t>Available abstract (not full text):</w:t>
      </w:r>
      <w:r>
        <w:t xml:space="preserve"> Complex abdominal wall hernias present a significant challenge in general surgery, characterized by high recurrence rates and associated complications.This study aims to identify and analyze the main predictive factors for the development of these hernias, motivated by the need to optimize surgical planning and improve patient outcomes.To this end, an integrative literature review was conducted using the PICO strategy.Five full-text articles in English were selected from the PubMed, SciELO, and Cochrane Library databases, covering the period from 2014 to 2024.Exclusion criteria included studies not available in full, case studies, and experience reports that did not directly address the topic.The findings indicate that factors such as obesity, smoking, previous surgeries, surgical site infections, and certain medical conditions are significant predictors.It is concluded that the identification and management of these predictive factors are essential for reducing the risk of complex hernias and improving surgical outcomes.</w:t>
      </w:r>
    </w:p>
    <w:p>
      <w:pPr/>
      <w:r>
        <w:rPr>
          <w:b/>
        </w:rPr>
        <w:t>POSSIBLE 2026:</w:t>
      </w:r>
      <w:r>
        <w:t xml:space="preserve"> Value-Engineered Design Optimization of a Recycled Plastic Bracket to Meet Natural Frequency Targets in Passenger Vehicles — https://doi.org/10.4271/2026-26-0355</w:t>
      </w:r>
    </w:p>
    <w:p>
      <w:pPr/>
      <w:r>
        <w:rPr>
          <w:b/>
        </w:rPr>
        <w:t>Shared claim-specific concepts:</w:t>
      </w:r>
      <w:r>
        <w:t xml:space="preserve"> order, meet, present; EU scope not established. This is a provisional connection, not an outcome finding.</w:t>
      </w:r>
    </w:p>
    <w:p>
      <w:pPr>
        <w:pStyle w:val="SourceNote"/>
      </w:pPr>
      <w:r>
        <w:rPr>
          <w:b/>
        </w:rPr>
        <w:t>Available abstract (not full text):</w:t>
      </w:r>
      <w:r>
        <w:t xml:space="preserve"> Engine mount brackets are a primary structural components of passenger vehicles that supports the powertrain to the chassis via engine mounts. These brackets are important to control vibrations and the transmission of noise into the cabin as well as vehicle stability. Since they support the engine mounts, these brackets play a role in determining ride comfort and load distribution on the mounts and the engine. While traditionally made from steel, cast iron and aluminum, we are trying to redesign engine mount brackets with recyclable engineering plastics to fit current demands of light-weighting, cost efficiency, and sustainability. The present work is concerned with the design of a plastic engine mount bracket, which aims to hit specified natural frequency targets in order to avoid resonance and fulfill strict NVH (Noise, Vibration, and Harshness) requirements. Because of the superior mechanical strength, thermal stability, and vibration-dampening properties, PPS, glass-fiber reinforced polyamide (PA66-GF50), PEEK (polyether ether ketone), and other high-performance reinforced plastics like polyphenylene sulfide were taken into consideration. These materials can be used in structural automotive applications in place of metals. Through the Finite Element Analysis, modal analysis, CAE based durability simulations and vehicle-level testing the optimized bracket proven to meet stru</w:t>
      </w:r>
    </w:p>
    <w:p>
      <w:pPr/>
      <w:r>
        <w:rPr>
          <w:b/>
        </w:rPr>
        <w:t>POSSIBLE 2025:</w:t>
      </w:r>
      <w:r>
        <w:t xml:space="preserve"> When order execution meets informed trading — https://doi.org/10.1080/14697688.2025.2479049</w:t>
      </w:r>
    </w:p>
    <w:p>
      <w:pPr/>
      <w:r>
        <w:rPr>
          <w:b/>
        </w:rPr>
        <w:t>Shared claim-specific concepts:</w:t>
      </w:r>
      <w:r>
        <w:t xml:space="preserve"> order, target, high; EU scope not established. This is a provisional connection, not an outcome finding.</w:t>
      </w:r>
    </w:p>
    <w:p>
      <w:pPr>
        <w:pStyle w:val="SourceNote"/>
      </w:pPr>
      <w:r>
        <w:rPr>
          <w:b/>
        </w:rPr>
        <w:t>Available abstract (not full text):</w:t>
      </w:r>
      <w:r>
        <w:t xml:space="preserve"> Various participants trade simultaneously in modern financial markets. We study the interaction between the institutional investor driven by a position target and multiple informed traders possessing long-lived information. The problem is formulated as a Stackelberg-Nash game in the linear price impact model. We solve the problem explicitly and obtain the unique equilibrium. Informed traders first engage in predatory trading and then quickly provide much liquidity to the institutional investor. The advantage in transaction costs encourages informed traders to intensify predation but fierce competition forces them to focus on liquidity provision. The institutional investor always employs a well-known U-shape trading strategy regardless of the magnitude of transaction costs and the number of informed traders, and tends to trade more uniformly with high transaction costs and more informed traders. Orders posted by the institutional investor distort the originally efficient price while informed traders trade in the opposite direction to keep the price from deviating too far from the value. We propose a conjecture that transient price impact may be caused by informed trading. An approximately exponential decay is derived with linear permanent and temporary price impacts, and the convergence speed depends on informed traders' transaction costs.</w:t>
      </w:r>
    </w:p>
    <w:p>
      <w:pPr/>
      <w:r>
        <w:rPr>
          <w:b/>
        </w:rPr>
        <w:t>POSSIBLE 2025:</w:t>
      </w:r>
      <w:r>
        <w:t xml:space="preserve"> Opportunities for Emission Reduction in the Transformation of Petroleum Refining — https://doi.org/10.3390/fuels6030066</w:t>
      </w:r>
    </w:p>
    <w:p>
      <w:pPr/>
      <w:r>
        <w:rPr>
          <w:b/>
        </w:rPr>
        <w:t>Shared claim-specific concepts:</w:t>
      </w:r>
      <w:r>
        <w:t xml:space="preserve"> carbon, emissions, reduction, energy, potential; EU scope not established. This is a provisional connection, not an outcome finding.</w:t>
      </w:r>
    </w:p>
    <w:p>
      <w:pPr>
        <w:pStyle w:val="SourceNote"/>
      </w:pPr>
      <w:r>
        <w:rPr>
          <w:b/>
        </w:rPr>
        <w:t>Available abstract (not full text):</w:t>
      </w:r>
      <w:r>
        <w:t xml:space="preserve"> Crude oil accounts for approximately 40% of global energy consumption, and the refining sector is a major contributor to greenhouse gas (GHG) emissions, particularly through the production of hard-to-abate fuels such as aviation fuel and fuel oil. This study disaggregates the refinery into its key process units to identify decarbonization opportunities along the entire production chain. Units are categorized into combustion-based processes—including crude and vacuum distillation, hydrogen production, coking, and fluid catalytic cracking—and non-combustion processes, which exhibit lower emission intensities. The analysis reveals that GHG emissions can be reduced by up to 60% with currently available technologies, without requiring major structural changes. Electrification, residual heat recovery, renewable hydrogen for desulfurization, and process optimization through digital twins are identified as priority measures, many of which are also economically viable in the short term. However, achieving full decarbonization and alignment with net-zero targets will require the deployment of carbon capture technologies. These results highlight the significant potential for emission reduction in refineries and reinforce their strategic role in enabling the transition toward low-carbon fuels.</w:t>
      </w:r>
    </w:p>
    <w:p>
      <w:pPr/>
      <w:r>
        <w:rPr>
          <w:b/>
        </w:rPr>
        <w:t>POSSIBLE 2025:</w:t>
      </w:r>
      <w:r>
        <w:t xml:space="preserve"> Energy transition and emissions reductions – some inconvenient truths — https://doi.org/10.1071/ep24026</w:t>
      </w:r>
    </w:p>
    <w:p>
      <w:pPr/>
      <w:r>
        <w:rPr>
          <w:b/>
        </w:rPr>
        <w:t>Shared claim-specific concepts:</w:t>
      </w:r>
      <w:r>
        <w:t xml:space="preserve"> order, meet, carbon, emissions, reduction, energy; EU scope not established. This is a provisional connection, not an outcome finding.</w:t>
      </w:r>
    </w:p>
    <w:p>
      <w:pPr>
        <w:pStyle w:val="SourceNote"/>
      </w:pPr>
      <w:r>
        <w:rPr>
          <w:b/>
        </w:rPr>
        <w:t>Available abstract (not full text):</w:t>
      </w:r>
      <w:r>
        <w:t xml:space="preserve"> Global energy demand is still increasing as the world’s population continues to grow and urbanisation continues in developing countries. Renewable energy has made swift progress, with wind and solar power (variable renewable energy sources) increasing at a rapid rate and now making up a significant proportion of power generation in many developed countries. However, other forms of low emissions energy production and emission reduction technologies have not developed as quickly, meaning that fossil fuel use also continues to increase in order to meet the increasing demand for energy, and, as a result, carbon dioxide emissions have also continued to increase. Against this backdrop, many countries have committed to reducing carbon dioxide emissions and their dependence on fossil fuels with most large emitting countries now committing to ‘net zero’ targets sometime in the second half of this century. But global emissions are still increasing. Why are emissions still increasing and how are we balancing the increasingly complex story of meeting increasing energy demand with reducing emissions? What is required to get to net zero, and are we on a pathway to achieve this goal? This paper and presentation will investigate progress to date, identifying both successes and challenges, highlighting ‘easy’ options to reduce emissions and pointing out some lesser-known facts about the changes</w:t>
      </w:r>
    </w:p>
    <w:p>
      <w:pPr/>
      <w:r>
        <w:rPr>
          <w:b/>
        </w:rPr>
        <w:t>POSSIBLE 2025:</w:t>
      </w:r>
      <w:r>
        <w:t xml:space="preserve"> Case Study on Role of Solar Energy in Greenhouse Gas Emissions Reduction in India — https://doi.org/10.52783/jisem.v10i19s.3058</w:t>
      </w:r>
    </w:p>
    <w:p>
      <w:pPr/>
      <w:r>
        <w:rPr>
          <w:b/>
        </w:rPr>
        <w:t>Shared claim-specific concepts:</w:t>
      </w:r>
      <w:r>
        <w:t xml:space="preserve"> order, meet, carbon, emissions, reduction, energy; EU scope not established. This is a provisional connection, not an outcome finding.</w:t>
      </w:r>
    </w:p>
    <w:p>
      <w:pPr>
        <w:pStyle w:val="SourceNote"/>
      </w:pPr>
      <w:r>
        <w:rPr>
          <w:b/>
        </w:rPr>
        <w:t>Available abstract (not full text):</w:t>
      </w:r>
      <w:r>
        <w:t xml:space="preserve"> Degradation of the environment and greenhouse gas emissions, especially of carbon dioxide, have increased issues with human health and the atmosphere. India, the world's second most populous nation, is one of the main consumers of conventional resources, which contributes to global warming. Before 2050, the growth rate is expected to expand even further, which will accelerate the expansion of industry and drive-up energy consumption. Many nations use alternative forms of renewable energy, especially solar energy, to meet their energy needs and reduce carbon emissions. Our goal in this assessment is to examine solar panel initiatives started by India, with a particular emphasis on the National Solar Mission. This paper also examines the current installed solar capacity, the 2022 solar panel plan, as well as the initiatives and results of solar panel installations in homes and businesses. A recent wave of climate efforts has set off a reduction in CO2 emissions to produce electricity. Numerous nations have been working to increase efficiency and employ renewable energy sources in order to develop and implement low carbon emission power generation systems.</w:t>
      </w:r>
    </w:p>
    <w:p>
      <w:pPr/>
      <w:r>
        <w:rPr>
          <w:b/>
        </w:rPr>
        <w:t>POSSIBLE 2024:</w:t>
      </w:r>
      <w:r>
        <w:t xml:space="preserve"> Advancing glioblastoma treatment by targeting metabolism — https://doi.org/10.1016/j.neo.2024.100985</w:t>
      </w:r>
    </w:p>
    <w:p>
      <w:pPr/>
      <w:r>
        <w:rPr>
          <w:b/>
        </w:rPr>
        <w:t>Shared claim-specific concepts:</w:t>
      </w:r>
      <w:r>
        <w:t xml:space="preserve"> order, target, present, potential; EU scope not established. This is a provisional connection, not an outcome finding.</w:t>
      </w:r>
    </w:p>
    <w:p>
      <w:pPr>
        <w:pStyle w:val="SourceNote"/>
      </w:pPr>
      <w:r>
        <w:rPr>
          <w:b/>
        </w:rPr>
        <w:t>Available abstract (not full text):</w:t>
      </w:r>
      <w:r>
        <w:t xml:space="preserve"> Alterations in cellular metabolism are important hallmarks of glioblastoma(GBM). Metabolic reprogramming is a critical feature as it meets the higher nutritional demand of tumor cells, including proliferation, growth, and survival. Many genes, proteins, and metabolites associated with GBM metabolism reprogramming have been found to be aberrantly expressed, which may provide potential targets for cancer treatment. Therefore, it is becoming increasingly important to explore the role of internal and external factors in metabolic regulation in order to identify more precise therapeutic targets and diagnostic markers for GBM. In this review, we define the metabolic characteristics of GBM, investigate metabolic specificities such as targetable vulnerabilities and therapeutic resistance, as well as present current efforts to target GBM metabolism to improve the standard of care.</w:t>
      </w:r>
    </w:p>
    <w:p>
      <w:pPr/>
      <w:r>
        <w:rPr>
          <w:b/>
        </w:rPr>
        <w:t>POSSIBLE 2024:</w:t>
      </w:r>
      <w:r>
        <w:t xml:space="preserve"> Estimating emissions reductions with carpooling and vehicle dispatching in ridesourcing mobility — https://doi.org/10.1038/s44333-024-00015-3</w:t>
      </w:r>
    </w:p>
    <w:p>
      <w:pPr/>
      <w:r>
        <w:rPr>
          <w:b/>
        </w:rPr>
        <w:t>Shared claim-specific concepts:</w:t>
      </w:r>
      <w:r>
        <w:t xml:space="preserve"> order, emissions, reduction, demonstrate; EU scope not established. This is a provisional connection, not an outcome finding.</w:t>
      </w:r>
    </w:p>
    <w:p>
      <w:pPr>
        <w:pStyle w:val="SourceNote"/>
      </w:pPr>
      <w:r>
        <w:rPr>
          <w:b/>
        </w:rPr>
        <w:t>Available abstract (not full text):</w:t>
      </w:r>
      <w:r>
        <w:t xml:space="preserve"> Ride-hailing services provide on-demand transportation solutions by connecting passengers with nearby drivers through mobile applications. However, carpooling often fails to attract passengers as expected due to inefficient order-matching strategies. This study estimates emissions reductions with order matching and vehicle dispatching in ridesourcing mobility. An explainable machine learning with a hierarchical framework is constructed for arrival time prediction. Considering pick-up and drop-off locations within the expected departure time, on-demand order matching and vehicle dispatching optimization models are built to determine the minimum fleet size and efficient route planning. Real-world experiments are conducted with large-scale ridesharing orders in Beijing, China. In comparison to the current operations, a reduction of 25.25% in fleet size and a simultaneous decrease of 21.65% in pollutant emissions are achieved. Results demonstrate that carpooling and vehicle dispatching processes lead to a slight increase in passenger waiting time while enhancing the operational efficiency of ride-hailing services and reducing pollutant emissions.</w:t>
      </w:r>
    </w:p>
    <w:p>
      <w:pPr/>
      <w:r>
        <w:rPr>
          <w:b/>
        </w:rPr>
        <w:t>POSSIBLE 2024:</w:t>
      </w:r>
      <w:r>
        <w:t xml:space="preserve"> Rear Twist Beam Optimization by Cross Beam and Bush Orientation Technique to Meet Performance Targets — https://doi.org/10.4271/2024-28-0269</w:t>
      </w:r>
    </w:p>
    <w:p>
      <w:pPr/>
      <w:r>
        <w:rPr>
          <w:b/>
        </w:rPr>
        <w:t>Shared claim-specific concepts:</w:t>
      </w:r>
      <w:r>
        <w:t xml:space="preserve"> order, meet, system, high, potential, implementation; EU scope not established. This is a provisional connection, not an outcome finding.</w:t>
      </w:r>
    </w:p>
    <w:p>
      <w:pPr>
        <w:pStyle w:val="SourceNote"/>
      </w:pPr>
      <w:r>
        <w:rPr>
          <w:b/>
        </w:rPr>
        <w:t>Available abstract (not full text):</w:t>
      </w:r>
      <w:r>
        <w:t xml:space="preserve"> Born Electric SUVs generally feature a high centre of gravity (CG) with greater rear axle weight. They use sophisticated multi-link suspension, which offers large scope for ride comfort and handling optimisation. The development costs and time associated with the process will position the vehicle in a premium segment. Usually, the twist beam (RTB) is used in lower rear axle weight category vehicles due to its simple design and cost effectiveness. This study showcases exploration for implementation of RTB on higher weight category vehicles, which usually uses multi-link suspension. The limitation of the twist beam is to exhibit lateral force compliance oversteer during cornering, due to large moment arm from wheel centre to twist beam bush. Lack of lateral stiffness when compared to multi-link suspension causes delayed rear axle yaw response. It also has reduced scope in ride-handling optimization due to its simple structure and kinematics. So, in order to maximize the performance envelope, system level key performance parameters were identified such as lateral force shear centre, vertical shear centre position, side view swingarm position and length. The parameters such has cross beam position and profile were explored along with bush orientation and stiffness characteristics. Sensitivity studies on the RTB design attributes were performed on multi-body dynamics tool to meet ta</w:t>
      </w:r>
    </w:p>
    <w:p>
      <w:pPr/>
      <w:r>
        <w:rPr>
          <w:b/>
        </w:rPr>
        <w:t>POSSIBLE 2024:</w:t>
      </w:r>
      <w:r>
        <w:t xml:space="preserve"> The impact of digital integration on corporate sustainability: Emissions reduction, environmental innovation, and resource efficiency in the European — https://doi.org/10.1016/j.jik.2024.100525</w:t>
      </w:r>
    </w:p>
    <w:p>
      <w:pPr/>
      <w:r>
        <w:rPr>
          <w:b/>
        </w:rPr>
        <w:t>Shared claim-specific concepts:</w:t>
      </w:r>
      <w:r>
        <w:t xml:space="preserve"> emissions, reduction, system, demonstrate; EU scope visible. This is a provisional connection, not an outcome finding.</w:t>
      </w:r>
    </w:p>
    <w:p>
      <w:pPr>
        <w:pStyle w:val="SourceNote"/>
      </w:pPr>
      <w:r>
        <w:rPr>
          <w:b/>
        </w:rPr>
        <w:t>Available abstract (not full text):</w:t>
      </w:r>
      <w:r>
        <w:t xml:space="preserve"> This study examines the impact of digital integration on the environmental sustainability of European companies from 2016 to 2022, focusing on emissions reduction, environmental innovation, and resource efficiency. Using a two-stage system generalized method of moments (GMM) model and quantile regression with instrumental variables on panel data, we investigate how digital technologies influence corporate sustainability practices. Descriptive statistics reveal significant variation in digital technology adoption and environmental performance among the 22 European countries studied. Pearson's correlation matrix and variance inflation factor analyses confirm the absence of multicollinearity among the variables. The empirical results from the two-stage GMM model demonstrate that digital integration positively affects emissions reduction, environmental innovation, and resource efficiency. These findings are consistent across different quantiles, indicating that digital integration benefits companies regardless of their initial sustainability levels. However, the impact is more pronounced for companies with lower initial performance. The Hansen test validates the instruments used, and the absence of second-order serial correlation supports the robustness of our GMM model estimations. The positive relationship between past and current sustainability performance underscores the dynami</w:t>
      </w:r>
    </w:p>
    <w:p>
      <w:pPr>
        <w:pStyle w:val="Heading2"/>
      </w:pPr>
      <w:r>
        <w:t>964. Analytical support to foresighting EU roles as a Global Security Actor</w:t>
      </w:r>
    </w:p>
    <w:p>
      <w:pPr>
        <w:pStyle w:val="SourceNote"/>
      </w:pPr>
      <w:r>
        <w:rPr>
          <w:b/>
        </w:rPr>
        <w:t>Original source (2013):</w:t>
      </w:r>
      <w:r>
        <w:t xml:space="preserve"> https://doi.org/10.11610/isij.2902</w:t>
      </w:r>
    </w:p>
    <w:p>
      <w:pPr/>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POSSIBLE 2026:</w:t>
      </w:r>
      <w:r>
        <w:t xml:space="preserve"> Evaluation of the Structural Competitiveness of Major Container Ports in Europe Using a Hybrid Multi-Criteria Decision-Making Approach (CRITIC-TOPSIS-SAW) — https://doi.org/10.25295/fsecon.1850229</w:t>
      </w:r>
    </w:p>
    <w:p>
      <w:pPr/>
      <w:r>
        <w:rPr>
          <w:b/>
        </w:rPr>
        <w:t>Shared claim-specific concepts:</w:t>
      </w:r>
      <w:r>
        <w:t xml:space="preserve"> making, major, investments, methods; EU scope visible. This is a provisional connection, not an outcome finding.</w:t>
      </w:r>
    </w:p>
    <w:p>
      <w:pPr>
        <w:pStyle w:val="SourceNote"/>
      </w:pPr>
      <w:r>
        <w:rPr>
          <w:b/>
        </w:rPr>
        <w:t>Available abstract (not full text):</w:t>
      </w:r>
      <w:r>
        <w:t xml:space="preserve">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pPr/>
      <w:r>
        <w:rPr>
          <w:b/>
        </w:rPr>
        <w:t>POSSIBLE 2026:</w:t>
      </w:r>
      <w:r>
        <w:t xml:space="preserve"> P1974 - Active Prevention of Keratinocyte Carcinomas in Europe: Therapeutic Choices and Decision-Making Rationales — https://openalex.org/W7220799517</w:t>
      </w:r>
    </w:p>
    <w:p>
      <w:pPr/>
      <w:r>
        <w:rPr>
          <w:b/>
        </w:rPr>
        <w:t>Shared claim-specific concepts:</w:t>
      </w:r>
      <w:r>
        <w:t xml:space="preserve"> major, methods, selection; EU scope visible. This is a provisional connection, not an outcome finding.</w:t>
      </w:r>
    </w:p>
    <w:p>
      <w:pPr>
        <w:pStyle w:val="SourceNote"/>
      </w:pPr>
      <w:r>
        <w:rPr>
          <w:b/>
        </w:rPr>
        <w:t>Available abstract (not full text):</w:t>
      </w:r>
      <w:r>
        <w:t xml:space="preserve"> Introduction The global incidence of keratinocyte carcinomas (KCs) is consistently rising. While consensus-based guidelines for active chemoprevention exist (recommending modalities like oral acitretin, nicotinamide, and photodynamic therapy), their real-world adoption and the rationales driving European dermatologists' therapeutic choices remain largely unclear. The objectives of the study were to evaluate the real-world adoption rates, therapeutic preferences, and underlying decision-making rationales of European dermatologists regarding the active prevention of KCs. Materials and Methods A web-based survey was distributed to 9,469 active European dermatologists. The survey assessed the frequency of preventive practices, treatment rankings, and the importance of various rationales (e.g., scientific evidence, familiarity, legal status, affordability) for both adopting and rejecting specific methods. Results Data from 1,274 respondents for primary prevention and 517 for secondary prevention (20.1% response rate) were analysed. Approximately 25% of practitioners seldom or almost never offer active prevention, with significant inter-country variability (p &lt; 0.001). Topical imiquimod emerged as the most popular preventive method, significantly outpacing guideline-endorsed systemic options. "Scientific evidence" was the primary rationale for adopting a therapy, whereas "lack of fam</w:t>
      </w:r>
    </w:p>
    <w:p>
      <w:pPr/>
      <w:r>
        <w:rPr>
          <w:b/>
        </w:rPr>
        <w:t>POSSIBLE 2025:</w:t>
      </w:r>
      <w:r>
        <w:t xml:space="preserve"> Logistics Security in Transport and Decision-making Problems in the Management of European Satellite Resources in Space — https://doi.org/10.54740/ros.2025.063</w:t>
      </w:r>
    </w:p>
    <w:p>
      <w:pPr/>
      <w:r>
        <w:rPr>
          <w:b/>
        </w:rPr>
        <w:t>Shared claim-specific concepts:</w:t>
      </w:r>
      <w:r>
        <w:t xml:space="preserve"> major, security, process, context; EU scope visible. This is a provisional connection, not an outcome finding.</w:t>
      </w:r>
    </w:p>
    <w:p>
      <w:pPr>
        <w:pStyle w:val="SourceNote"/>
      </w:pPr>
      <w:r>
        <w:rPr>
          <w:b/>
        </w:rPr>
        <w:t>Available abstract (not full text):</w:t>
      </w:r>
      <w:r>
        <w:t xml:space="preserve">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making, major, methods, tools, used, selection;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2025:</w:t>
      </w:r>
      <w:r>
        <w:t xml:space="preserve"> Preemptive hospital evacuation during the 2021 European floods: A qualitative study on factors influencing decision-making — https://doi.org/10.1016/j.joclim.2025.100460</w:t>
      </w:r>
    </w:p>
    <w:p>
      <w:pPr/>
      <w:r>
        <w:rPr>
          <w:b/>
        </w:rPr>
        <w:t>Shared claim-specific concepts:</w:t>
      </w:r>
      <w:r>
        <w:t xml:space="preserve"> major, process, methods; EU scope visible. This is a provisional connection, not an outcome finding.</w:t>
      </w:r>
    </w:p>
    <w:p>
      <w:pPr>
        <w:pStyle w:val="SourceNote"/>
      </w:pPr>
      <w:r>
        <w:rPr>
          <w:b/>
        </w:rPr>
        <w:t>Available abstract (not full text):</w:t>
      </w:r>
      <w:r>
        <w:t xml:space="preserve"> Introduction: In July 2021, several European countries were affected by severe floods, with water levels of the river Meuse reaching a record high. It was decided to completely evacuate VieCuri Medical Center (Venlo, The Netherlands), a hospital located directly adjacent to this river. The aim of this study was to explore the decision-making process of this emergency hospital evacuation. Methods: This descriptive qualitative study assessed factors influencing the decision-making process of this hospital evacuation. Data were collected through semi-structured interviews with 11 key stakeholders. Data were analyzed by reflexive thematic analysis. Results: Three themes were constructed from the interviews: risk-assessment and estimation; prior experience; and prerequisites for evacuation. The decision to evacuate was made when there was uncertainty regarding maximum water level forecasts. Therefore, the risks of a hospital evacuation were balanced against the risk of the loss of essential services in case of a dike breach. Prior experiences with crises played a major role, and the use of a national patient coordination center (NPCC), which was established during the COVID-19 pandemic, enabled rapid assessment of the capacity of destination hospitals and facilitated patient transfers. It was determined that prerequisites for evacuation include clear evacuation guidelines, concise c</w:t>
      </w:r>
    </w:p>
    <w:p>
      <w:pPr/>
      <w:r>
        <w:rPr>
          <w:b/>
        </w:rPr>
        <w:t>POSSIBLE 2024:</w:t>
      </w:r>
      <w:r>
        <w:t xml:space="preserve"> Decision-Making for Human Security in a Complex Crisis — https://doi.org/10.4324/9781003429173-1</w:t>
      </w:r>
    </w:p>
    <w:p>
      <w:pPr/>
      <w:r>
        <w:rPr>
          <w:b/>
        </w:rPr>
        <w:t>Shared claim-specific concepts:</w:t>
      </w:r>
      <w:r>
        <w:t xml:space="preserve"> decisions, security, used; EU scope not established. This is a provisional connection, not an outcome finding.</w:t>
      </w:r>
    </w:p>
    <w:p>
      <w:pPr>
        <w:pStyle w:val="SourceNote"/>
      </w:pPr>
      <w:r>
        <w:rPr>
          <w:b/>
        </w:rPr>
        <w:t>Available abstract (not full text):</w:t>
      </w:r>
      <w:r>
        <w:t xml:space="preserve">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pPr/>
      <w:r>
        <w:rPr>
          <w:b/>
        </w:rPr>
        <w:t>POSSIBLE 2024:</w:t>
      </w:r>
      <w:r>
        <w:t xml:space="preserve"> The Indonesian Land Border Security System: A Strategic Decision Making for National Security — https://doi.org/10.28946/sc.v31i1.3310</w:t>
      </w:r>
    </w:p>
    <w:p>
      <w:pPr/>
      <w:r>
        <w:rPr>
          <w:b/>
        </w:rPr>
        <w:t>Shared claim-specific concepts:</w:t>
      </w:r>
      <w:r>
        <w:t xml:space="preserve"> making, security, analytical, process; EU scope not established. This is a provisional connection, not an outcome finding.</w:t>
      </w:r>
    </w:p>
    <w:p>
      <w:pPr>
        <w:pStyle w:val="SourceNote"/>
      </w:pPr>
      <w:r>
        <w:rPr>
          <w:b/>
        </w:rPr>
        <w:t>Available abstract (not full text):</w:t>
      </w:r>
      <w:r>
        <w:t xml:space="preserve"> Securing the border of a nation is identical with upholding the nation’s sovereignty. Therefore, it is very important to ensure the role of securing the land border area through maximum security according to its needs. Several violations often occur in land border areas between two countries, so it is necessary to maintain strict security along the borders of the two countries. But the problem is, the borders between countries are very long, and it is impossible to deploy TNI troops along these borders. Apart from the difficult terrain conditions in the border areas, there are also a large number of TNI soldiers needed to guard the borders, so this is not an effective and efficient thing to do. This research was conducted based on data on violations in the border areas between the Republic of Indonesia and other countries, namely Malaysia, the Democratic Republic of Timor Leste and Papua New Guinea, which are represented in the distribution of cases during the second semester of 2020 and the first semester of 2021. Based on data collection data from respondents/field practitioners who have been directly involved in securing border areas and with the help of the Analytical Hierarchy Process (AHP) method and the Strengths, Weakness, Opportunities and Threats (SWOT) method, a decision with optimal value regarding the security of land border areas can be determined. appropriate to </w:t>
      </w:r>
    </w:p>
    <w:p>
      <w:pPr/>
      <w:r>
        <w:rPr>
          <w:b/>
        </w:rPr>
        <w:t>POSSIBLE 2024:</w:t>
      </w:r>
      <w:r>
        <w:t xml:space="preserve"> Sea Level Rise in Europe: Adaptation measures and decision-making principles — https://doi.org/10.5194/sp-3-slre1-6-2024</w:t>
      </w:r>
    </w:p>
    <w:p>
      <w:pPr/>
      <w:r>
        <w:rPr>
          <w:b/>
        </w:rPr>
        <w:t>Shared claim-specific concepts:</w:t>
      </w:r>
      <w:r>
        <w:t xml:space="preserve"> making, decisions, including;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2024:</w:t>
      </w:r>
      <w:r>
        <w:t xml:space="preserve"> Bending the Automation Bias Curve: A Study of Human and AI-Based Decision Making in National Security Contexts — https://doi.org/10.1093/isq/sqae020</w:t>
      </w:r>
    </w:p>
    <w:p>
      <w:pPr/>
      <w:r>
        <w:rPr>
          <w:b/>
        </w:rPr>
        <w:t>Shared claim-specific concepts:</w:t>
      </w:r>
      <w:r>
        <w:t xml:space="preserve"> making, security, context; EU scope not established. This is a provisional connection, not an outcome finding.</w:t>
      </w:r>
    </w:p>
    <w:p>
      <w:pPr>
        <w:pStyle w:val="SourceNote"/>
      </w:pPr>
      <w:r>
        <w:rPr>
          <w:b/>
        </w:rPr>
        <w:t>Available abstract (not full text):</w:t>
      </w:r>
      <w:r>
        <w:t xml:space="preserve"> Abstract Uses of artificial intelligence (AI) are growing around the world. What will influence AI adoption in the international security realm? Research on automation bias suggests that humans can often be overconfident in AI, whereas research on algorithm aversion shows that, as the stakes of a decision rise, humans become more cautious about trusting algorithms. We theorize about the relationship between background knowledge about AI, trust in AI, and how these interact with other factors to influence the probability of automation bias in the international security context. We test these in a preregistered task identification experiment across a representative sample of 9,000 adults in nine countries with varying levels of AI industries. The results strongly support the theory, especially concerning AI background knowledge. A version of the Dunning–Kruger effect appears to be at play, whereby those with the lowest level of experience with AI are slightly more likely to be algorithm-averse, then automation bias occurs at lower levels of knowledge before leveling off as a respondent’s AI background reaches the highest levels. Additional results show effects from the task’s difficulty, overall AI trust, and whether a human or AI decision aid is described as highly competent or less competent.</w:t>
      </w:r>
    </w:p>
    <w:p>
      <w:pPr/>
      <w:r>
        <w:rPr>
          <w:b/>
        </w:rPr>
        <w:t>POSSIBLE 2024:</w:t>
      </w:r>
      <w:r>
        <w:t xml:space="preserve"> Regional food security management based on Data Driven Decision Making — https://doi.org/10.46666/2024-1.2708-9991.02</w:t>
      </w:r>
    </w:p>
    <w:p>
      <w:pPr/>
      <w:r>
        <w:rPr>
          <w:b/>
        </w:rPr>
        <w:t>Shared claim-specific concepts:</w:t>
      </w:r>
      <w:r>
        <w:t xml:space="preserve"> making, decisions, security, methods, used, context; EU scope not established. This is a provisional connection, not an outcome finding.</w:t>
      </w:r>
    </w:p>
    <w:p>
      <w:pPr>
        <w:pStyle w:val="SourceNote"/>
      </w:pPr>
      <w:r>
        <w:rPr>
          <w:b/>
        </w:rPr>
        <w:t>Available abstract (not full text):</w:t>
      </w:r>
      <w:r>
        <w:t xml:space="preserve"> The goal is to study the effectiveness of food security management in the country and regions based on the principles of Data Driven Decision Making (DDDM) for making justified and effective decisions. This research was carried out as part of implementation of the tasks of the project on grant financing of Science Committee of the Ministry of Science and Higher Education of the Republic of Kazakhstan on the topic AP14871923 “Management of regional food security in the context of global challenges based on the concept of Data Driven Decision Making.” Methods - the works of domestic and foreign economists concerning the problems of food supply in the context of globalization and integration of the country's economy were used as theoretical and methodological basis for the study. Scientific research methods: monographic, abstract, logical, systemic and complex analysis, statistical data processing, structural-functional approach. Results - the authors considered the possibility of using DDDM in agricultural sector. Conclusions - implementation of the results allows to obtain a multiplier effect associated with achieving sustainability of agro-industrial system of the country's regions through the implementation of DDDM principles in practical activities of central state and local authorities. It is substantiated that the use of the concept of decision-making based on Data Driven D</w:t>
      </w:r>
    </w:p>
    <w:p>
      <w:pPr/>
      <w:r>
        <w:rPr>
          <w:b/>
        </w:rPr>
        <w:t>POSSIBLE 2023:</w:t>
      </w:r>
      <w:r>
        <w:t xml:space="preserve"> Risky decision-making in major depressive disorder: A three-level meta-analysis — https://doi.org/10.1016/j.ijchp.2023.100417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pPr/>
      <w:r>
        <w:rPr>
          <w:b/>
        </w:rPr>
        <w:t>POSSIBLE 2023:</w:t>
      </w:r>
      <w:r>
        <w:t xml:space="preserve"> Achieving Algorithmic Transparency and Managing Risks of Data Security when Making Decisions without Human Interference: Legal Approaches — https://doi.org/10.21202/jdtl.2023.42</w:t>
      </w:r>
    </w:p>
    <w:p>
      <w:pPr/>
      <w:r>
        <w:rPr>
          <w:b/>
        </w:rPr>
        <w:t>Shared claim-specific concepts:</w:t>
      </w:r>
      <w:r>
        <w:t xml:space="preserve"> making, decisions, including, security, methods; EU scope visible. This is a provisional connection, not an outcome finding.</w:t>
      </w:r>
    </w:p>
    <w:p>
      <w:pPr>
        <w:pStyle w:val="SourceNote"/>
      </w:pPr>
      <w:r>
        <w:rPr>
          <w:b/>
        </w:rPr>
        <w:t>Available abstract (not full text):</w:t>
      </w:r>
      <w:r>
        <w:t xml:space="preserve">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pPr>
        <w:pStyle w:val="Heading2"/>
      </w:pPr>
      <w:r>
        <w:t>965. Animal health aspects of adaptation to climate change: beating the heat and parasites in a warming Europe</w:t>
      </w:r>
    </w:p>
    <w:p>
      <w:pPr>
        <w:pStyle w:val="SourceNote"/>
      </w:pPr>
      <w:r>
        <w:rPr>
          <w:b/>
        </w:rPr>
        <w:t>Original source (2013):</w:t>
      </w:r>
      <w:r>
        <w:t xml:space="preserve"> https://doi.org/10.1017/s175173111300075x</w:t>
      </w:r>
    </w:p>
    <w:p>
      <w:pPr/>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POSSIBLE 2026:</w:t>
      </w:r>
      <w:r>
        <w:t xml:space="preserve"> Epidemiology and Economic Burden of Sleep Disorders in Europe — https://doi.org/10.1111/ene.70463</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w:t>
      </w:r>
    </w:p>
    <w:p>
      <w:pPr/>
      <w:r>
        <w:rPr>
          <w:b/>
        </w:rPr>
        <w:t>POSSIBLE 2026:</w:t>
      </w:r>
      <w:r>
        <w:t xml:space="preserve"> Epidemiology and Economic Burden of Sleep Disorders in Europe. — https://doi.org/10.48620/94666</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million),</w:t>
      </w:r>
    </w:p>
    <w:p>
      <w:pPr/>
      <w:r>
        <w:rPr>
          <w:b/>
        </w:rPr>
        <w:t>POSSIBLE 2026:</w:t>
      </w:r>
      <w:r>
        <w:t xml:space="preserve"> Direct and indirect genetic effects of birthweight predisposition on child DNA methylation at birth — https://doi.org/10.1080/15592294.2026.2654101</w:t>
      </w:r>
    </w:p>
    <w:p>
      <w:pPr/>
      <w:r>
        <w:rPr>
          <w:b/>
        </w:rPr>
        <w:t>Shared claim-specific concepts:</w:t>
      </w:r>
      <w:r>
        <w:t xml:space="preserve"> investigate, direct, indirect, important, health, associated; EU scope visible. This is a provisional connection, not an outcome finding.</w:t>
      </w:r>
    </w:p>
    <w:p>
      <w:pPr>
        <w:pStyle w:val="SourceNote"/>
      </w:pPr>
      <w:r>
        <w:rPr>
          <w:b/>
        </w:rPr>
        <w:t>Available abstract (not full text):</w:t>
      </w:r>
      <w:r>
        <w:t xml:space="preserve"> Abstract Background Birthweight is heritable and strongly associated with epigenetic differences at birth. It is unclear whether a genetic birthweight score is associated with DNA methylation (DNAm) and, if so, whether through direct genetic effects (i.e., child genotype) or indirect genetic effects (i.e., parental genotype, independent of child genotype), which are suspected to be mediated by the prenatal environment (e.g. metabolic factors). Methods We constructed polygenic scores (PGS) for birthweight predisposition in mothers and children using an existing ‘pre-adjusted’ GWAS assessing maternal indirect effects (maternal genotype on offspring birthweight, correcting for offspring genotype) or fetal effects (offspring genotype on offspring birthweight, correcting for maternal genotype) in 2116 families from the Generation R Study. Offspring DNAm levels at 829 birthweight-related sites were then regressed on both maternal and fetal effect PGS. Additionally, we aggregated 829 DNAm sites into a methylation profile score for birthweight (MPS-BW) and tested which pregnancy health factors (n=13) might mediate genetic effects. Findings We identified six DNAm sites associated with maternal indirect effects and the birthweight MPS revealed indirect genetic associations, as well. Gestational age partly mediated maternal indirect effects on DNAm, but no other mediators were identified.</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climate, health; EU scope visible. This is a provisional connection, not an outcome finding.</w:t>
      </w:r>
    </w:p>
    <w:p>
      <w:pPr>
        <w:pStyle w:val="SourceNote"/>
      </w:pPr>
      <w:r>
        <w:rPr>
          <w:b/>
        </w:rPr>
        <w:t>Available abstract (not full text):</w:t>
      </w:r>
      <w:r>
        <w:t xml:space="preserve"> Translations For the French and Spanish translations of the abstract see Supplementary Materials section.</w:t>
      </w:r>
    </w:p>
    <w:p>
      <w:pPr/>
      <w:r>
        <w:rPr>
          <w:b/>
        </w:rPr>
        <w:t>POSSIBLE 2025:</w:t>
      </w:r>
      <w:r>
        <w:t xml:space="preserve"> Direct and Indirect Regulations for Medical Devices in Europe and Germany — https://doi.org/10.1007/978-3-032-03577-6_14</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pPr/>
      <w:r>
        <w:rPr>
          <w:b/>
        </w:rPr>
        <w:t>POSSIBLE 2025:</w:t>
      </w:r>
      <w:r>
        <w:t xml:space="preserve"> Direct and indirect ecological drivers of bird communities in intensively cultivated landscapes — https://doi.org/10.1016/j.jenvman.2025.127169</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Agriculture has played a pivotal role in shaping European mountain biodiversity. Traditional practices, characterized by low intensity and crop mosaics, have historically created complex, heterogeneous landscapes that supported a high biodiversity level. Agricultural intensification has turned these traditional crop systems into artificial habitats, leading to increased field sizes, habitat fragmentation, and decrease of habitat heterogeneity, contributing to the current farmland biodiversity crisis. We investigated the direct and indirect ecological drivers of bird communities in cultivated landscapes within the Alps. We aimed to disentangle the effects of biotic/abiotic factors on birds in permanent and annual crops (vineyards, apple orchards, arable lands). Using piecewise structural equation models, we analyzed bird indices and indicator species to explore the direct, indirect, and total effects of most relevant drivers, highlighting possible patterns due to degradation induced by intensification. Natural/near-natural habitats and compositional habitat heterogeneity positively influenced species richness and functional diversity. Conversely, structural habitat heterogeneity often had negative effects on bird communities. Topo-climatic variables were also relevant, with elevation promoting functional diversity and species richness, while steeper slopes increased near-natural</w:t>
      </w:r>
    </w:p>
    <w:p>
      <w:pPr/>
      <w:r>
        <w:rPr>
          <w:b/>
        </w:rPr>
        <w:t>POSSIBLE 2025:</w:t>
      </w:r>
      <w:r>
        <w:t xml:space="preserve"> Investigation of Color and Microhardness Changes in Direct, Indirect, and 3D-Printed Composites — https://doi.org/10.5505/iads.2025.93764</w:t>
      </w:r>
    </w:p>
    <w:p>
      <w:pPr/>
      <w:r>
        <w:rPr>
          <w:b/>
        </w:rPr>
        <w:t>Shared claim-specific concepts:</w:t>
      </w:r>
      <w:r>
        <w:t xml:space="preserve"> direct, indirect; EU scope not established. This is a provisional connection, not an outcome finding.</w:t>
      </w:r>
    </w:p>
    <w:p>
      <w:pPr>
        <w:pStyle w:val="SourceNote"/>
      </w:pPr>
      <w:r>
        <w:rPr>
          <w:b/>
        </w:rPr>
        <w:t>Available abstract (not full text):</w:t>
      </w:r>
      <w:r>
        <w:t xml:space="preserve"> INTRODUCTION: The aim of this study was to determine the surface hardness and color changes of resin composites produced for direct, indirect, and 3D printing applications.MATERIAL and METHODS: Forty-five samples with a diameter of 9 mm and a thickness of 3 mm were prepared.After polymerization, the samples underwent ultrasonic cleaning, polishing, and coloring procedures.Microhardness measurements were taken using a Vickers microhardness device, and color change parameters were determined using a spectrophotometer.The data were statistically evaluated using ANOVA for repeated measurements.RESULTS: Significant differences were found in microhardness measurements among the three different composite resin groups after initial, ultrasonic cleaning, polishing, and coloring procedures (p &lt; 0.05).However, there was no significant difference in microhardness measurements between the initial and ultrasonic cleaning stages (p &gt; 0.05).Microhardness values differed significantly after polishing and coloring (p &lt; 0.05).Orange juice did not cause a significant color change (∆E) in any of the restorative materials (p &gt;0.05), while significant color change (∆E) was found in samples exposed to coffee after orange juice (p &lt;0.05).CONCLUSION: The color and microhardness of all used composites were affected by polishing and coloring procedures, with varying effects observed for each material.</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climate, health, adaptation;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r>
        <w:rPr>
          <w:b/>
        </w:rPr>
        <w:t>POSSIBLE 2025:</w:t>
      </w:r>
      <w:r>
        <w:t xml:space="preserve"> Direct and Indirect Effects of Cancer Screening Invitations on Participation in Europe: A Quasi-Experimental Analysis — https://doi.org/10.21203/rs.3.rs-7891986/v1</w:t>
      </w:r>
    </w:p>
    <w:p>
      <w:pPr/>
      <w:r>
        <w:rPr>
          <w:b/>
        </w:rPr>
        <w:t>Shared claim-specific concepts:</w:t>
      </w:r>
      <w:r>
        <w:t xml:space="preserve"> direct, indirect;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Changes in community composition and functional diversity of European bats under climate change — https://doi.org/10.1111/cobi.70025</w:t>
      </w:r>
    </w:p>
    <w:p>
      <w:pPr/>
      <w:r>
        <w:rPr>
          <w:b/>
        </w:rPr>
        <w:t>Shared claim-specific concepts:</w:t>
      </w:r>
      <w:r>
        <w:t xml:space="preserve"> climate, important; EU scope visible. This is a provisional connection, not an outcome finding.</w:t>
      </w:r>
    </w:p>
    <w:p>
      <w:pPr>
        <w:pStyle w:val="SourceNote"/>
      </w:pPr>
      <w:r>
        <w:rPr>
          <w:b/>
        </w:rPr>
        <w:t>Available abstract (not full text):</w:t>
      </w:r>
      <w:r>
        <w:t xml:space="preserve"> Climate change is predicted to drive geographical range shifts that will result in changes in species diversity and functional composition and have potential repercussions for ecosystem functioning. However, the effect of these changes on species composition and functional diversity (FD) remains unclear, especially for mammals, specifically bats. We used species distribution models and a comprehensive ecological and morphometrical trait database to estimate how projected future climate and land-use changes could influence the distribution, composition, and FD of the European bat community. Future bat assemblages were predicted to undergo substantial shifts in geographic range and trait structure. Range suitability decreased substantially in southern Europe and increased in northern latitudes. Our findings highlight the potential for climate change to drive shifts in bat FD, which has implications for ecosystem function and resilience at a continental scale. It is important to incorporate FD in conservation strategies. These efforts should target species with key functional traits predicted to be lost and areas expected to experience losses in FD. Conservation strategies should include habitat and roost protection, enhancing landscape connectivity, and international monitoring to preserve bat populations and their ecosystem services.</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direct, indirect, climate;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investigate, direct, climate, health;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pStyle w:val="Heading2"/>
      </w:pPr>
      <w:r>
        <w:t>966. Application of the UK Foresight Obesity Model in Ireland: The Health and Economic Consequences of Projected Obesity Trends in Ireland</w:t>
      </w:r>
    </w:p>
    <w:p>
      <w:pPr>
        <w:pStyle w:val="SourceNote"/>
      </w:pPr>
      <w:r>
        <w:rPr>
          <w:b/>
        </w:rPr>
        <w:t>Original source (2013):</w:t>
      </w:r>
      <w:r>
        <w:t xml:space="preserve"> https://doi.org/10.1371/journal.pone.0079827</w:t>
      </w:r>
    </w:p>
    <w:p>
      <w:pPr/>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POSSIBLE 2026:</w:t>
      </w:r>
      <w:r>
        <w:t xml:space="preserve"> Artificial Intelligence in European Healthcare — https://doi.org/10.1553/easac-feam_report_ai-in-healthcare_2026</w:t>
      </w:r>
    </w:p>
    <w:p>
      <w:pPr/>
      <w:r>
        <w:rPr>
          <w:b/>
        </w:rPr>
        <w:t>Shared claim-specific concepts:</w:t>
      </w:r>
      <w:r>
        <w:t xml:space="preserve"> healthcare, associated, population, levels;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healthcare, associated, population, levels, over;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The impact of heat and cold events on direct, indirect, and intangible healthcare costs: a systematic review — https://doi.org/10.1007/s10198-026-01920-9</w:t>
      </w:r>
    </w:p>
    <w:p>
      <w:pPr/>
      <w:r>
        <w:rPr>
          <w:b/>
        </w:rPr>
        <w:t>Shared claim-specific concepts:</w:t>
      </w:r>
      <w:r>
        <w:t xml:space="preserve"> direct, healthcare, associated, million; EU scope not established. This is a provisional connection, not an outcome finding.</w:t>
      </w:r>
    </w:p>
    <w:p>
      <w:pPr>
        <w:pStyle w:val="SourceNote"/>
      </w:pPr>
      <w:r>
        <w:rPr>
          <w:b/>
        </w:rPr>
        <w:t>Available abstract (not full text):</w:t>
      </w:r>
      <w:r>
        <w:t xml:space="preserve"> BACKGROUND: Numerous studies have examined the effects of extreme temperatures on healthcare costs. However, most lack a detailed presentation of cost-related findings and often exclude cold-related effects. This systematic review provides a comprehensive overview of the economic burden associated with both heat- and cold-related temperature exposure. METHODS: Literature published between 2014 and 2024 in English or German was searched in Medline (via PubMed) and the Cochrane Library, supplemented by reference tracking and Internet searches. We included primary studies published in peer-reviewed journals. Two authors independently assessed eligibility and determined a methodological quality score for each included article. RESULTS: In total, 39 studies were included: 18 examined heat-related effects, another 18 analyzed combined heat- and cold-related effects, and 3 focused exclusively on cold-related effects. Furthermore, 18 studies focused on direct costs, 1 on indirect costs, 17 on intangible costs, and 3 on multiple cost types. Retrospective studies reported lower annual direct costs per 100,000 persons (mean €678,585; range €43,428–€2.06 million) than prospective studies (mean €1.13 million; range €14,433–€2.02 million). Indirect costs based on retrospective studies averaged €2,287 annually (range €72.75–€8,603), or 19.7 workdays lost per 100,000 persons. Intangible costs </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direct, associated, billion;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2026:</w:t>
      </w:r>
      <w:r>
        <w:t xml:space="preserve"> Healthcare costs and burden of myasthenia gravis for patients and society: a systematic review — https://doi.org/10.1007/s00415-026-14111-6</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BACKGROUND AND OBJECTIVES: New and costly therapies for myasthenia gravis (MG) have been approved during the last years, and many more are in the pipeline. Cost-benefit analyses are needed as part of defining start and stop criteria for such treatments. In this systematic review, we examine healthcare costs associated with MG: METHODS: A systematic literature search combined the word "myasthenia gravis" with "health resources", and "costs". 1374 records were identified initially, and 44 were included in the final review. RESULTS: Direct costs include treatment and follow-up in the primary and specialist health care. They were estimated to €3 500-12 000 per MG patient per year in the Nordic countries, similar in other European countries, and higher in United States. Indirect costs include productivity loss, welfare payments, time loss due to medical follow-up, and productivity loss for caregivers. They were estimated to €2 500-8 700 per patient per year in the Nordic countries, the highest figures appearing when all indirect costs were accounted for. A marked reduction in working capacity and an increase in welfare payments due to MG have been reported. Intangible costs include value of lost life-years and reduced quality of life, which are rarely assessed, but have been estimated to be half of the total societal MG costs. DISCUSSION: Total costs of MG need to be included togeth</w:t>
      </w:r>
    </w:p>
    <w:p>
      <w:pPr/>
      <w:r>
        <w:rPr>
          <w:b/>
        </w:rPr>
        <w:t>POSSIBLE 2025:</w:t>
      </w:r>
      <w:r>
        <w:t xml:space="preserve"> Comparative Analysis of Direct Costs of Cancer and Risk Factors in Europe — https://doi.org/10.24818/ejis.2025.03</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healthcare, associated, levels;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Direct healthcare costs for individuals with atherosclerotic cardiovascular disease, chronic kidney disease stages 3-4 or both: results from the UK Discover database — https://doi.org/10.1093/eurheartj/ehaf784.4196</w:t>
      </w:r>
    </w:p>
    <w:p>
      <w:pPr/>
      <w:r>
        <w:rPr>
          <w:b/>
        </w:rPr>
        <w:t>Shared claim-specific concepts:</w:t>
      </w:r>
      <w:r>
        <w:t xml:space="preserve"> direct, healthcare, associated, population, levels; EU scope visible. This is a provisional connection, not an outcome finding.</w:t>
      </w:r>
    </w:p>
    <w:p>
      <w:pPr>
        <w:pStyle w:val="SourceNote"/>
      </w:pPr>
      <w:r>
        <w:rPr>
          <w:b/>
        </w:rPr>
        <w:t>Available abstract (not full text):</w:t>
      </w:r>
      <w:r>
        <w:t xml:space="preserve"> Abstract Introduction Atherosclerotic cardiovascular disease (ASCVD) and chronic kidney disease (CKD) are associated with a significant impact on healthcare systems. Elevated C-reactive protein (CRP) levels are a marker of systemic inflammation, which is common in people with ASCVD and CKD. Purpose To assess healthcare costs in UK individuals with ASCVD, CKD stages 3–4 or both by CRP levels. Methods To investigate all-cause mortality of UK individuals with ASCVD or CKD or both by level of systemic inflammation (defined by C-reactive protein [CRP]). Methods This was an observational study using the Discover database, an electronic health record research dataset covering approximately 95% of individuals living in North West London, UK. Mutually exclusive cohorts consisting of adults (≥ 18 years old) with a record of (i) ASCVD only; (ii) CKD stages 3–4 only; or (iii) both conditions were defined (Figure 1). Individuals entered the cohort when all eligibility criteria were met; index date was the date of the first eligible CRP measurement. A reference cohort of adults aged ≥ 50 years (to account for the high mean age of the clinical cohorts) with neither ASCVD nor CKD stages 3–5 was randomly sampled and the first CRP measurement used as index date (Figure 1). Each cohort was stratified into quartiles based on CRP levels. Per-person per-year (PPPY) direct healthcare costs were asses</w:t>
      </w:r>
    </w:p>
    <w:p>
      <w:pPr/>
      <w:r>
        <w:rPr>
          <w:b/>
        </w:rPr>
        <w:t>POSSIBLE 2025:</w:t>
      </w:r>
      <w:r>
        <w:t xml:space="preserve"> Complex Societal and Economic Impact of Sclerosis Multiplex in Slovakia: Decade-long Burden of Disease Moving Beyond Healthcare — https://doi.org/10.1007/s44411-025-00362-8</w:t>
      </w:r>
    </w:p>
    <w:p>
      <w:pPr/>
      <w:r>
        <w:rPr>
          <w:b/>
        </w:rPr>
        <w:t>Shared claim-specific concepts:</w:t>
      </w:r>
      <w:r>
        <w:t xml:space="preserve"> direct, healthcare, million, over; EU scope visible. This is a provisional connection, not an outcome finding.</w:t>
      </w:r>
    </w:p>
    <w:p>
      <w:pPr>
        <w:pStyle w:val="SourceNote"/>
      </w:pPr>
      <w:r>
        <w:rPr>
          <w:b/>
        </w:rPr>
        <w:t>Available abstract (not full text):</w:t>
      </w:r>
      <w:r>
        <w:t xml:space="preserve"> Abstract Introduction Multiple sclerosis (MS) is a chronic inflammatory and demyelinating disease of the central nervous system predominantly affecting young adults of working age, with significant implications for patients, healthcare systems, and society. Globally, MS prevalence reached 2.8 million in 2020, a 32% increase since 2013, with Europe showing the highest incidence. The economic burden extends beyond direct healthcare costs to include substantial indirect costs such as productivity losses and informal care. In Slovakia, prior studies focused mainly on direct costs, but evolving treatment options and healthcare delivery necessitate a comprehensive assessment of both direct and indirect costs over the last decade. Methods This study conducted a retrospective, prevalence-based analysis of the economic burden of MS in Slovakia from 2013 to 2022, adopting a societal perspective. Data were obtained from national health insurance companies for direct healthcare costs and the Social Insurance Agency for indirect costs related to productivity losses. The human capital approach was used to estimate productivity loss costs. The methodology aligns with European cost-of-illness frameworks, distinguishing direct costs (drugs, therapies, hospitalizations) from indirect costs (work disability, absenteeism, informal care). Results MS prevalence in Slovakia increased by 43.3% between</w:t>
      </w:r>
    </w:p>
    <w:p>
      <w:pPr/>
      <w:r>
        <w:rPr>
          <w:b/>
        </w:rPr>
        <w:t>POSSIBLE 2025:</w:t>
      </w:r>
      <w:r>
        <w:t xml:space="preserve"> Impact of RSV hospitalization on healthcare costs, caregivers’ productivity loss, and quality of life in children ≤ 2 years old in five European countries — https://doi.org/10.1007/s00431-025-06460-7</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Respiratory syncytial virus (RSV) is a leading cause of hospitalizations in young children globally. We evaluated direct medical costs, caregiver work loss, and child quality of life (QoL) impairment associated with RSV hospitalization. Children ≤ 2 years with laboratory-confirmed RSV infection were prospectively identified between October 2020 and May 2023 at ten hospitals in Germany, Spain, Italy, France, and England. Direct costs were calculated based on country-specific unit costs per hospital day. Productivity loss and QoL impairment were ascertained by two validated, caregiver-administered instruments: 1) Work Productivity and Activity Impairment Questionnaire: Child’s Hospitalization for Respiratory Illness (WPAI:CHRI), administered before discharge and 2) TNO AZL Child Quality of Life (TAPQOL), administered at baseline (shortly after admission) and before discharge. Among 382 hospitalized children, 261 (69%) were &lt; 6 months and 306 (80%) were previously healthy. Median length of stay was 6 days (Interquartile Range (IQR) 4–8) and 50 (13%) were admitted to Paediatric Intensive Care Unit (PICU). Median hospital costs/admission were €4,266 (IQR 2,438–8,442), substantially varying by country (range €2,377-€8,541). Productivity loss was substantial with 129/211 (61%) employed caregivers reporting lost work-hours (mean 30.5 ± 18/admission). Child QoL was significantly reduced</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healthcare, population;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Excess healthcare utilization and costs linked to chronic conditions: a comparative study of nine European countries — https://doi.org/10.1093/eurpub/ckaf012</w:t>
      </w:r>
    </w:p>
    <w:p>
      <w:pPr/>
      <w:r>
        <w:rPr>
          <w:b/>
        </w:rPr>
        <w:t>Shared claim-specific concepts:</w:t>
      </w:r>
      <w:r>
        <w:t xml:space="preserve"> healthcare, associated; EU scope visible. This is a provisional connection, not an outcome finding.</w:t>
      </w:r>
    </w:p>
    <w:p>
      <w:pPr>
        <w:pStyle w:val="SourceNote"/>
      </w:pPr>
      <w:r>
        <w:rPr>
          <w:b/>
        </w:rPr>
        <w:t>Available abstract (not full text):</w:t>
      </w:r>
      <w:r>
        <w:t xml:space="preserve"> The increasing prevalence of chronic conditions is a significant challenge for healthcare systems worldwide, not only from a public health perspective but also for the aggregate cost that these represent. This paper estimates the additional use of healthcare services due to chronic health conditions and their associated costs in nine European countries. We analyzed inpatient and outpatient healthcare utilization using longitudinal data (Survey of Health, Ageing and Retirement in Europe [SHARE]). We implemented a difference-in-differences approach across multiple time periods. Monetary estimates were derived using WHO-CHOICE healthcare service costs. To compare countries, we calculated the healthcare cost burden of chronic conditions as a percentage of total health expenditure. People with chronic conditions require significantly more healthcare services than those without such conditions, averaging three additional outpatient visits and one extra overnight inpatient stay annually. These patterns vary across countries. In Germany, outpatient care usage is particularly high, with an average of four additional visits, while Switzerland leads in inpatient care with two extra overnight stays. The associated costs also differ widely, influenced by variations in healthcare demand, service pricing, and the prevalence of chronic conditions in each country. Chronic conditions significant</w:t>
      </w:r>
    </w:p>
    <w:p>
      <w:pPr>
        <w:pStyle w:val="Heading2"/>
      </w:pPr>
      <w:r>
        <w:t>967. Climate change, extreme weather events, air pollution and respiratory health in Europe</w:t>
      </w:r>
    </w:p>
    <w:p>
      <w:pPr>
        <w:pStyle w:val="SourceNote"/>
      </w:pPr>
      <w:r>
        <w:rPr>
          <w:b/>
        </w:rPr>
        <w:t>Original source (2013):</w:t>
      </w:r>
      <w:r>
        <w:t xml:space="preserve"> https://doi.org/10.1183/09031936.00074712</w:t>
      </w:r>
    </w:p>
    <w:p>
      <w:pPr/>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POSSIBLE 2026:</w:t>
      </w:r>
      <w:r>
        <w:t xml:space="preserve"> The temperature increase due to climate change will not favour Cydalima perspectalis in southern Europe — https://doi.org/10.1017/s0007485326100911</w:t>
      </w:r>
    </w:p>
    <w:p>
      <w:pPr/>
      <w:r>
        <w:rPr>
          <w:b/>
        </w:rPr>
        <w:t>Shared claim-specific concepts:</w:t>
      </w:r>
      <w:r>
        <w:t xml:space="preserve"> due, climate, patterns, conditions, show; EU scope visible. This is a provisional connection, not an outcome finding.</w:t>
      </w:r>
    </w:p>
    <w:p>
      <w:pPr>
        <w:pStyle w:val="SourceNote"/>
      </w:pPr>
      <w:r>
        <w:rPr>
          <w:b/>
        </w:rPr>
        <w:t>Available abstract (not full text):</w:t>
      </w:r>
      <w:r>
        <w:t xml:space="preserve">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pPr/>
      <w:r>
        <w:rPr>
          <w:b/>
        </w:rPr>
        <w:t>POSSIBLE 2026:</w:t>
      </w:r>
      <w:r>
        <w:t xml:space="preserve"> The obstacles and changes in Sino-European trade routes in the twenty-first century due to climate change and geopolitical risks — https://doi.org/10.1057/s41599-026-08607-9</w:t>
      </w:r>
    </w:p>
    <w:p>
      <w:pPr/>
      <w:r>
        <w:rPr>
          <w:b/>
        </w:rPr>
        <w:t>Shared claim-specific concepts:</w:t>
      </w:r>
      <w:r>
        <w:t xml:space="preserve"> due, climate, factors, areas; EU scope visible. This is a provisional connection, not an outcome finding.</w:t>
      </w:r>
    </w:p>
    <w:p>
      <w:pPr>
        <w:pStyle w:val="SourceNote"/>
      </w:pPr>
      <w:r>
        <w:rPr>
          <w:b/>
        </w:rPr>
        <w:t>Available abstract (not full text):</w:t>
      </w:r>
      <w:r>
        <w:t xml:space="preserve">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pPr/>
      <w:r>
        <w:rPr>
          <w:b/>
        </w:rPr>
        <w:t>POSSIBLE 2026:</w:t>
      </w:r>
      <w:r>
        <w:t xml:space="preserve"> The obstacles and changes in Sino-European trade routes in the twenty-first century due to climate change and geopolitical risks — https://doi.org/10.5281/zenodo.20018000</w:t>
      </w:r>
    </w:p>
    <w:p>
      <w:pPr/>
      <w:r>
        <w:rPr>
          <w:b/>
        </w:rPr>
        <w:t>Shared claim-specific concepts:</w:t>
      </w:r>
      <w:r>
        <w:t xml:space="preserve"> due,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Extreme event attribution for heat-related mortality due to anthropogenic climate change across Europe — https://doi.org/10.1038/s44360-026-00193-z</w:t>
      </w:r>
    </w:p>
    <w:p>
      <w:pPr/>
      <w:r>
        <w:rPr>
          <w:b/>
        </w:rPr>
        <w:t>Shared claim-specific concepts:</w:t>
      </w:r>
      <w:r>
        <w:t xml:space="preserve"> due, climate, other, areas, significant, health; EU scope visible. This is a provisional connection, not an outcome finding.</w:t>
      </w:r>
    </w:p>
    <w:p>
      <w:pPr>
        <w:pStyle w:val="SourceNote"/>
      </w:pPr>
      <w:r>
        <w:rPr>
          <w:b/>
        </w:rPr>
        <w:t>Available abstract (not full text):</w:t>
      </w:r>
      <w:r>
        <w:t xml:space="preserve"> Heatwaves are intensifying under climate change and have become the leading cause of weather-related mortality in Europe. Here we present a novel methodology that combines extreme event attribution methods with epidemiological models to quantify how anthropogenic climate change has altered the likelihood of extreme heat-related mortality events in 34 European countries. We find that in Southern Europe, 2022-like heat-related mortality events were, on average, 26.5× more likely relative to the pre-industrial baseline, roughly ten times the European average. The probability of such events increases further as global warming intensifies, with the greatest, nonlinear increases occurring in Southern Europe. Our analysis reveals significant regional and demographic disparities in climate vulnerability, emphasizing the need for population-specific analyses to inform effective adaptation strategies, reducing the projected health burden. Unlike other approaches, our study demonstrates that using near-real-time, publicly available mortality data enables rapid health impact event attribution analyses across large areas. A method combining extreme event attribution with epidemiological models shows that extreme heat-related mortality events in Southern Europe are 26.5 times more likely than in pre-industrial times, with regional and demographic disparities.</w:t>
      </w:r>
    </w:p>
    <w:p>
      <w:pPr/>
      <w:r>
        <w:rPr>
          <w:b/>
        </w:rPr>
        <w:t>POSSIBLE 2026:</w:t>
      </w:r>
      <w:r>
        <w:t xml:space="preserve"> Climate change and child health in Europe: a scoping review of emerging impacts — https://doi.org/10.1007/s00431-026-06966-8</w:t>
      </w:r>
    </w:p>
    <w:p>
      <w:pPr/>
      <w:r>
        <w:rPr>
          <w:b/>
        </w:rPr>
        <w:t>Shared claim-specific concepts:</w:t>
      </w:r>
      <w:r>
        <w:t xml:space="preserve"> due, climate, other, factors, air, pollution; EU scope visible. This is a provisional connection, not an outcome finding.</w:t>
      </w:r>
    </w:p>
    <w:p>
      <w:pPr>
        <w:pStyle w:val="SourceNote"/>
      </w:pPr>
      <w:r>
        <w:rPr>
          <w:b/>
        </w:rPr>
        <w:t>Available abstract (not full text):</w:t>
      </w:r>
      <w:r>
        <w:t xml:space="preserve"> Abstract Children are extremely vulnerable to climate-related environmental impacts and air pollution due to both biological and behavioral factors. Despite the emerging evidence of the increasing effects of climate change on the world and on children’s health, policies to drive change and halt the effects are lacking. Climate change is causing Europe to heat up faster than other continents. Here, we assessed the evidence-based effects of climate change and air pollution on child health in Europe. A scoping review was performed to map the impact of climate-related exposures on the health of children in Europe. A literature search was conducted in three bibliographic databases (PubMed, Embase.com, and Cochrane Database of Systematic Reviews/Cochrane Central Register of Controlled Trials), for studies published between January 1, 2014, and November 11, 2024. Studies were included if they met the following criteria: original studies performed in Europe, addressing climate-related exposures (i.e., the effects of air pollution, heat stress and/or wildfires) on clinical outcomes in neonates, infants, and children (&lt;18 years). The literature search generated a total of 3838 unique articles; upon screening, 73 articles were included in this scoping review. Most studies were conducted in South and West Europe. Climate-related exposures were linked to negative neonatal outcomes, increase</w:t>
      </w:r>
    </w:p>
    <w:p>
      <w:pPr/>
      <w:r>
        <w:rPr>
          <w:b/>
        </w:rPr>
        <w:t>POSSIBLE 2026:</w:t>
      </w:r>
      <w:r>
        <w:t xml:space="preserve"> Climate change and skin health in Europe and Central Asia — https://doi.org/10.24384/m94t-3428</w:t>
      </w:r>
    </w:p>
    <w:p>
      <w:pPr/>
      <w:r>
        <w:rPr>
          <w:b/>
        </w:rPr>
        <w:t>Shared claim-specific concepts:</w:t>
      </w:r>
      <w:r>
        <w:t xml:space="preserve"> due, climate, patterns, health, conditions, vulnerable; EU scope visible. This is a provisional connection, not an outcome finding.</w:t>
      </w:r>
    </w:p>
    <w:p>
      <w:pPr>
        <w:pStyle w:val="SourceNote"/>
      </w:pPr>
      <w:r>
        <w:rPr>
          <w:b/>
        </w:rPr>
        <w:t>Available abstract (not full text):</w:t>
      </w:r>
      <w:r>
        <w:t xml:space="preserve"> Why this matters now. Climate change is a major and growing public health challenge, with impacts that are already visible and affecting everyday health (WHO, 2023). Rising temperatures, stronger ultraviolet (UV) radiation, and changes in climate-sensitive infections and allergens are increasingly influencing skin health (Haykal et al., 2025). As the body’s first line of contact with the environment, the skin often shows the early health effects of climate change. Skin conditions are common, visible, and costly to manage. They place increasing pressure on GP and dermatology services and contribute to widening health inequalities. The burden is not evenly distributed: outdoor workers, migrants, children, and older adults face higher risks due to greater environmental exposure and barriers to prevention and care (Parker, Mo and Goodman, 2022). What we did. We conducted a systematic review of research published between 2015 and 2025 examining climate-related skin conditions across Europe and Central Asia. What we found. • Higher temperatures and increased ultraviolet (UV) exposure are linked to rising skin cancers and heat-related skin conditions. • Climate change is shifting patterns of skin infection. • Climate pressures worsen common inflammatory skin conditions, including eczema and allergies, particularly among vulnerable and outdoor-exposed groups. • Gaps in surveillance acr</w:t>
      </w:r>
    </w:p>
    <w:p>
      <w:pPr/>
      <w:r>
        <w:rPr>
          <w:b/>
        </w:rPr>
        <w:t>POSSIBLE 2025:</w:t>
      </w:r>
      <w:r>
        <w:t xml:space="preserve"> Assessing the Future Risk of Damage to European Cultural Heritage Due to Climate Change — https://doi.org/10.3390/heritage8050175</w:t>
      </w:r>
    </w:p>
    <w:p>
      <w:pPr/>
      <w:r>
        <w:rPr>
          <w:b/>
        </w:rPr>
        <w:t>Shared claim-specific concepts:</w:t>
      </w:r>
      <w:r>
        <w:t xml:space="preserve"> due, climate, significant, show; EU scope visible. This is a provisional connection, not an outcome finding.</w:t>
      </w:r>
    </w:p>
    <w:p>
      <w:pPr>
        <w:pStyle w:val="SourceNote"/>
      </w:pPr>
      <w:r>
        <w:rPr>
          <w:b/>
        </w:rPr>
        <w:t>Available abstract (not full text):</w:t>
      </w:r>
      <w:r>
        <w:t xml:space="preserve">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pPr/>
      <w:r>
        <w:rPr>
          <w:b/>
        </w:rPr>
        <w:t>POSSIBLE 2025:</w:t>
      </w:r>
      <w:r>
        <w:t xml:space="preserve"> Increased central and northern European summer heatwave intensity due to the forced changes in internal climate variability — https://doi.org/10.5194/egusphere-egu25-15386</w:t>
      </w:r>
    </w:p>
    <w:p>
      <w:pPr/>
      <w:r>
        <w:rPr>
          <w:b/>
        </w:rPr>
        <w:t>Shared claim-specific concepts:</w:t>
      </w:r>
      <w:r>
        <w:t xml:space="preserve"> due, climate, other, changing, significant, conditions; EU scope visible. This is a provisional connection, not an outcome finding.</w:t>
      </w:r>
    </w:p>
    <w:p>
      <w:pPr>
        <w:pStyle w:val="SourceNote"/>
      </w:pPr>
      <w:r>
        <w:rPr>
          <w:b/>
        </w:rPr>
        <w:t>Available abstract (not full text):</w:t>
      </w:r>
      <w:r>
        <w:t xml:space="preserve"> In the past two decades, the intensity of European summer heatwaves has strongly increased due to anthropogenic emissions and associated rising global mean temperatures. On the one hand, the anthropogenic forcing is causing an increase in European summer temperatures, shifting European summer temperature distributions towards warmer values and intensifying European summer heatwaves. On the other hand, the anthropogenic forcing is expected to affect the internal climate variability under global warming, changing the variability of European summer temperatures. While the effects of the forced changes in internal variability have been long debated for mean or maximum summer temperatures, the effects of the forced changes in internal variability on European summer heatwave intensity under increasing global warming levels remain unknown. Using four state-of-the-art global climate model large ensembles, we find that the forced changes in internal variability will intensify central and northern European summer heatwaves. In central and northern Europe, soil moisture is projected to decrease, leading to frequent moisture limitations, enhancing land-atmospheric feedback, and increasing heatwave intensity and variability. On the contrary, the forced changes in internal variability will weaken southern European summer heatwaves. Southern Europe is projected to face significant soil moistu</w:t>
      </w:r>
    </w:p>
    <w:p>
      <w:pPr/>
      <w:r>
        <w:rPr>
          <w:b/>
        </w:rPr>
        <w:t>POSSIBLE 2025:</w:t>
      </w:r>
      <w:r>
        <w:t xml:space="preserve"> Regional inequalities in air quality and health co-benefits due to climate change mitigation in the European electricity sector — https://doi.org/10.1007/s10584-024-03851-x</w:t>
      </w:r>
    </w:p>
    <w:p>
      <w:pPr/>
      <w:r>
        <w:rPr>
          <w:b/>
        </w:rPr>
        <w:t>Shared claim-specific concepts:</w:t>
      </w:r>
      <w:r>
        <w:t xml:space="preserve"> due, climate, air, health, vulnerable; EU scope visible. This is a provisional connection, not an outcome finding.</w:t>
      </w:r>
    </w:p>
    <w:p>
      <w:pPr>
        <w:pStyle w:val="SourceNote"/>
      </w:pPr>
      <w:r>
        <w:rPr>
          <w:b/>
        </w:rPr>
        <w:t>Available abstract (not full text):</w:t>
      </w:r>
      <w:r>
        <w:t xml:space="preserve"> Abstract Electricity supply transition to reach carbon neutrality in Europe is expected to bring air quality and health co-benefits, but their regional distribution has not been investigated in detail. This study quantifies these co-benefits for 250 European electricity scenarios in 2035 across 296 sub-national regions. The study links a spatially-explicit electricity sector model with an air quality and health impact model and then accounts for susceptibility and vulnerability of populations to adverse health effects. In case of low-carbon transition, direct PM2.5 concentrations attributable to European electricity generation in 2035 could be reduced by 45–99% compared to a system with the generation capacities of 2018. Depending on the system’s make-up, health co-benefits can vary significantly, as does their regional distribution. Focus on the minimum system costs leads to 15 times higher continent-wide excess deaths and to higher regional inequality than the scenario with minimum air pollutant emissions, which would almost entirely eliminate PM2.5-related mortality attributable to electricity generation. The most vulnerable regions (Balkans, Northern Germany, Southeast France, and the West Midlands in England) would benefit from higher air quality co-benefits than the continental average.</w:t>
      </w:r>
    </w:p>
    <w:p>
      <w:pPr/>
      <w:r>
        <w:rPr>
          <w:b/>
        </w:rPr>
        <w:t>POSSIBLE 2025:</w:t>
      </w:r>
      <w:r>
        <w:t xml:space="preserve"> EIP-AGRI Practice Abstract: A tool for identifying forest areas in Europe exposed to systematic stress due to climate change — https://doi.org/10.5281/zenodo.19743999</w:t>
      </w:r>
    </w:p>
    <w:p>
      <w:pPr/>
      <w:r>
        <w:rPr>
          <w:b/>
        </w:rPr>
        <w:t>Shared claim-specific concepts:</w:t>
      </w:r>
      <w:r>
        <w:t xml:space="preserve"> due, climate, areas; EU scope visible. This is a provisional connection, not an outcome finding.</w:t>
      </w:r>
    </w:p>
    <w:p>
      <w:pPr>
        <w:pStyle w:val="SourceNote"/>
      </w:pPr>
      <w:r>
        <w:rPr>
          <w:b/>
        </w:rPr>
        <w:t>Available abstract (not full text):</w:t>
      </w:r>
      <w:r>
        <w:t xml:space="preserve"> Forests are complex systems and their interaction with and response to climate change are very difficult to predict. Therefore, we use historical and current trends in forest biomass and productivity across Europe to identify areas at risk of natural disturbances or even forest loss.</w:t>
      </w:r>
    </w:p>
    <w:p>
      <w:pPr/>
      <w:r>
        <w:rPr>
          <w:b/>
        </w:rPr>
        <w:t>POSSIBLE 2025:</w:t>
      </w:r>
      <w:r>
        <w:t xml:space="preserve"> Increased Streamflow Intermittence in Europe Due To Climate Change Projected by Combining Global Hydrological Modeling and Machine Learning — https://doi.org/10.1029/2024ef005868</w:t>
      </w:r>
    </w:p>
    <w:p>
      <w:pPr/>
      <w:r>
        <w:rPr>
          <w:b/>
        </w:rPr>
        <w:t>Shared claim-specific concepts:</w:t>
      </w:r>
      <w:r>
        <w:t xml:space="preserve"> due, climate, both, conditions; EU scope visible. This is a provisional connection, not an outcome finding.</w:t>
      </w:r>
    </w:p>
    <w:p>
      <w:pPr>
        <w:pStyle w:val="SourceNote"/>
      </w:pPr>
      <w:r>
        <w:rPr>
          <w:b/>
        </w:rPr>
        <w:t>Available abstract (not full text):</w:t>
      </w:r>
      <w:r>
        <w:t xml:space="preserve"> Abstract Freshwater biodiversity and ecosystem services are under stress as climate change alters streamflow intermittence. We present the first continental‐scale quantification of future climate change impacts on streamflow intermittence, achieved for Europe at a high spatial resolution that captures headwater streams. A hybrid modeling approach combines physics‐based and data‐based modeling, with a random forest model, trained on historical streamflow observations, using predictors representing the impact of climate change on high‐resolution (500 m) streamflow. These predictors were derived from a low‐resolution (50 km) global hydrological model, WaterGAP, which was driven by the outputs of five global climate models. The generated monthly time series of intermittence status for over 1.5 million reaches were used to calculate five ecologically relevant indicators of streamflow intermittence change. In Europe, the number of non‐perennial reach‐months is projected to increase in the future, for both low (SSP1‐RCP2.6) and high (SSP5‐RCP8.5) greenhouse gas emissions scenarios, in almost all climate zones, particularly in August and September. Under SSP1‐RCP2.6, 3.8% of all reach‐months may experience no‐flow conditions in 2071–2100, only a small increase from 3.5% in 1985–2014. Under SSP5‐8.5, however, a larger increase to 4.8% of all reach‐months is expected; 2.8% of European re</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climate, air, pollution, world, health, one;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pStyle w:val="Heading2"/>
      </w:pPr>
      <w:r>
        <w:t>968. Comments: The Long-Term Outlook</w:t>
      </w:r>
    </w:p>
    <w:p>
      <w:pPr>
        <w:pStyle w:val="SourceNote"/>
      </w:pPr>
      <w:r>
        <w:rPr>
          <w:b/>
        </w:rPr>
        <w:t>Original source (2013):</w:t>
      </w:r>
      <w:r>
        <w:t xml:space="preserve"> https://doi.org/10.2118/0113-0018-jpt</w:t>
      </w:r>
    </w:p>
    <w:p>
      <w:pPr/>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POSSIBLE 2025:</w:t>
      </w:r>
      <w:r>
        <w:t xml:space="preserve"> Still Here — https://doi.org/10.7146/ageculturehumanities.v8i.141931</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pPr/>
      <w:r>
        <w:rPr>
          <w:b/>
        </w:rPr>
        <w:t>POSSIBLE 2025:</w:t>
      </w:r>
      <w:r>
        <w:t xml:space="preserve"> Synonymous but Significant: New Findings of Pathological Variants in Hermansky–Pudlak Syndrome — https://doi.org/10.1111/pcmr.13221</w:t>
      </w:r>
    </w:p>
    <w:p>
      <w:pPr/>
      <w:r>
        <w:rPr>
          <w:b/>
        </w:rPr>
        <w:t>Shared claim-specific concepts:</w:t>
      </w:r>
      <w:r>
        <w:t xml:space="preserve"> here, significant, findings, expanding; EU scope not established. This is a provisional connection, not an outcome finding.</w:t>
      </w:r>
    </w:p>
    <w:p>
      <w:pPr>
        <w:pStyle w:val="SourceNote"/>
      </w:pPr>
      <w:r>
        <w:rPr>
          <w:b/>
        </w:rPr>
        <w:t>Available abstract (not full text):</w:t>
      </w:r>
      <w:r>
        <w:t xml:space="preserve">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pPr/>
      <w:r>
        <w:rPr>
          <w:b/>
        </w:rPr>
        <w:t>POSSIBLE 2025:</w:t>
      </w:r>
      <w:r>
        <w:t xml:space="preserve"> Human Spatial Dynamics for Electricity Demand Forecasting — https://doi.org/10.1109/tpwrs.2025.3648653</w:t>
      </w:r>
    </w:p>
    <w:p>
      <w:pPr/>
      <w:r>
        <w:rPr>
          <w:b/>
        </w:rPr>
        <w:t>Shared claim-specific concepts:</w:t>
      </w:r>
      <w:r>
        <w:t xml:space="preserve"> here, energy, consumption; EU scope visible. This is a provisional connection, not an outcome finding.</w:t>
      </w:r>
    </w:p>
    <w:p>
      <w:pPr>
        <w:pStyle w:val="SourceNote"/>
      </w:pPr>
      <w:r>
        <w:rPr>
          <w:b/>
        </w:rPr>
        <w:t>Available abstract (not full text):</w:t>
      </w:r>
      <w:r>
        <w:t xml:space="preserve"> Accurate electricity demand forecasting is crucial for energy security and efficiency. In 2023, massive savings have been observed in Europe following an unprecedented global energy crisis. However, assessing the impact of such a crisis on electricity consumption behaviour is challenging. Moreover, standard statistical models based on meteorological and seasonal data have difficulty dealing with such sudden changes. Here, we show that mobility indices based on mobile network data reporting daily presence data significantly improve the performance of state-of-the-art models in electricity demand forecasting during France's government-pushed energy sobriety period. We start by introducing our mobility dataset, comparing it to others, and showing that adding mobility indices to models outperforms the state-of-the-art during winter 2022-2023. Then, we develop interpretable insights by characterizing how winter of 2022-2023 was atypical in terms of electricity demand and by showing how our mobile network data captures work dynamics. In effect, our results characterise the effect of employment-related behaviour patterns on electricity demand.</w:t>
      </w:r>
    </w:p>
    <w:p>
      <w:pPr/>
      <w:r>
        <w:rPr>
          <w:b/>
        </w:rPr>
        <w:t>POSSIBLE 2025:</w:t>
      </w:r>
      <w:r>
        <w:t xml:space="preserve"> Local Demand for AI Skills: A Multiscale Perspective in Great Britain — https://doi.org/10.1080/24694452.2025.2511939</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Discussions about artificial intelligence (AI) tend to ignore local geographies of labor demand for AI skills and adoption of such technologies. A potential explanation is the lack of granular enough data to capture spatial patterns and evolution of AI usage. Here, we employ novel data about online job advertisements (OJAs), which allow us to map and model the spatial pattern of labor demand for AI skills. Specifically, we calculate location quotients of labor demand for AI skills at a very detailed geographical level of lower layer super output areas (LSOAs) in Great Britain between 2017 and 2022. We then model these location quotients using multilevel zero-inflated negative binomial (MZNB) models with offset terms. Specifically, we regress the AI location quotients on local specialization in job categories aggregated at the neighborhood (LSOA) level, and on broader labor market effects measured at the local authority district (LAD) level. Our results illustrate that spatial concentration of labor demand for AI skills is significantly correlated with job specialization in information technology (IT) and scientific industries at the LSOA level. Furthermore, job specialization in IT or scientific industries at the higher LAD level further enhances the significant and positive effect of neighborhood specialization in IT. Research results reveal the presence of self-reinforcing sp</w:t>
      </w:r>
    </w:p>
    <w:p>
      <w:pPr/>
      <w:r>
        <w:rPr>
          <w:b/>
        </w:rPr>
        <w:t>POSSIBLE 2024:</w:t>
      </w:r>
      <w:r>
        <w:t xml:space="preserve"> Developing a relational approach to energy demand: A methodological and conceptual guide — https://doi.org/10.1016/j.erss.2024.103441</w:t>
      </w:r>
    </w:p>
    <w:p>
      <w:pPr/>
      <w:r>
        <w:rPr>
          <w:b/>
        </w:rPr>
        <w:t>Shared claim-specific concepts:</w:t>
      </w:r>
      <w:r>
        <w:t xml:space="preserve"> energy, developing, reflecting; EU scope not established. This is a provisional connection, not an outcome finding.</w:t>
      </w:r>
    </w:p>
    <w:p>
      <w:pPr>
        <w:pStyle w:val="SourceNote"/>
      </w:pPr>
      <w:r>
        <w:rPr>
          <w:b/>
        </w:rPr>
        <w:t>Available abstract (not full text):</w:t>
      </w:r>
      <w:r>
        <w:t xml:space="preserve">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pPr/>
      <w:r>
        <w:rPr>
          <w:b/>
        </w:rPr>
        <w:t>POSSIBLE 2024:</w:t>
      </w:r>
      <w:r>
        <w:t xml:space="preserve"> Finding nemas — https://doi.org/10.31368/97885-889720492024</w:t>
      </w:r>
    </w:p>
    <w:p>
      <w:pPr/>
      <w:r>
        <w:rPr>
          <w:b/>
        </w:rPr>
        <w:t>Shared claim-specific concepts:</w:t>
      </w:r>
      <w:r>
        <w:t xml:space="preserve"> here, significant, reflecting, growing; EU scope not established. This is a provisional connection, not an outcome finding.</w:t>
      </w:r>
    </w:p>
    <w:p>
      <w:pPr>
        <w:pStyle w:val="SourceNote"/>
      </w:pPr>
      <w:r>
        <w:rPr>
          <w:b/>
        </w:rPr>
        <w:t>Available abstract (not full text):</w:t>
      </w:r>
      <w:r>
        <w:t xml:space="preserve"> On the eve of its 50th anniversary, the Brazilian Society of Nematology (BSN) faces the challenge of the growing importance of nematodes for Brazilian agriculture. Our congresses now attract nearly 1,000 participants, reflecting the growth of the field. However, the lack of adequate training in universities is a problem, as many do not offer specific disciplines in Nematology, making investment in education from the early stages crucial. Considering this early education, the authors of the book “Finding Nemas,” my friend Claudio Marcelo, who played a fundamental role in my own journey in Nematology, and his daughter Ana Cecília, whom I saw being born, managed to translate the world of Agricultural Nematology in a subtle and accessible way for children. The detailed and skillfully created illustrations by Ana Cecília offer a technical insight that is both gentle and enjoyable, captivating not only the children but also everyone who works with nematodes. For those who know father and daughter, we had the privilege of witnessing in the narrative the involvement of a great researcher who had a significant impact on both of them, becoming a great friend who, unfortunately, left us prematurely. I confess that I was enchanted by this book from the moment it was presented to me. It is an honour, during my tenure at BSN, to participate in and support this initiative that, I am sure, wil</w:t>
      </w:r>
    </w:p>
    <w:p>
      <w:pPr/>
      <w:r>
        <w:rPr>
          <w:b/>
        </w:rPr>
        <w:t>POSSIBLE 2024:</w:t>
      </w:r>
      <w:r>
        <w:t xml:space="preserve"> Demand-Driven Challenges to Food Security: A Developing World Perspective — https://openalex.org/W7217394617</w:t>
      </w:r>
    </w:p>
    <w:p>
      <w:pPr/>
      <w:r>
        <w:rPr>
          <w:b/>
        </w:rPr>
        <w:t>Shared claim-specific concepts:</w:t>
      </w:r>
      <w:r>
        <w:t xml:space="preserve"> findings, developing, nations; EU scope not established. This is a provisional connection, not an outcome finding.</w:t>
      </w:r>
    </w:p>
    <w:p>
      <w:pPr>
        <w:pStyle w:val="SourceNote"/>
      </w:pPr>
      <w:r>
        <w:rPr>
          <w:b/>
        </w:rPr>
        <w:t>Available abstract (not full text):</w:t>
      </w:r>
      <w:r>
        <w:t xml:space="preserve"> Objective: This study explores the impact of short-run and long-run demand-side drivers on the food security in developing countries. Research Gap: The paper utilizes a rich dataset consisting on 89 nations spanning from the years 1990 to 2020. A research gap exists in the collective exploration of all four dimensions of food security. Prior to the present study, there was a scanty literature addressing this comprehensive approach. Methodology: The present study employs Method of Moments Quantile Regression (MMQR). The application of the MMQR technique to analyze the interconnections among food security, agricultural exports, income inequality, economic growth and demand-driven forces of food security has limited in previous literature. This underscores the need for a more nuanced understanding of the relationships between these variables. The Main Findings: The results reveal that overall population growth (PG) as well as urban population growth (UPG) serves as the persistent impediment towards the achievement of sustainable food security. However, official development assistance (ODA) shows a positive impact on availability and utilization dimensions. As well as, ODA can reduce undernourishment leading to improved access to nutritious food in developing countries. Implications of Findings: The study recommends promoting family planning to address population pressures and emph</w:t>
      </w:r>
    </w:p>
    <w:p>
      <w:pPr/>
      <w:r>
        <w:rPr>
          <w:b/>
        </w:rPr>
        <w:t>POSSIBLE 2023:</w:t>
      </w:r>
      <w:r>
        <w:t xml:space="preserve"> Energy Demand and Energy Efficiency in Developing Countries — https://doi.org/10.3390/en16031056</w:t>
      </w:r>
    </w:p>
    <w:p>
      <w:pPr/>
      <w:r>
        <w:rPr>
          <w:b/>
        </w:rPr>
        <w:t>Shared claim-specific concepts:</w:t>
      </w:r>
      <w:r>
        <w:t xml:space="preserve"> here, energy, developing; EU scope not established. This is a provisional connection, not an outcome finding.</w:t>
      </w:r>
    </w:p>
    <w:p>
      <w:pPr>
        <w:pStyle w:val="SourceNote"/>
      </w:pPr>
      <w:r>
        <w:rPr>
          <w:b/>
        </w:rPr>
        <w:t>Available abstract (not full text):</w:t>
      </w:r>
      <w:r>
        <w:t xml:space="preserve">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pPr/>
      <w:r>
        <w:rPr>
          <w:b/>
        </w:rPr>
        <w:t>POSSIBLE 2023:</w:t>
      </w:r>
      <w:r>
        <w:t xml:space="preserve"> Energy Demand Forecasting and Optimizing Electric Systems for Developing Countries — https://doi.org/10.1109/access.2023.3250110</w:t>
      </w:r>
    </w:p>
    <w:p>
      <w:pPr/>
      <w:r>
        <w:rPr>
          <w:b/>
        </w:rPr>
        <w:t>Shared claim-specific concepts:</w:t>
      </w:r>
      <w:r>
        <w:t xml:space="preserve"> energy, developing, consumption; EU scope not established. This is a provisional connection, not an outcome finding.</w:t>
      </w:r>
    </w:p>
    <w:p>
      <w:pPr>
        <w:pStyle w:val="SourceNote"/>
      </w:pPr>
      <w:r>
        <w:rPr>
          <w:b/>
        </w:rPr>
        <w:t>Available abstract (not full text):</w:t>
      </w:r>
      <w:r>
        <w:t xml:space="preserve">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pPr/>
      <w:r>
        <w:rPr>
          <w:b/>
        </w:rPr>
        <w:t>POSSIBLE 2023:</w:t>
      </w:r>
      <w:r>
        <w:t xml:space="preserve"> Swarming self-adhesive microgels enabled aneurysm on-demand embolization in physiological blood flow — https://doi.org/10.1126/sciadv.adf9278</w:t>
      </w:r>
    </w:p>
    <w:p>
      <w:pPr/>
      <w:r>
        <w:rPr>
          <w:b/>
        </w:rPr>
        <w:t>Shared claim-specific concepts:</w:t>
      </w:r>
      <w:r>
        <w:t xml:space="preserve"> here, significant, rise; EU scope not established. This is a provisional connection, not an outcome finding.</w:t>
      </w:r>
    </w:p>
    <w:p>
      <w:pPr>
        <w:pStyle w:val="SourceNote"/>
      </w:pPr>
      <w:r>
        <w:rPr>
          <w:b/>
        </w:rPr>
        <w:t>Available abstract (not full text):</w:t>
      </w:r>
      <w:r>
        <w:t xml:space="preserve">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pPr/>
      <w:r>
        <w:rPr>
          <w:b/>
        </w:rPr>
        <w:t>POSSIBLE 2023:</w:t>
      </w:r>
      <w:r>
        <w:t xml:space="preserve"> The Robots Are Here: Navigating the Generative AI Revolution in Computing Education — https://doi.org/10.1145/3623762.3633499</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Recent advancements in artificial intelligence (AI) and specifically generative AI (GenAI) are threatening to fundamentally reshape computing and society. Largely driven by large language models (LLMs), many tools are now able to interpret and generate both natural language instructions and source code. These capabilities have sparked urgent questions in the computing education community around how educators should adapt their pedagogy to address the challenges and to leverage the opportunities presented by this new technology. In this working group report, we undertake a comprehensive exploration of generative AI in the context of computing education and make five significant contributions. First, we provide a detailed review of the literature on LLMs in computing education and synthesise findings from 71 primary articles, nearly 80% of which have been published in the first 8 months of 2023. Second, we report the findings of a survey of computing students and instructors from across 20 countries, capturing prevailing attitudes towards GenAI/LLMs and their use in computing education contexts. Third, to understand how pedagogy is already changing, we offer insights collected from in-depth interviews with 22 computing educators from five continents. Fourth, we use the ACM Code of Ethics to frame a discussion of ethical issues raised by the use of large language models in computi</w:t>
      </w:r>
    </w:p>
    <w:p>
      <w:pPr/>
      <w:r>
        <w:rPr>
          <w:b/>
        </w:rPr>
        <w:t>POSSIBLE 2023:</w:t>
      </w:r>
      <w:r>
        <w:t xml:space="preserve"> An on-demand bioresorbable neurostimulator — https://doi.org/10.1038/s41467-023-42791-5</w:t>
      </w:r>
    </w:p>
    <w:p>
      <w:pPr/>
      <w:r>
        <w:rPr>
          <w:b/>
        </w:rPr>
        <w:t>Shared claim-specific concepts:</w:t>
      </w:r>
      <w:r>
        <w:t xml:space="preserve"> here, significant, energy; EU scope not established. This is a provisional connection, not an outcome finding.</w:t>
      </w:r>
    </w:p>
    <w:p>
      <w:pPr>
        <w:pStyle w:val="SourceNote"/>
      </w:pPr>
      <w:r>
        <w:rPr>
          <w:b/>
        </w:rPr>
        <w:t>Available abstract (not full text):</w:t>
      </w:r>
      <w:r>
        <w:t xml:space="preserve"> Abstract Bioresorbable bioelectronics, with their natural degradation properties, hold significant potential to eliminate the need for surgical removal. Despite notable achievements, two major challenges hinder their practical application in medical settings. First, they necessitate sustainable energy solutions with biodegradable components via biosafe powering mechanisms. More importantly, reliability in their function is undermined by unpredictable device lifetimes due to the complex polymer degradation kinetics. Here, we propose an on-demand bioresorbable neurostimulator to address these issues, thus allowing for clinical operations to be manipulated using biosafe ultrasound sources. Our ultrasound-mediated transient mechanism enables (1) electrical stimulation through transcutaneous ultrasound-driven triboelectricity and (2) rapid device elimination using high-intensity ultrasound without adverse health effects. Furthermore, we perform neurophysiological analyses to show that our neurostimulator provides therapeutic benefits for both compression peripheral nerve injury and hereditary peripheral neuropathy. We anticipate that the on-demand bioresorbable neurostimulator will prove useful in the development of medical implants to treat peripheral neuropathy.</w:t>
      </w:r>
    </w:p>
    <w:p>
      <w:pPr>
        <w:pStyle w:val="Heading2"/>
      </w:pPr>
      <w:r>
        <w:t>969. Constructing Resilient Futures: Integrating UK multi-stakeholder transport and energy resilience for 2050</w:t>
      </w:r>
    </w:p>
    <w:p>
      <w:pPr>
        <w:pStyle w:val="SourceNote"/>
      </w:pPr>
      <w:r>
        <w:rPr>
          <w:b/>
        </w:rPr>
        <w:t>Original source (2013):</w:t>
      </w:r>
      <w:r>
        <w:t xml:space="preserve"> https://doi.org/10.1016/j.futures.2013.04.003</w:t>
      </w:r>
    </w:p>
    <w:p>
      <w:pPr/>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POSSIBLE 2026:</w:t>
      </w:r>
      <w:r>
        <w:t xml:space="preserve"> Urban Form Influence on Terrorist Attacks in Maiduguri, Nigeria: A Street Topology Analysis — https://doi.org/10.48128/pisg-2026-71.2-05</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This study examined the impact of street characteristics on terrorist attack incidences in Maiduguri, Nigeria. Terrorist attack data from the Global Terrorism Database (GTD) was analysed using network analysis and Axwoman 6.3. Regression models identified spatial predictors of attacks. Results indicated that global integration and connectivity significantly increased bomb and armed attacks by 933.66% and 3.32%, respectively. Armed assault mitigation was associated with a 6.97% increase in edge betweenness. Betweenness centrality increased bomb attacks by 6.42%, while straightness centrality reduced them by 9.47%. The study underscores the role of urban form in city safety and resilience.</w:t>
      </w:r>
    </w:p>
    <w:p>
      <w:pPr/>
      <w:r>
        <w:rPr>
          <w:b/>
        </w:rPr>
        <w:t>POSSIBLE 2026:</w:t>
      </w:r>
      <w:r>
        <w:t xml:space="preserve"> A prospective study of resilience, stress, and mental and physical health following a large-scale terrorist attack — https://doi.org/10.1038/s41598-026-66171-3</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On October 7, 2023, the southern and central regions of Israel experienced a deadly terror attack that resulted in the deaths of approximately 1,400 civilians and the abduction of 251 people. Previous studies document adverse psychological and physical consequences of exposure to large-scale violence or terror attacks and identify resilience as an important protective factor. The mechanisms that link resilience with health outcomes in the context of a prolonged collective trauma, however, remain insufficiently understood. This prospective study examines the mediating role of stress in the association between resilience and both mental and self-rated physical health among civilians after a large-scale incident. The study tracks 250 participants across two time points, with assessments conducted shortly before and several months after the attack. Findings reveal that mental and self-rated physical health decline significantly after the attack; resilience is positively associated with mental and self-rated physical health; and synchronous-mediation analyses indicate that these associations are statistically mediated by perceived stress, whereas no significant time-lagged mediation effects are observed. These findings support the relevance of an established resilience–stress–health framework in the context of prolonged collective trauma and suggest that perceived stress may represe</w:t>
      </w:r>
    </w:p>
    <w:p>
      <w:pPr/>
      <w:r>
        <w:rPr>
          <w:b/>
        </w:rPr>
        <w:t>POSSIBLE 2026:</w:t>
      </w:r>
      <w:r>
        <w:t xml:space="preserve"> Police Preparedness, Training, and Resource Adequacy Against Terrorist Violent Attacks: A Quantitative Study of District Dera Ismail Khan — https://doi.org/10.59075/p9q9k938</w:t>
      </w:r>
    </w:p>
    <w:p>
      <w:pPr/>
      <w:r>
        <w:rPr>
          <w:b/>
        </w:rPr>
        <w:t>Shared claim-specific concepts:</w:t>
      </w:r>
      <w:r>
        <w:t xml:space="preserve"> terrorist, attacks, revealed, resilience, infrastructure; EU scope not established. This is a provisional connection, not an outcome finding.</w:t>
      </w:r>
    </w:p>
    <w:p>
      <w:pPr>
        <w:pStyle w:val="SourceNote"/>
      </w:pPr>
      <w:r>
        <w:rPr>
          <w:b/>
        </w:rPr>
        <w:t>Available abstract (not full text):</w:t>
      </w:r>
      <w:r>
        <w:t xml:space="preserve"> Terrorism continues to pose a significant threat to national security and public safety in Pakistan, particularly in regions that have experienced persistent militant activities and security challenges. As frontline responders to terrorist incidents, police personnel play a crucial role in preventing, mitigating, and responding to acts of terrorism. The aim of this study was to evaluate the preparedness of the police against terrorist violent attacks in District Dera Ismail Khan with a specific focus on counter-terrorist training, operational readiness of the police, capability of emergency response, and availability and sufficiency of equipment and resources to the police during terrorist attacks. Adopting a quantitative research design, data were collected from police personnel through a structured questionnaire and analyzed using descriptive and inferential statistical techniques. The results showed that police officers in general were moderately to highly prepared to respond to terrorist threats. Opinion was positive on the extent of operational readiness, emergency response capability and engagement in counter-terrorism training programs. The results further indicated that specialized training significantly enhanced officers’ tactical preparedness, threat recognition skills, and crisis management capabilities. Moreover, the study found that the availability of protective e</w:t>
      </w:r>
    </w:p>
    <w:p>
      <w:pPr/>
      <w:r>
        <w:rPr>
          <w:b/>
        </w:rPr>
        <w:t>POSSIBLE 2025:</w:t>
      </w:r>
      <w:r>
        <w:t xml:space="preserve"> Online Interest in Radical Islam and Terrorist Attacks — https://doi.org/10.1515/peps-2024-0054</w:t>
      </w:r>
    </w:p>
    <w:p>
      <w:pPr/>
      <w:r>
        <w:rPr>
          <w:b/>
        </w:rPr>
        <w:t>Shared claim-specific concepts:</w:t>
      </w:r>
      <w:r>
        <w:t xml:space="preserve"> terrorist, attacks, attention; EU scope not established. This is a provisional connection, not an outcome finding.</w:t>
      </w:r>
    </w:p>
    <w:p>
      <w:pPr>
        <w:pStyle w:val="SourceNote"/>
      </w:pPr>
      <w:r>
        <w:rPr>
          <w:b/>
        </w:rPr>
        <w:t>Available abstract (not full text):</w:t>
      </w:r>
      <w:r>
        <w:t xml:space="preserve">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pPr/>
      <w:r>
        <w:rPr>
          <w:b/>
        </w:rPr>
        <w:t>POSSIBLE 2025:</w:t>
      </w:r>
      <w:r>
        <w:t xml:space="preserve"> PREVENTION OF TERRORIST ATTACKS ON CRITICAL INFRASTRUCTURE ON THE EXAMPLE OF AN AIRPORT — https://doi.org/10.29119/1641-3466.2025.216.13</w:t>
      </w:r>
    </w:p>
    <w:p>
      <w:pPr/>
      <w:r>
        <w:rPr>
          <w:b/>
        </w:rPr>
        <w:t>Shared claim-specific concepts:</w:t>
      </w:r>
      <w:r>
        <w:t xml:space="preserve"> terrorist, attacks, government, approach, resilience, critical; EU scope not established. This is a provisional connection, not an outcome finding.</w:t>
      </w:r>
    </w:p>
    <w:p>
      <w:pPr>
        <w:pStyle w:val="SourceNote"/>
      </w:pPr>
      <w:r>
        <w:rPr>
          <w:b/>
        </w:rPr>
        <w:t>Available abstract (not full text):</w:t>
      </w:r>
      <w:r>
        <w:t xml:space="preserve">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pPr/>
      <w:r>
        <w:rPr>
          <w:b/>
        </w:rPr>
        <w:t>POSSIBLE 2025:</w:t>
      </w:r>
      <w:r>
        <w:t xml:space="preserve"> Identifying and Investigating Global News Coverage of Critical Events Such as Disasters and Terrorist Attacks — https://doi.org/10.1609/icwsm.v19i1.35818</w:t>
      </w:r>
    </w:p>
    <w:p>
      <w:pPr/>
      <w:r>
        <w:rPr>
          <w:b/>
        </w:rPr>
        <w:t>Shared claim-specific concepts:</w:t>
      </w:r>
      <w:r>
        <w:t xml:space="preserve"> terrorist, attacks, about, critical, attention; EU scope not established. This is a provisional connection, not an outcome finding.</w:t>
      </w:r>
    </w:p>
    <w:p>
      <w:pPr>
        <w:pStyle w:val="SourceNote"/>
      </w:pPr>
      <w:r>
        <w:rPr>
          <w:b/>
        </w:rPr>
        <w:t>Available abstract (not full text):</w:t>
      </w:r>
      <w:r>
        <w:t xml:space="preserve"> Comparative studies of news coverage are challenging to conduct because methods to identify news articles about the same event in different languages require expertise that is difficult to scale. We introduce an AI-powered method for identifying news articles based on an event fingerprint, which is a minimal set of metadata required to identify critical events. Our event coverage identification method, FINGERPRINT TO ARTICLE MATCHING FOR EVENTS (FAME), efficiently identifies news articles about critical world events, specifically terrorist attacks and several types of natural disasters. FAME does not require training data and is able to automatically and efficiently identify news articles that discuss an event given its fingerprint: time, location, and class (such as storm or flood). The method achieves state-of-the-art performance and scales to massive databases of tens of millions of news articles and hundreds of events happening globally. We use FAME to identify 27,441 articles that cover 470 natural disaster and terrorist attack events that happened in 2020. To this end, we use a massive database of news articles in three languages from MediaCloud, and three widely used, expert-curated databases of critical events: EM-DAT, USGS, and GTD. Our case study reveals patterns consistent with prior literature: coverage of disasters and terrorist attacks correlates to death counts, </w:t>
      </w:r>
    </w:p>
    <w:p>
      <w:pPr/>
      <w:r>
        <w:rPr>
          <w:b/>
        </w:rPr>
        <w:t>POSSIBLE 2025:</w:t>
      </w:r>
      <w:r>
        <w:t xml:space="preserve"> Urban land use and the spatial targets of terrorist attacks in Maiduguri City, Northeast Nigeria — https://doi.org/10.2298/spat250120007b</w:t>
      </w:r>
    </w:p>
    <w:p>
      <w:pPr/>
      <w:r>
        <w:rPr>
          <w:b/>
        </w:rPr>
        <w:t>Shared claim-specific concepts:</w:t>
      </w:r>
      <w:r>
        <w:t xml:space="preserve"> terrorist, attacks, revealed, resilience, critical; EU scope not established. This is a provisional connection, not an outcome finding.</w:t>
      </w:r>
    </w:p>
    <w:p>
      <w:pPr>
        <w:pStyle w:val="SourceNote"/>
      </w:pPr>
      <w:r>
        <w:rPr>
          <w:b/>
        </w:rPr>
        <w:t>Available abstract (not full text):</w:t>
      </w:r>
      <w:r>
        <w:t xml:space="preserve"> This research investigates the relationship between urban land use and terrorist attacks in target locations of Maiduguri, Northeast Nigeria ? a city significantly affected by insurgency and urban vulnerabilities. Analysing 402 terrorist incidents recorded between 2010 and 2020, the research identifies critical correlations between land use and attack types. The results revealed that tertiary institutions, motor parks, and Jumaat mosques were the highest risk facilities for bomb attacks, increasing their likelihood by 265%, 205%, and 218%, respectively, due to their capacity to attract large crowds and influence routine activities. Markets and schools were found to be key predictors of armed assaults. At the same time, facilities such as public offices, hotels, and recreation areas demonstrated resilience to bomb attacks, reducing their likelihood by 63%, 90%, and 79%, respectively, due to their controlled access and security measures. Notably, certain land uses, including markets and IDP camps, exhibited no significant correlation with bomb attacks, contrary to expectations. These findings highlight the critical role of urban planning in mitigating vulnerabilities by strategically integrating high-risk and resilient land uses. The study emphasizes the need for urban planners and policymakers to incorporate counterterrorism measures into land-use planning, in order to foster sa</w:t>
      </w:r>
    </w:p>
    <w:p>
      <w:pPr/>
      <w:r>
        <w:rPr>
          <w:b/>
        </w:rPr>
        <w:t>POSSIBLE 2025:</w:t>
      </w:r>
      <w:r>
        <w:t xml:space="preserve"> An indicator-driven software to prevent terrorist attacks — https://doi.org/10.35869/11093/9235</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This thesis develops a method to advance counter-terrorism bypredicting the probability, timing, and location of terrorist attacks. Byanalyzing data from all terrorist incidents involving fatalities in the Westbetween 2010 and 2020, the method is aimed to assess threat levels andforecast potential attacks. A total of 205 pieces of information werecompiled from open sources related with 60 terrorist attacks involving68 individuals. Thirty four indicators were considered to develop themethod, which is implemented in a user-friendly software. The accuracyof the method is shown by a very high Pearson correlation (0.96)between the prediction of attack outcomes and their number offatalities. The method also demonstrates that suspects with at least apredicted 50% probability of attack are linked to approximately 70% ofthe total fatalities, which accounts for 534 deaths of the cases studied.In addition, the method forecasts attack timings in around 74% of cases,as well as locations within 10 km of the last known indicator in 70% ofcases. The tool offers a valuable enhancement to security measures,with recommendations for integrating more dynamic data and furtherrefining its capabilities.</w:t>
      </w:r>
    </w:p>
    <w:p>
      <w:pPr/>
      <w:r>
        <w:rPr>
          <w:b/>
        </w:rPr>
        <w:t>POSSIBLE 2025:</w:t>
      </w:r>
      <w:r>
        <w:t xml:space="preserve"> Vehicle Ramming as a Form of Terrorist Attack Threatening Public Safety — https://doi.org/10.35808/ersj/3931</w:t>
      </w:r>
    </w:p>
    <w:p>
      <w:pPr/>
      <w:r>
        <w:rPr>
          <w:b/>
        </w:rPr>
        <w:t>Shared claim-specific concepts:</w:t>
      </w:r>
      <w:r>
        <w:t xml:space="preserve"> terrorist, attacks, approach, low; EU scope visible. This is a provisional connection, not an outcome finding.</w:t>
      </w:r>
    </w:p>
    <w:p>
      <w:pPr>
        <w:pStyle w:val="SourceNote"/>
      </w:pPr>
      <w:r>
        <w:rPr>
          <w:b/>
        </w:rPr>
        <w:t>Available abstract (not full text):</w:t>
      </w:r>
      <w:r>
        <w:t xml:space="preserve"> Purpose: This article examines terrorism on a global scale, focusing on the challenges of defining the phenomenon and the increasing threat posed by vehicle ramming attacks.The purpose of the study is to explore how vehicle ramming impacts public safety and to identify effective safeguards against such tactics.Design/Methodology/Approach: Employing a mixed-method approach, the research combines quantitative analysis of terrorist attack data from 1970 to 2019 with qualitative assessments of definitional issues and the operational characteristics of vehicle ramming.Methodologies include analogical reasoning, cause-and-effect analysis, and both de-ductive and inductive approaches to synthesize insights from a variety of sources.Findings: The findings indicate that despite numerous attempts by international institutions and scholars to establish a universal definition of terrorism, significant ambiguities remain.Furthermore, the analysis reveals a marked increase in both the frequency and lethality of vehicle ramming attacks, with particularly severe incidents observed in Europe during 2016-2017, thereby supporting the hypothesis that these attacks are effective due to their low preparation requirements and minimal risk of detection.Practical Implications: In practical terms, the study underscores the urgent need for enhanced urban security measures, such as physical barriers and i</w:t>
      </w:r>
    </w:p>
    <w:p>
      <w:pPr/>
      <w:r>
        <w:rPr>
          <w:b/>
        </w:rPr>
        <w:t>POSSIBLE 2025:</w:t>
      </w:r>
      <w:r>
        <w:t xml:space="preserve"> TERRORIST ATTACKS AGAINST THE EUROPEAN BANKING INDUSTRY SINCE 2001 — https://doi.org/10.53477/1842-9904-24-17</w:t>
      </w:r>
    </w:p>
    <w:p>
      <w:pPr/>
      <w:r>
        <w:rPr>
          <w:b/>
        </w:rPr>
        <w:t>Shared claim-specific concepts:</w:t>
      </w:r>
      <w:r>
        <w:t xml:space="preserve"> terrorist, attacks, resilience, critical, infrastructure, attention; EU scope visible. This is a provisional connection, not an outcome finding.</w:t>
      </w:r>
    </w:p>
    <w:p>
      <w:pPr>
        <w:pStyle w:val="SourceNote"/>
      </w:pPr>
      <w:r>
        <w:rPr>
          <w:b/>
        </w:rPr>
        <w:t>Available abstract (not full text):</w:t>
      </w:r>
      <w:r>
        <w:t xml:space="preserve"> There is a growing body of literature that recognises the importance of counter-terrorism and security, especially after the events of 9/11. Studies of terrorism and critical infrastructure protection agree on the essential nature of financial services and mention many cases when banks were attacked. However, the threat of terrorism to the banking industry received scant attention. This is the first study set out to investigate the terrorist attacks against banks in Europe since 2001. Research data were collected from the Global Terrorism Database.The aim of this quantitative research is to i) examine the terrorist attacks against European banks over the last two decades, ii) identify trends and patterns, and iii) provide some recommendations to increase the level of resilience.Our findings and recommendations can bring important contributions to the field of counter-terrorism and security. The study may hold relevance for researchers, operators of essential services, law enforcement agencies and policy-makers.</w:t>
      </w:r>
    </w:p>
    <w:p>
      <w:pPr/>
      <w:r>
        <w:rPr>
          <w:b/>
        </w:rPr>
        <w:t>POSSIBLE 2025:</w:t>
      </w:r>
      <w:r>
        <w:t xml:space="preserve"> Terrorist and sabotage attacks on selected critical infrastructure systems – a historical perspective — https://doi.org/10.4467/27204383ter.25.015.21518</w:t>
      </w:r>
    </w:p>
    <w:p>
      <w:pPr/>
      <w:r>
        <w:rPr>
          <w:b/>
        </w:rPr>
        <w:t>Shared claim-specific concepts:</w:t>
      </w:r>
      <w:r>
        <w:t xml:space="preserve"> terrorist, attacks, critical, infrastructure; EU scope not established. This is a provisional connection, not an outcome finding.</w:t>
      </w:r>
    </w:p>
    <w:p>
      <w:pPr>
        <w:pStyle w:val="SourceNote"/>
      </w:pPr>
      <w:r>
        <w:rPr>
          <w:b/>
        </w:rPr>
        <w:t>Available abstract (not full text):</w:t>
      </w:r>
      <w:r>
        <w:t xml:space="preserve"> The article describes terrorist and sabotage attacks carried out worldwide against two major critical infrastructure (CI) systems: energy supply and public transport. The selection of the events described in the article was subjective. In the section on attacks on the energy sector, the author adopted a geographical division – Middle East, Africa and South America. In the section on attacks on public transport, the division includes land transport and air transport. In the case of terrorist attacks on rail infrastructure, the author mainly used Anneli Botha’s study covering data from 2000 to 2017 and the work of Brian M. Jenkins and Bruce R. Butterworth, and for air transport, the work of Jacques Duchesneau. Not all data on attacks on CI systems has been updated due to the fact that the information contained in the sources is partial. The author draws the conclusion that with the development of modern technology and the escalation of tensions in international relations, the level of threat to CI will increase.</w:t>
      </w:r>
    </w:p>
    <w:p>
      <w:pPr/>
      <w:r>
        <w:rPr>
          <w:b/>
        </w:rPr>
        <w:t>POSSIBLE 2024:</w:t>
      </w:r>
      <w:r>
        <w:t xml:space="preserve"> Risk assessment and categorization of terrorist attacks based on the Global Terrorism Database from 1970 to 2020 — https://doi.org/10.1057/s41599-024-03597-y</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Risk assessment and categorization of terrorist attacks can assist enhance awareness of terrorism and give crucial information support for anti-terrorism efforts. This study utilizes quantitative approaches for the risk assessment and categorization of terrorist attacks. A total of 210,454 terrorist attacks that occurred worldwide from 1970 through 2020 were collected in the Global Terrorism Database, and 22 indicators related to the risk of terrorist attacks were selected. Then, the moment estimation theory and four comprehensive evaluation models were utilized to identify the top 10 riskiest terrorist attacks in the world. Furthermore, the five clustering analysis methods and three evaluation criteria were performed for the risk categorization of terrorist attacks, and the visual analysis was carried out using the kernel density estimation method. The research results have identified the top 10 riskiest global terrorist attacks, which were led by the September 11 terrorist attack event, along with their downward counterfactual events. The spatial distribution of global terrorist attack risk is primarily composed of four “turbulent cores” in the region of Central Asia, Middle East &amp; North Africa, South Asia, and Central America &amp; Caribbean. This study also provided insights and recommendations for anti-terrorism efforts. It has realized the risk assessment and categorization o</w:t>
      </w:r>
    </w:p>
    <w:p>
      <w:pPr>
        <w:pStyle w:val="Heading2"/>
      </w:pPr>
      <w:r>
        <w:t>970. European Scenario Studies on Future In-Stream Nutrient Concentrations</w:t>
      </w:r>
    </w:p>
    <w:p>
      <w:pPr>
        <w:pStyle w:val="SourceNote"/>
      </w:pPr>
      <w:r>
        <w:rPr>
          <w:b/>
        </w:rPr>
        <w:t>Original source (2013):</w:t>
      </w:r>
      <w:r>
        <w:t xml:space="preserve"> https://doi.org/10.13031/trans.56.9961</w:t>
      </w:r>
    </w:p>
    <w:p>
      <w:pPr/>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POSSIBLE 2026:</w:t>
      </w:r>
      <w:r>
        <w:t xml:space="preserve"> Assessing precision and accuracy of manure volatile solids, total nitrogen, and total ammoniacal nitrogen analyses across 6 commercial laboratories — https://doi.org/10.3168/jdsc.2025-1007</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pPr/>
      <w:r>
        <w:rPr>
          <w:b/>
        </w:rPr>
        <w:t>POSSIBLE 2026:</w:t>
      </w:r>
      <w:r>
        <w:t xml:space="preserve"> Industrial pollutant releases to water in Europe (2010-2024) — https://doi.org/10.2909/9f8d7f6c-5c6b-42ee-a684-2d208c088f4a</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Industrial pollutant releases to water in Europe (2010-2024) — https://doi.org/10.2909/898d92dd-b70d-42c1-956f-8e90f78c7952</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Decoupling factors influencing spatial and temporal trends of total nitrogen and ammonia nitrogen levels in lakes across China — https://doi.org/10.5194/egusphere-2026-3574</w:t>
      </w:r>
    </w:p>
    <w:p>
      <w:pPr/>
      <w:r>
        <w:rPr>
          <w:b/>
        </w:rPr>
        <w:t>Shared claim-specific concepts:</w:t>
      </w:r>
      <w:r>
        <w:t xml:space="preserve"> total, nitrogen, management; EU scope not established. This is a provisional connection, not an outcome finding.</w:t>
      </w:r>
    </w:p>
    <w:p>
      <w:pPr>
        <w:pStyle w:val="SourceNote"/>
      </w:pPr>
      <w:r>
        <w:rPr>
          <w:b/>
        </w:rPr>
        <w:t>Available abstract (not full text):</w:t>
      </w:r>
      <w:r>
        <w:t xml:space="preserve"> Abstract. The heterogeneity of lake nitrogen pollution in its spatial distribution and long-term evolution influences ecosystem functioning and the effectiveness of water environment management. However, whether the drivers shaping the spatial patterns of different nitrogen forms differ from those governing their temporal dynamics remains poorly understood at large spatial scales. Here, we constructed monthly time series (2010–2024) of total nitrogen (TN) and ammonia nitrogen (NH₃-N) concentrations for 3,020 lakes across China’s five limnological regions using an ensemble machine learning framework and to reveal the difference in factors that influence spatial patterns and long-term changes of the two nitrogen forms at the large scale. The results showed that the factors determining where lakes are nitrogen-enriched are not necessarily those controlling whether nitrogen conditions improve or deteriorate over time and that different nitrogen forms respond to management and environmental change through distinct pathways. For TN, the spatial patterns are jointly shaped by external nitrogen loading, land cover, and hydro-climatic conditions, highlighting strong landscape-scale controls. However, its long-term evolution is governed more strongly by temporal variations in external nitrogen inputs than by static spatial characteristics. In contrast, NH₃-N exhibits a more direct and ra</w:t>
      </w:r>
    </w:p>
    <w:p>
      <w:pPr/>
      <w:r>
        <w:rPr>
          <w:b/>
        </w:rPr>
        <w:t>POSSIBLE 2026:</w:t>
      </w:r>
      <w:r>
        <w:t xml:space="preserve"> Intact polar lipids as biomarkers for nitrogen fixation and nitrification in European soils — https://doi.org/10.5194/egusphere-egu26-12957</w:t>
      </w:r>
    </w:p>
    <w:p>
      <w:pPr/>
      <w:r>
        <w:rPr>
          <w:b/>
        </w:rPr>
        <w:t>Shared claim-specific concepts:</w:t>
      </w:r>
      <w:r>
        <w:t xml:space="preserve"> indicate, total, nitrogen, result, well, based; EU scope visible. This is a provisional connection, not an outcome finding.</w:t>
      </w:r>
    </w:p>
    <w:p>
      <w:pPr>
        <w:pStyle w:val="SourceNote"/>
      </w:pPr>
      <w:r>
        <w:rPr>
          <w:b/>
        </w:rPr>
        <w:t>Available abstract (not full text):</w:t>
      </w:r>
      <w:r>
        <w:t xml:space="preserve"> Rising atmospheric CO2 levels are enhancing primary production, which could result in higher carbon sequestration in biomass (C-fixation). This higher primary productivity, however, relies on a sustained supply of soil nutrients, particularly nitrogen (N). To understand whether climate change and rising CO2 levels have an impact on soil nitrogen availability on centennial to millennial timescales, a geological perspective can be used. For instance, the glacial-interglacial warming, and Holocene warm periods provide valuable natural analogues for investigating these long-term interactions. However, currently no quantitative methods exist to reconstruct soil nitrogen availability through time. To address this, we propose to develop novel proxies based on lipid biomarkers for essential processes in the soil N-cycle.In aquatic systems, microbial membrane lipids are well established as biomarkers for specific steps in the N-cycle: for instance, heterocyte glycolipids (HGs), produced by heterocytous cyanobacteria, indicate biological nitrogen fixation. Further, microbial intact polar lipids (IPL), isoprenoid glycerol dialkyl glycerol tetraethers (isoGDGTs) and bacteriohopanepolyols (BHPs) are promising proxies for archaeal ammonia oxidation and bacterial nitrite-oxidation, respectively. We propose to test for these N-cycle biomarkers in soils. A pilot sample set of European surface s</w:t>
      </w:r>
    </w:p>
    <w:p>
      <w:pPr/>
      <w:r>
        <w:rPr>
          <w:b/>
        </w:rPr>
        <w:t>POSSIBLE 2026:</w:t>
      </w:r>
      <w:r>
        <w:t xml:space="preserve"> Seasonal leachate organic carbon and total nitrogen in an organic integrated crop–livestock rotation system — https://doi.org/10.1002/ael2.70095</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Abstract Integrated crop–livestock systems (ICLS) can reduce nutrient losses relative to annual cropping, yet seasonal dynamics of dissolved organic carbon (DOC) and nitrogen in organic systems remain poorly understood. We evaluated non‐purgeable organic carbon (NPOC), total nitrogen (TN), and C:N ratios during the sixth and seventh years of a certified organic ICLS in Kentucky. Subsurface soil water samples were collected at 1‐meter depth across seven treatments, including three rotational goat‐grazed pasture phases, two cropped phases, ungrazed perennial pasture (PP), and a continuous corn–soybean system (CNP). NPOC showed strong seasonality, with low spring concentrations and pronounced autumn increases, indicating dominant hydrologic control over DOC exports. In contrast, TN varied with season and management, with elevated concentrations during crop‐to‐pasture transitions and in CNP. Mature grazed pasture phases and PP generally maintained lower TN and higher C:N ratios, indicating enhanced nitrogen retention. Rotational transitions represent critical periods of nitrogen leaching risk. Core Ideas Soil water non–purgeable organic carbon was driven mainly by sampling season. Total nitrogen varied more with rotation phase and management. Early pasture estlablishment increased nitrogen leaching risk. Continuous corn–soybean cropping had greater nitrogen leaching risk. Mature pa</w:t>
      </w:r>
    </w:p>
    <w:p>
      <w:pPr/>
      <w:r>
        <w:rPr>
          <w:b/>
        </w:rPr>
        <w:t>POSSIBLE 2026:</w:t>
      </w:r>
      <w:r>
        <w:t xml:space="preserve"> The Critical Role of Wetland Conservation and Restoration in Mitigating Nitrogen Pollution Across European River Basins — https://doi.org/10.5194/egusphere-egu26-23188</w:t>
      </w:r>
    </w:p>
    <w:p>
      <w:pPr/>
      <w:r>
        <w:rPr>
          <w:b/>
        </w:rPr>
        <w:t>Shared claim-specific concepts:</w:t>
      </w:r>
      <w:r>
        <w:t xml:space="preserve"> total, nitrogen, land-use, area, management, higher; EU scope visible. This is a provisional connection, not an outcome finding.</w:t>
      </w:r>
    </w:p>
    <w:p>
      <w:pPr>
        <w:pStyle w:val="SourceNote"/>
      </w:pPr>
      <w:r>
        <w:rPr>
          <w:b/>
        </w:rPr>
        <w:t>Available abstract (not full text):</w:t>
      </w:r>
      <w:r>
        <w:t xml:space="preserve"> Excessive nitrogen (N) inputs from agricultural intensification, wastewater, and atmospheric deposition pose a severe threat to European ecosystems and public health, with N levels in over 57% of freshwater monitoring stations exceeding thresholds for good ecological status. While traditional management practices focus on reducing inputs, nature-based solutions (NBSs) like wetlands offer powerful, cost-effective filtration by facilitating denitrification in their carbon-rich, anoxic soils. This study presents a novel, pan-European modeling framework that combines high-resolution N surplus data, historical wetland distribution, and projected land-use changes to quantify the current and potential N-removal capacity of wetlands across the EU27 and neighboring countries.The analysis estimates that existing European wetlands currently remove approximately 1,000 kt of nitrogen per year, a service that prevents riverine N loads to the sea from being 25% higher than they are today. Despite this contribution, Europe remains a hotspot for wetland loss, having drained roughly 70% (~78 Mha) of its historical wetland area, primarily for agricultural expansion.To address current pollution gaps, the study evaluates three restoration scenarios designed to meet water quality targets while balancing agricultural productivity. The most ambitious Restoration scenario - restoring 27% of wetlands hi</w:t>
      </w:r>
    </w:p>
    <w:p>
      <w:pPr/>
      <w:r>
        <w:rPr>
          <w:b/>
        </w:rPr>
        <w:t>POSSIBLE 2025:</w:t>
      </w:r>
      <w:r>
        <w:t xml:space="preserve"> Investigating the storage of organic carbon, nitrogen and phosphorus in pond sediment — https://doi.org/10.1007/s11368-025-04001-1</w:t>
      </w:r>
    </w:p>
    <w:p>
      <w:pPr/>
      <w:r>
        <w:rPr>
          <w:b/>
        </w:rPr>
        <w:t>Shared claim-specific concepts:</w:t>
      </w:r>
      <w:r>
        <w:t xml:space="preserve"> total, nitrogen, central; EU scope visible. This is a provisional connection, not an outcome finding.</w:t>
      </w:r>
    </w:p>
    <w:p>
      <w:pPr>
        <w:pStyle w:val="SourceNote"/>
      </w:pPr>
      <w:r>
        <w:rPr>
          <w:b/>
        </w:rPr>
        <w:t>Available abstract (not full text):</w:t>
      </w:r>
      <w:r>
        <w:t xml:space="preserve"> The present study evaluates the sediment mass and storage of total organic carbon (TOC), total nitrogen (TN) and total phosphorus (TP) in a managed agricultural pond, representative for ponds situated in Central Europe. The study is designed to enhance understanding of the functioning of such ponds as nutrient sinks and the capacity to retain TOC, TN and TP within the pond's sediment layer. In order to assess the distribution of sediments and the storage of nutrients, orthomosaics and digital elevation models (DEMs) were generated from imagery recorded by unmanned aerial vehicles (UAVs) in 2021 and 2022. The thickness of the sediment was measured at 174 points over nine diving campaigns, with the volume estimated comparing three interpolation methods. Sediment core samples were analysed to determine their physical and chemical composition. In addition, water samples were collected from the inlets and outlets to trace potential pathways of nutrients. The pond was found to store 330.9 t ha −1 TOC, 16 t ha −1 TN and 0.8 t ha −1 TP with an sediment mass of 1,460 t ha −1 . The DEM comparison indicates areas of sediment loss and accumulation, with the overall sediment mass remaining stable. The vertical distribution of nutrients indicated the presence of layered sediment deposition, which suggests a complex history of sediment and nutrient retention. The pond acts as a nutrient sink,</w:t>
      </w:r>
    </w:p>
    <w:p>
      <w:pPr/>
      <w:r>
        <w:rPr>
          <w:b/>
        </w:rPr>
        <w:t>POSSIBLE 2025:</w:t>
      </w:r>
      <w:r>
        <w:t xml:space="preserve"> Modelling agronomic and environmental effects of bio-based nitrogen fertilisers in Europe — https://doi.org/10.1007/s10705-025-10463-z</w:t>
      </w:r>
    </w:p>
    <w:p>
      <w:pPr/>
      <w:r>
        <w:rPr>
          <w:b/>
        </w:rPr>
        <w:t>Shared claim-specific concepts:</w:t>
      </w:r>
      <w:r>
        <w:t xml:space="preserve"> total, nitrogen, reduced, improvements, based, higher; EU scope visible. This is a provisional connection, not an outcome finding.</w:t>
      </w:r>
    </w:p>
    <w:p>
      <w:pPr>
        <w:pStyle w:val="SourceNote"/>
      </w:pPr>
      <w:r>
        <w:rPr>
          <w:b/>
        </w:rPr>
        <w:t>Available abstract (not full text):</w:t>
      </w:r>
      <w:r>
        <w:t xml:space="preserve"> Biobased waste materials, rich in nutrients and carbon, are often underutilised but could be processed into valuable biobased fertilisers (BBFs). Replacing conventional mineral fertilisers with BBFs requires understanding of their agronomic and environmental performance, which is currently lacking. This study used the Daisy model to evaluate the agronomic (dry matter and nitrogen (N) yield) and environmental (N losses to air and water) performance of eight BBFs in six European cropping systems. Mineral N fertilisation in the baseline scenarios was replaced with BBF according to three different schemes of N fertiliser replacement: Agronomic (according to 1st year fertiliser N replacement value (NFRV), typically 10–90%), Environmental (same total N as in baseline, equivalent to NFRV = 100%), and Intermediate (based on average NFRV of Agronomic and Environmental). Results indicated that under the Agronomic scheme, BBFs maintained or increased yields, but increased N losses relative to the baseline with mineral N. The Environmental scheme reduced crop yields by up to 10%, but N losses remained similar to baseline fertilisation. BBFs generally improved soil organic N or carbon stocks, indicators of soil quality. Differences in N losses and soil quality in the Agronomic scheme were mainly related to BBFs having different NFRV; a low NFRV (e.g., compost) implies higher total N inputs </w:t>
      </w:r>
    </w:p>
    <w:p>
      <w:pPr/>
      <w:r>
        <w:rPr>
          <w:b/>
        </w:rPr>
        <w:t>POSSIBLE 2025:</w:t>
      </w:r>
      <w:r>
        <w:t xml:space="preserve"> Global Change Likely to Promote the Expansion of the Quagga Mussel (Dreissena bugensis) in Europe — https://doi.org/10.1111/jbi.70012</w:t>
      </w:r>
    </w:p>
    <w:p>
      <w:pPr/>
      <w:r>
        <w:rPr>
          <w:b/>
        </w:rPr>
        <w:t>Shared claim-specific concepts:</w:t>
      </w:r>
      <w:r>
        <w:t xml:space="preserve"> likely, decrease, due, area, management, based; EU scope visible. This is a provisional connection, not an outcome finding.</w:t>
      </w:r>
    </w:p>
    <w:p>
      <w:pPr>
        <w:pStyle w:val="SourceNote"/>
      </w:pPr>
      <w:r>
        <w:rPr>
          <w:b/>
        </w:rPr>
        <w:t>Available abstract (not full text):</w:t>
      </w:r>
      <w:r>
        <w:t xml:space="preserve"> ABSTRACT Aim Invasive aquatic species are a pressing concern for environmental managers due to their significant impacts and high eradication costs. The Ponto‐Caspian region is a notable source of aquatic invasive species, with over 40 invaders currently affecting freshwater ecosystems throughout Europe. Among these, the quagga mussel (Dreissena bugensis) stands out due to its swift colonisation and disruptive ecological effects. We hypothesise that climate change will lead to an increased range for the quagga mussel, similar to its congener, the zebra mussel (Dreissena polymorpha). Location The risk assessment area of this study covers the European Union and United Kingdom (EU27 + UK) under climate change scenarios for 2050 and 2070. Taxon Mollusca, Bivalvia, Dreissenidae, Dreissena bugensis. Material and Methods We used the global distribution of the species including 818 occurrences from the Global Biodiversity Information Facility (GBIF) and 430 additional records from an extensive literature review. We used species distribution models (SDM) based on climate and topography to calculate the risk of establishment of the quagga mussel by biogeographic region, country and major catchment. We also evaluated how the risk may change under 2050 and 2070 climate change scenarios. Models were calibrated with data pre‐2020 and validated with data from 2021 to 2024, showing a 92% succe</w:t>
      </w:r>
    </w:p>
    <w:p>
      <w:pPr/>
      <w:r>
        <w:rPr>
          <w:b/>
        </w:rPr>
        <w:t>POSSIBLE 2025:</w:t>
      </w:r>
      <w:r>
        <w:t xml:space="preserve"> Evaluating the performance of biobased, recovered nitrogen fertilizers in European cropping systems using modelling — https://doi.org/10.1016/j.farsys.2025.100141</w:t>
      </w:r>
    </w:p>
    <w:p>
      <w:pPr/>
      <w:r>
        <w:rPr>
          <w:b/>
        </w:rPr>
        <w:t>Shared claim-specific concepts:</w:t>
      </w:r>
      <w:r>
        <w:t xml:space="preserve"> total, nitrogen, due, higher; EU scope visible. This is a provisional connection, not an outcome finding.</w:t>
      </w:r>
    </w:p>
    <w:p>
      <w:pPr>
        <w:pStyle w:val="SourceNote"/>
      </w:pPr>
      <w:r>
        <w:rPr>
          <w:b/>
        </w:rPr>
        <w:t>Available abstract (not full text):</w:t>
      </w:r>
      <w:r>
        <w:t xml:space="preserve"> Biobased fertilizers (BBFs) are gaining attention for their potential to advance a circular economy. This study used the Daisy model to evaluate the performance of three BBFs—ammonium sulphate (AS), digestate (DIG), and liquid fraction of digestate (LFDIG)—compared to baseline fertilization (mineral and manure) across ten European cropping systems. BBFs replaced baseline fertilization under three scenarios: (i) full replacement with equivalent total N input, (ii) full replacement with higher total N input due to BBFs' lower (&lt;100%) fertilizer replacement values (FRVs, relative substitution rate of BBF to synthetic fertilizer), and (iii) partial replacement (only manure-N) with equivalent total N input. Results indicated that under both partial and full replacement scenarios with equivalent total N input, AS, DIG, and LFDIG had minimal impacts (&lt;5%) on crop N yield, nitrogen use efficiency (NUE), and total N losses (gaseous and leaching) compared to the baseline. The soil organic N (SON) stocks either decreased or changed more slowly with AS and LFDIG. In scenario ii (higher total N input), BBFs led to increased N yield (2–18%) and N losses (avg. 76%), and decreased NUE (2–25%) relative to the baseline. DIG was the most effective at improving SON stocks (average increase 4.9 ​kg ​N ha −1 y −1 ) and reducing N losses, followed by LFDIG and AS. The impact on N leaching varied, wit</w:t>
      </w:r>
    </w:p>
    <w:p>
      <w:pPr/>
      <w:r>
        <w:rPr>
          <w:b/>
        </w:rPr>
        <w:t>POSSIBLE 2025:</w:t>
      </w:r>
      <w:r>
        <w:t xml:space="preserve"> Total Nitrogen Shapes Diversity of Bloom-Forming Dinoflagellates in the Baltic Coastal Waters — https://doi.org/10.3390/biology15010048</w:t>
      </w:r>
    </w:p>
    <w:p>
      <w:pPr/>
      <w:r>
        <w:rPr>
          <w:b/>
        </w:rPr>
        <w:t>Shared claim-specific concepts:</w:t>
      </w:r>
      <w:r>
        <w:t xml:space="preserve"> total, nitrogen, based; EU scope not established. This is a provisional connection, not an outcome finding.</w:t>
      </w:r>
    </w:p>
    <w:p>
      <w:pPr>
        <w:pStyle w:val="SourceNote"/>
      </w:pPr>
      <w:r>
        <w:rPr>
          <w:b/>
        </w:rPr>
        <w:t>Available abstract (not full text):</w:t>
      </w:r>
      <w:r>
        <w:t xml:space="preserve"> The impact of nitrogen on harmful algal blooms (HABs) and functions of biota in marine ecosystems under eutrophication is a topical issue of growing importance. The article aimed at describing the diversity of planktonic bloom-forming dinoflagellates in the SW Baltic Sea coastal waters under variable eutrophication. The analysis of 44 year-long database revealed 82 dinoflagellate species and demonstrated diversity patterns of ten common bloom-forming species, including seven mixotrophs from the genera Prorocentrum, Dinophysis, and Ceratium, under variable eutrophication evaluated using total nitrogen (TN) content in water. Based on the Intermediate Disturbance Hypothesis (IDH), we presumed those coastal waters with total nitrogen concentrations that are optimal to dinoflagellates to host greater taxonomic diversity compared to areas with non-optimum TN content. The results showed that the highest dinoflagellate species richness was associated with much lower TN concentrations than the optimum values for these species. Thus, our findings disagreed with the IDH. We suggested and discussed possible reasons of this inconsistency, including algal growth rates and disturbance frequency. We also updated the classification of eutrophication levels in the Baltic Sea based on the distribution of TN content and diversity of HAB-forming dinoflagellates. The results can contribute to predic</w:t>
      </w:r>
    </w:p>
    <w:p>
      <w:pPr>
        <w:pStyle w:val="Heading2"/>
      </w:pPr>
      <w:r>
        <w:t>971. European atmosphere in 2050, a regional air quality and climate perspective under CMIP5 scenarios</w:t>
      </w:r>
    </w:p>
    <w:p>
      <w:pPr>
        <w:pStyle w:val="SourceNote"/>
      </w:pPr>
      <w:r>
        <w:rPr>
          <w:b/>
        </w:rPr>
        <w:t>Original source (2013):</w:t>
      </w:r>
      <w:r>
        <w:t xml:space="preserve"> https://doi.org/10.5194/acp-13-7451-2013</w:t>
      </w:r>
    </w:p>
    <w:p>
      <w:pPr/>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POSSIBLE 2026:</w:t>
      </w:r>
      <w:r>
        <w:t xml:space="preserve"> Climate &amp; Air Quality projections over Europe for 2030 and 2050 — https://openalex.org/W7213705154</w:t>
      </w:r>
    </w:p>
    <w:p>
      <w:pPr/>
      <w:r>
        <w:rPr>
          <w:b/>
        </w:rPr>
        <w:t>Shared claim-specific concepts:</w:t>
      </w:r>
      <w:r>
        <w:t xml:space="preserve"> quantify, air, relevant, consistent,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Impacts of drought on electricity production, fossil carbon emissions, and air pollution in Europe — https://doi.org/10.1016/j.nexus.2026.100652</w:t>
      </w:r>
    </w:p>
    <w:p>
      <w:pPr/>
      <w:r>
        <w:rPr>
          <w:b/>
        </w:rPr>
        <w:t>Shared claim-specific concepts:</w:t>
      </w:r>
      <w:r>
        <w:t xml:space="preserve"> quantify, air, pollution, factors, climate; EU scope visible. This is a provisional connection, not an outcome finding.</w:t>
      </w:r>
    </w:p>
    <w:p>
      <w:pPr>
        <w:pStyle w:val="SourceNote"/>
      </w:pPr>
      <w:r>
        <w:rPr>
          <w:b/>
        </w:rPr>
        <w:t>Available abstract (not full text):</w:t>
      </w:r>
      <w:r>
        <w:t xml:space="preserve"> • Drought impacts electricity production from both renewables and fossil fuels • Hydropower and other renewable energy sources decline during droughts • From 2017 to 2023, drought increased fossil power generation in Europe by 180 ± 34 TWh • In the same period, drought-induced emissions reached 141 ± 35 Mt CO₂-eq across 25 countries • Natural gas and lignite drove most emission increases during dry periods. Europe has experienced severe droughts that impacted electricity generation from both renewable and fossil sources. Yet, the response of national electricity systems to drought and the resulting impacts on emissions of CO₂ and air pollutants remain insufficiently understood. This study combines monthly historical electricity generation data (2017–2023) with runoff anomalies, used as a proxy for drought conditions, across 25 European countries. A regression-based counterfactual analysis is applied to quantify the country-level response of electricity systems to drier-than-average conditions. Estimated drought-induced changes in fossil-based generation are subsequently translated into emissions of greenhouse gases and air pollutants using fuel- and country-specific emission factors. We find that electricity generation from hydropower and other renewables is reduced during dry periods, while reliance on fossil fuels and imports increases. Drought induced 141±35 million tonnes o</w:t>
      </w:r>
    </w:p>
    <w:p>
      <w:pPr/>
      <w:r>
        <w:rPr>
          <w:b/>
        </w:rPr>
        <w:t>POSSIBLE 2026:</w:t>
      </w:r>
      <w:r>
        <w:t xml:space="preserve"> Priorities for change for autistic people across Europe — https://doi.org/10.1186/s13229-026-00706-3</w:t>
      </w:r>
    </w:p>
    <w:p>
      <w:pPr/>
      <w:r>
        <w:rPr>
          <w:b/>
        </w:rPr>
        <w:t>Shared claim-specific concepts:</w:t>
      </w:r>
      <w:r>
        <w:t xml:space="preserve"> consistent, two;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consistent, two;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r>
        <w:rPr>
          <w:b/>
        </w:rPr>
        <w:t>POSSIBLE 2025:</w:t>
      </w:r>
      <w:r>
        <w:t xml:space="preserve"> Quantifying the Climate Penalty on Air Quality in Europe – Insights from INSPEnCaT Project — https://doi.org/10.5194/egusphere-egu25-17230</w:t>
      </w:r>
    </w:p>
    <w:p>
      <w:pPr/>
      <w:r>
        <w:rPr>
          <w:b/>
        </w:rPr>
        <w:t>Shared claim-specific concepts:</w:t>
      </w:r>
      <w:r>
        <w:t xml:space="preserve"> quantify, air, pollution, system, relies, sets; EU scope visible. This is a provisional connection, not an outcome finding.</w:t>
      </w:r>
    </w:p>
    <w:p>
      <w:pPr>
        <w:pStyle w:val="SourceNote"/>
      </w:pPr>
      <w:r>
        <w:rPr>
          <w:b/>
        </w:rPr>
        <w:t>Available abstract (not full text):</w:t>
      </w:r>
      <w:r>
        <w:t xml:space="preserve">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air, climate;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Estimating mortality due to air pollution in Europe for the CATALYSE project — https://openalex.org/W7171757730</w:t>
      </w:r>
    </w:p>
    <w:p>
      <w:pPr/>
      <w:r>
        <w:rPr>
          <w:b/>
        </w:rPr>
        <w:t>Shared claim-specific concepts:</w:t>
      </w:r>
      <w:r>
        <w:t xml:space="preserve"> quantify, air, pollution, climate, reference, policies; EU scope visible. This is a provisional connection, not an outcome finding.</w:t>
      </w:r>
    </w:p>
    <w:p>
      <w:pPr>
        <w:pStyle w:val="SourceNote"/>
      </w:pPr>
      <w:r>
        <w:rPr>
          <w:b/>
        </w:rPr>
        <w:t>Available abstract (not full text):</w:t>
      </w:r>
      <w:r>
        <w:t xml:space="preserve"> The European Union’s CATALYSE (Climate Action to Advance Healthy Societies in Europe) project seeks to provide new knowledge, data, and tools to close the knowledge-to-action gap and accelerate climate change action and protect public health in Europe. One of its five main objectives is to quantify the health co-benefits of mitigation measures outside of the health sector. To address this objective, CATALYSE has developed a set of three policy-relevant scenarios: (1) a Reference scenario based on currently implemented policies, (2) a Green Deal scenario, based on the European Green Deal, legislation that was approved in 2020 and seeks to make the EU climate neutral by 2050, and (3) a Beyond Green Deal scenario, which goes further than the Green Deal scenario by implementing behavioural changes such as restricted diet and energy use. Important to the evaluation of these scenarios is the estimate of human mortality due to exposure to particulate matter with aerodynamic diameter less than 2.5 microns (PM2.5) in each scenario. As part of Work Package 2 of the CATALYSE project, we have utilized the emissions output from each of the three CATALYSE scenarios as input in the EMAC atmospheric model (Jöckel et al. 2006), simulating the global Earth atmosphere and climate in the years 2020, 2030, 2040, and 2050, in order to evaluate each scenario’s impact on PM2.5 concentrations in Europe</w:t>
      </w:r>
    </w:p>
    <w:p>
      <w:pPr/>
      <w:r>
        <w:rPr>
          <w:b/>
        </w:rPr>
        <w:t>POSSIBLE 2025:</w:t>
      </w:r>
      <w:r>
        <w:t xml:space="preserve"> Dose–Response Functions for Assessing Corrosion Risks to Urban Heritage Materials from Air Pollution Under Climate Change: Insights from Europe and China — https://doi.org/10.3390/buildings15132271</w:t>
      </w:r>
    </w:p>
    <w:p>
      <w:pPr/>
      <w:r>
        <w:rPr>
          <w:b/>
        </w:rPr>
        <w:t>Shared claim-specific concepts:</w:t>
      </w:r>
      <w:r>
        <w:t xml:space="preserve"> quantify, air, pollution, modelling, climate; EU scope visible. This is a provisional connection, not an outcome finding.</w:t>
      </w:r>
    </w:p>
    <w:p>
      <w:pPr>
        <w:pStyle w:val="SourceNote"/>
      </w:pPr>
      <w:r>
        <w:rPr>
          <w:b/>
        </w:rPr>
        <w:t>Available abstract (not full text):</w:t>
      </w:r>
      <w:r>
        <w:t xml:space="preserve"> Urban heritage materials face accelerated decay due to the synergistic effects of air pollution and climate change. Dose–response functions (DRFs) have emerged as a key tool to quantify and predict these risks. This review synthesizes the scientific development of DRFs, their application in Europe and China, and their role in policy and heritage management. European initiatives have refined DRFs to incorporate multi-pollutant and climate interactions, providing spatial risk maps and informing pollution control measures. In China, recent applications adapt European insights to local contexts, revealing strong influences of particulate matter. While DRFs offer clear quantitative estimates, their empirical nature and simplified assumptions necessitate complementary methods, including sensor networks, remote sensing, and machine learning models. Future research should integrate multivariate modelling, expand empirical data, and couple DRFs with real-time monitoring to better protect urban heritage materials amid environmental change.</w:t>
      </w:r>
    </w:p>
    <w:p>
      <w:pPr/>
      <w:r>
        <w:rPr>
          <w:b/>
        </w:rPr>
        <w:t>POSSIBLE 2025:</w:t>
      </w:r>
      <w:r>
        <w:t xml:space="preserve"> Quantifying the short-term mortality effects of wildfire smoke in Europe: a multicountry epidemiological study in 654 contiguous regions — https://doi.org/10.1016/j.lanplh.2025.101296</w:t>
      </w:r>
    </w:p>
    <w:p>
      <w:pPr/>
      <w:r>
        <w:rPr>
          <w:b/>
        </w:rPr>
        <w:t>Shared claim-specific concepts:</w:t>
      </w:r>
      <w:r>
        <w:t xml:space="preserve"> horizon, modelling, system; EU scope visible. This is a provisional connection, not an outcome finding.</w:t>
      </w:r>
    </w:p>
    <w:p>
      <w:pPr>
        <w:pStyle w:val="SourceNote"/>
      </w:pPr>
      <w:r>
        <w:rPr>
          <w:b/>
        </w:rPr>
        <w:t>Available abstract (not full text):</w:t>
      </w:r>
      <w:r>
        <w:t xml:space="preserve"> Background Fine particulate matter (PM 2·5 ) from wildfire smoke could be more harmful to human health than that from other sources. Evidence of the short-term association between wildfire-related PM 2·5 and mortality in Europe remains sparse, leading to uncertainties in the fire-related PM 2·5 mortality burden. Methods In this retrospective, multicountry epidemiological study, we used the EARLY-ADAPT database to obtain daily mortality records in 654 contiguous subnational regions from 32 European countries, representing a population of 541 million individuals. We combined these data with daily estimates of fire-related and non-fire-related PM 2·5 from the System for Integrated Modelling of Atmospheric Composition model during 2004–22. Regional and pooled associations between daily fire-related PM 2·5 and all-cause and cause-specific mortality were quantified using quasi-Poisson regression. We compared deaths attributable to fire-related PM 2·5 using relative risks (RRs) specific to fire-related PM 2·5 versus total PM 2·5 . Findings Our study data included 95⸱3 million daily deaths for all-cause mortality, 19⸱5 million daily deaths for cardiovascular mortality, and 3⸱9 million daily deaths for respiratory mortality from Jan 1, 2004, until the latest available year in each country. Pooled cumulative (lags 0–7) RRs associated with a 1 μg per m 3 increase in fire-related PM 2·5 we</w:t>
      </w:r>
    </w:p>
    <w:p>
      <w:pPr/>
      <w:r>
        <w:rPr>
          <w:b/>
        </w:rPr>
        <w:t>POSSIBLE 2025:</w:t>
      </w:r>
      <w:r>
        <w:t xml:space="preserve"> Enhancing anthropogenic NMVOC emission speciation for European air quality modelling — https://doi.org/10.1016/j.envpol.2025.126510</w:t>
      </w:r>
    </w:p>
    <w:p>
      <w:pPr/>
      <w:r>
        <w:rPr>
          <w:b/>
        </w:rPr>
        <w:t>Shared claim-specific concepts:</w:t>
      </w:r>
      <w:r>
        <w:t xml:space="preserve"> air, modelling; EU scope visible. This is a provisional connection, not an outcome finding.</w:t>
      </w:r>
    </w:p>
    <w:p>
      <w:pPr>
        <w:pStyle w:val="SourceNote"/>
      </w:pPr>
      <w:r>
        <w:rPr>
          <w:b/>
        </w:rPr>
        <w:t>Available abstract (not full text):</w:t>
      </w:r>
      <w:r>
        <w:t xml:space="preserve"> Non-Methane Volatile Organic Compounds (NMVOCs) impact health and air quality, contributing to ozone and secondary organic aerosols (SOA). With stricter pollutant limits and a growing emphasis on modelling under the new European Ambient Air Quality Directive, improving NMVOC representation—particularly in terms of speciation—is essential. Current state-of-the-art European inventories rely on outdated data, potentially limiting accuracy. This study assesses for the first time the CAMS-REGv7.1 NMVOC emission inventory across Europe and evaluates the impact of replacing its default speciation with a more recent alternative using the MONARCH chemical transport model, comparing results with benzene, toluene and xylene observations for 2019. The impact of changing the speciation on modelled O 3 is also quantified. The updated speciation shows significant changes in emissions across NMVOC species, with all species showing changes greater than ±15 %, significantly affecting their spatial distribution and sector contributions. Air quality modelling results show notable improvements for benzene (average NMB from -46.1 % to -27.7 %), primarily driven by a better split of residential wood combustion NMVOC proposed in this work. For toluene and xylenes, major overestimations previously observed in capital cities are largely reduced by improving the characterization of solvent activities wit</w:t>
      </w:r>
    </w:p>
    <w:p>
      <w:pPr/>
      <w:r>
        <w:rPr>
          <w:b/>
        </w:rPr>
        <w:t>POSSIBLE 2025:</w:t>
      </w:r>
      <w:r>
        <w:t xml:space="preserve"> Collaboration patterns in circular economy innovation ecosystems: evidence from the Horizon Europe programme — https://doi.org/10.1108/sampj-03-2025-0437</w:t>
      </w:r>
    </w:p>
    <w:p>
      <w:pPr/>
      <w:r>
        <w:rPr>
          <w:b/>
        </w:rPr>
        <w:t>Shared claim-specific concepts:</w:t>
      </w:r>
      <w:r>
        <w:t xml:space="preserve"> horizon, diverse, policies; EU scope visible. This is a provisional connection, not an outcome finding.</w:t>
      </w:r>
    </w:p>
    <w:p>
      <w:pPr>
        <w:pStyle w:val="SourceNote"/>
      </w:pPr>
      <w:r>
        <w:rPr>
          <w:b/>
        </w:rPr>
        <w:t>Available abstract (not full text):</w:t>
      </w:r>
      <w:r>
        <w:t xml:space="preserve"> Purpose The transition to circular economy (CE) models requires robust innovation ecosystems (IEs) that foster collaboration among diverse actors. This paper aims to map collaboration patterns within IEs for the CE (IECEs) and to explain how different actors contribute to CE development and why structural bottlenecks emerge. Design/methodology/approach The authors conduct a multilevel, directed network analysis of 276 Horizon Europe projects involving 2,364 organisations across 31 countries, examining macro (country) and micro (organisation/type-of-agent) structures. The authors compute centrality, modularity and density and assess dynamic robustness via targeted node-removal simulations. Findings Countries that are advanced in CE are not always the ones at the centre of collaboration. Coordination tends to sit with a small group of countries. At the organisational level, firms mainly secure and use funding and deliver projects, while universities and research centres connect partners and often lead coordination. The public bodies are less well integrated. The network holds together, but it leans heavily on a few highly connected players and leaves smaller clusters at the edges. If the key players step back, collaboration and the spread of CE solutions could slow. Practical implications The findings provide actionable insights for policymakers and funding bodies to refine colla</w:t>
      </w:r>
    </w:p>
    <w:p>
      <w:pPr>
        <w:pStyle w:val="Heading2"/>
      </w:pPr>
      <w:r>
        <w:t>972. Foresight and “grand challenges” within research and innovation policies</w:t>
      </w:r>
    </w:p>
    <w:p>
      <w:pPr>
        <w:pStyle w:val="SourceNote"/>
      </w:pPr>
      <w:r>
        <w:rPr>
          <w:b/>
        </w:rPr>
        <w:t>Original source (2013):</w:t>
      </w:r>
      <w:r>
        <w:t xml:space="preserve"> https://doi.org/10.1108/14636681311310123</w:t>
      </w:r>
    </w:p>
    <w:p>
      <w:pPr/>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POSSIBLE 2026:</w:t>
      </w:r>
      <w:r>
        <w:t xml:space="preserve"> Meaning, Purpose, and Leadership Thriving — https://doi.org/10.1002/jls.70045</w:t>
      </w:r>
    </w:p>
    <w:p>
      <w:pPr/>
      <w:r>
        <w:rPr>
          <w:b/>
        </w:rPr>
        <w:t>Shared claim-specific concepts:</w:t>
      </w:r>
      <w:r>
        <w:t xml:space="preserve"> purpose, implications, challenges; EU scope not established. This is a provisional connection, not an outcome finding.</w:t>
      </w:r>
    </w:p>
    <w:p>
      <w:pPr>
        <w:pStyle w:val="SourceNote"/>
      </w:pPr>
      <w:r>
        <w:rPr>
          <w:b/>
        </w:rPr>
        <w:t>Available abstract (not full text):</w:t>
      </w:r>
      <w:r>
        <w:t xml:space="preserve">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pPr/>
      <w:r>
        <w:rPr>
          <w:b/>
        </w:rPr>
        <w:t>POSSIBLE 2026:</w:t>
      </w:r>
      <w:r>
        <w:t xml:space="preserve"> The Pursuit of Meaning: Finding Happiness Through Purpose — https://doi.org/10.17605/osf.io/mgfdk</w:t>
      </w:r>
    </w:p>
    <w:p>
      <w:pPr/>
      <w:r>
        <w:rPr>
          <w:b/>
        </w:rPr>
        <w:t>Shared claim-specific concepts:</w:t>
      </w:r>
      <w:r>
        <w:t xml:space="preserve"> purpose, seeks, understand, challenges; EU scope not established. This is a provisional connection, not an outcome finding.</w:t>
      </w:r>
    </w:p>
    <w:p>
      <w:pPr>
        <w:pStyle w:val="SourceNote"/>
      </w:pPr>
      <w:r>
        <w:rPr>
          <w:b/>
        </w:rPr>
        <w:t>Available abstract (not full text):</w:t>
      </w:r>
      <w:r>
        <w:t xml:space="preserve"> In The Pursuit of Meaning: Finding Happiness Through Purpose, Prof. Dr. Yoesoep Edhie Rachmad, Ph.D., DBA, explores the intricate relationship between meaning and happiness. The book delves deeply into how a sense of purpose shapes an individual’s pursuit of true fulfillment, offering insights on how purpose-driven living enhances overall happiness. Through philosophical reflections, psychological theories, and practical approaches, the book outlines the role of personal meaning in fostering lasting contentment. Prof. Dr. Yoesoep Edhie Rachmad, Ph.D., DBA, uses a blend of scholarly research and real-life examples to demonstrate how cultivating a purposeful life is not only a key to happiness but a fundamental aspect of human existence. Published by The United Nations and The Education Training Centre in 2009, the book challenges its readers to redefine their lives by embracing meaningful endeavors and recognizing their inherent value in the world. The motivation for writing The Pursuit of Meaning: Finding Happiness Through Purpose emerges from Prof. Dr. Yoesoep Edhie Rachmad, Ph.D., DBA’s desire to understand why some people feel deeply fulfilled while others, despite material wealth and success, struggle with feelings of emptiness. Recognizing that happiness is often tied to a greater sense of purpose, the author offers a philosophical and psychological exploration of how livi</w:t>
      </w:r>
    </w:p>
    <w:p>
      <w:pPr/>
      <w:r>
        <w:rPr>
          <w:b/>
        </w:rPr>
        <w:t>POSSIBLE 2026:</w:t>
      </w:r>
      <w:r>
        <w:t xml:space="preserve"> Between trauma and resistance: Pride, pleasure, and purpose in the lives of trans and gender diverse activists in Brazil. — https://doi.org/10.1037/tra0002117</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OBJECTIVE: This study explored how community resilience and resistance manifest in the experiences of trans and gender diverse (TGD) people engaging in activism in a medium-sized Brazilian town. It aimed to understand how TGD activists navigate political violence and identify elements of community resilience and resistance within their activist work. METHOD: We employed a qualitative participatory approach, centering the lived experiences of TGD activists. We collaborated and conducted semistructured interviews with six TGD activists. The study was theoretically informed by Liberation Psychology and the multisystemic resilience framework. Data were analyzed using a reflexive thematic analysis, enriched by an intersectional lens. RESULTS: The analysis generated three interrelated themes, each encompassing multiple strengths and relational resources. Pride captured expressions of identity pride, community connectedness, and aesthetic audacity. Pleasure combined accounts of gender euphoria, cultural engagement, and experiencing trans bodies as sources of political resistance. Purpose illuminated how meaning-making practices were shaped by serving future generations and awareness of intersecting oppressions. CONCLUSIONS: Activism is often incorporated by activists as a meaning-making framework. It can contribute to addressing psychosocial trauma by fostering the development of psyc</w:t>
      </w:r>
    </w:p>
    <w:p>
      <w:pPr/>
      <w:r>
        <w:rPr>
          <w:b/>
        </w:rPr>
        <w:t>POSSIBLE 2026:</w:t>
      </w:r>
      <w:r>
        <w:t xml:space="preserve"> Networks for Knowledge Mobilization: A Framework to Understand Support-Seeking Behaviors of Knowledge Brokers — https://doi.org/10.1177/01614681261489004</w:t>
      </w:r>
    </w:p>
    <w:p>
      <w:pPr/>
      <w:r>
        <w:rPr>
          <w:b/>
        </w:rPr>
        <w:t>Shared claim-specific concepts:</w:t>
      </w:r>
      <w:r>
        <w:t xml:space="preserve"> purpose, used, understand, identified, challenges; EU scope not established. This is a provisional connection, not an outcome finding.</w:t>
      </w:r>
    </w:p>
    <w:p>
      <w:pPr>
        <w:pStyle w:val="SourceNote"/>
      </w:pPr>
      <w:r>
        <w:rPr>
          <w:b/>
        </w:rPr>
        <w:t>Available abstract (not full text):</w:t>
      </w:r>
      <w:r>
        <w:t xml:space="preserve"> Background: Knowledge brokers are increasingly influential in education. They cultivate relationships between research, policy, and practice; make knowledge accessible and usable; and support evidence-informed change in education. Still, their support-seeking behaviors within their relational ecosystems are not well studied and understood. Purpose: The purpose of this exploratory study is to expand upon existing research by: (1) developing profiles of knowledge brokers based on their support-seeking behaviors within their relational ecosystems, and (2) understanding the tensions knowledge brokers navigate while building and maintaining their relational ecosystems for support. Research Design: This mixed-methods study draws on data from 12 equity-focused, evidence-based knowledge broker organizations in the United States. For this paper, we draw on data from egocentric network surveys and interviews, which we first qualitatively coded for forms of support, underlying strategic priorities, and tensions. Next, we transformed the data, quantifying the qualitative findings. Finally, we used hierarchical clustering to determine different knowledge broker profiles of support-seeking behaviors. Findings: Participating knowledge brokers differed in their support-seeking behaviors, suggesting that not all knowledge brokers had the same support needs or access. We identified seven profile</w:t>
      </w:r>
    </w:p>
    <w:p>
      <w:pPr/>
      <w:r>
        <w:rPr>
          <w:b/>
        </w:rPr>
        <w:t>POSSIBLE 2025:</w:t>
      </w:r>
      <w:r>
        <w:t xml:space="preserve"> The Authenticity of Purpose Claims: Firm Capacity and Job Seeker Responses to Recruitment Efforts — https://doi.org/10.1287/mnsc.2023.03931</w:t>
      </w:r>
    </w:p>
    <w:p>
      <w:pPr/>
      <w:r>
        <w:rPr>
          <w:b/>
        </w:rPr>
        <w:t>Shared claim-specific concepts:</w:t>
      </w:r>
      <w:r>
        <w:t xml:space="preserve"> purpose, understand, present, recent, context; EU scope not established. This is a provisional connection, not an outcome finding.</w:t>
      </w:r>
    </w:p>
    <w:p>
      <w:pPr>
        <w:pStyle w:val="SourceNote"/>
      </w:pPr>
      <w:r>
        <w:rPr>
          <w:b/>
        </w:rPr>
        <w:t>Available abstract (not full text):</w:t>
      </w:r>
      <w:r>
        <w:t xml:space="preserve">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pPr/>
      <w:r>
        <w:rPr>
          <w:b/>
        </w:rPr>
        <w:t>POSSIBLE 2025:</w:t>
      </w:r>
      <w:r>
        <w:t xml:space="preserve"> Seeking meaning and purpose in the university-to-work transition: the experience of mainland Chinese master’s students in Hong Kong — https://doi.org/10.1080/03075079.2025.2468311</w:t>
      </w:r>
    </w:p>
    <w:p>
      <w:pPr/>
      <w:r>
        <w:rPr>
          <w:b/>
        </w:rPr>
        <w:t>Shared claim-specific concepts:</w:t>
      </w:r>
      <w:r>
        <w:t xml:space="preserve"> purpose, implications, identified; EU scope not established. This is a provisional connection, not an outcome finding.</w:t>
      </w:r>
    </w:p>
    <w:p>
      <w:pPr>
        <w:pStyle w:val="SourceNote"/>
      </w:pPr>
      <w:r>
        <w:rPr>
          <w:b/>
        </w:rPr>
        <w:t>Available abstract (not full text):</w:t>
      </w:r>
      <w:r>
        <w:t xml:space="preserve"> The article explores how students perceive the meaning of work and how they seek purpose in work during the challenging transition from university to work. Two rounds of interviews were conducted to observe the evolving nature of students’ work transitions. Twenty-six mainland Chinese students from various master’s programmes in Hong Kong participated in the first round of interviews; one year later, 12 of them participated in the second round of interviews. Based on the qualitative content analysis, I first identified four types to illustrate how the students perceived the meaning of work: survive, thrive, (dis)connect, and contribute. In addition, using the analytical framework of self-formation and narrative analysis, I expounded two pathways to purposeful work: inward self-formation by cultivating capabilities and outward self-formation by cultivating moral qualities. The findings also revealed the tensions between individual agency and environmental forces in students’ early search for meaning and purpose at work. The article contributes to current discussions on graduate employability and university-to-work transition, with a particular focus on the ongoing construction of meaning and purpose at work. Theoretical and practical implications for a wide range of stakeholders involved in graduate employment were also discussed.</w:t>
      </w:r>
    </w:p>
    <w:p>
      <w:pPr/>
      <w:r>
        <w:rPr>
          <w:b/>
        </w:rPr>
        <w:t>POSSIBLE 2025:</w:t>
      </w:r>
      <w:r>
        <w:t xml:space="preserve"> Contexts, purposes, and problems — https://doi.org/10.4324/9781003288695-4</w:t>
      </w:r>
    </w:p>
    <w:p>
      <w:pPr/>
      <w:r>
        <w:rPr>
          <w:b/>
        </w:rPr>
        <w:t>Shared claim-specific concepts:</w:t>
      </w:r>
      <w:r>
        <w:t xml:space="preserve"> seeks, used, understand; EU scope not established. This is a provisional connection, not an outcome finding.</w:t>
      </w:r>
    </w:p>
    <w:p>
      <w:pPr>
        <w:pStyle w:val="SourceNote"/>
      </w:pPr>
      <w:r>
        <w:rPr>
          <w:b/>
        </w:rPr>
        <w:t>Available abstract (not full text):</w:t>
      </w:r>
      <w:r>
        <w:t xml:space="preserve"> This chapter provides an overview of the main purposes for which Visitor Studies is used across different heritage contexts, including the types of questions and problems it seeks to address, from decision-making and monitoring performance, to growing and diversifying audiences, generating revenue, attracting funding, improving experiences, encouraging repeat visits, increasing relevance and resilience, demonstrating impact and advocacy, and theory building. It begins with research that has sought to better understand visitors and visiting, including counting visits, profiling, and categorising visitors, and investigating their behaviour, thoughts, and feelings. The final sections cover evaluation, managing and designing visitor experiences, and value and impacts.</w:t>
      </w:r>
    </w:p>
    <w:p>
      <w:pPr/>
      <w:r>
        <w:rPr>
          <w:b/>
        </w:rPr>
        <w:t>POSSIBLE 2024:</w:t>
      </w:r>
      <w:r>
        <w:t xml:space="preserve"> FINDING OUR PURPOSE — https://doi.org/10.1002/9781394308705.ch2</w:t>
      </w:r>
    </w:p>
    <w:p>
      <w:pPr/>
      <w:r>
        <w:rPr>
          <w:b/>
        </w:rPr>
        <w:t>Shared claim-specific concepts:</w:t>
      </w:r>
      <w:r>
        <w:t xml:space="preserve"> purpose, discuss, understand; EU scope not established. This is a provisional connection, not an outcome finding.</w:t>
      </w:r>
    </w:p>
    <w:p>
      <w:pPr>
        <w:pStyle w:val="SourceNote"/>
      </w:pPr>
      <w:r>
        <w:rPr>
          <w:b/>
        </w:rPr>
        <w:t>Available abstract (not full text):</w:t>
      </w:r>
      <w:r>
        <w:t xml:space="preserve">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pPr/>
      <w:r>
        <w:rPr>
          <w:b/>
        </w:rPr>
        <w:t>POSSIBLE 2024:</w:t>
      </w:r>
      <w:r>
        <w:t xml:space="preserve"> Pregnant Women's Experiences of Seeking Treatment for Opioid Use — https://doi.org/10.1097/nmc.0000000000001024</w:t>
      </w:r>
    </w:p>
    <w:p>
      <w:pPr/>
      <w:r>
        <w:rPr>
          <w:b/>
        </w:rPr>
        <w:t>Shared claim-specific concepts:</w:t>
      </w:r>
      <w:r>
        <w:t xml:space="preserve"> purpose, used, understand, implications, identified; EU scope not established. This is a provisional connection, not an outcome finding.</w:t>
      </w:r>
    </w:p>
    <w:p>
      <w:pPr>
        <w:pStyle w:val="SourceNote"/>
      </w:pPr>
      <w:r>
        <w:rPr>
          <w:b/>
        </w:rPr>
        <w:t>Available abstract (not full text):</w:t>
      </w:r>
      <w:r>
        <w:t xml:space="preserve">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pPr/>
      <w:r>
        <w:rPr>
          <w:b/>
        </w:rPr>
        <w:t>POSSIBLE 2024:</w:t>
      </w:r>
      <w:r>
        <w:t xml:space="preserve"> Using games to understand the mind — https://doi.org/10.1038/s41562-024-01878-9</w:t>
      </w:r>
    </w:p>
    <w:p>
      <w:pPr/>
      <w:r>
        <w:rPr>
          <w:b/>
        </w:rPr>
        <w:t>Shared claim-specific concepts:</w:t>
      </w:r>
      <w:r>
        <w:t xml:space="preserve"> discuss, used, understand; EU scope not established. This is a provisional connection, not an outcome finding.</w:t>
      </w:r>
    </w:p>
    <w:p>
      <w:pPr>
        <w:pStyle w:val="SourceNote"/>
      </w:pPr>
      <w:r>
        <w:rPr>
          <w:b/>
        </w:rPr>
        <w:t>Available abstract (not full text):</w:t>
      </w:r>
      <w:r>
        <w:t xml:space="preserve"> Board, card or video games have been played by virtually every individual in the world. Games are popular because they are intuitive and fun. These distinctive qualities of games also make them ideal for studying the mind. By being intuitive, games provide a unique vantage point for understanding the inductive biases that support behaviour in more complex, ecological settings than traditional laboratory experiments. By being fun, games allow researchers to study new questions in cognition such as the meaning of ‘play’ and intrinsic motivation, while also supporting more extensive and diverse data collection by attracting many more participants. We describe the advantages and drawbacks of using games relative to standard laboratory-based experiments and lay out a set of recommendations on how to gain the most from using games to study cognition. We hope this Perspective will lead to a wider use of games as experimental paradigms, elevating the ecological validity, scale and robustness of research on the mind. To study cognition, researchers have traditionally used laboratory-based experiments, but games offer a valuable alternative: they are intuitive and enjoyable. In this Perspective, Schulz et al. discuss the advantages and drawbacks of games and give recommendations for researchers.</w:t>
      </w:r>
    </w:p>
    <w:p>
      <w:pPr/>
      <w:r>
        <w:rPr>
          <w:b/>
        </w:rPr>
        <w:t>POSSIBLE 2024:</w:t>
      </w:r>
      <w:r>
        <w:t xml:space="preserve"> Internet seeking by Australian school children: teachers' perspectives — https://openalex.org/W137880565</w:t>
      </w:r>
    </w:p>
    <w:p>
      <w:pPr/>
      <w:r>
        <w:rPr>
          <w:b/>
        </w:rPr>
        <w:t>Shared claim-specific concepts:</w:t>
      </w:r>
      <w:r>
        <w:t xml:space="preserve"> used, understand, challenges; EU scope not established. This is a provisional connection, not an outcome finding.</w:t>
      </w:r>
    </w:p>
    <w:p>
      <w:pPr>
        <w:pStyle w:val="SourceNote"/>
      </w:pPr>
      <w:r>
        <w:rPr>
          <w:b/>
        </w:rPr>
        <w:t>Available abstract (not full text):</w:t>
      </w:r>
      <w:r>
        <w:t xml:space="preserve"> This paper presents findings from a study of how primary school children use the Internet to seek information for academic purposes from teachers' perspectives. Ten teachers from two schools in Victoria, Australia were involved in this study. The teachers were interviewed individually in order to understand in detail how their students seek information from the Internet after they have been given an assignment or project. The interview questions were developed based on Kuhlthau's model of Information Seeking Processes (ISP) to determine how teachers understood the way primary school students used the Internet for academic purposes. In this research the researchers adapted Kuhlthau's model for the web environment in order to identify the information seeking processes undertaken by primary school children, and the challenges teachers have to deal with, in order to guide students in seeking information from the Internet.</w:t>
      </w:r>
    </w:p>
    <w:p>
      <w:pPr/>
      <w:r>
        <w:rPr>
          <w:b/>
        </w:rPr>
        <w:t>POSSIBLE 2024:</w:t>
      </w:r>
      <w:r>
        <w:t xml:space="preserve"> Social purpose branding approaches: a typology of how brands engage with a social purpose — https://doi.org/10.1108/ejm-08-2022-0588</w:t>
      </w:r>
    </w:p>
    <w:p>
      <w:pPr/>
      <w:r>
        <w:rPr>
          <w:b/>
        </w:rPr>
        <w:t>Shared claim-specific concepts:</w:t>
      </w:r>
      <w:r>
        <w:t xml:space="preserve"> purpose, understand, implications, aims, present; EU scope not established. This is a provisional connection, not an outcome finding.</w:t>
      </w:r>
    </w:p>
    <w:p>
      <w:pPr>
        <w:pStyle w:val="SourceNote"/>
      </w:pPr>
      <w:r>
        <w:rPr>
          <w:b/>
        </w:rPr>
        <w:t>Available abstract (not full text):</w:t>
      </w:r>
      <w:r>
        <w:t xml:space="preserve"> Purpose As brands progressively become instruments for consumers to advocate for social change, many feel pressure to engage in social purpose branding (SPB) through addressing social issues. In a rush to remain socially relevant, brands have approached SPB differently; some genuinely intend to advance the social issue, while some intend to capitalise on social movements to mobilise the brand. This paper aims to explain these differences by theoretically outlining various approaches to SPB. Design/methodology/approach This mixed method paper draws on theory, interviews with marketing practitioners, and practical exemplars to present a typology of SPB approaches. Findings Using institutional logics theory, SPB is categorised into four approaches: social purpose-driving, social purpose-driven, social purpose-aligning and social purpose-washing. Research limitations/implications The typological framework for SPB advances this domain to outline effective and ineffective ways for brands to engage with social issues. A detailed agenda for further research is provided to guide ongoing SPB research. Practical implications The typology presented reduces complexity and helps marketers understand the different approaches to engaging with a social issue. Given the growing intertwinement of brands and social issues, this research is essential for brands seeking to advance a social issue and</w:t>
      </w:r>
    </w:p>
    <w:p>
      <w:pPr>
        <w:pStyle w:val="Heading2"/>
      </w:pPr>
      <w:r>
        <w:t>973. Foresighting addiction and lifestyles in Europe 2030+</w:t>
      </w:r>
    </w:p>
    <w:p>
      <w:pPr>
        <w:pStyle w:val="SourceNote"/>
      </w:pPr>
      <w:r>
        <w:rPr>
          <w:b/>
        </w:rPr>
        <w:t>Original source (2013):</w:t>
      </w:r>
      <w:r>
        <w:t xml:space="preserve"> https://doi.org/10.1007/s40309-013-0019-0</w:t>
      </w:r>
    </w:p>
    <w:p>
      <w:pPr/>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POSSIBLE 2026:</w:t>
      </w:r>
      <w:r>
        <w:t xml:space="preserve"> The Horizon Europe CRM-geothermal project: Deliverable 6.7 – Clustering Network Map. — https://doi.org/10.5281/zenodo.19929926</w:t>
      </w:r>
    </w:p>
    <w:p>
      <w:pPr/>
      <w:r>
        <w:rPr>
          <w:b/>
        </w:rPr>
        <w:t>Shared claim-specific concepts:</w:t>
      </w:r>
      <w:r>
        <w:t xml:space="preserve"> project, invited, three, raise; EU scope visible. This is a provisional connection, not an outcome finding.</w:t>
      </w:r>
    </w:p>
    <w:p>
      <w:pPr>
        <w:pStyle w:val="SourceNote"/>
      </w:pPr>
      <w:r>
        <w:rPr>
          <w:b/>
        </w:rPr>
        <w:t>Available abstract (not full text):</w:t>
      </w:r>
      <w:r>
        <w:t xml:space="preserve"> The present deliverable is dedicated to reporting the cooperation measures and the respective map of clustering initiatives that were engaged as part of the CRM-geothermal Task 6.6 – Clustering. The task has the purpose of establishing a network of projects and initiatives, mainly funded under Horizon Europe, related to the pillars of CRM-geothermal: sourcing of critical raw materials and geothermal energy. From this network, researchers and other representatives of the projects co-generate opportunities to organise discussions and other joint activities to discuss common topics and mutually contribute to each other’s research efforts. The consortium partners of CRM-geothermal were contacted by the leader of Task 6.6 in order to collect potential clustering candidates from their network of contacts, which were contacted with the support of a clustering form template. The template allowed CRM-geothermal and the contacted projects to learn more about each other and to assess the mutual interest and respective ideas for joint collaboration. In parallel, partners have been making contacts and redirecting clustering opportunities and events in which CRM-geothermal can participate to the clustering task leader, on an ad-hoc basis. As a result, CRM-geothermal was invited to join the ‘Materials for batteries Cluster Hub’, together with 25 other EU initiatives dedicated to sourcing of r</w:t>
      </w:r>
    </w:p>
    <w:p>
      <w:pPr/>
      <w:r>
        <w:rPr>
          <w:b/>
        </w:rPr>
        <w:t>POSSIBLE 2025:</w:t>
      </w:r>
      <w:r>
        <w:t xml:space="preserve"> ESPAD Report 2024:Results from the European School Survey Project on Alcohol and Other Drugs — https://openalex.org/W7120667521</w:t>
      </w:r>
    </w:p>
    <w:p>
      <w:pPr/>
      <w:r>
        <w:rPr>
          <w:b/>
        </w:rPr>
        <w:t>Shared claim-specific concepts:</w:t>
      </w:r>
      <w:r>
        <w:t xml:space="preserve"> project, over; EU scope visible. This is a provisional connection, not an outcome finding.</w:t>
      </w:r>
    </w:p>
    <w:p>
      <w:pPr>
        <w:pStyle w:val="SourceNote"/>
      </w:pPr>
      <w:r>
        <w:rPr>
          <w:b/>
        </w:rPr>
        <w:t>Available abstract (not full text):</w:t>
      </w:r>
      <w:r>
        <w:t xml:space="preserve"> This report presents the results from the seventh wave of data collection, conducted in 35 countries during the spring and autumn of 2024. It gives a comprehensive picture of the present situation among European young people as regards the use of cigarettes, alcohol, illicit drugs, inhalants, new psychoactive substances and pharmaceuticals, but also insights into gambling, social media use and gaming. The report also presents an overview of trends over the time period 1995-2019.</w:t>
      </w:r>
    </w:p>
    <w:p>
      <w:pPr/>
      <w:r>
        <w:rPr>
          <w:b/>
        </w:rPr>
        <w:t>POSSIBLE 2025:</w:t>
      </w:r>
      <w:r>
        <w:t xml:space="preserve"> Animal board invited review: A biocultural perspective of animal farming systems in Europe — https://doi.org/10.1016/j.animal.2025.101515</w:t>
      </w:r>
    </w:p>
    <w:p>
      <w:pPr/>
      <w:r>
        <w:rPr>
          <w:b/>
        </w:rPr>
        <w:t>Shared claim-specific concepts:</w:t>
      </w:r>
      <w:r>
        <w:t xml:space="preserve"> invited, three, scientific; EU scope visible. This is a provisional connection, not an outcome finding.</w:t>
      </w:r>
    </w:p>
    <w:p>
      <w:pPr>
        <w:pStyle w:val="SourceNote"/>
      </w:pPr>
      <w:r>
        <w:rPr>
          <w:b/>
        </w:rPr>
        <w:t>Available abstract (not full text):</w:t>
      </w:r>
      <w:r>
        <w:t xml:space="preserve"> • Animal farming systems’ biocultural values have been sidelined by intensification. • A biocultural diversity lens show biodiversity, climatic, and cultural benefits. • Examples show livestock as an animal-based solution for landscape sustainability. • Farming animals can act as transformative agents, creating sustainable landscapes. • A biocultural approach is key to unlocking the sustainability of animal farming. Europe’s landscapes have evolved through the intricate interplay of natural processes and human activities, one of which is animal farming; thus, historically creating biocultural landscapes rich in biological and cultural diversity. However, agricultural intensification has neglected and altered the role of animals within landscapes, and undermines the potential of more extensive animal farming systems to create sustainable landscapes, as an alternative to highly industrialised and high-density animal production, which is responsible for a wide range of environmental trade-offs. We present a biocultural diversity ( BCD ) framework to emphasise the contributions of animal farming systems to landscape sustainability from a social-ecological perspective. By applying a biocultural lens across three European case studies —peatland restoration in Germany, wildfire control in the Mediterranean, and hay milk production in the Alpine region— we demonstrate how animal farmin</w:t>
      </w:r>
    </w:p>
    <w:p>
      <w:pPr/>
      <w:r>
        <w:rPr>
          <w:b/>
        </w:rPr>
        <w:t>POSSIBLE 2024:</w:t>
      </w:r>
      <w:r>
        <w:t xml:space="preserve"> INVITED SYMPOSIUM — https://doi.org/10.1002/ijop.13184</w:t>
      </w:r>
    </w:p>
    <w:p>
      <w:pPr/>
      <w:r>
        <w:rPr>
          <w:b/>
        </w:rPr>
        <w:t>Shared claim-specific concepts:</w:t>
      </w:r>
      <w:r>
        <w:t xml:space="preserve"> invited, over; EU scope visible. This is a provisional connection, not an outcome finding.</w:t>
      </w:r>
    </w:p>
    <w:p>
      <w:pPr>
        <w:pStyle w:val="SourceNote"/>
      </w:pPr>
      <w:r>
        <w:rPr>
          <w:b/>
        </w:rPr>
        <w:t>Available abstract (not full text):</w:t>
      </w:r>
      <w:r>
        <w:t xml:space="preserve">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pPr/>
      <w:r>
        <w:rPr>
          <w:b/>
        </w:rPr>
        <w:t>POSSIBLE 2024:</w:t>
      </w:r>
      <w:r>
        <w:t xml:space="preserve"> — Invited Review — Pig meat production in the European Union-27: current status, challenges, and future trends — https://doi.org/10.5713/ab.23.0496</w:t>
      </w:r>
    </w:p>
    <w:p>
      <w:pPr/>
      <w:r>
        <w:rPr>
          <w:b/>
        </w:rPr>
        <w:t>Shared claim-specific concepts:</w:t>
      </w:r>
      <w:r>
        <w:t xml:space="preserve"> invited, three, technological, next; EU scope visible. This is a provisional connection, not an outcome finding.</w:t>
      </w:r>
    </w:p>
    <w:p>
      <w:pPr>
        <w:pStyle w:val="SourceNote"/>
      </w:pPr>
      <w:r>
        <w:rPr>
          <w:b/>
        </w:rPr>
        <w:t>Available abstract (not full text):</w:t>
      </w:r>
      <w:r>
        <w:t xml:space="preserve"> The main objective of this study was to present data on the current situation and future trends of pig meat production in the European Union-27 (EU). Pig production has played an important social and economic role for centuries in many states of the EU. In 2022, pig meat production in the EU reached 23 M tons, which represented 21% of total production worldwide. The two key reasons that justify such amount of pork produced, are the acceptance and high consumption of the meat by the local population and the high quality of the meat produced which facilitated pork export. However, current data show a reduction in pork production for the last three years, as a consequence of a series of events that include i) problems with the chain of ingredients supply, ii) uncontrolled increase in African Swine Fever (ASF) outbreaks, iii) fast recovery of pig production in China, iv) increasing concerns by the rural population on the high cost to meet future requirements of the EU legislation on farm management, environmental sustainability and animal welfare, v) increased cost of all inputs involved in pig production and vi) limited interest of the new farmer generation to work on the pig sector. Consequently, pork production is expected to decrease in the EU for the next years, although sales will be maintained at a relative high level because pork is the meat preferred by local consumers in </w:t>
      </w:r>
    </w:p>
    <w:p>
      <w:pPr/>
      <w:r>
        <w:rPr>
          <w:b/>
        </w:rPr>
        <w:t>POSSIBLE 2024:</w:t>
      </w:r>
      <w:r>
        <w:t xml:space="preserve"> Functional neurological disorder in Europe: regional differences in education and health policy — https://doi.org/10.1111/ene.16350</w:t>
      </w:r>
    </w:p>
    <w:p>
      <w:pPr/>
      <w:r>
        <w:rPr>
          <w:b/>
        </w:rPr>
        <w:t>Shared claim-specific concepts:</w:t>
      </w:r>
      <w:r>
        <w:t xml:space="preserve"> disorder, experts, provide, understanding; EU scope visible. This is a provisional connection, not an outcome finding.</w:t>
      </w:r>
    </w:p>
    <w:p>
      <w:pPr>
        <w:pStyle w:val="SourceNote"/>
      </w:pPr>
      <w:r>
        <w:rPr>
          <w:b/>
        </w:rPr>
        <w:t>Available abstract (not full text):</w:t>
      </w:r>
      <w:r>
        <w:t xml:space="preserve"> BACKGROUND: Functional neurological disorder (FND) is a common cause of neurological disability. Despite recent advances in pathophysiological understanding and treatments, application of this knowledge to clinical practice is variable and limited. OBJECTIVE: Our aim was to provide an expert overview of the state of affairs of FND practice across Europe, focusing on education and training, access to specialized care, reimbursement and disability policies, and academic and patient-led representation of people with FND. METHODS: We conducted a survey across Europe, featuring one expert per country. We asked experts to compare training and services for people with FND to those provided to people with multiple sclerosis (MS). RESULTS: Responses from 25 countries revealed that only five included FND as a mandatory part of neurological training, while teaching about MS was uniformly included. FND was part of final neurology examinations in 3/17 countries, unlike MS that was included in all 17. Seventeen countries reported neurologists with an interest in FND but the estimated mean ratio of FND-interested neurologists to MS neurologists was 1:20. FND coding varied, with psychiatric coding for FND impacting treatment access and disability benefits in the majority of countries. Twenty countries reported services refusing to see FND patients. Eight countries reported an FND special inter</w:t>
      </w:r>
    </w:p>
    <w:p>
      <w:pPr/>
      <w:r>
        <w:rPr>
          <w:b/>
        </w:rPr>
        <w:t>POSSIBLE 2024:</w:t>
      </w:r>
      <w:r>
        <w:t xml:space="preserve"> INVITED SYMPOSIUM — https://doi.org/10.1002/ijop.13201</w:t>
      </w:r>
    </w:p>
    <w:p>
      <w:pPr/>
      <w:r>
        <w:rPr>
          <w:b/>
        </w:rPr>
        <w:t>Shared claim-specific concepts:</w:t>
      </w:r>
      <w:r>
        <w:t xml:space="preserve"> invited, provide; EU scope not established. This is a provisional connection, not an outcome finding.</w:t>
      </w:r>
    </w:p>
    <w:p>
      <w:pPr>
        <w:pStyle w:val="SourceNote"/>
      </w:pPr>
      <w:r>
        <w:rPr>
          <w:b/>
        </w:rPr>
        <w:t>Available abstract (not full text):</w:t>
      </w:r>
      <w:r>
        <w:t xml:space="preserve"> The status of youth mental health and well-being in the post-pandemic era continues to be of concern to researchers and clinicians worldwide.Recent research across developed countries indicates increasingly high rates of depression, anxiety, and other mental health disorders in adolescent and adult populations.In this symposium, participants from the USA, Thailand, Japan, and Korea will discuss ongoing research and intervention efforts focusing on a range of issues relevant to youth mental health.These include strategies to enhance students' engagement in school, bullying prevention and intervention, and social, moral, and emotional assessment and intervention, our participants from Thailand will discuss findings related to youths' biosystems (home, school, and community) as well as social-emotional strengths that provide opportunities for growth and development.Additionally, they will introduce a model used to promote morally and socially responsible behavior among adolescents and young adults.Researchers from Japan will describe efforts to promote a sense of community and support in schools as a part of efforts to reduce school bullying and the negative long term consequences that typically ensue.Researchers from</w:t>
      </w:r>
    </w:p>
    <w:p>
      <w:pPr/>
      <w:r>
        <w:rPr>
          <w:b/>
        </w:rPr>
        <w:t>POSSIBLE 2024:</w:t>
      </w:r>
      <w:r>
        <w:t xml:space="preserve"> INVITED SYMPOSIUM — https://doi.org/10.1002/ijop.13173</w:t>
      </w:r>
    </w:p>
    <w:p>
      <w:pPr/>
      <w:r>
        <w:rPr>
          <w:b/>
        </w:rPr>
        <w:t>Shared claim-specific concepts:</w:t>
      </w:r>
      <w:r>
        <w:t xml:space="preserve"> invited, international, provide; EU scope visible. This is a provisional connection, not an outcome finding.</w:t>
      </w:r>
    </w:p>
    <w:p>
      <w:pPr>
        <w:pStyle w:val="SourceNote"/>
      </w:pPr>
      <w:r>
        <w:rPr>
          <w:b/>
        </w:rPr>
        <w:t>Available abstract (not full text):</w:t>
      </w:r>
      <w:r>
        <w:t xml:space="preserve"> 4289ISOppression and critical resilience: Capacity building in a global sociopolitical context 3270IS Psychological responses to the war in Ukraine.Help for people in crisis and beyond Chair: Robertas Povilaitis European Federation of Psychologists' Associations, BelgiumPsychological research on the psychosocial consequences of war points to long-lasting traumatization, the effects of which span several generations.Within the biopsychosocial model, risks, damages, and necessary resources and support can be categorized.These categories provide starting points for both individual spontaneous support during times of war and long-term professional assistance for those directly impacted and their families.Furthermore, addressing intergenerational traumatization necessitates sustainable and accessible support within war zones and for refugees. European psychologists and the war against UkraineChristoph Steinebach (1), Robertas Povilaitis (1) 1.European Federation of Psychologists' Associations, Switzerland Awareness of the severe psychological consequences of war has prompted the EFPA to denounce the Russian invasion of Ukraine.The actions taken by the European Federation of Psychologists' Associations (EFPA) following Russia's full-scale invasion of Ukraine will be outlined.EFPA issued a statement concerning the war in Ukraine and initiated the expulsion of the Russian Psychological</w:t>
      </w:r>
    </w:p>
    <w:p>
      <w:pPr/>
      <w:r>
        <w:rPr>
          <w:b/>
        </w:rPr>
        <w:t>POSSIBLE 2024:</w:t>
      </w:r>
      <w:r>
        <w:t xml:space="preserve"> Smartphone-based drug testing in the hands of patients with substance-use disorder—a usability study — https://doi.org/10.3389/fdgth.2024.1394322</w:t>
      </w:r>
    </w:p>
    <w:p>
      <w:pPr/>
      <w:r>
        <w:rPr>
          <w:b/>
        </w:rPr>
        <w:t>Shared claim-specific concepts:</w:t>
      </w:r>
      <w:r>
        <w:t xml:space="preserve"> three, drug, disorder; EU scope not established. This is a provisional connection, not an outcome finding.</w:t>
      </w:r>
    </w:p>
    <w:p>
      <w:pPr>
        <w:pStyle w:val="SourceNote"/>
      </w:pPr>
      <w:r>
        <w:rPr>
          <w:b/>
        </w:rPr>
        <w:t>Available abstract (not full text):</w:t>
      </w:r>
      <w:r>
        <w:t xml:space="preserve"> Aim: A clinical study was performed to test the usability of a smartphone eye-scanning app at a needle exchange facility to detect drug use to support therapy. Methods: The study recruited 24 subjects who visited the facility one to three times, making a total of 40 visits. During each visit the subjects underwent testing for non-convergence (NC), nystagmus (NY), and pupillary light reflex (PLR) using a smartphone-based eHealth system. The collected eye data were transformed into key features that represent eye characteristics. During each visit, a time-line follow-back interview on recent drug use and a usability questionnaire were completed. Results: Technical usability of the smartphone eye-scanning app was good for PLR and NC, where key features were generated in 82%-91% of the cases. For NY, only 60% succeeded due to cognitive problems to follow instructions. In most cases, subjects were under the influence of drugs when participating in the tests, with an average of 2.4 different drugs ingested within the last 24 h. The key features from PLR could distinguish use of opioids from central stimulants. The usability questionnaire results indicate that 23 of the 24 subjects could perform the eye-scanning by themselves after a short training, even when under severe influence of drugs. The caregiver assessed that 20 out of the 24 challenging subjects could potentially perform th</w:t>
      </w:r>
    </w:p>
    <w:p>
      <w:pPr/>
      <w:r>
        <w:rPr>
          <w:b/>
        </w:rPr>
        <w:t>POSSIBLE 2024:</w:t>
      </w:r>
      <w:r>
        <w:t xml:space="preserve"> INVITED SYMPOSIUM — https://doi.org/10.1002/ijop.13169</w:t>
      </w:r>
    </w:p>
    <w:p>
      <w:pPr/>
      <w:r>
        <w:rPr>
          <w:b/>
        </w:rPr>
        <w:t>Shared claim-specific concepts:</w:t>
      </w:r>
      <w:r>
        <w:t xml:space="preserve"> invited, scientific, four; EU scope not established. This is a provisional connection, not an outcome finding.</w:t>
      </w:r>
    </w:p>
    <w:p>
      <w:pPr>
        <w:pStyle w:val="SourceNote"/>
      </w:pPr>
      <w:r>
        <w:rPr>
          <w:b/>
        </w:rPr>
        <w:t>Available abstract (not full text):</w:t>
      </w:r>
      <w:r>
        <w:t xml:space="preserve"> Time processing, the ability to process and encode temporal information, remains understudied yet is essential for cognitive functioning and for a large number of daily life activities.With advancing age, along with attention or memory, time processing undergoes important changes, associated with interindividual differences.The cognitive processes affected by aging, together with the underlying neural bases, are currently the topic of important research.Investigating time processing could indeed reveal sensitive markers associated with the heterogeneity of age-related changes, that could lead to new measures of both cognitive decline and compensatory adjustments.In turn, investigating age-related trajectories of time processing could also inform the current neural models of time processing.This symposium will cover the most recent development in the field, and highlight avenues for future research.It will promote discussion and collaboration between people developing innovative methods and people interested in applying these to their research questions.The panel of speakers represents a diverse group of speakers at various professional levels and from four different countries.This symposium is submitted on behalf of the CNFPS (French National Committee for Scientific Psychology).</w:t>
      </w:r>
    </w:p>
    <w:p>
      <w:pPr/>
      <w:r>
        <w:rPr>
          <w:b/>
        </w:rPr>
        <w:t>POSSIBLE 2024:</w:t>
      </w:r>
      <w:r>
        <w:t xml:space="preserve"> Mental Illness and Neuropsychiatry of the Homeless: Psychosis, Personality, Drug Abuse, and Other Brain Disorders — https://doi.org/10.3389/978-2-8325-5169-1</w:t>
      </w:r>
    </w:p>
    <w:p>
      <w:pPr/>
      <w:r>
        <w:rPr>
          <w:b/>
        </w:rPr>
        <w:t>Shared claim-specific concepts:</w:t>
      </w:r>
      <w:r>
        <w:t xml:space="preserve"> drug, vision, understanding; EU scope not established. This is a provisional connection, not an outcome finding.</w:t>
      </w:r>
    </w:p>
    <w:p>
      <w:pPr>
        <w:pStyle w:val="SourceNote"/>
      </w:pPr>
      <w:r>
        <w:rPr>
          <w:b/>
        </w:rPr>
        <w:t>Available abstract (not full text):</w:t>
      </w:r>
      <w:r>
        <w:t xml:space="preserve"> it is a pioneering approach to the world of academia, radically improving the way scholarly research is managed.The grand vision of Frontiers is a world where all people have an equal opportunity to seek, share and generate knowledge.Frontiers provides immediate and permanent online open access to all its publications, but this alone is not enough to realize our grand goals. Frontiers journal seriesThe Frontiers journal series is a multi-tier and interdisciplinary set of openaccess, online journals, promising a paradigm shift from the current review, selection and dissemination processes in academic publishing.All Frontiers journals are driven by researchers for researchers; therefore, they constitute a service to the scholarly community.At the same time, the Frontiers journal series operates on a revolutionary invention, the tiered publishing system, initially addressing specific communities of scholars, and gradually climbing up to broader public understanding, thus serving the interests of the lay society, too. Dedication to qualityEach Frontiers article is a landmark of the highest quality, thanks to genuinely collaborative interactions between authors and review editors, who include some of the world's best academicians.Research must be certified by peers before entering a stream of knowledge that may eventually reach the public -and shape society; therefore, Frontiers onl</w:t>
      </w:r>
    </w:p>
    <w:p>
      <w:pPr/>
      <w:r>
        <w:rPr>
          <w:b/>
        </w:rPr>
        <w:t>POSSIBLE 2024:</w:t>
      </w:r>
      <w:r>
        <w:t xml:space="preserve"> INVITED SYMPOSIUM — https://doi.org/10.1002/ijop.13198</w:t>
      </w:r>
    </w:p>
    <w:p>
      <w:pPr/>
      <w:r>
        <w:rPr>
          <w:b/>
        </w:rPr>
        <w:t>Shared claim-specific concepts:</w:t>
      </w:r>
      <w:r>
        <w:t xml:space="preserve"> invited, three, international, disorder, provide, scientific; EU scope not established. This is a provisional connection, not an outcome finding.</w:t>
      </w:r>
    </w:p>
    <w:p>
      <w:pPr>
        <w:pStyle w:val="SourceNote"/>
      </w:pPr>
      <w:r>
        <w:rPr>
          <w:b/>
        </w:rPr>
        <w:t>Available abstract (not full text):</w:t>
      </w:r>
      <w:r>
        <w:t xml:space="preserve"> The 11th Revision of the International Classification of Diseases (ICD-11) was approved by the World Health Assembly in May 2019.Reporting of health statistics by World Health Organization (WHO) member states began in January 2022.We are currently in a period of transition as countries implement the ICD-11 in their health information and clinical systems.Implementing a new diagnostic system creates substantial needs for workforce development and training initiatives.WHO has recently published Clinical Descriptions and Diagnostic Requirements for ICD-11 Mental, Behavioural and Neurodevelopmental Disorders (CDDR) (https://www.who.int/publications/i/item/9789 240077263), which provide detailed guidance for implementation of the new classification in clinical settings by mental health professionals.Moreover, the International Union of Psychological Science and the American Psychological Science have recently published A Psychological Approach to Diagnosis Using the ICD-11 as a Framework.This symposium will provide a deeper exploration of models for training psychology students, interns, residents and practicing clinicians in diagnostic practice based on the ICD-11, using three areas as examples.The categories in the grouping of anxiety and fear-related disorders are generally unchanged, but the ICD-11 CDDR takes a much more psychological approach to their conceptualization and phen</w:t>
      </w:r>
    </w:p>
    <w:p>
      <w:pPr>
        <w:pStyle w:val="Heading2"/>
      </w:pPr>
      <w:r>
        <w:t>974. From flood science to flood policy: the Foresight Future Flooding project seven years on</w:t>
      </w:r>
    </w:p>
    <w:p>
      <w:pPr>
        <w:pStyle w:val="SourceNote"/>
      </w:pPr>
      <w:r>
        <w:rPr>
          <w:b/>
        </w:rPr>
        <w:t>Original source (2013):</w:t>
      </w:r>
      <w:r>
        <w:t xml:space="preserve"> https://doi.org/10.1108/fs-06-2012-0046</w:t>
      </w:r>
    </w:p>
    <w:p>
      <w:pPr/>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POSSIBLE 2026:</w:t>
      </w:r>
      <w:r>
        <w:t xml:space="preserve"> Eye of Europe Foresight Training Manual — https://openalex.org/W7220785974</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Generative artificial intelligence for managerial foresight — https://doi.org/10.1016/j.futures.2026.103831</w:t>
      </w:r>
    </w:p>
    <w:p>
      <w:pPr/>
      <w:r>
        <w:rPr>
          <w:b/>
        </w:rPr>
        <w:t>Shared claim-specific concepts:</w:t>
      </w:r>
      <w:r>
        <w:t xml:space="preserve"> foresight, qualitative;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Socio-ecological dynamics shaping the future of wetlands: A foresight analysis — https://doi.org/10.1016/j.cacint.2026.100469</w:t>
      </w:r>
    </w:p>
    <w:p>
      <w:pPr/>
      <w:r>
        <w:rPr>
          <w:b/>
        </w:rPr>
        <w:t>Shared claim-specific concepts:</w:t>
      </w:r>
      <w:r>
        <w:t xml:space="preserve"> purpose, foresight, qualitative; EU scope not established. This is a provisional connection, not an outcome finding.</w:t>
      </w:r>
    </w:p>
    <w:p>
      <w:pPr>
        <w:pStyle w:val="SourceNote"/>
      </w:pPr>
      <w:r>
        <w:rPr>
          <w:b/>
        </w:rPr>
        <w:t>Available abstract (not full text):</w:t>
      </w:r>
      <w:r>
        <w:t xml:space="preserve"> The purpose of this study is to determine and examine the main factors affecting the wetlands' future condition in Poldokhtar County, Lorestan Province, Iran. To address the lack of comprehensive foresight studies on wetland ecosystems in semi-arid regions, this study employs a foresight approach. By combining cross-impact matrix analysis with the MICMAC software, a mixed-method approach incorporating quantitative and qualitative methodologies was used in this study. Expert interviews revealed a total of 14 significant variables. Through two rounds of Delphi surveys and structured interviews, the views of eleven academic and executive experts in the domains of water resources and environmental management selected on the basis of pertinent experience and expertise were obtained. Complete stability (100%) in the cross-impact matrix was attained following two iterations. The findings showed that the main factors affecting these wetlands' future are population increase and rising water demand, poor inter-organizational coordination, climate change, and water resource management (which received a score of 29 in direct influence and dependence). The results showed that the wetland system was moderately unstable, indicating a significant possibility of future vulnerabilities and alterations. The management of water resources was shown to be the most important and dependent component, </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central, national;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The Impact of Climate Change and Floods in Pakistan: Challenges and Way Forward — https://doi.org/10.70670/sra.v4i1.1681</w:t>
      </w:r>
    </w:p>
    <w:p>
      <w:pPr/>
      <w:r>
        <w:rPr>
          <w:b/>
        </w:rPr>
        <w:t>Shared claim-specific concepts:</w:t>
      </w:r>
      <w:r>
        <w:t xml:space="preserve"> government, national, qualitative; EU scope not established. This is a provisional connection, not an outcome finding.</w:t>
      </w:r>
    </w:p>
    <w:p>
      <w:pPr>
        <w:pStyle w:val="SourceNote"/>
      </w:pPr>
      <w:r>
        <w:rPr>
          <w:b/>
        </w:rPr>
        <w:t>Available abstract (not full text):</w:t>
      </w:r>
      <w:r>
        <w:t xml:space="preserve"> The study delivers a deep analysis to scrutinise essential notions regarding causes, impacts, and challenges of climate change. Pakistan is considered one of the top five countries vulnerable to climate-related problems. Climate change has become one of the major reasons worldwide. The worse metrological conditions include various natural disasters such as abrupt increases in temperature, deteriorating precipitation patterns, and rapid glacier melting. One of the greatest dilemmas is that climate-induced floods have escalated in regularity and intensity, paving the way for massive complications to the social, governmental, and economic systems of Pakistan. Frequent torrents led to loss of human lives and grievous harm to infrastructure. The qualitative research is used to conduct this research. In conclusion, floods are unrestrained, but their effects can be overcome through resilient planning and strategies, good infrastructure, and reforms. The government of Pakistan must associate national advancement with meteorological dimensions and mitigate the impact of climate change.</w:t>
      </w:r>
    </w:p>
    <w:p>
      <w:pPr/>
      <w:r>
        <w:rPr>
          <w:b/>
        </w:rPr>
        <w:t>POSSIBLE 2025:</w:t>
      </w:r>
      <w:r>
        <w:t xml:space="preserve"> Foresight for Danube Region’s Future-Oriented Competitive Planning: Book of Abstracts — https://doi.org/10.18690/um.fov.6.2025</w:t>
      </w:r>
    </w:p>
    <w:p>
      <w:pPr/>
      <w:r>
        <w:rPr>
          <w:b/>
        </w:rPr>
        <w:t>Shared claim-specific concepts:</w:t>
      </w:r>
      <w:r>
        <w:t xml:space="preserve"> foresight, project;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2025:</w:t>
      </w:r>
      <w:r>
        <w:t xml:space="preserve"> Regional Technology Foresight for Material Technologies — https://doi.org/10.34190/eckm.26.1.3851</w:t>
      </w:r>
    </w:p>
    <w:p>
      <w:pPr/>
      <w:r>
        <w:rPr>
          <w:b/>
        </w:rPr>
        <w:t>Shared claim-specific concepts:</w:t>
      </w:r>
      <w:r>
        <w:t xml:space="preserve"> purpose, foresight, project, assessment;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Strategic parallels between military operations and R&amp;D project management: a comprehensive approach to innovation and foresight — https://doi.org/10.1108/ijis-10-2024-0290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Purpose This study aims to explore strategic parallels between military operations and research and development (R&amp;D) project management. It demonstrates how military strategies – such as situational analysis, risk management and adaptive planning – can enhance innovation management in complex projects. Design/methodology/approach This research integrates military strategy principles with R&amp;D management frameworks, using historical military campaigns as case studies. These insights are applied to R&amp;D contexts, particularly in strategic planning, resource allocation and risk mitigation. Findings This study finds that military planning methods, including detailed situational analysis, adaptability and clear exit strategies, can significantly improve R&amp;D project success rates. Tools such as wargaming and scenario planning support effective decision-making under uncertainty, aligning well with the needs of contemporary innovation environments. Practical implications This study suggests that R&amp;D managers can adopt selected military principles to manage uncertainty, allocate resources efficiently and implement effective exit strategies. For example, situational analysis (e.g. wargaming and red-teaming) can support early-stage technology assessments; command clarity can improve cross-functional coordination and decision-making; and exit strategies inspired by military disengagement pr</w:t>
      </w:r>
    </w:p>
    <w:p>
      <w:pPr/>
      <w:r>
        <w:rPr>
          <w:b/>
        </w:rPr>
        <w:t>POSSIBLE 2025:</w:t>
      </w:r>
      <w:r>
        <w:t xml:space="preserve"> Exploring the “collective forward intelligence” potential: the Foresight 3.0 programme at the Mind-Lab — https://doi.org/10.1108/fs-01-2025-0007</w:t>
      </w:r>
    </w:p>
    <w:p>
      <w:pPr/>
      <w:r>
        <w:rPr>
          <w:b/>
        </w:rPr>
        <w:t>Shared claim-specific concepts:</w:t>
      </w:r>
      <w:r>
        <w:t xml:space="preserve"> purpose, foresight; EU scope not established. This is a provisional connection, not an outcome finding.</w:t>
      </w:r>
    </w:p>
    <w:p>
      <w:pPr>
        <w:pStyle w:val="SourceNote"/>
      </w:pPr>
      <w:r>
        <w:rPr>
          <w:b/>
        </w:rPr>
        <w:t>Available abstract (not full text):</w:t>
      </w:r>
      <w:r>
        <w:t xml:space="preserve"> Purpose This paper aims to set out the Foresight 3.0 framework, review the Mind-Lab programmes and projects and draw some general insights. Design/methodology/approach A next generation “Foresight 3.0” aims to promote “collective forward intelligence”, both within the foresight team and with external stakeholders. The question is then how to realize this in a complex, fast-changing world: this is the aim of the Mind-Lab (a.k.a. “Laboratory for Collective Intelligence”), with a range of projects in five thematic programmes (2015–2024). Findings The case study review shows that (a) the Foresight 3.0 approach can make real contributions in parallel with other modes; (b) there are huge gaps between aspiration and reality; and (c) a key priority is to plan and resource time for capacity building for the “collective forward intelligence”. Research limitations/implications The Mind-Lab is a “living laboratory” action research programme, responding to the needs of projects and sponsors, and so the case studies are not easily replicable. Practical implications Each of the case study projects aims for a level of transformation (e.g. on climate change policy, circular economies or bio-regional planning), and a key contribution of Foresight 3.0 is for structured mapping and design of the pathways towards such transformation. Social implications The Foresight 3.0 approach works with a wider</w:t>
      </w:r>
    </w:p>
    <w:p>
      <w:pPr/>
      <w:r>
        <w:rPr>
          <w:b/>
        </w:rPr>
        <w:t>POSSIBLE 2024:</w:t>
      </w:r>
      <w:r>
        <w:t xml:space="preserve"> (Re)envisioning inclusive futures: Applying narrative foresight to deconstruct the problem of urban flooding in the slums of Bengaluru, India — https://doi.org/10.1111/dpr.12786</w:t>
      </w:r>
    </w:p>
    <w:p>
      <w:pPr/>
      <w:r>
        <w:rPr>
          <w:b/>
        </w:rPr>
        <w:t>Shared claim-specific concepts:</w:t>
      </w:r>
      <w:r>
        <w:t xml:space="preserve"> purpose, foresight, flooding, flood, assessment; EU scope not established. This is a provisional connection, not an outcome finding.</w:t>
      </w:r>
    </w:p>
    <w:p>
      <w:pPr>
        <w:pStyle w:val="SourceNote"/>
      </w:pPr>
      <w:r>
        <w:rPr>
          <w:b/>
        </w:rPr>
        <w:t>Available abstract (not full text):</w:t>
      </w:r>
      <w:r>
        <w:t xml:space="preserve">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pPr/>
      <w:r>
        <w:rPr>
          <w:b/>
        </w:rPr>
        <w:t>POSSIBLE 2024:</w:t>
      </w:r>
      <w:r>
        <w:t xml:space="preserve"> FORESIGHT PROJECTS AS A FACTOR IN THE FORMATION OF STUDENTS' LEGAL BEHAVIOUR IN AN EDUCATIONAL INSTITUTION IN THE CONTEXT OF THE HUMANISATION OF THE EDUCATIONAL PROCESS — https://doi.org/10.54891/2786-7013-2024-1-10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pPr/>
      <w:r>
        <w:rPr>
          <w:b/>
        </w:rPr>
        <w:t>POSSIBLE 2024:</w:t>
      </w:r>
      <w:r>
        <w:t xml:space="preserve"> Mission-oriented scenarios: a new method for urban foresight — https://doi.org/10.1108/fs-06-2023-0119</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Purpose The purpose of this study is to propose an innovative and efficient process in urban policy-making that combines a divergent and creative method with a convergent and strategic one. At the same time, the purpose is also to propose a useful innovation to enforce the usability of both methods. On the one hand, mission-oriented policies run the risk of being overly focused on the present and of not being able to develop preparedness in organization. On the other hand, scenario development has the reverse problem it often does not point out how to use scenario narratives to inform and devise short-term strategic actions. Design/methodology/approach The paper proposes an innovative methodological approach, the mission-oriented scenarios, which hybridizes Mazzucato's mission-oriented public policy framework with Jim Dator's Manoa school four futures method. The proposed methodological innovation emerges from a urban foresight academic-led project carried out in the context of the Metropolitan City of Turin, Italy, where a first application of the mission-oriented scenarios was tested on six different focal issues (from reindustrialization to cultural policies) and the scenario narratives were used as sources for the grounding of 12 missions and 48 strategic actions towards 2030. Findings Mission-oriented scenarios can contribute to the generation of more sustainable and inclu</w:t>
      </w:r>
    </w:p>
    <w:p>
      <w:pPr>
        <w:pStyle w:val="Heading2"/>
      </w:pPr>
      <w:r>
        <w:t>975. Immigration and integration scenarios in global Europe: Forward-looking up to 2050</w:t>
      </w:r>
    </w:p>
    <w:p>
      <w:pPr>
        <w:pStyle w:val="SourceNote"/>
      </w:pPr>
      <w:r>
        <w:rPr>
          <w:b/>
        </w:rPr>
        <w:t>Original source (2013):</w:t>
      </w:r>
      <w:r>
        <w:t xml:space="preserve"> https://doi.org/10.2298/soc1302169a</w:t>
      </w:r>
    </w:p>
    <w:p>
      <w:pPr/>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pPr/>
      <w:r>
        <w:rPr>
          <w:b/>
        </w:rPr>
        <w:t>POSSIBLE 2026:</w:t>
      </w:r>
      <w:r>
        <w:t xml:space="preserve"> Exploring Effects Of Integration Policy On The Inclusion Of Non-Eu Immigrants In Europe: The Case Of Maghrebi Immigrants In Spain And France — https://doi.org/10.14267/phd.2026018</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Mainstream academic literature relates the success of migrant integration to socio-economic inclusion policies that seek to include migrants in the job market and secure their socio-economic right. However, the existence of personal as well as external factors (presented below) create a challenge for the current integration policies towards non-EU migrants, especially those of Maghrebi origins (Morocco, Tunisia, and Algeria). This research is an attempt to contribute to mainstream literature on migrant integration theories considering signs of failure of integration such as; 1) the rise of radicalisation1 among selected categories of migrants; 2) alienation and dissonance from society; and, 4) increase of anti-immigrant attitude not only among extreme right-wing political parties but within the majority population at large.2 Using both qualitative and quantitative research methods, such as interviews, analysis of laws and regulations, as well as data from the European Social Survey (ESS), I conducted an assessment of the impact of integration policies on Maghrebi immigrants in France and Spain. The qualitative results show that policy outcomes vary across integration dimensions between the two European countries, in spite of the fact that “social cohesion” indicators reveal that Maghrebi immigrants in Spain are more satisfied and attached to their host society than Muslims in F</w:t>
      </w:r>
    </w:p>
    <w:p>
      <w:pPr/>
      <w:r>
        <w:rPr>
          <w:b/>
        </w:rPr>
        <w:t>POSSIBLE 2026:</w:t>
      </w:r>
      <w:r>
        <w:t xml:space="preserve"> Skill gaps between natives and immigrants in Europe: evidence from two cycles of PIAAC survey — https://openalex.org/W7127775532</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The integration of immigrants into host societies is a widely debated issue with significant implications for host societies and economies. Unlocking immigrant human capital potential depends on the successful integration of immigrants and their children into the labor market and the society. The skills gap between immigrants and natives, including differences in qualifications and foundational skills, often hinders integration, limiting immigrants’ opportunities. Using data from the first and second PIAAC cycles, this work examines the skills gap in European countries, focusing on its persistence, reduction or expansion over time and between first- and second-generation immigrants. More specifically, it addresses literacy and numeracy skills as a measure of immigrants’ participation in the host social and economic context. This work explores the impact of factors such as one’s own or parents’ education and language barrier on literacy and numeracy performance, along with their impact on the migrant-native gap itself. It reveals the existence of a gap between immigrants’ and natives’ skills, with an immigrant disadvantage, more pronounced for the first generation and converging towards natives for the second generation. However, these trends vary over time, depending on the domain and country. This work provides useful insights to inform policies aimed at reducing disparities a</w:t>
      </w:r>
    </w:p>
    <w:p>
      <w:pPr/>
      <w:r>
        <w:rPr>
          <w:b/>
        </w:rPr>
        <w:t>POSSIBLE 2025:</w:t>
      </w:r>
      <w:r>
        <w:t xml:space="preserve"> A.M. Pankratova on Pan-European tendencies in historical scholarship in Western Europe in the Mid-20th century — https://doi.org/10.55959/msu0130-0083-8-2025-66-5-107-123</w:t>
      </w:r>
    </w:p>
    <w:p>
      <w:pPr/>
      <w:r>
        <w:rPr>
          <w:b/>
        </w:rPr>
        <w:t>Shared claim-specific concepts:</w:t>
      </w:r>
      <w:r>
        <w:t xml:space="preserve"> she, addressing, integration; EU scope visible. This is a provisional connection, not an outcome finding.</w:t>
      </w:r>
    </w:p>
    <w:p>
      <w:pPr>
        <w:pStyle w:val="SourceNote"/>
      </w:pPr>
      <w:r>
        <w:rPr>
          <w:b/>
        </w:rPr>
        <w:t>Available abstract (not full text):</w:t>
      </w:r>
      <w:r>
        <w:t xml:space="preserve">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pPr/>
      <w:r>
        <w:rPr>
          <w:b/>
        </w:rPr>
        <w:t>POSSIBLE 2025:</w:t>
      </w:r>
      <w:r>
        <w:t xml:space="preserve"> The Labor Market Challenges and Coping Strategies of Highly Skilled Second-Generation Immigrants in Europe: A Scoping Review — https://doi.org/10.3390/soc15040093</w:t>
      </w:r>
    </w:p>
    <w:p>
      <w:pPr/>
      <w:r>
        <w:rPr>
          <w:b/>
        </w:rPr>
        <w:t>Shared claim-specific concepts:</w:t>
      </w:r>
      <w:r>
        <w:t xml:space="preserve"> integration, immigrants, demographic; EU scope visible. This is a provisional connection, not an outcome finding.</w:t>
      </w:r>
    </w:p>
    <w:p>
      <w:pPr>
        <w:pStyle w:val="SourceNote"/>
      </w:pPr>
      <w:r>
        <w:rPr>
          <w:b/>
        </w:rPr>
        <w:t>Available abstract (not full text):</w:t>
      </w:r>
      <w:r>
        <w:t xml:space="preserve"> This scoping review investigates the labor market challenges and coping strategies of highly skilled second-generation immigrants in Europe who, despite their educational and professional accomplishments, face persistent barriers related to ethnic, cultural, and religious identities. Synthesizing existing literature, the review examines obstacles to the economic integration of highly educated children of immigrants, highlighting both their perceptions of these barriers and the adaptive strategies they employ. A systematic search was conducted across Scopus, Web of Science, and EBSCOhost to identify studies published between 2010 and 2024. The selection process followed a structured five-stage framework, including defining research questions, identifying and selecting relevant studies, charting the data, and synthesizing findings. A total of 1192 records were initially identified, with 1022 retained after duplicate removal. After applying inclusion and exclusion criteria, 68 studies were included in the review. Findings indicate that hiring discrimination, occupational segregation, and exclusion from elite professional networks remain key barriers, particularly for those of Muslim background. Despite achieving professional success, many continue to encounter symbolic boundaries that limit career advancement. In response, second-generation professionals adopt various coping strat</w:t>
      </w:r>
    </w:p>
    <w:p>
      <w:pPr/>
      <w:r>
        <w:rPr>
          <w:b/>
        </w:rPr>
        <w:t>POSSIBLE 2025:</w:t>
      </w:r>
      <w:r>
        <w:t xml:space="preserve"> Prototyping ‘Typical Day’: Building a Gamified Experience To Reflect Immigrant Challenges — https://doi.org/10.1007/s10903-025-01711-z</w:t>
      </w:r>
    </w:p>
    <w:p>
      <w:pPr/>
      <w:r>
        <w:rPr>
          <w:b/>
        </w:rPr>
        <w:t>Shared claim-specific concepts:</w:t>
      </w:r>
      <w:r>
        <w:t xml:space="preserve"> addressing, immigrants, needs; EU scope not established. This is a provisional connection, not an outcome finding.</w:t>
      </w:r>
    </w:p>
    <w:p>
      <w:pPr>
        <w:pStyle w:val="SourceNote"/>
      </w:pPr>
      <w:r>
        <w:rPr>
          <w:b/>
        </w:rPr>
        <w:t>Available abstract (not full text):</w:t>
      </w:r>
      <w:r>
        <w:t xml:space="preserve"> This article describes the steps involved in creating a prototype with a gamified approach aimed at highlighting the challenges encountered by immigrants in foreign countries. This serious game sought to provide an interactive experience that mirrored the real-life obstacles faced by immigrants, fostering empathy among non-immigrant players in these scenarios, with the goal of improving attitudes toward immigrants. During the development phase of the game, a user-centered design approach was employed. The project was divided into several phases: understanding the context, comprehending user needs, iterative prototyping, and usability testing. Both immigrants and non-immigrants participated in the study, directly contributing to defining requirements and evaluating the game. The serious game "Typical Day," designed to simulate everyday situations faced by immigrants through interactive scenarios and critical decisions, demonstrated positive acceptance in terms of usability and engagement. The results indicated that "Typical Day" provided an engaging and educational gaming experience, successfully balancing entertainment and information. Positive feedback from 45 non-immigrant participants highlighted its potential as an educational tool to raise awareness about the experiences of immigrants. However, further studies are needed to evaluate its long-term impact on attitudes and be</w:t>
      </w:r>
    </w:p>
    <w:p>
      <w:pPr/>
      <w:r>
        <w:rPr>
          <w:b/>
        </w:rPr>
        <w:t>POSSIBLE 2025:</w:t>
      </w:r>
      <w:r>
        <w:t xml:space="preserve"> The Evolution of Gender Monitoring and its Challenges: the Case of Research and Innovation in Europe — https://doi.org/10.1007/s11205-025-03698-4</w:t>
      </w:r>
    </w:p>
    <w:p>
      <w:pPr/>
      <w:r>
        <w:rPr>
          <w:b/>
        </w:rPr>
        <w:t>Shared claim-specific concepts:</w:t>
      </w:r>
      <w:r>
        <w:t xml:space="preserve"> she, responsible, governance; EU scope visible. This is a provisional connection, not an outcome finding.</w:t>
      </w:r>
    </w:p>
    <w:p>
      <w:pPr>
        <w:pStyle w:val="SourceNote"/>
      </w:pPr>
      <w:r>
        <w:rPr>
          <w:b/>
        </w:rPr>
        <w:t>Available abstract (not full text):</w:t>
      </w:r>
      <w:r>
        <w:t xml:space="preserve"> This article examines the European Commission’s flagship initiative on gender monitoring in science and innovation, offering a responsible metrics perspective informed by equality policy literature. We qualitatively analyse all She Figures reports since their inception in 2003, exploring how gender monitoring has evolved and in which directions. Our analytical framework addresses the why (justifications and purposes), what (concepts, translations, topics, policy focus), and how (policy process, gendered framing, contextualisation) of monitoring practices. We assess the challenges inherent in using monitoring as a governance instrument within the European Union, and propose improvements. Over two decades, the initiative has shifted from competitiveness-oriented justifications towards more transformative objectives linked to gender equality and policy evaluation. The focus of measurement has expanded—from merely tracking presence to also including institutional processes, albeit still marginally. Despite notable progress in data availability and contextualisation, the analysis highlights the persistence of a superficial gender perspective in the conceptualisation, framing, and selection of indicators. We argue that the policy process could better incorporate the voices of those affected. To that end, the article offers concrete proposals grounded in multidimensional perspectives </w:t>
      </w:r>
    </w:p>
    <w:p>
      <w:pPr/>
      <w:r>
        <w:rPr>
          <w:b/>
        </w:rPr>
        <w:t>POSSIBLE 2024:</w:t>
      </w:r>
      <w:r>
        <w:t xml:space="preserve"> Rethinking food aid for immigrants and refugees: Insights from Syracuse — https://doi.org/10.1111/dpr.12807</w:t>
      </w:r>
    </w:p>
    <w:p>
      <w:pPr/>
      <w:r>
        <w:rPr>
          <w:b/>
        </w:rPr>
        <w:t>Shared claim-specific concepts:</w:t>
      </w:r>
      <w:r>
        <w:t xml:space="preserve"> integration, immigrants, alongside, needs; EU scope not established. This is a provisional connection, not an outcome finding.</w:t>
      </w:r>
    </w:p>
    <w:p>
      <w:pPr>
        <w:pStyle w:val="SourceNote"/>
      </w:pPr>
      <w:r>
        <w:rPr>
          <w:b/>
        </w:rPr>
        <w:t>Available abstract (not full text):</w:t>
      </w:r>
      <w:r>
        <w:t xml:space="preserve"> Abstract Motivation Food security is a multidimensional issue, crucially underpinned by cultural acceptability, which significantly affects emotional well‐being and social integration. This study was motivated by the persistent challenge faced by refugee and immigrant communities in accessing culturally appropriate food, a critical aspect often overlooked by food assistance programmes. This gap both hinders nutritional intake and impedes the emotional and social well‐being of these vulnerable populations. Purpose This study aimed to explore the alignment between the cultural dietary preferences of refugee and immigrant communities in Syracuse, New York, and the offerings of local food aid programmes, specifically focusing on culturally appropriate fresh produce. It sought to understand the extent to which food assistance meets the cultural needs of these communities, thereby informing potential improvements in food security practices and policy. Approach and Methods Using a mixed‐methods approach, the study collected quantitative and qualitative data. Surveys were conducted with 35 refugee and immigrant women to quantitatively assess the availability and suitability of culturally specific food items within local food bank programmes. In addition, qualitative insights were derived through focus group discussions with eight of these participants. This dual‐method approach allowed</w:t>
      </w:r>
    </w:p>
    <w:p>
      <w:pPr/>
      <w:r>
        <w:rPr>
          <w:b/>
        </w:rPr>
        <w:t>POSSIBLE 2022:</w:t>
      </w:r>
      <w:r>
        <w:t xml:space="preserve"> Japanese Public Diplomacy in European Countries — https://doi.org/10.4324/9781003258797</w:t>
      </w:r>
    </w:p>
    <w:p>
      <w:pPr/>
      <w:r>
        <w:rPr>
          <w:b/>
        </w:rPr>
        <w:t>Shared claim-specific concepts:</w:t>
      </w:r>
      <w:r>
        <w:t xml:space="preserve"> she, proposes, integration; EU scope visible. This is a provisional connection, not an outcome finding.</w:t>
      </w:r>
    </w:p>
    <w:p>
      <w:pPr>
        <w:pStyle w:val="SourceNote"/>
      </w:pPr>
      <w:r>
        <w:rPr>
          <w:b/>
        </w:rPr>
        <w:t>Available abstract (not full text):</w:t>
      </w:r>
      <w:r>
        <w:t xml:space="preserve">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r>
        <w:rPr>
          <w:b/>
        </w:rPr>
        <w:t>POSSIBLE 2020:</w:t>
      </w:r>
      <w:r>
        <w:t xml:space="preserve"> Integration trainings for immigrants : strengths, challenges and needs for its improvement — https://openalex.org/W3115151162</w:t>
      </w:r>
    </w:p>
    <w:p>
      <w:pPr/>
      <w:r>
        <w:rPr>
          <w:b/>
        </w:rPr>
        <w:t>Shared claim-specific concepts:</w:t>
      </w:r>
      <w:r>
        <w:t xml:space="preserve"> integration, immigrants, needs; EU scope visible. This is a provisional connection, not an outcome finding.</w:t>
      </w:r>
    </w:p>
    <w:p>
      <w:pPr>
        <w:pStyle w:val="SourceNote"/>
      </w:pPr>
      <w:r>
        <w:rPr>
          <w:b/>
        </w:rPr>
        <w:t>Available abstract (not full text):</w:t>
      </w:r>
      <w:r>
        <w:t xml:space="preserve"> Finland has experienced accelerating migration in recent years. Immigrant population has become more diverse. Compared to earlier times newcomers have moved to Finland for rather various reasons from different parts of the world. Increasing and diverse immigrant population has driven researches examining the effects of integration trainings to promote social inclusion of foreigners. \n \nThis study joined urgent discussion on the topic with the goal to explain integration trainings efficiency. The research aimed to describe strengths of integration measures, scrutinize challenges and present identified needs for improving its functionality. \n \nThe analysis is based on face-to-face interviews with 22 respondents. The sample represented the whole group of 14 experts working with immigrants at Employment and Economic Development Office in Tampere, 3 teachers and 5 management representatives from 4 training providers what depicted all levels of modularized trainings. \n \nResearch findings indicated that integration trainings were efficient for motivated skilled immigrant learners with no particular needs. However, results showed that integration services were not ample for heterogeneous customer groups. Furthermore, the study proved that rigid training schedule, limited courses, and fixed number of learners to enroll in groups, reduced flexibility in service selection and negati</w:t>
      </w:r>
    </w:p>
    <w:p>
      <w:pPr/>
      <w:r>
        <w:rPr>
          <w:b/>
        </w:rPr>
        <w:t>POSSIBLE 2020:</w:t>
      </w:r>
      <w:r>
        <w:t xml:space="preserve"> Immigrants as Settlement Workers: An Inquiry into their Experiences of Work and Workplace Learning at Immigrant Service Agencies in Canada — https://doi.org/10.11575/prism/37712</w:t>
      </w:r>
    </w:p>
    <w:p>
      <w:pPr/>
      <w:r>
        <w:rPr>
          <w:b/>
        </w:rPr>
        <w:t>Shared claim-specific concepts:</w:t>
      </w:r>
      <w:r>
        <w:t xml:space="preserve"> integration, immigrants, labour; EU scope not established. This is a provisional connection, not an outcome finding.</w:t>
      </w:r>
    </w:p>
    <w:p>
      <w:pPr>
        <w:pStyle w:val="SourceNote"/>
      </w:pPr>
      <w:r>
        <w:rPr>
          <w:b/>
        </w:rPr>
        <w:t>Available abstract (not full text):</w:t>
      </w:r>
      <w:r>
        <w:t xml:space="preserve"> My research investigates the transition to work and workplace learning experiences of immigrant settlement workers (ISWs) at immigrant service agencies (ISAs) in Canada. Informed by intersectionality and institutional ethnography (IE), I investigate how ISWs’ labour market integration and learning at work are constructed in institutional relations, organizing and shaping the coordination of individuals’ standpoint at local sites. In examining ISWs’ transition to work, I first trace the trajectory of immigrants becoming ISWs and then analyze how race, gender, and class intersect and shape their experiences of seeking employment in institutional complexes between governmental organizations, employment institutions, and ISAs. In exploring ISWs’ workplace learning in ISAs, I analyze ISWs’ emerging learning opportunities in formal and non-formal settings and how their learning can be situated in cultural and relational contexts. More importantly, my research scrutinizes how textual ruling power is translocally developed and distributed to mould ISWs’ daily practices in the workplace. Eighteen ISWs were interviewed from three different ISAs in Western Canada. Based on findings from life history interviews and analysis of various governmental and organizational documents, my investigation reveals three major components of ISWs’ transition to work and workplace learning experiences. Fi</w:t>
      </w:r>
    </w:p>
    <w:p>
      <w:pPr/>
      <w:r>
        <w:rPr>
          <w:b/>
        </w:rPr>
        <w:t>POSSIBLE 2019:</w:t>
      </w:r>
      <w:r>
        <w:t xml:space="preserve"> "It's Better That She Sees Me": Digital Visual Literacy Narratives Among Women Immigrants in Chile — https://doi.org/10.3102/1434016</w:t>
      </w:r>
    </w:p>
    <w:p>
      <w:pPr/>
      <w:r>
        <w:rPr>
          <w:b/>
        </w:rPr>
        <w:t>Shared claim-specific concepts:</w:t>
      </w:r>
      <w:r>
        <w:t xml:space="preserve"> she, immigrants, needs; EU scope not established. This is a provisional connection, not an outcome finding.</w:t>
      </w:r>
    </w:p>
    <w:p>
      <w:pPr>
        <w:pStyle w:val="SourceNote"/>
      </w:pPr>
      <w:r>
        <w:rPr>
          <w:b/>
        </w:rPr>
        <w:t>Available abstract (not full text):</w:t>
      </w:r>
      <w:r>
        <w:t xml:space="preserve"> Narratives drawn from a 2017 Fulbright study of 60 immigrant women in Chile, show that their digital visual literacy practices were framed by gendered communication, rural and urban distinctions, and native language literacy.This paper challenges digital literacy theories that focus heavily on people's skills and text-based communicative interactions and demonstrates the importance of combining visuality with multi-literacies and narratives of digital communication, for understanding the adaptations and transnational identities of new immigrants. Objectives/PurposesThis paper focuses on narratives of migrancy, gender, and language at the nexus of digital visual literacy.These narratives are drawn from a study of 60 immigrant women, mostly from Latin American countries, who were participants in a Fulbright Commission study that took place in Chile in 2017.Chile is fast becoming a destination country for immigrants in the Global South (Martin, 2017).Known as an 'economic jaguar,' its reputation as a safe, stable economy with a progressive social agenda draws Latin American immigrants, mostly women (Cabieses, Tunstall &amp; Pickett, 2013;Quiroga, 2014;Dona-Reveco &amp; Levinson, 2012).Haitians, Colombians, and Venezuelans fleeing natural disasters, politically unstable governments, and weakened economies are some of the newest immigrants, while Ecuadorians, Argentinians, Bolivians, and Pe</w:t>
      </w:r>
    </w:p>
    <w:p>
      <w:pPr/>
      <w:r>
        <w:rPr>
          <w:b/>
        </w:rPr>
        <w:t>POSSIBLE 2018:</w:t>
      </w:r>
      <w:r>
        <w:t xml:space="preserve"> Integrating black immigrants — https://doi.org/10.7765/9781526137791.00012</w:t>
      </w:r>
    </w:p>
    <w:p>
      <w:pPr/>
      <w:r>
        <w:rPr>
          <w:b/>
        </w:rPr>
        <w:t>Shared claim-specific concepts:</w:t>
      </w:r>
      <w:r>
        <w:t xml:space="preserve"> integration, immigrants, labour; EU scope not established. This is a provisional connection, not an outcome finding.</w:t>
      </w:r>
    </w:p>
    <w:p>
      <w:pPr>
        <w:pStyle w:val="SourceNote"/>
      </w:pPr>
      <w:r>
        <w:rPr>
          <w:b/>
        </w:rPr>
        <w:t>Available abstract (not full text):</w:t>
      </w:r>
      <w:r>
        <w:t xml:space="preserve"> This chapter takes up the issue of black immigration and establishes the party's dilemma, given both its commitment to integration and its need to retain the support of prejudiced white voters. Many Labour members thought the growing presence of black immigrants in Britain's towns and cities was problematic. Moreover, the presumed dire electoral implications of rising numbers of black people encouraged party leaders to support controls to appease prejudice. However, consistent with Labour's commitment to equality, ministers also promoted measures that challenged white opinion, while some activists and officials enthusiastically advanced the policy of integration. Overall, however, black immigration was an issue Labour was ill prepared to address and one many wished would disappear as quickly as possible.</w:t>
      </w:r>
    </w:p>
    <w:p>
      <w:pPr>
        <w:pStyle w:val="Heading2"/>
      </w:pPr>
      <w:r>
        <w:t>976. Integrated scenarios of sustainable food production and consumption in Germany</w:t>
      </w:r>
    </w:p>
    <w:p>
      <w:pPr>
        <w:pStyle w:val="SourceNote"/>
      </w:pPr>
      <w:r>
        <w:rPr>
          <w:b/>
        </w:rPr>
        <w:t>Original source (2013):</w:t>
      </w:r>
      <w:r>
        <w:t xml:space="preserve"> https://doi.org/10.1080/15487733.2013.11908118</w:t>
      </w:r>
    </w:p>
    <w:p>
      <w:pPr/>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POSSIBLE 2026:</w:t>
      </w:r>
      <w:r>
        <w:t xml:space="preserve"> The Moroccan and Muslim Diaspora in Europe: Shifting from the Context of Migration to the Context of Citizenship — https://openalex.org/W7113523033</w:t>
      </w:r>
    </w:p>
    <w:p>
      <w:pPr/>
      <w:r>
        <w:rPr>
          <w:b/>
        </w:rPr>
        <w:t>Shared claim-specific concepts:</w:t>
      </w:r>
      <w:r>
        <w:t xml:space="preserve"> first, so-called, context, different, but, significant; EU scope visible. This is a provisional connection, not an outcome finding.</w:t>
      </w:r>
    </w:p>
    <w:p>
      <w:pPr>
        <w:pStyle w:val="SourceNote"/>
      </w:pPr>
      <w:r>
        <w:rPr>
          <w:b/>
        </w:rPr>
        <w:t>Available abstract (not full text):</w:t>
      </w:r>
      <w:r>
        <w:t xml:space="preserve">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pPr/>
      <w:r>
        <w:rPr>
          <w:b/>
        </w:rPr>
        <w:t>POSSIBLE 2026:</w:t>
      </w:r>
      <w:r>
        <w:t xml:space="preserve"> Reliability and Operational Efficiency of Public Institutions in the Context of the So-Called Constitutional Crisis — https://doi.org/10.32084/tkp.10817</w:t>
      </w:r>
    </w:p>
    <w:p>
      <w:pPr/>
      <w:r>
        <w:rPr>
          <w:b/>
        </w:rPr>
        <w:t>Shared claim-specific concepts:</w:t>
      </w:r>
      <w:r>
        <w:t xml:space="preserve"> so-called, context, but, provide; EU scope visible. This is a provisional connection, not an outcome finding.</w:t>
      </w:r>
    </w:p>
    <w:p>
      <w:pPr>
        <w:pStyle w:val="SourceNote"/>
      </w:pPr>
      <w:r>
        <w:rPr>
          <w:b/>
        </w:rPr>
        <w:t>Available abstract (not full text):</w:t>
      </w:r>
      <w:r>
        <w:t xml:space="preserve"> Contemporary states face the challenge of addressing an ever-growing range of problems and crises, including, inter alia, the legal crisis concerning the enactment and application of law. The capacity to resolve this type of crisis is essential, as a defining feature of modern crises is their mutual permeability and overlap, with law occupying a central role. The constitutional crisis – being a function of multiple tendencies, phenomena and processes – may become an opportunity to address not only the legal crisis, but also, indirectly, other crises, given the role of law and the place of the constitution within contemporary multicentric legal systems. The primary objective of this study is to analyse the impact of the constitutional crisis on the functioning of public institutions. The authors also endeavour to demonstrate that the reliability and operational efficiency of public institutions, as referred to in the Preamble to the Constitution of the Republic of Poland, may provide an opportunity to overcome the multidimensional constitutional crisis, and subsequently the broader crisis of the state. Hence, a “pre-preambular” proposal for emerging from the constitutional crisis may serve as a point of reference for the legislature, judicial practice, and the daily work of civil servants, judges and public officials.</w:t>
      </w:r>
    </w:p>
    <w:p>
      <w:pPr/>
      <w:r>
        <w:rPr>
          <w:b/>
        </w:rPr>
        <w:t>POSSIBLE 2025:</w:t>
      </w:r>
      <w:r>
        <w:t xml:space="preserve"> Changing the Context of Business Management Theory. The So and So Management between Eclecticism and Wishful Thinking — https://doi.org/10.30958/ajl.11-3-2</w:t>
      </w:r>
    </w:p>
    <w:p>
      <w:pPr/>
      <w:r>
        <w:rPr>
          <w:b/>
        </w:rPr>
        <w:t>Shared claim-specific concepts:</w:t>
      </w:r>
      <w:r>
        <w:t xml:space="preserve"> first, so-called, context, different, production; EU scope visible. This is a provisional connection, not an outcome finding.</w:t>
      </w:r>
    </w:p>
    <w:p>
      <w:pPr>
        <w:pStyle w:val="SourceNote"/>
      </w:pPr>
      <w:r>
        <w:rPr>
          <w:b/>
        </w:rPr>
        <w:t>Available abstract (not full text):</w:t>
      </w:r>
      <w:r>
        <w:t xml:space="preserve">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first, context, significant, finally;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Regulation of the So-Called Sharing Economy in Accommodation Services in the Context of Negative Externalities — https://doi.org/10.15240/tul/009/lef-2025-18</w:t>
      </w:r>
    </w:p>
    <w:p>
      <w:pPr/>
      <w:r>
        <w:rPr>
          <w:b/>
        </w:rPr>
        <w:t>Shared claim-specific concepts:</w:t>
      </w:r>
      <w:r>
        <w:t xml:space="preserve"> so-called, context, control, significant; EU scope visible. This is a provisional connection, not an outcome finding.</w:t>
      </w:r>
    </w:p>
    <w:p>
      <w:pPr>
        <w:pStyle w:val="SourceNote"/>
      </w:pPr>
      <w:r>
        <w:rPr>
          <w:b/>
        </w:rPr>
        <w:t>Available abstract (not full text):</w:t>
      </w:r>
      <w:r>
        <w:t xml:space="preserve"> This paper investigates the impact of regulatory measures on the short-term accommodation sector within the sharing economy, with a focus on the challenge of mitigating negative externalities. Using comparative analysis, the study examines Germany—a country that has introduced increasingly strict regulations—and the Czech Republic, which lacks systemic regulatory controls. Drawing on data from Eurostat, STR Global, and Czech statistical offices, the research applies Pearson’s correlation coefficient to assess the relationship between the number of short-term rental offers in both countries between 2018 and 2025. The results show a statistically significant and strong positive correlation, indicating that Germany’s regulatory measures have not led to a meaningful reduction in the supply of short-term rentals. The discussion explores potential explanations for this limited effectiveness, such as circumvention by providers, enforcement challenges despite high fines, and the structural underinvestment in affordable rental housing that regulation does not address. Moreover, while local measures such as registration requirements and annual limits may offer some control, they often fail to prevent market adaptation. The findings highlight the complexity of managing negative externalities in the sharing economy and question the sufficiency of regulation as a standalone policy instrumen</w:t>
      </w:r>
    </w:p>
    <w:p>
      <w:pPr/>
      <w:r>
        <w:rPr>
          <w:b/>
        </w:rPr>
        <w:t>POSSIBLE 2025:</w:t>
      </w:r>
      <w:r>
        <w:t xml:space="preserve"> 445Between nation and association of states: historical discourses on Europe and the crises of the early twenty-first century — https://doi.org/10.1515/9783111588551-024</w:t>
      </w:r>
    </w:p>
    <w:p>
      <w:pPr/>
      <w:r>
        <w:rPr>
          <w:b/>
        </w:rPr>
        <w:t>Shared claim-specific concepts:</w:t>
      </w:r>
      <w:r>
        <w:t xml:space="preserve"> so-called, context, different, but; EU scope visible. This is a provisional connection, not an outcome finding.</w:t>
      </w:r>
    </w:p>
    <w:p>
      <w:pPr>
        <w:pStyle w:val="SourceNote"/>
      </w:pPr>
      <w:r>
        <w:rPr>
          <w:b/>
        </w:rPr>
        <w:t>Available abstract (not full text):</w:t>
      </w:r>
      <w:r>
        <w:t xml:space="preserve"> Between nation and association of states: historical discourses on Europe and the crises of the early twenty-first centuryEurope is a difficult concept.Ideas about what Europe actually is, what it should look like in future and how it ought to develop are as diverse as the national contexts in which such issues are discussed.Views concerning Europe's role in a given national context, with regard among other things to the historical development of the continent and its individual countries, play an important role here.The debate on European identities, then, is one that is played out differently in each nation state.The experience of Europe in the so-called West 1 is fundamentally different from that in post-Cold War Eastern Europe. 2 The concept of Europe outside the continent is equally varied, a fact that repeatedly leads to conflicts, especially when this external perception calls into question Europeans' own imagined Europe.When political speeches underscore that "the EU [. ..] was founded to anchor democracy and the rule of law in Europe," then this emphasis fulfils a political purpose, but is, according to political scientist Jan-Werner Müller, merely the "misrepresentation of history." 3 In fact, today's Europe is highly diverse and has many faces: a young, optimistic one, as embodied by posters advertising the Erasmus programme; a serious, busy one, as represented by he</w:t>
      </w:r>
    </w:p>
    <w:p>
      <w:pPr/>
      <w:r>
        <w:rPr>
          <w:b/>
        </w:rPr>
        <w:t>POSSIBLE 2024:</w:t>
      </w:r>
      <w:r>
        <w:t xml:space="preserve"> The so-called ‘person skilled in the art’: a donkey or a genius? — https://doi.org/10.1093/jiplp/jpae006</w:t>
      </w:r>
    </w:p>
    <w:p>
      <w:pPr/>
      <w:r>
        <w:rPr>
          <w:b/>
        </w:rPr>
        <w:t>Shared claim-specific concepts:</w:t>
      </w:r>
      <w:r>
        <w:t xml:space="preserve"> first, so-called, different, but, finally; EU scope visible. This is a provisional connection, not an outcome finding.</w:t>
      </w:r>
    </w:p>
    <w:p>
      <w:pPr>
        <w:pStyle w:val="SourceNote"/>
      </w:pPr>
      <w:r>
        <w:rPr>
          <w:b/>
        </w:rPr>
        <w:t>Available abstract (not full text):</w:t>
      </w:r>
      <w:r>
        <w:t xml:space="preserve"> Patent laws frequently call on the services of the ‘person skilled in the art’. But that person has a split personality: at first, he1 is a donkey; later on, he becomes a genius. Depending on the circumstances (or on mere convenience), this fictional person knows everything or knows nothing. The Italian Industrial Property Code is representative of this confusion. Article 48, on inventive step, states: An invention shall be considered as involving an inventive step if, for the person skilled in the art, it is not evident from the state of the art. The person skilled in the art re-emerges in Article 51.2, on sufficiency of disclosure: The invention must be described in a sufficiently clear and complete manner so that any person who is skilled in the art can implement it. And then again in Article 76.1, on nullity of a patent: … if the invention is not described in a sufficiently clear and complete manner as to allow an expert person to implement it. The European Patent Convention (EPC) takes a similar approach to the relevance of the person skilled in the art in the assessment of inventive step (Article 56), sufficiency of disclosure (Article 83) and nullity of the patent for insufficient disclosure (Article 138 (b)). But in the EPC the person skilled in the art makes one further appearance. In the Protocol on the Interpretation of Article 69 EPC, the person skilled in the art i</w:t>
      </w:r>
    </w:p>
    <w:p>
      <w:pPr/>
      <w:r>
        <w:rPr>
          <w:b/>
        </w:rPr>
        <w:t>POSSIBLE 2023:</w:t>
      </w:r>
      <w:r>
        <w:t xml:space="preserve"> The so-called Magnitsky Laws from the Perspective of International Law — https://openalex.org/W7135579267</w:t>
      </w:r>
    </w:p>
    <w:p>
      <w:pPr/>
      <w:r>
        <w:rPr>
          <w:b/>
        </w:rPr>
        <w:t>Shared claim-specific concepts:</w:t>
      </w:r>
      <w:r>
        <w:t xml:space="preserve"> first, so-called, context; EU scope visible. This is a provisional connection, not an outcome finding.</w:t>
      </w:r>
    </w:p>
    <w:p>
      <w:pPr>
        <w:pStyle w:val="SourceNote"/>
      </w:pPr>
      <w:r>
        <w:rPr>
          <w:b/>
        </w:rPr>
        <w:t>Available abstract (not full text):</w:t>
      </w:r>
      <w:r>
        <w:t xml:space="preserve"> The so-called Magnitsky Laws from the Perspective of International Law Abstract This diploma thesis treats the phenomenon of so-called Magnitsky acts, a subtype of targeted international sanctions, from the point of view of international law. The text of the thesis is structured into three chapters. The first chapter deals with the origins of Magnitsky acts. Documented are the circumstances of the incarceration and death of Sergey Magnitsky. Described are the origins of the first Magnitsky Acts, i.e., the U.S. Magnitsky Act and Global Magnitsky Act, and the spreading of analogous norms around the world. The second chapter is a survey and legal comparison of selected legislation - in the United States, Canada, European Union, and Czech Republic. Based on the literature and the individual norms, the features common to all Magnitsky acts are determined. Subsequently, the acts are compared using five criteria. These are sanction aspects, as a definition of the prosecuted behavior; creation of the sanctions list, as an entitlement of the government agencies to create such lists; individual sanctions tools; appeals and remedies in the sanctions process, or removal from the sanction list; the overview of the sanctioned entities. The third chapter discusses the nature of the Magnitsky acts in the context of...</w:t>
      </w:r>
    </w:p>
    <w:p>
      <w:pPr/>
      <w:r>
        <w:rPr>
          <w:b/>
        </w:rPr>
        <w:t>POSSIBLE 2023:</w:t>
      </w:r>
      <w:r>
        <w:t xml:space="preserve"> Homestay Accommodation for Refugees (in Europe). A Literature Review — https://doi.org/10.1177/01979183231172101</w:t>
      </w:r>
    </w:p>
    <w:p>
      <w:pPr/>
      <w:r>
        <w:rPr>
          <w:b/>
        </w:rPr>
        <w:t>Shared claim-specific concepts:</w:t>
      </w:r>
      <w:r>
        <w:t xml:space="preserve"> first, so-called, context, different; EU scope visible. This is a provisional connection, not an outcome finding.</w:t>
      </w:r>
    </w:p>
    <w:p>
      <w:pPr>
        <w:pStyle w:val="SourceNote"/>
      </w:pPr>
      <w:r>
        <w:rPr>
          <w:b/>
        </w:rPr>
        <w:t>Available abstract (not full text):</w:t>
      </w:r>
      <w:r>
        <w:t xml:space="preserve"> In the aftermath of the rapidly increasing number of refugees arriving in Europe following the Russian invasion of Ukraine, nonprofit organizations, private companies, and also public institutions have promoted homestay initiatives: That is, local households hosting refugees. In order to reflect on the political issues that homestay accommodation for refugees raises, the article charts and synthesizes the available research on homestay produced in 75 works written in English, French, German, and Italian, and with a particular focus on the European context. Most of those texts were published in the second half of the 2010s and focused on the homestay initiatives that developed in the context of the so-called 2015 “refugee crisis.” We analyzed this material by focusing on three different levels: First, hospitality as an inter-individual relationship within the domestic sphere (micro level); second, refugee homestay as diverse accommodation arrangements, implemented by informal groups, nonprofit organizations, and public institutions (meso level); and, third, the (non-) contentious dimension of homestay accommodation (macrolevel). The review also identifies theoretical, methodological, and empirical perspectives for future studies on homestay. We call for more attention to be given to the intersectional inequalities and power relations between hosts and guests; to the life traject</w:t>
      </w:r>
    </w:p>
    <w:p>
      <w:pPr/>
      <w:r>
        <w:rPr>
          <w:b/>
        </w:rPr>
        <w:t>POSSIBLE 2023:</w:t>
      </w:r>
      <w:r>
        <w:t xml:space="preserve"> Cancer burden in adolescents and young adults in Europe — https://doi.org/10.1016/j.esmoop.2022.100744</w:t>
      </w:r>
    </w:p>
    <w:p>
      <w:pPr/>
      <w:r>
        <w:rPr>
          <w:b/>
        </w:rPr>
        <w:t>Shared claim-specific concepts:</w:t>
      </w:r>
      <w:r>
        <w:t xml:space="preserve"> describe, different, relevant; EU scope visible. This is a provisional connection, not an outcome finding.</w:t>
      </w:r>
    </w:p>
    <w:p>
      <w:pPr>
        <w:pStyle w:val="SourceNote"/>
      </w:pPr>
      <w:r>
        <w:rPr>
          <w:b/>
        </w:rPr>
        <w:t>Available abstract (not full text):</w:t>
      </w:r>
      <w:r>
        <w:t xml:space="preserve"> BACKGROUND: Cancer epidemiology is unique in adolescents and young adults (AYAs; aged 15-39 years). The European Society for Medical Oncology/European Society for Paediatric Oncology (ESMO/SIOPE) AYA Working Group aims to describe the burden of cancers in AYAs in Europe and across European Union (EU) countries. PATIENTS AND METHODS: We used data available on the Global Cancer Observatory. We retrieved crude and age-standardised (World Standard Population) incidence and mortality rates. We reported about AYA cancer burden in Europe and between 28 EU member states. We described incidence and mortality for all cancers and for the 13 cancers most relevant to the AYA population. RESULTS: Incidence and mortality varied widely between countries with the highest mortality observed in Eastern EU countries. Cancers of the female breast, thyroid and male testis were the most common cancers across countries followed by melanoma of skin and cancers of the cervix. Variations in cancer incidence rates across different populations may reflect different distribution of risk factors, variations in the implementation or uptake of screening as well as overdiagnosis. AYA cancer mortality disparities may be due to variation in early-stage diagnoses, different public education and awareness of cancer symptoms, different degrees of access or availability of treatment. CONCLUSIONS: Our results highligh</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describe, production, consumption, finally;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First Language and Second Language in the Multilingual Context — https://doi.org/10.20884/1.jes.2022.3.2.6944</w:t>
      </w:r>
    </w:p>
    <w:p>
      <w:pPr/>
      <w:r>
        <w:rPr>
          <w:b/>
        </w:rPr>
        <w:t>Shared claim-specific concepts:</w:t>
      </w:r>
      <w:r>
        <w:t xml:space="preserve"> first, context, different, but; EU scope visible. This is a provisional connection, not an outcome finding.</w:t>
      </w:r>
    </w:p>
    <w:p>
      <w:pPr>
        <w:pStyle w:val="SourceNote"/>
      </w:pPr>
      <w:r>
        <w:rPr>
          <w:b/>
        </w:rPr>
        <w:t>Available abstract (not full text):</w:t>
      </w:r>
      <w:r>
        <w:t xml:space="preserve"> Studies in English continues to gain ground in different countries and from different perspectives to the extent that some concepts need to be rethought. For this reason, the first language (L1) and second language (L2) in a multilingual setting were examined. This study was motivated by the fact that despite the extensive research into language teaching and language learning, little was clear about L1 and L2 in the context where many indigenous languages coexist with European languages and others. As example, Chad which is a multilingual country has French and Arabic as official languages, and English is given the status of a foreign language. Many studies in English in non-native English speaking environment considered the students’ mother tongue as L1, but the current research aimed to show that the first language could refer to the second language and rethink what are called first language and second language in research on English language learning by contextualising the situation. Qualitative method was used. It did not involve the collection of data. It was based on literature: books, articles, and opinions. So, from the body of the paper, the findings showed that many studies in English referred to the first language not as the speaker’s mother tongue, but the second language. This meant that L1 in terms of the students’ native languages (indigenous languages) should no</w:t>
      </w:r>
    </w:p>
    <w:p>
      <w:pPr>
        <w:pStyle w:val="Heading2"/>
      </w:pPr>
      <w:r>
        <w:t>977. Integrating field data into individual-based models of the migration of European eel larvae</w:t>
      </w:r>
    </w:p>
    <w:p>
      <w:pPr>
        <w:pStyle w:val="SourceNote"/>
      </w:pPr>
      <w:r>
        <w:rPr>
          <w:b/>
        </w:rPr>
        <w:t>Original source (2013):</w:t>
      </w:r>
      <w:r>
        <w:t xml:space="preserve"> https://doi.org/10.3354/meps10368</w:t>
      </w:r>
    </w:p>
    <w:p>
      <w:pPr/>
      <w:r>
        <w:t>Original wording (abstract; indexed_source_text_not_full_document_verified): We contrasted different model settings and identified the most plausible migration scenario by comparing simulation results against experimental data.</w:t>
      </w:r>
    </w:p>
    <w:p>
      <w:pPr/>
      <w:r>
        <w:rPr>
          <w:b/>
        </w:rPr>
        <w:t>POSSIBLE 2025:</w:t>
      </w:r>
      <w:r>
        <w:t xml:space="preserve"> Prediction models show differences in highly pathogenic avian influenza outbreaks in Japan and South Korea compared to Europe — https://doi.org/10.1038/s41598-025-91384-3</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Avian influenza poses substantial risks to animal welfare and public health. The recent surge in highly pathogenic avian influenza (HPAI) outbreaks has led to extensive poultry culling, highlighting the need for early warning systems. Using data on H5 HPAI virus (HPAIV) occurrence from the World Organization for Animal Health and the Food and Agriculture Organization, we employed a spatial time-series modelling framework to predict occurrences in Japan and South Korea, 2020-2024. This framework decomposes time-series data into endemic and epidemic components and has previously been used to model HPAIV in Europe. We identified 1,310 HPAIV detections from 2020 to 2024, the majority being H5N1 (55.3%) and H5N8 (35.0%). These data consisted of 827 and 483 detections in wild and domestic birds, respectively. The model included seasonality and covariates in both endemic and epidemic components and revealed consistent yearly seasonal patterns. This contrasts with previous modelling of European data where seasonality changed over time. The model predicted 81% of detections as epidemic, primarily due to within-region transmission (53%), whereas only 19% were endemic. This model effectively predicts weekly H5 HPAIV detections, aiding decision-makers in identifying high-risk periods. This study confirms the robustness and usefulness of endemic-epidemic modelling of HPAIV in different regi</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The opportunities and potential of camelina in marginal land in Europe — https://doi.org/10.1016/j.indcrop.2024.118224</w:t>
      </w:r>
    </w:p>
    <w:p>
      <w:pPr/>
      <w:r>
        <w:rPr>
          <w:b/>
        </w:rPr>
        <w:t>Shared claim-specific concepts:</w:t>
      </w:r>
      <w:r>
        <w:t xml:space="preserve"> different, identified, plausible, data;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different, identified, against;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Who bears the indirect costs of flood risk? An economy-wide assessment of different insurance systems in Europe under climate change — https://doi.org/10.1080/09535314.2023.2272211</w:t>
      </w:r>
    </w:p>
    <w:p>
      <w:pPr/>
      <w:r>
        <w:rPr>
          <w:b/>
        </w:rPr>
        <w:t>Shared claim-specific concepts:</w:t>
      </w:r>
      <w:r>
        <w:t xml:space="preserve"> different, against; EU scope visible. This is a provisional connection, not an outcome finding.</w:t>
      </w:r>
    </w:p>
    <w:p>
      <w:pPr>
        <w:pStyle w:val="SourceNote"/>
      </w:pPr>
      <w:r>
        <w:rPr>
          <w:b/>
        </w:rPr>
        <w:t>Available abstract (not full text):</w:t>
      </w:r>
      <w:r>
        <w:t xml:space="preserve"> Anticipated increase in future river flood risk highlights the need for effective flood insurance, as it enables hedging against this risk. However, its design varies significantly across countries. This study contributes to the debate on designing flood insurance mechanisms from an economy-wide perspective, considering both socioeconomic and climate changes. We apply a multi-regional computable general equilibrium (CGE) model for 2050 and find that, under current insurance market systems, flood risk causes regional GDP losses of up to −0.5%, societal welfare losses of up to −1%, and private and public consumption losses of up to −0.5% and −2.4%, respectively. These estimates are all relative to a scenario without flood risk. Our results indicate that flood risk intensifies pressure on public budgets. We find that insurance market reforms, including a higher degree of risk-sharing, mandatory purchase requirements, and public reinsurance, can alleviate adverse welfare effects and the burden on public budgets.</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2022:</w:t>
      </w:r>
      <w:r>
        <w:t xml:space="preserve"> Different Theoretical Perspectives to Secularization and the Impact of Migration on Future Religiosity of Europe — https://doi.org/10.53376/ap.2022.09</w:t>
      </w:r>
    </w:p>
    <w:p>
      <w:pPr/>
      <w:r>
        <w:rPr>
          <w:b/>
        </w:rPr>
        <w:t>Shared claim-specific concepts:</w:t>
      </w:r>
      <w:r>
        <w:t xml:space="preserve"> different, migration; EU scope visible. This is a provisional connection, not an outcome finding.</w:t>
      </w:r>
    </w:p>
    <w:p>
      <w:pPr>
        <w:pStyle w:val="SourceNote"/>
      </w:pPr>
      <w:r>
        <w:rPr>
          <w:b/>
        </w:rPr>
        <w:t>Available abstract (not full text):</w:t>
      </w:r>
      <w:r>
        <w:t xml:space="preserve"> Secularization versus religious revival debate has been shifted to another dimension with the mass migration targeting Europe because of the conflicts in the Middle East. The literature concerning secularism was expecting a linear trend in line with the modernization and Europe was considered to be the nexus of both. This study delineates the secularization debate for evaluating the recent trend of migration within this rather neglected scope. The main argument is that among the secularization theories, religious market model and existential security paradigm have a greater explanatory power for the future state-religion relations in Europe. They indicate that as a result of migration, contrary to the expectation of classical secularism theories, the overall religiosity might increase in Europe due to the pluralization of the religious realm as well as the fact that Muslim migrants who are more religious also have higher fertility rate than Europeans. In that sense, Europe, which seemed to settle the dispute concerning religious realm for years now might be faced with a new challenge due to the migration phenomenon.</w:t>
      </w:r>
    </w:p>
    <w:p>
      <w:pPr/>
      <w:r>
        <w:rPr>
          <w:b/>
        </w:rPr>
        <w:t>POSSIBLE 2022:</w:t>
      </w:r>
      <w:r>
        <w:t xml:space="preserve"> The effects of globalization on family firms' business model in Europe — https://doi.org/10.1108/ijebr-12-2021-0994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Purpose The debate over differences in the behaviors of firms facing globalization is ongoing. This study examines whether globalization impacts the behavior of family firms and if this influence differs between family and non-family firms. Design/methodology/approach Drawing on panel data from the Amadeus database on 62 family firms and 98 non-family firms in Europe, the authors employ panel vector autoregression estimation and the Wald test of Granger causality to verify our conjecture. Additional impulse response functions and the forecast error variance decomposition technique were applied to illustrate complementary shock dynamics. Additionally, the KOF globalization index is used as a proxy for globalization. Findings The results show that globalization visibly impacts family and non-family firms, but the polarity and extent of the effect are different. The authors demonstrate that family firms are in a more favorable position regarding globalization and are less vulnerable to the adverse effects of the globalization process. In contrast, non-family firms fare worse, generating adverse effects. Non-family firms take a more open stance toward globalization than family firms' more conservative behaviors. Research limitations/implications Of course, there are some limitations to the work presented in this paper. On the one hand, the authors’ data span only ten years due to d</w:t>
      </w:r>
    </w:p>
    <w:p>
      <w:pPr/>
      <w:r>
        <w:rPr>
          <w:b/>
        </w:rPr>
        <w:t>POSSIBLE 2022:</w:t>
      </w:r>
      <w:r>
        <w:t xml:space="preserve"> Revisiting party system structuration in Latin America and Europe: Economic and socio-cultural dimensions — https://doi.org/10.1177/13540688221090604</w:t>
      </w:r>
    </w:p>
    <w:p>
      <w:pPr/>
      <w:r>
        <w:rPr>
          <w:b/>
        </w:rPr>
        <w:t>Shared claim-specific concepts:</w:t>
      </w:r>
      <w:r>
        <w:t xml:space="preserve"> different, comparing, data; EU scope visible. This is a provisional connection, not an outcome finding.</w:t>
      </w:r>
    </w:p>
    <w:p>
      <w:pPr>
        <w:pStyle w:val="SourceNote"/>
      </w:pPr>
      <w:r>
        <w:rPr>
          <w:b/>
        </w:rPr>
        <w:t>Available abstract (not full text):</w:t>
      </w:r>
      <w:r>
        <w:t xml:space="preserve"> The degree to which party systems are ideologically and programmatically structured is central to democracy. This article analyzes differences in the extent and nature of programmatic structuration in Latin America and Europe, using a new original data source, the Chapel Hill Expert Survey-Latin America (CHES-LA), in combination with the long-standing CHES-Europe. First, we demonstrate the reliability of CHES-LA in relation to CHES-Europe, and substantiate its validity by comparing it to other expert, elite and party manifesto surveys in Latin America. Using confirmatory factor analysis, we then show that while party system structuration in Latin America is somewhat lower than in Europe, it is also of a decisively different nature. In Latin America economic and socio-cultural policy positions are largely captured in a single overlapping dimension; in Europe, by contrast, competition occurs overwhelmingly along two dimensions, each with distinct clusters of policy positions.</w:t>
      </w:r>
    </w:p>
    <w:p>
      <w:pPr/>
      <w:r>
        <w:rPr>
          <w:b/>
        </w:rPr>
        <w:t>POSSIBLE 2022:</w:t>
      </w:r>
      <w:r>
        <w:t xml:space="preserve"> Cohort-specific disability trajectories among older women and men in Europe 2004–2017 — https://doi.org/10.1007/s10433-022-00684-4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As the population of Europe grows older, one crucial issue is how the incidence and prevalence of disabilities are developing over time in the older population. In this study, we compare cohort-specific disability trajectories in old age across subsequent birth cohorts in Europe, during the period 2004-2017.We used data from seven waves of data from the Survey of Health, Ageing and Retirement in Europe (SHARE). Mixed effects logistic regression models were used to model trajectories of accumulation of ADL limitations for subsequent birth cohorts of older women and men in different European regions. The results showed that there were sex differences in ADL and IADL limitations in all regions for most cohorts. Women reported more limitations than men, particularly in Eastern and Southern rather than Northern and Western Europe. Among men in Eastern, Northern and Western Europe, later born cohorts reported more disabilities than did earlier born birth cohorts at the same ages. Similar patterns were observed for women in Northern and Western Europe. In contrast, the risk of disabilities was lower in later born cohorts than in earlier born birth cohorts among women in Eastern Europe. Overall, results from this study suggest that disability trajectories in different cohorts of men and women were by and large similar across Europe. The trajectories varied more depending on sex, age an</w:t>
      </w:r>
    </w:p>
    <w:p>
      <w:pPr/>
      <w:r>
        <w:rPr>
          <w:b/>
        </w:rPr>
        <w:t>POSSIBLE 2021:</w:t>
      </w:r>
      <w:r>
        <w:t xml:space="preserve"> Impact of the model representation of PBL and convection on the PM concentrations over Europe — https://doi.org/10.5194/egusphere-egu21-2417</w:t>
      </w:r>
    </w:p>
    <w:p>
      <w:pPr/>
      <w:r>
        <w:rPr>
          <w:b/>
        </w:rPr>
        <w:t>Shared claim-specific concepts:</w:t>
      </w:r>
      <w:r>
        <w:t xml:space="preserve"> contrasted, different, data; EU scope visible. This is a provisional connection, not an outcome finding.</w:t>
      </w:r>
    </w:p>
    <w:p>
      <w:pPr>
        <w:pStyle w:val="SourceNote"/>
      </w:pPr>
      <w:r>
        <w:rPr>
          <w:b/>
        </w:rPr>
        <w:t>Available abstract (not full text):</w:t>
      </w:r>
      <w:r>
        <w:t xml:space="preserve">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pPr>
        <w:pStyle w:val="Heading2"/>
      </w:pPr>
      <w:r>
        <w:t>978. MARKET DRIVEN POWER PLANT INVESTMENT PERSPECTIVES IN EUROPE: CLIMATE POLICY AND TECHNOLOGY SCENARIOS UNTIL 2050 IN THE MODEL EMELIE-ESY</w:t>
      </w:r>
    </w:p>
    <w:p>
      <w:pPr>
        <w:pStyle w:val="SourceNote"/>
      </w:pPr>
      <w:r>
        <w:rPr>
          <w:b/>
        </w:rPr>
        <w:t>Original source (2013):</w:t>
      </w:r>
      <w:r>
        <w:t xml:space="preserve"> https://doi.org/10.1142/s2010007813400071</w:t>
      </w:r>
    </w:p>
    <w:p>
      <w:pPr/>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POSSIBLE 2026:</w:t>
      </w:r>
      <w:r>
        <w:t xml:space="preserve"> Navigating Digital Safety for Minors in Europe — https://doi.org/10.36862/70s3-ac9r</w:t>
      </w:r>
    </w:p>
    <w:p>
      <w:pPr/>
      <w:r>
        <w:rPr>
          <w:b/>
        </w:rPr>
        <w:t>Shared claim-specific concepts:</w:t>
      </w:r>
      <w:r>
        <w:t xml:space="preserve"> current, use; EU scope visible. This is a provisional connection, not an outcome finding.</w:t>
      </w:r>
    </w:p>
    <w:p>
      <w:pPr>
        <w:pStyle w:val="SourceNote"/>
      </w:pPr>
      <w:r>
        <w:rPr>
          <w:b/>
        </w:rPr>
        <w:t>Available abstract (not full text):</w:t>
      </w:r>
      <w:r>
        <w:t xml:space="preserve">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pPr/>
      <w:r>
        <w:rPr>
          <w:b/>
        </w:rPr>
        <w:t>POSSIBLE 2026:</w:t>
      </w:r>
      <w:r>
        <w:t xml:space="preserve"> 6G and NTN Power Consumption Modeling — https://doi.org/10.1201/9781003674801-13</w:t>
      </w:r>
    </w:p>
    <w:p>
      <w:pPr/>
      <w:r>
        <w:rPr>
          <w:b/>
        </w:rPr>
        <w:t>Shared claim-specific concepts:</w:t>
      </w:r>
      <w:r>
        <w:t xml:space="preserve"> projects, increase, power, consumption, current, use; EU scope visible. This is a provisional connection, not an outcome finding.</w:t>
      </w:r>
    </w:p>
    <w:p>
      <w:pPr>
        <w:pStyle w:val="SourceNote"/>
      </w:pPr>
      <w:r>
        <w:rPr>
          <w:b/>
        </w:rPr>
        <w:t>Available abstract (not full text):</w:t>
      </w:r>
      <w:r>
        <w:t xml:space="preserve"> The transition from 5G to 6G shifts network design beyond low latency and high data rates toward extreme device density, pervasive AI, terabit-per-second throughput, and the integration of terrestrial and non-terrestrial platforms. However, dense RAN deployments, AI-driven processing, satellites, high-altitude platforms, and unmanned aerial vehicles significantly increase energy consumption. Thus, energy efficiency and sustainability are central to 6G viability. Global research aligns with frameworks such as the Paris Agreement, UN SDGs, and the European Green Deal, targeting greener networks by 2030. European projects examine performance–energy trade-offs, while accurate power modeling remains essential, as current models rely on simplified assumptions that limit real-world applicability. Within this context, this chapter aims to offer a comprehensive overview and derivation of power consumption modeling for 6G networks. It discusses power consumption modeling across various segments of 6G networks while pointing out crucial technical and methodological challenges. Analytical frameworks are proposed, including mathematical formulations and empirical results that incorporate the critical AI/ML processing required in 6G technology and focus on non-terrestrial networks as one of the promising use cases for upcoming ecosystems.</w:t>
      </w:r>
    </w:p>
    <w:p>
      <w:pPr/>
      <w:r>
        <w:rPr>
          <w:b/>
        </w:rPr>
        <w:t>POSSIBLE 2025:</w:t>
      </w:r>
      <w:r>
        <w:t xml:space="preserve"> Modelling of Soil Multifunctionality Across Europe — https://doi.org/10.1111/sum.70147</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The Projected Effects of Climate Change on the Potential Distribution of Planococcus minor Based on Ensemble Species Distribution Models — https://doi.org/10.3390/agronomy15051165</w:t>
      </w:r>
    </w:p>
    <w:p>
      <w:pPr/>
      <w:r>
        <w:rPr>
          <w:b/>
        </w:rPr>
        <w:t>Shared claim-specific concepts:</w:t>
      </w:r>
      <w:r>
        <w:t xml:space="preserve"> minor, climate, pathway; EU scope not established. This is a provisional connection, not an outcome finding.</w:t>
      </w:r>
    </w:p>
    <w:p>
      <w:pPr>
        <w:pStyle w:val="SourceNote"/>
      </w:pPr>
      <w:r>
        <w:rPr>
          <w:b/>
        </w:rPr>
        <w:t>Available abstract (not full text):</w:t>
      </w:r>
      <w:r>
        <w:t xml:space="preserve"> Planococcus minor is an invasive pest of significant economic importance that has attracted international attention. Predicting the potential geographic distribution of P. minor under climate change is crucial to developing effective prevention and control strategies for safeguarding agricultural productivity. In this study, we selected four species distribution models (GBM, GLM, MARS, MAXENT) and utilized the Biomod2 package to construct an ensemble model for predicting the suitable habitats of P. minor under the averaged climate conditions of 1970–2000 and 2041–2060 (2050s), including a low-emission pathway (SSP1-2.6) and a high-emission pathway (SSP5-8.5). Among the 19 bioclimatic variables considered, precipitation of the wettest quarter and temperature seasonality were identified as the most influential factors affecting the distribution of P. minor. Under the averaged climate conditions of 1970–2000, suitable habitats for P. minor are mainly distributed in tropical and subtropical regions worldwide. In China, highly suitable zones are concentrated in Yunnan, Guangxi, Guangdong, Hainan, and Taiwan. In the future, the global range of P. minor is projected to expand, with some highly suitable areas transitioning toward medium and low suitability. Under the high-emission pathway (SSP5-8.5) scenario, suitable habitats in China are anticipated to exhibit a pronounced trend of i</w:t>
      </w:r>
    </w:p>
    <w:p>
      <w:pPr/>
      <w:r>
        <w:rPr>
          <w:b/>
        </w:rPr>
        <w:t>POSSIBLE 2025:</w:t>
      </w:r>
      <w:r>
        <w:t xml:space="preserve"> Power consumption of emerging cybersecurity technologies on network devices — https://openalex.org/W7114938213</w:t>
      </w:r>
    </w:p>
    <w:p>
      <w:pPr/>
      <w:r>
        <w:rPr>
          <w:b/>
        </w:rPr>
        <w:t>Shared claim-specific concepts:</w:t>
      </w:r>
      <w:r>
        <w:t xml:space="preserve"> power, consumption, current; EU scope not established. This is a provisional connection, not an outcome finding.</w:t>
      </w:r>
    </w:p>
    <w:p>
      <w:pPr>
        <w:pStyle w:val="SourceNote"/>
      </w:pPr>
      <w:r>
        <w:rPr>
          <w:b/>
        </w:rPr>
        <w:t>Available abstract (not full text):</w:t>
      </w:r>
      <w:r>
        <w:t xml:space="preserve"> This thesis investigated the current matureness of IT systems in relation to flexibility support through application level controls with the aim of determining the future direction for emerging cybersecurity features. The research was driven by interest in investigating how flexibility principle could affect cybersecurity. This was accomplished through literature review of the current knowledge on IT systems and available controls and three power consumption experiments with each of them focusing on different solution. In literature review part it was found that flexibility is not commonly available and enabling support for it may require moving workloads from dedicated hardware to virtualized environment. Comparatively in experiment portion it was found that the throughput penalty of cybersecurity complexity at the highest can be 50 percent in active network devices. This indicated that for organizations with known throughput needs at least one model above the matching throughput should be selected if maximum cybersecurity feature set is to be used. Through literature review and experimentation, a grounded theory was established and assessed. Thesis concludes that current cybersecurity solutions do not support flexibility to the level flexibility principle needs to and as such there is clear need for adaptive cybersecurity solution that could automatically either downscale fea</w:t>
      </w:r>
    </w:p>
    <w:p>
      <w:pPr/>
      <w:r>
        <w:rPr>
          <w:b/>
        </w:rPr>
        <w:t>POSSIBLE 2024:</w:t>
      </w:r>
      <w:r>
        <w:t xml:space="preserve"> Stochastic Models of Electricity Consumption — https://doi.org/10.17150/2713-1734.2024.6(1).31-46</w:t>
      </w:r>
    </w:p>
    <w:p>
      <w:pPr/>
      <w:r>
        <w:rPr>
          <w:b/>
        </w:rPr>
        <w:t>Shared claim-specific concepts:</w:t>
      </w:r>
      <w:r>
        <w:t xml:space="preserve"> projects, power, consumption, electricity; EU scope visible. This is a provisional connection, not an outcome finding.</w:t>
      </w:r>
    </w:p>
    <w:p>
      <w:pPr>
        <w:pStyle w:val="SourceNote"/>
      </w:pPr>
      <w:r>
        <w:rPr>
          <w:b/>
        </w:rPr>
        <w:t>Available abstract (not full text):</w:t>
      </w:r>
      <w:r>
        <w:t xml:space="preserve"> The article considers a stochastic model of electricity consumption based on the convolution theory. It is assumed that the processes of switching on and off energy consumption on a city scale depend on a large number of independent random factors and have the form of a normal probability distribution. The functions of switching on and off the load are presented, graphs are plotted. The comparison of the intelligent power supply system with the existing power supply system in the Russian Federation is carried out. The reasons for the slow introduction of smart grids in the Russian Federation are revealed. At the moment, smart grids are not very popular in the Russian Federation, while in the countries of the European Union, the USA and China, projects related to the development, production of components and the widespread introduction of smart grids are actively receiving state financial support. Thus, the European Union allocates more than a billion dollars annually for projects in the field of electric power and smart grids. These funds are allocated according to the European Green Deal strategy. At the same time, the State Grid Corporation of China has introduced the concept of the "Global Energy Internet", which, in accordance with the government's expectation, will stimulate the smart grid market in the country. As in other countries of the world, the US electric power ind</w:t>
      </w:r>
    </w:p>
    <w:p>
      <w:pPr/>
      <w:r>
        <w:rPr>
          <w:b/>
        </w:rPr>
        <w:t>POSSIBLE 2024:</w:t>
      </w:r>
      <w:r>
        <w:t xml:space="preserve"> The Impact of a Skill-Driven Model on Scrum Teams in Software Projects: A Catalyst for Digital Transformation — https://doi.org/10.3390/systems12050149</w:t>
      </w:r>
    </w:p>
    <w:p>
      <w:pPr/>
      <w:r>
        <w:rPr>
          <w:b/>
        </w:rPr>
        <w:t>Shared claim-specific concepts:</w:t>
      </w:r>
      <w:r>
        <w:t xml:space="preserve"> projects, minor, levels; EU scope visible. This is a provisional connection, not an outcome finding.</w:t>
      </w:r>
    </w:p>
    <w:p>
      <w:pPr>
        <w:pStyle w:val="SourceNote"/>
      </w:pPr>
      <w:r>
        <w:rPr>
          <w:b/>
        </w:rPr>
        <w:t>Available abstract (not full text):</w:t>
      </w:r>
      <w:r>
        <w:t xml:space="preserve"> Human skills are a critical factor in the success or failure of a digital project. Limited studies have been conducted to identify the industry demand for skills of scrum roles (product owner, scrum master, web developer) and levels (entry, associate, mid-senior). The evaluation of skills over time benefits both decision-makers and associated team members, which leads to successful project completions. The aim of this research is to improve decision making concerning the level-specific skills of selected scrum roles for digital projects. The study identifies major and minor skills, patterns, and relationships between levels, and formulates the mathematical equations as the most important inputs to the skill-driven model’s implementation and evaluation. Both qualitative and quantitative research methods were used to analyse 900 surveyed job advertisements published on LinkedIn in Europe. Descriptive analysis was used to analyse quantitative data while the deductive approach was followed with thematic analysis. There are required skill sets for each level of roles, level-specific skills, industry-demanded skills, and formulas related to the initial and individual skill ratings that are investigated. A new mechanism for evaluation is introduced based on “the time spent with skills”. As a result, the proposed model is implemented by feeding research findings into the Mendix program</w:t>
      </w:r>
    </w:p>
    <w:p>
      <w:pPr/>
      <w:r>
        <w:rPr>
          <w:b/>
        </w:rPr>
        <w:t>POSSIBLE 2024:</w:t>
      </w:r>
      <w:r>
        <w:t xml:space="preserve"> Power Consumption and Reduction of High-Power Amplifier in 5G NR Downlink — https://doi.org/10.1109/access.2024.3388717</w:t>
      </w:r>
    </w:p>
    <w:p>
      <w:pPr/>
      <w:r>
        <w:rPr>
          <w:b/>
        </w:rPr>
        <w:t>Shared claim-specific concepts:</w:t>
      </w:r>
      <w:r>
        <w:t xml:space="preserve"> power, consumption, compared, levels; EU scope not established. This is a provisional connection, not an outcome finding.</w:t>
      </w:r>
    </w:p>
    <w:p>
      <w:pPr>
        <w:pStyle w:val="SourceNote"/>
      </w:pPr>
      <w:r>
        <w:rPr>
          <w:b/>
        </w:rPr>
        <w:t>Available abstract (not full text):</w:t>
      </w:r>
      <w:r>
        <w:t xml:space="preserve"> This article presents a method for estimating the power consumption of radio frequency (RF) power amplifiers (PAs) within the 5G new radio (NR) downlink (from the base station to user equipment), particularly in the absence of user data. We also outline an RF PA design strategy for low power consumption and high efficiency. When no user data signal is transmitted, in the 5G NR downlink, considerably fewer fixed-transmission signals, such as reference signals, are involved compared to 4G long-term evolution (LTE). This results in a reduced operating time for the PA and decreased power consumption. The PA power consumption was calculated by analyzing the signal and nonsignaling periods in a 5G NR downlink without user data. Furthermore, the power consumption is estimated based on measurements obtained from the continuous wave (CW) or the full-buffer signal input/output of a fabricated PA. The fabricated PA is a Doherty amplifier, whose impedance conversion circuit consists of a transmission line connected in parallel to twoT-shaped stubs. It can short-circuit the second to the fifth harmonics at the same connection point. The fabricated Doherty amplifier achieved a drain efficiency of 60.2% at a saturated output power of 48.6 dBm at 1852.5 MHz. At a 6 dB back-off from saturation, its drain efficiency was 51.9%. In addition, at a 39.6 dBm modulated signal output, the spurious leve</w:t>
      </w:r>
    </w:p>
    <w:p>
      <w:pPr/>
      <w:r>
        <w:rPr>
          <w:b/>
        </w:rPr>
        <w:t>POSSIBLE 2024:</w:t>
      </w:r>
      <w:r>
        <w:t xml:space="preserve"> European Ports Transition - A new Approached of a Load Model, Consumption Integration of Renewable Energy Sources and Energy Storage Systems Profiles — https://doi.org/10.1109/vppc63154.2024.10755404</w:t>
      </w:r>
    </w:p>
    <w:p>
      <w:pPr/>
      <w:r>
        <w:rPr>
          <w:b/>
        </w:rPr>
        <w:t>Shared claim-specific concepts:</w:t>
      </w:r>
      <w:r>
        <w:t xml:space="preserve"> projects, increase, power, consumption, use, order; EU scope visible. This is a provisional connection, not an outcome finding.</w:t>
      </w:r>
    </w:p>
    <w:p>
      <w:pPr>
        <w:pStyle w:val="SourceNote"/>
      </w:pPr>
      <w:r>
        <w:rPr>
          <w:b/>
        </w:rPr>
        <w:t>Available abstract (not full text):</w:t>
      </w:r>
      <w:r>
        <w:t xml:space="preserve"> Carbon neutralization is a European concern, which is why the maritime sector should implement strategies to reduce greenhouse gas (GHG) emissions, particularly in port areas. The Port of Sines, a very important maritime hub in Portugal, is in a stage of significant expansion including new terminal constructions and renewable energy projects, which amplify its energy demands. This paper presents a new approached of a load model, consumption Integration of renewable energy sources and energy storage systems for the Port of Sines, analysing a global hourly energy consumption in two months of 2023. Using a Software Package MATLAB, the details of the consumption profiles of all ships and terminals in order to identify periods of peak demand, the information on the integration of renewable energy sources and energy storage systems, will be studied and analysed. Due to the increase in maritime traffic and the use of potential Onshore Power Supply Systems (OPS) to reduce emissions, in this study a new energy requirements will be analysed. This new model will be as a step for optimizing the port’s electrical infrastructure, enhancing energy efficiency, and supporting sustainable growth. Finally, some conclusions that provide a valuable contribution to the understanding of the Portuguese Ports, aims to provide a critical study of the load model to be taken, into account when managing po</w:t>
      </w:r>
    </w:p>
    <w:p>
      <w:pPr/>
      <w:r>
        <w:rPr>
          <w:b/>
        </w:rPr>
        <w:t>POSSIBLE 2023:</w:t>
      </w:r>
      <w:r>
        <w:t xml:space="preserve"> Projected future European power sector water usage across power scenarios and corresponding trends in water availability — https://doi.org/10.1016/j.jenvman.2023.118208</w:t>
      </w:r>
    </w:p>
    <w:p>
      <w:pPr/>
      <w:r>
        <w:rPr>
          <w:b/>
        </w:rPr>
        <w:t>Shared claim-specific concepts:</w:t>
      </w:r>
      <w:r>
        <w:t xml:space="preserve"> power, consumption, current, climate, use; EU scope visible. This is a provisional connection, not an outcome finding.</w:t>
      </w:r>
    </w:p>
    <w:p>
      <w:pPr>
        <w:pStyle w:val="SourceNote"/>
      </w:pPr>
      <w:r>
        <w:rPr>
          <w:b/>
        </w:rPr>
        <w:t>Available abstract (not full text):</w:t>
      </w:r>
      <w:r>
        <w:t xml:space="preserve"> The current transition toward added renewables into the power mix is essential to mitigate climate change effects, but the energy transition has environmental impacts outside the scope of greenhouse gas emissions that also need attention. One such impact is the water-energy dependency nexus, where water dependencies are also seen for non-fossil technologies such as concentrated solar power (CSP), bioenergy and hydropower and mitigation technologies such as carbon capture and storage (CCS). In this light, the selection of power production technologies can potentially affect long-term water resource renewability and dry summer conditions, causing, e.g., power plant shutdowns. In this study, we employ an established and validated scheme of water consumption and withdrawal rates across energy conversion technologies at the European scale to project corresponding water usage rates towards 2050 for EU30 countries. We further use the entire range of global- and regional climate model ensembles for low-, medium- and high-emission scenarios to project trends and robustness estimates of freshwater resources and availability at the distributed level for corresponding countries and years towards 2100. The results show a high sensitivity of water usage rates to the implementation of energy technologies such as CSP and CCS, as well as the decommissioning rates of fossil technologies and some</w:t>
      </w:r>
    </w:p>
    <w:p>
      <w:pPr/>
      <w:r>
        <w:rPr>
          <w:b/>
        </w:rPr>
        <w:t>POSSIBLE 2023:</w:t>
      </w:r>
      <w:r>
        <w:t xml:space="preserve"> Modeling of a power consumption by bus in the real operating conditions — https://doi.org/10.1016/j.treng.2023.100216</w:t>
      </w:r>
    </w:p>
    <w:p>
      <w:pPr/>
      <w:r>
        <w:rPr>
          <w:b/>
        </w:rPr>
        <w:t>Shared claim-specific concepts:</w:t>
      </w:r>
      <w:r>
        <w:t xml:space="preserve"> power, consumption, order, determine; EU scope not established. This is a provisional connection, not an outcome finding.</w:t>
      </w:r>
    </w:p>
    <w:p>
      <w:pPr>
        <w:pStyle w:val="SourceNote"/>
      </w:pPr>
      <w:r>
        <w:rPr>
          <w:b/>
        </w:rPr>
        <w:t>Available abstract (not full text):</w:t>
      </w:r>
      <w:r>
        <w:t xml:space="preserve"> In spite of numerous researches concerning a power consumption by the vehicles, during everyday operation there are the significant deviations from the consumptions indicated by the factories-manufacturers. It is caused by a great number of different factors, the main part of which take the operating conditions. In order to determine the power consumption of a vehicle in real operating conditions, it is necessary to solve a difficult problem with many unknowns. While making the investigations, the authors have used a multi-criteria approach that takes into consideration the guided, unguided and conditionally guided factors that influence the vehicles power consumption. The in research work approach provides a modeling of a power consumption by the vehicles with a simultaneous changeability of factors in the determined limits. The researches were made on a base of Т70110 trolleybus. There was made an investigation of influence of every factor on a power consumption, in addition to that there were made 7000 simulations, on the base of which, using a law of large numbers, there were found the corresponding changeability ranges. During the researches there were made 122 simulations of a power consumption, as a result of which there was determined an area of values of a power consumption. The obtained theoretical results are very well correlated with the experimental data, and a dev</w:t>
      </w:r>
    </w:p>
    <w:p>
      <w:pPr/>
      <w:r>
        <w:rPr>
          <w:b/>
        </w:rPr>
        <w:t>POSSIBLE 2023:</w:t>
      </w:r>
      <w:r>
        <w:t xml:space="preserve"> Institutional theory and circular economy business models: The case of the European Union and the role of consumption policies — https://doi.org/10.1016/j.jenvman.2023.117906</w:t>
      </w:r>
    </w:p>
    <w:p>
      <w:pPr/>
      <w:r>
        <w:rPr>
          <w:b/>
        </w:rPr>
        <w:t>Shared claim-specific concepts:</w:t>
      </w:r>
      <w:r>
        <w:t xml:space="preserve"> consumption, focus; EU scope visible. This is a provisional connection, not an outcome finding.</w:t>
      </w:r>
    </w:p>
    <w:p>
      <w:pPr>
        <w:pStyle w:val="SourceNote"/>
      </w:pPr>
      <w:r>
        <w:rPr>
          <w:b/>
        </w:rPr>
        <w:t>Available abstract (not full text):</w:t>
      </w:r>
      <w:r>
        <w:t xml:space="preserve"> The circular economy (CE) has been gaining traction in recent years as it promises a change for good, in terms of environmental, social, and economic benefits. The major changes required to implement circular economy business models (CEBMs), can prove to be especially difficult for organisations. This study provides a holistic analysis of the effect of CE institutional policies on the development of CEBMs in organisations, by exploring not only production-oriented policies, which have been the focus of previous research, but also consumption policies. Consumption policies, in the form of regulatory and information policies, are oriented towards consumers and have the potential to affect the demand for CE products, which in turn affects the development of CEBMs in organisations. The paper is framed within the institutional theory and the context of the European Union. Our results reveal that consumption policies have a positive, albeit diminishing, effect on the CEBMs. Our paper finds that regulation is the most impactful policy, having a larger impact than production policies. Our results highlight the important role of institutional policies in fostering consumers' demand for CE products and of consumption policies as tools to be employed by governments in fostering CEBMs and achieving sustainability.</w:t>
      </w:r>
    </w:p>
    <w:p>
      <w:pPr>
        <w:pStyle w:val="Heading2"/>
      </w:pPr>
      <w:r>
        <w:t>979. Potential stocks and increments of woody biomass in the European Union under different management and climate scenarios</w:t>
      </w:r>
    </w:p>
    <w:p>
      <w:pPr>
        <w:pStyle w:val="SourceNote"/>
      </w:pPr>
      <w:r>
        <w:rPr>
          <w:b/>
        </w:rPr>
        <w:t>Original source (2013):</w:t>
      </w:r>
      <w:r>
        <w:t xml:space="preserve"> https://doi.org/10.1186/1750-0680-8-2</w:t>
      </w:r>
    </w:p>
    <w:p>
      <w:pPr/>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POSSIBLE 2026:</w:t>
      </w:r>
      <w:r>
        <w:t xml:space="preserve"> Accelerating biomass loss from forest disturbances across Europe — https://doi.org/10.1038/s41561-026-02032-y</w:t>
      </w:r>
    </w:p>
    <w:p>
      <w:pPr/>
      <w:r>
        <w:rPr>
          <w:b/>
        </w:rPr>
        <w:t>Shared claim-specific concepts:</w:t>
      </w:r>
      <w:r>
        <w:t xml:space="preserve"> biomass, harvests, climate, high, forests; EU scope visible. This is a provisional connection, not an outcome finding.</w:t>
      </w:r>
    </w:p>
    <w:p>
      <w:pPr>
        <w:pStyle w:val="SourceNote"/>
      </w:pPr>
      <w:r>
        <w:rPr>
          <w:b/>
        </w:rPr>
        <w:t>Available abstract (not full text):</w:t>
      </w:r>
      <w:r>
        <w:t xml:space="preserve">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pPr/>
      <w:r>
        <w:rPr>
          <w:b/>
        </w:rPr>
        <w:t>POSSIBLE 2026:</w:t>
      </w:r>
      <w:r>
        <w:t xml:space="preserve"> Aboveground Tree Carbon Stock and Biomass Potential of Mixed Plantation Forests in Luot Mountain, Vietnam — https://doi.org/10.21203/rs.3.rs-8823691/v1</w:t>
      </w:r>
    </w:p>
    <w:p>
      <w:pPr/>
      <w:r>
        <w:rPr>
          <w:b/>
        </w:rPr>
        <w:t>Shared claim-specific concepts:</w:t>
      </w:r>
      <w:r>
        <w:t xml:space="preserve"> biomass, stock, forests;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Missing biomass stock: a systematic investigation of understory bryophytes across 413 subtropical forests — https://doi.org/10.1007/s44246-025-00224-6</w:t>
      </w:r>
    </w:p>
    <w:p>
      <w:pPr/>
      <w:r>
        <w:rPr>
          <w:b/>
        </w:rPr>
        <w:t>Shared claim-specific concepts:</w:t>
      </w:r>
      <w:r>
        <w:t xml:space="preserve"> investigated, biomass, stock, forests, other; EU scope not established. This is a provisional connection, not an outcome finding.</w:t>
      </w:r>
    </w:p>
    <w:p>
      <w:pPr>
        <w:pStyle w:val="SourceNote"/>
      </w:pPr>
      <w:r>
        <w:rPr>
          <w:b/>
        </w:rPr>
        <w:t>Available abstract (not full text):</w:t>
      </w:r>
      <w:r>
        <w:t xml:space="preserve">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pPr/>
      <w:r>
        <w:rPr>
          <w:b/>
        </w:rPr>
        <w:t>POSSIBLE 2025:</w:t>
      </w:r>
      <w:r>
        <w:t xml:space="preserve"> Tree Biomass and Carbon Stock Variations between Riparian and Terrestrial Forests in Central Himalaya — https://doi.org/10.12944/cwe.20.2.23</w:t>
      </w:r>
    </w:p>
    <w:p>
      <w:pPr/>
      <w:r>
        <w:rPr>
          <w:b/>
        </w:rPr>
        <w:t>Shared claim-specific concepts:</w:t>
      </w:r>
      <w:r>
        <w:t xml:space="preserve"> biomass, stock, climate, forests; EU scope not established. This is a provisional connection, not an outcome finding.</w:t>
      </w:r>
    </w:p>
    <w:p>
      <w:pPr>
        <w:pStyle w:val="SourceNote"/>
      </w:pPr>
      <w:r>
        <w:rPr>
          <w:b/>
        </w:rPr>
        <w:t>Available abstract (not full text):</w:t>
      </w:r>
      <w:r>
        <w:t xml:space="preserve"> Riparian and terrestrial forests are vital components of tropical ecosystems, playing a key role in carbon sequestration and biodiversity conservation. This study assessed and compared tree biomass and carbon stock between riparian and adjacent terrestrial forests along the Sharda River in the Central Himalaya to understand structural and functional differences. Field surveys were conducted during 2023–2024 across three sites in each forest type using ten randomly placed 10 × 10 m quadrats per site. Vegetation parameters—frequency, abundance, density, and Importance Value Index (IVI)—were calculated utilizing standard ecological approaches. Tree basal area was derived from circumference at breast height (CBH), and biomass was estimated non-destructively for trees with CBH &gt; 30 cm using species-specific and generalized allometric equations. Results showed higher tree density (350 ± 34.64 ind/ha), basal area (13.99 ± 0.51 m²/ha), species diversity (2.47 ± 0.11), biomass (95.81 ± 65.58 Mg/ha), and carbon stock (45.51 ± 3.13 Mg C/ha) in terrestrial forests compared to riparian forests. Riparian forests had 286.66 ± 50.33 ind/ha density, 6.31 ± 2.71 m²/ha basal area, 2.14 ± 0.06 diversity, 53.5 ± 25.14 Mg/ha biomass, and 23.79 ± 13.05 Mg C/ha carbon stock. These variations reflect differences in species composition and disturbance regimes. The findings offer valuable insights into t</w:t>
      </w:r>
    </w:p>
    <w:p>
      <w:pPr/>
      <w:r>
        <w:rPr>
          <w:b/>
        </w:rPr>
        <w:t>POSSIBLE 2025:</w:t>
      </w:r>
      <w:r>
        <w:t xml:space="preserve"> Green Hydrogen from Biomass in Kenya: Geospatial Feed-stock Mapping and Decentralized Energy Integration — https://doi.org/10.31223/x57m8t</w:t>
      </w:r>
    </w:p>
    <w:p>
      <w:pPr/>
      <w:r>
        <w:rPr>
          <w:b/>
        </w:rPr>
        <w:t>Shared claim-specific concepts:</w:t>
      </w:r>
      <w:r>
        <w:t xml:space="preserve"> biomass, stock, high, forests; EU scope not established. This is a provisional connection, not an outcome finding.</w:t>
      </w:r>
    </w:p>
    <w:p>
      <w:pPr>
        <w:pStyle w:val="SourceNote"/>
      </w:pPr>
      <w:r>
        <w:rPr>
          <w:b/>
        </w:rPr>
        <w:t>Available abstract (not full text):</w:t>
      </w:r>
      <w:r>
        <w:t xml:space="preserve"> As countries race to decarbonize, green hydrogen has emerged as a crucial clean energy transformation vehicle. In Sub-Saharan Africa, sufficient biomass resource potential exists to become an actual feedstock for decentralised hydrogen production, but under-explored are the spatial mismatches between resource occurrences and infrastructure systems. The paper conducts a geospatial assessment of forestry biomass, crop residues, and livestock waste for green hydrogen production as feed stocks in Kenya's 47 counties. From high-resolution land cover and productivity maps, we developed feed stock distribution maps, estimated hydrogen yield potentials from thermochemical conversion models, and contrasted regional conversion efficiencies by Sankey flow analysis. Our findings indicate that although shrublands cover the majority of Kenya (~283,000 km²), forests and agricultural land are of higher quality feed-stocks with up to 400,000 tonnes/year hydrogen potentials at technical maximum scenarios. Gasification was the best conversion pathway, with high efficiency (up to 70%) and confluence with Kenya's decentralized energy needs. Scenario modeling highlighted drastic logistical constraints: in the rosy 20% utilization case, ~70,000 tonnes of hydrogen would be economically produced by 2035. Environmental co-benefits of 0.9 MtCO₂e per annum in net emission reductions and biochar-enhanced s</w:t>
      </w:r>
    </w:p>
    <w:p>
      <w:pPr/>
      <w:r>
        <w:rPr>
          <w:b/>
        </w:rPr>
        <w:t>POSSIBLE 2024:</w:t>
      </w:r>
      <w:r>
        <w:t xml:space="preserve"> The Role of Wood Density Variation and Biomass Allocation in Accurate Forest Carbon Stock Estimation of European Beech (Fagus sylvatica L.) Mountain Forests — https://doi.org/10.3390/f15030404</w:t>
      </w:r>
    </w:p>
    <w:p>
      <w:pPr/>
      <w:r>
        <w:rPr>
          <w:b/>
        </w:rPr>
        <w:t>Shared claim-specific concepts:</w:t>
      </w:r>
      <w:r>
        <w:t xml:space="preserve"> biomass, stock, different, one, forests, wood; EU scope visible. This is a provisional connection, not an outcome finding.</w:t>
      </w:r>
    </w:p>
    <w:p>
      <w:pPr>
        <w:pStyle w:val="SourceNote"/>
      </w:pPr>
      <w:r>
        <w:rPr>
          <w:b/>
        </w:rPr>
        <w:t>Available abstract (not full text):</w:t>
      </w:r>
      <w:r>
        <w:t xml:space="preserve">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pPr/>
      <w:r>
        <w:rPr>
          <w:b/>
        </w:rPr>
        <w:t>POSSIBLE 2024:</w:t>
      </w:r>
      <w:r>
        <w:t xml:space="preserve"> Factors influencing tree biomass and carbon stock in the Western Himalayas, India — https://doi.org/10.3389/ffgc.2023.1328694</w:t>
      </w:r>
    </w:p>
    <w:p>
      <w:pPr/>
      <w:r>
        <w:rPr>
          <w:b/>
        </w:rPr>
        <w:t>Shared claim-specific concepts:</w:t>
      </w:r>
      <w:r>
        <w:t xml:space="preserve"> biomass, stock, different, climate, forests; EU scope not established. This is a provisional connection, not an outcome finding.</w:t>
      </w:r>
    </w:p>
    <w:p>
      <w:pPr>
        <w:pStyle w:val="SourceNote"/>
      </w:pPr>
      <w:r>
        <w:rPr>
          <w:b/>
        </w:rPr>
        <w:t>Available abstract (not full text):</w:t>
      </w:r>
      <w:r>
        <w:t xml:space="preserve">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pPr/>
      <w:r>
        <w:rPr>
          <w:b/>
        </w:rPr>
        <w:t>POSSIBLE 2024:</w:t>
      </w:r>
      <w:r>
        <w:t xml:space="preserve"> Effect of forest stand thinning on tree biomass carbon stock — https://doi.org/10.22616/erdev.2024.23.tf009</w:t>
      </w:r>
    </w:p>
    <w:p>
      <w:pPr/>
      <w:r>
        <w:rPr>
          <w:b/>
        </w:rPr>
        <w:t>Shared claim-specific concepts:</w:t>
      </w:r>
      <w:r>
        <w:t xml:space="preserve"> biomass, stock, climate, management, store, increase; EU scope visible. This is a provisional connection, not an outcome finding.</w:t>
      </w:r>
    </w:p>
    <w:p>
      <w:pPr>
        <w:pStyle w:val="SourceNote"/>
      </w:pPr>
      <w:r>
        <w:rPr>
          <w:b/>
        </w:rPr>
        <w:t>Available abstract (not full text):</w:t>
      </w:r>
      <w:r>
        <w:t xml:space="preserve">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pPr/>
      <w:r>
        <w:rPr>
          <w:b/>
        </w:rPr>
        <w:t>POSSIBLE 2024:</w:t>
      </w:r>
      <w:r>
        <w:t xml:space="preserve"> Variation of biomass carbon stock within agroforestry systems in the Senegalese groundnut basin — https://doi.org/10.1007/s43621-024-00208-3</w:t>
      </w:r>
    </w:p>
    <w:p>
      <w:pPr/>
      <w:r>
        <w:rPr>
          <w:b/>
        </w:rPr>
        <w:t>Shared claim-specific concepts:</w:t>
      </w:r>
      <w:r>
        <w:t xml:space="preserve"> investigated, biomass, stock, climate, two, management; EU scope not established. This is a provisional connection, not an outcome finding.</w:t>
      </w:r>
    </w:p>
    <w:p>
      <w:pPr>
        <w:pStyle w:val="SourceNote"/>
      </w:pPr>
      <w:r>
        <w:rPr>
          <w:b/>
        </w:rPr>
        <w:t>Available abstract (not full text):</w:t>
      </w:r>
      <w:r>
        <w:t xml:space="preserve"> Abstract Agroforestry plays a pivotal role in mitigating greenhouse gas (GHG) emissions and addressing the challenges posed by climate change. While carbon sequestration efforts have primarily centred on forests, it is imperative to acknowledge the contribution that non-forest ecosystems, such as agroforestry, can offer. This study investigated the influence of agroforestry systems on the variation of biomass carbon stocks in the Sahelo-Sudanian and Sudanian regions of the Senegalese Groundnut basin. Three primary agroforestry systems were studied: silvopastoral, agrisilvicultural, and agrosilvopastoral. Forty-six (46) 100 m × 100 m plots were sampled, within which 1 × 1 m2 subplots were used to sample understory biomass across three agroforestry systems in the two climatic zones. Analysis of variance was performed to assess the influence of agroforestry systems and climatic zones on biomass carbon stocks. The findings showed that in the Sahelo-Sudanian region, the agrisilvicultural system exhibited the highest AGC + BGC stocks, averaging 43.42 ± 21.61 tCha−1. In contrast, the silvopastoral system showed significantly higher AGC + BGC stocks, which amounted to 36.33 ± 12.27 tCha−1 in the Sudanian region. On the other hand, understory carbon stocks were significantly higher (p &lt; 0.01) in the agrisilvicultural and agrosilvopastoral systems than in the silvopastoral system in both</w:t>
      </w:r>
    </w:p>
    <w:p>
      <w:pPr/>
      <w:r>
        <w:rPr>
          <w:b/>
        </w:rPr>
        <w:t>POSSIBLE 2024:</w:t>
      </w:r>
      <w:r>
        <w:t xml:space="preserve"> Carbon Stock Estimation of Poplar Plantations Based on Additive Biomass Models — https://doi.org/10.3390/f15101829</w:t>
      </w:r>
    </w:p>
    <w:p>
      <w:pPr/>
      <w:r>
        <w:rPr>
          <w:b/>
        </w:rPr>
        <w:t>Shared claim-specific concepts:</w:t>
      </w:r>
      <w:r>
        <w:t xml:space="preserve"> biomass, stock, climate, two, management, high; EU scope not established. This is a provisional connection, not an outcome finding.</w:t>
      </w:r>
    </w:p>
    <w:p>
      <w:pPr>
        <w:pStyle w:val="SourceNote"/>
      </w:pPr>
      <w:r>
        <w:rPr>
          <w:b/>
        </w:rPr>
        <w:t>Available abstract (not full text):</w:t>
      </w:r>
      <w:r>
        <w:t xml:space="preserve"> Accurate estimation of biomass and carbon stocks in forest ecosystems is critical for understanding their roles in carbon sequestration and climate change mitigation. Currently, the development of stand biomass models and carbon stock estimation at the regional scale has emerged as a prominent research priority. In this study, 225 Populus spp. (poplar) trees in Shandong Province, China, were destructively sampled to obtain the biomass of their components. Two models (MS1 and MS2) were developed using allometric equations and the seemingly unrelated regression (SUR) method to ensure additive properties across tree components. The model evaluation employed the leave-one-out jackknife (LOO) method, considering statistics such as adjusted R-squared (Ra2), root mean square error (RMSE), mean absolute percent error (MAPE), and mean absolute error (MAE). The results from our models demonstrated high accuracy, with MS2 slightly outperforming MS1 after incorporating tree height as an independent variable. The models reliably estimated component-specific biomass and carbon stocks, with distinct variations observed in the carbon content among foliage (47.14 ± 2.07%), branches (47.26 ± 2.48%), stems (47.67 ± 2.21%), and roots (46.37 ± 2.78%). Carbon stocks in poplar plantations increased with the diameter class, ranging from 5 to 35 cm and correspondingly from 3.670 to 172.491 Mg C ha−1. A</w:t>
      </w:r>
    </w:p>
    <w:p>
      <w:pPr/>
      <w:r>
        <w:rPr>
          <w:b/>
        </w:rPr>
        <w:t>POSSIBLE 2024:</w:t>
      </w:r>
      <w:r>
        <w:t xml:space="preserve"> Fishery stock dynamics in the Baltic Sea: The dichotomy between total allowable catch limits and spawning stock biomass — https://doi.org/10.2478/aopf-2024-0013</w:t>
      </w:r>
    </w:p>
    <w:p>
      <w:pPr/>
      <w:r>
        <w:rPr>
          <w:b/>
        </w:rPr>
        <w:t>Shared claim-specific concepts:</w:t>
      </w:r>
      <w:r>
        <w:t xml:space="preserve"> biomass, stock, management, one, other; EU scope not established. This is a provisional connection, not an outcome finding.</w:t>
      </w:r>
    </w:p>
    <w:p>
      <w:pPr>
        <w:pStyle w:val="SourceNote"/>
      </w:pPr>
      <w:r>
        <w:rPr>
          <w:b/>
        </w:rPr>
        <w:t>Available abstract (not full text):</w:t>
      </w:r>
      <w:r>
        <w:t xml:space="preserve"> Abstract When managing heavily exploited fisheries, the primary objective is ensuring the long-term sustainability of stocks. Policy makers employ various measures to achieve this, with one important approach being the establishment of total allowable catch (TAC) limits for commercial fish stocks. These limits are set to maintain a target level that can sustain or rebuild the spawning stock biomass (SSB), which is an indicator of a stock’s reproductive capacity. Ideally, a strong correlation between TAC quotas and SSB exists, indicating that reductions in TAC are positively impacting SSB. However, in practice, the influence of TAC quotas on fish populations is diminished by other factors affecting reproductive capabilities. This study conducted on the eight most commercially valuable stocks in the Baltic Sea examined this relationship using statistical analysis. The findings revealed that five stocks exhibited a strong-to-moderate positive association between variables, while data for the remaining three stocks were insufficient. The results indicated that stocks with a strong correlation between TAC limits and SSB can be managed more effectively, offering greater potential for sustainability. In contrast, those without this correlation need a more holistic approach that incorporates external ecological factors, as management alone may not suffice to prevent declines. Future st</w:t>
      </w:r>
    </w:p>
    <w:p>
      <w:pPr/>
      <w:r>
        <w:rPr>
          <w:b/>
        </w:rPr>
        <w:t>POSSIBLE 2024:</w:t>
      </w:r>
      <w:r>
        <w:t xml:space="preserve"> Investigations into Biomass Utilization: A Renewable Alternative Fuel for Sustainable Energy — https://doi.org/10.52783/pmj.v35.i1.2044</w:t>
      </w:r>
    </w:p>
    <w:p>
      <w:pPr/>
      <w:r>
        <w:rPr>
          <w:b/>
        </w:rPr>
        <w:t>Shared claim-specific concepts:</w:t>
      </w:r>
      <w:r>
        <w:t xml:space="preserve"> biomass, management, one; EU scope not established. This is a provisional connection, not an outcome finding.</w:t>
      </w:r>
    </w:p>
    <w:p>
      <w:pPr>
        <w:pStyle w:val="SourceNote"/>
      </w:pPr>
      <w:r>
        <w:rPr>
          <w:b/>
        </w:rPr>
        <w:t>Available abstract (not full text):</w:t>
      </w:r>
      <w:r>
        <w:t xml:space="preserve"> Indian municipal solid waste production exceeds 55 million tonnes per year, with a five percent yearly growth. Municipal solid waste has several environmental benefits, making it a promising feedstock for large-scale energy production. For energy utilisation, consider pelletising municipal solid waste with or without a binder. The volume of municipal solid trash created causes deposition, degradation, and maintenance concerns. India is increasing rapidly in population and urbanisation. This has consistently increased municipal solid trash production. The Planning Commission of India reports that 51% of Indian municipal solid trash is organic. Yard debris and food waste from restaurants, hotels and retail stores make up most of it. Since one-third of food is wasted, it's a major concern. One billion and three hundred thousand tonnes of food waste are produced worldwide. Municipal trash is dumped at open dumps in India. Open dumping is the least recommended method of solid waste management because it emits greenhouse gases and produces foul odours, flies, and rats, which spread disease and cause complaints in nearby residential areas. The spilt leachate may also affect nearby ground and surface waterways. Open dumps also need land, which is scarce in densely populated India. This is a major issue in India because landfills are open dumping sites without engineering solutions. Com</w:t>
      </w:r>
    </w:p>
    <w:p>
      <w:pPr>
        <w:pStyle w:val="Heading2"/>
      </w:pPr>
      <w:r>
        <w:t>980. Scenarios for selected maritime economic functions</w:t>
      </w:r>
    </w:p>
    <w:p>
      <w:pPr>
        <w:pStyle w:val="SourceNote"/>
      </w:pPr>
      <w:r>
        <w:rPr>
          <w:b/>
        </w:rPr>
        <w:t>Original source (2013):</w:t>
      </w:r>
      <w:r>
        <w:t xml:space="preserve"> https://doi.org/10.1007/s40309-013-0011-8</w:t>
      </w:r>
    </w:p>
    <w:p>
      <w:pPr/>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use, project, yet;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BLUE DB: A Local-Level Election Database for 31 European Countries (2001–2025) — https://doi.org/10.31235/osf.io/qp836_v1</w:t>
      </w:r>
    </w:p>
    <w:p>
      <w:pPr/>
      <w:r>
        <w:rPr>
          <w:b/>
        </w:rPr>
        <w:t>Shared claim-specific concepts:</w:t>
      </w:r>
      <w:r>
        <w:t xml:space="preserve"> use, blue, yet; EU scope visible. This is a provisional connection, not an outcome finding.</w:t>
      </w:r>
    </w:p>
    <w:p>
      <w:pPr>
        <w:pStyle w:val="SourceNote"/>
      </w:pPr>
      <w:r>
        <w:rPr>
          <w:b/>
        </w:rPr>
        <w:t>Available abstract (not full text):</w:t>
      </w:r>
      <w:r>
        <w:t xml:space="preserve"> Local-level voting data is crucial to both electoral geography and political sociology. Yet, comparative election data is often unavailable below the regional tier, hindering fine-grained transnational analyses. To address this gap, we present the Basic Local Units Election Database (BLUE_DB). Our dataset covers 334 national and European Parliament elections across 31 European countries between 2001 and 2025, leveraging a new typology of over 150,000 local administrative units and nearly 3,900 parties, coalitions, and individual candidates.BLUE_DB is publicly available, comes with a dedicated web interface, and is accessible programmatically via dedicated Python bindings. It can be seamlessly joined with official European geodata through Local Administrative Unit (LAU) codes and to prominent party-politics datasets through Party Facts identifiers. In this paper, we describe the construction of BLUE_DB from authoritative national sources, validate it by comparison to existing regional-level datasets, and discuss its use in political science research.</w:t>
      </w:r>
    </w:p>
    <w:p>
      <w:pPr/>
      <w:r>
        <w:rPr>
          <w:b/>
        </w:rPr>
        <w:t>POSSIBLE 2025:</w:t>
      </w:r>
      <w:r>
        <w:t xml:space="preserve"> The Blue Banana or the Influence of Symbolic Divisions on Our Representations of Europe — https://doi.org/10.1002/9781394393664.ch6</w:t>
      </w:r>
    </w:p>
    <w:p>
      <w:pPr/>
      <w:r>
        <w:rPr>
          <w:b/>
        </w:rPr>
        <w:t>Shared claim-specific concepts:</w:t>
      </w:r>
      <w:r>
        <w:t xml:space="preserve"> use, blue; EU scope visible. This is a provisional connection, not an outcome finding.</w:t>
      </w:r>
    </w:p>
    <w:p>
      <w:pPr>
        <w:pStyle w:val="SourceNote"/>
      </w:pPr>
      <w:r>
        <w:rPr>
          <w:b/>
        </w:rPr>
        <w:t>Available abstract (not full text):</w:t>
      </w:r>
      <w:r>
        <w:t xml:space="preserve"> In the European context, their dissemination from one country to another without sufficient information about the initial context of their conception can lead to interpretation errors and polemics. The capacity of a map to forge mental representations explains why spatial planning documents can paradoxically avoid making use of cartography, for fear of eliciting opposition from groups legitimately seeking to valorize the excellence of their location. The image of the blue banana suddenly appeared in 1989. The blue banana was fundamentally just a striking reinterpretation of the centerperiphery model, a classic theoretical tool. The impact of the blue banana as an almost monopolistic division of European space nevertheless has a surprising element, since the megalopolis was in itself not a discovery.</w:t>
      </w:r>
    </w:p>
    <w:p>
      <w:pPr/>
      <w:r>
        <w:rPr>
          <w:b/>
        </w:rPr>
        <w:t>POSSIBLE 2025:</w:t>
      </w:r>
      <w:r>
        <w:t xml:space="preserve"> The European Union project SAFE-CITIES. More effective monitoring of threats in public spaces — https://doi.org/10.4467/20801335pbw.25.016.22182</w:t>
      </w:r>
    </w:p>
    <w:p>
      <w:pPr/>
      <w:r>
        <w:rPr>
          <w:b/>
        </w:rPr>
        <w:t>Shared claim-specific concepts:</w:t>
      </w:r>
      <w:r>
        <w:t xml:space="preserve"> project, aimed, time; EU scope visible. This is a provisional connection, not an outcome finding.</w:t>
      </w:r>
    </w:p>
    <w:p>
      <w:pPr>
        <w:pStyle w:val="SourceNote"/>
      </w:pPr>
      <w:r>
        <w:rPr>
          <w:b/>
        </w:rPr>
        <w:t>Available abstract (not full text):</w:t>
      </w:r>
      <w:r>
        <w:t xml:space="preserve"> Nowadays, human activity is supported by modern technologies and tools. Many of these solutions are used in areas that have so far been resistant to change, as their nature and the applicable regulations did not allow for modifications. Such areas include public spaces which, by virtue of their role, are publicly accessible and open most of the time. In the article, the authors presented the assumptions of the SAFE-CITIES – project aimed at ensuring the highest possible level of protection for public spaces in the face of the growing threat of terrorism – and described selected technologies and tools, created as part of the project, supporting the processes of monitoring threats. They also discussed related projects addressed by the European Union.</w:t>
      </w:r>
    </w:p>
    <w:p>
      <w:pPr/>
      <w:r>
        <w:rPr>
          <w:b/>
        </w:rPr>
        <w:t>POSSIBLE 2025:</w:t>
      </w:r>
      <w:r>
        <w:t xml:space="preserve"> The potential of the Blue Economy to promote the generation of sustainable employment in the European Union — https://doi.org/10.1108/jbsed-06-2025-0221</w:t>
      </w:r>
    </w:p>
    <w:p>
      <w:pPr/>
      <w:r>
        <w:rPr>
          <w:b/>
        </w:rPr>
        <w:t>Shared claim-specific concepts:</w:t>
      </w:r>
      <w:r>
        <w:t xml:space="preserve"> blue, maritime, dimension; EU scope visible. This is a provisional connection, not an outcome finding.</w:t>
      </w:r>
    </w:p>
    <w:p>
      <w:pPr>
        <w:pStyle w:val="SourceNote"/>
      </w:pPr>
      <w:r>
        <w:rPr>
          <w:b/>
        </w:rPr>
        <w:t>Available abstract (not full text):</w:t>
      </w:r>
      <w:r>
        <w:t xml:space="preserve"> Purpose This study explores the contribution of the Blue Economy to employment generation across the European Union from 2009 to 2017. It seeks to identify the most influential sectors in the development of blue jobs and examine their geographical distribution across EU sea basins. Design/methodology/approach A panel data regression model was applied to a balanced dataset covering 27 EU member states. The model identifies sectoral impacts on employment, highlighting both positive and negative contributors within the Blue Economy. The analysis is disaggregated by the eight EU sea basins. Findings Results indicate that coastal tourism remains the most influential sector in generating blue jobs, followed by Maritime Transport and the exploitation of non-renewable marine resources. Conversely, fisheries and aquaculture show a negative relationship with job creation, likely due to climate change and restrictive EU quota policies. Research limitations/implications The study focuses on the 2009–2017 period and does not consider recent disruptions such as COVID-19 or geopolitical conflicts. Future research should extend the analysis to more recent data. Practical implications Findings support the design of targeted public policies that strengthen tourism and transport sectors as engines of sustainable maritime employment. Social implications The Blue Economy can promote inclusive job c</w:t>
      </w:r>
    </w:p>
    <w:p>
      <w:pPr/>
      <w:r>
        <w:rPr>
          <w:b/>
        </w:rPr>
        <w:t>POSSIBLE 2025:</w:t>
      </w:r>
      <w:r>
        <w:t xml:space="preserve"> Field Study of FRMCS Use Cases in the 5GRAIL Project — https://doi.org/10.1007/978-3-032-06763-0_78</w:t>
      </w:r>
    </w:p>
    <w:p>
      <w:pPr/>
      <w:r>
        <w:rPr>
          <w:b/>
        </w:rPr>
        <w:t>Shared claim-specific concepts:</w:t>
      </w:r>
      <w:r>
        <w:t xml:space="preserve"> use, project, horizon; EU scope visible. This is a provisional connection, not an outcome finding.</w:t>
      </w:r>
    </w:p>
    <w:p>
      <w:pPr>
        <w:pStyle w:val="SourceNote"/>
      </w:pPr>
      <w:r>
        <w:rPr>
          <w:b/>
        </w:rPr>
        <w:t>Available abstract (not full text):</w:t>
      </w:r>
      <w:r>
        <w:t xml:space="preserve"> Abstract Railways currently use the Global System Mobile for Railways (GSM-R) for train operation across the world. The GSM-R is used for voice communication between train driver and control centres, including but not limited to, the Railway Emergency Call (REC) as well as for signalling and control messages of the European Train Control System (ETCS). Based on the fifth generation (5G) of mobile networks and in particular, 3rd Generation Partnership Project (3GPP) releases 17 and 18, the Future Railway Mobile Communication System (FRMCS) is envisioned to replace GSM-R. This modernization step does not only address administrative constraints, e.g., the upcoming 2G equipment obsolescence, but also provides an opportunity for transforming the current train operation through introduction of digitalization and automation technologies in an aim of increasing capacity and efficiency for a sustainable transport. In this paper, we present some highlights of first FRMCS Fields trials that have been realized within the 5GRAIL project which is funded by the EU Horizon 2020 program. These trials were co-led by DB Netz AG in Germany and SNCF RESEAU in France. The aim was to accomplish functional and performance testing in addition to multi-access and cross-border like scenarios. We discuss some results on the testing of the different applications before concluding with lessons-learned and o</w:t>
      </w:r>
    </w:p>
    <w:p>
      <w:pPr/>
      <w:r>
        <w:rPr>
          <w:b/>
        </w:rPr>
        <w:t>POSSIBLE 2024:</w:t>
      </w:r>
      <w:r>
        <w:t xml:space="preserve"> VECTOCLIM PROJECT. Assessing the impact of climate change on two vector-pathogen pairs: Aedes albopictus &amp; Culicoides midges in Occitania, France and Europe — https://openalex.org/W7206472643</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The VECTOCLIM project aims at assessing the impact of recent and future climate change on the risk related to major vector-borne diseases for the European temperate ecosystem. The project will focus on two vectors of interest for public and animal health: the invasive tiger mosquito, Aedes albopictus, vector of viruses to humans, and Culicoides biting midges, vectors of viruses to livestock. Through the use of mathematical modelling and large scale and longitudinal entomological data, we will evaluate the influence of global warming on the geographic and seasonal distribution of these vectors according to different IPCC scenarios. Medium and long-term projections of vector distribution will be produced and compared. Epidemiological modelling will be used to assess risk factors, identify levers of control, and produce dynamic risk maps of the studied areas for three arboviruses (dengue, chikungunya and Zika viruses) and two orbiviruses (bluetongue and epizootic haemorrhagic disease viruses).Four reference research institutes in the fields of infectious diseases and climate sciences collaborate in the implementation of this study: the University of Montpellier, CIRAD, IRD and ICTP. Regular consultations will be organised with public and veterinary health professionals in order to guide research objectives and provide the best possible support to the current and future challenges </w:t>
      </w:r>
    </w:p>
    <w:p>
      <w:pPr/>
      <w:r>
        <w:rPr>
          <w:b/>
        </w:rPr>
        <w:t>POSSIBLE 2024:</w:t>
      </w:r>
      <w:r>
        <w:t xml:space="preserve"> The Financial Feasibility of Farming Blue Mussels Offshore Using the Smart Farm Approach: European Evidence — https://doi.org/10.4194/aquast1474</w:t>
      </w:r>
    </w:p>
    <w:p>
      <w:pPr/>
      <w:r>
        <w:rPr>
          <w:b/>
        </w:rPr>
        <w:t>Shared claim-specific concepts:</w:t>
      </w:r>
      <w:r>
        <w:t xml:space="preserve"> blue, maritime; EU scope visible. This is a provisional connection, not an outcome finding.</w:t>
      </w:r>
    </w:p>
    <w:p>
      <w:pPr>
        <w:pStyle w:val="SourceNote"/>
      </w:pPr>
      <w:r>
        <w:rPr>
          <w:b/>
        </w:rPr>
        <w:t>Available abstract (not full text):</w:t>
      </w:r>
      <w:r>
        <w:t xml:space="preserve"> This paper analyses the financial feasibility of a mussel farm that employs the Smart Farm approach with reinforced equipment in the offshore Dutch North Sea. The literature review suggests favourable conditions for this farm given past Smart Farm applications, existing offshore mussel farms, environmental impact considerations, offshore mussel health, and Dutch regulatory clarity. The study methodology section explains the utilization of the discounted cash flow (DCF) analysis model and the technological, farm size, location, mussel seed collection, cost, and production assumptions. This farm would require an initial capital expenditure of €1,695,350 and would produce 300 tonnes per annum (tpa), which would progressively increase to 700 tpa based on additional mussel lines and mature farming practices. This study found an Internal Rate of Return (IRR) of 19.78% and a Net Present Value (NPV) of €3,479,178 over 25 years. This IRR is higher than rates projected by comparable studies. It is attributed to the strong technological maturity, mobility, scalability, mechanization, and production offered by the Smart Farm. Through pursuing this farm and similar mussel farming projects, investors can help advance humanity across domains including employment, sustainability, ocean decarbonization, the ocean economy, nutrition science, maritime engineering, aquaculture, world food supply, </w:t>
      </w:r>
    </w:p>
    <w:p>
      <w:pPr/>
      <w:r>
        <w:rPr>
          <w:b/>
        </w:rPr>
        <w:t>POSSIBLE 2024:</w:t>
      </w:r>
      <w:r>
        <w:t xml:space="preserve"> Our First Experience of Using Blue Light Laser for Endoscopic Endonasal Removal of Juvenile Angiofibromas — https://doi.org/10.59315/orlhnp.2023-2-4.67-73</w:t>
      </w:r>
    </w:p>
    <w:p>
      <w:pPr/>
      <w:r>
        <w:rPr>
          <w:b/>
        </w:rPr>
        <w:t>Shared claim-specific concepts:</w:t>
      </w:r>
      <w:r>
        <w:t xml:space="preserve"> use, blue, yet; EU scope visible. This is a provisional connection, not an outcome finding.</w:t>
      </w:r>
    </w:p>
    <w:p>
      <w:pPr>
        <w:pStyle w:val="SourceNote"/>
      </w:pPr>
      <w:r>
        <w:rPr>
          <w:b/>
        </w:rPr>
        <w:t>Available abstract (not full text):</w:t>
      </w:r>
      <w:r>
        <w:t xml:space="preserve"> Background. Juvenile nasal angiofibroma (JNA) is a very rare benign lesion originating from the pterygopalatine fossa with distinctive epidemiologic features and growth patterns. The typical patient is an adolescent male with a clinical history of recurrent severe nasal bleedings and blockage the nose. Currently, even though surgery often caused severe operative bleeding, it is considered the ideal treatment for JNA. Refinement in preoperative embolization, which provides significant reduction of intraoperative bleeding. In spite of breakthrough of Endoscopic techniques which minimize the risk of residual disease, the search of new devises which can help to management of JNA is still continue in order to minimize the surgical complications. Laser methods as surgical treatment have been actively used in rhinology during the past decades. We purposed to summarize information about current lasers and their use in rhinology. Aim. The purpose of the study is the literature review and to describe our experience of using new blue laser during JNA removal. Evaluation of advantages and disadvantages, determination of indications and limits of its use in rhinosurgery Methods- A literature review from 2000 to 2022 using the PubMed database was employed. Keywords used included “laser surgery”, “blue light laser”, “photoangiolytic laser”, “laser in rhinosurgery”. The most up to date studies</w:t>
      </w:r>
    </w:p>
    <w:p>
      <w:pPr/>
      <w:r>
        <w:rPr>
          <w:b/>
        </w:rPr>
        <w:t>POSSIBLE 2023:</w:t>
      </w:r>
      <w:r>
        <w:t xml:space="preserve"> The Blue Beret — https://doi.org/10.5204/mcj.2969</w:t>
      </w:r>
    </w:p>
    <w:p>
      <w:pPr/>
      <w:r>
        <w:rPr>
          <w:b/>
        </w:rPr>
        <w:t>Shared claim-specific concepts:</w:t>
      </w:r>
      <w:r>
        <w:t xml:space="preserve"> use, blue, time, general; EU scope visible. This is a provisional connection, not an outcome finding.</w:t>
      </w:r>
    </w:p>
    <w:p>
      <w:pPr>
        <w:pStyle w:val="SourceNote"/>
      </w:pPr>
      <w:r>
        <w:rPr>
          <w:b/>
        </w:rPr>
        <w:t>Available abstract (not full text):</w:t>
      </w:r>
      <w:r>
        <w:t xml:space="preserve"> When we think of United Nations (UN) peacekeepers, the first image that is conjured in our mind is of an individual sporting a blue helmet or a blue beret (fig. 1). While simple and uncomplicated, these blue accessories represent an expression and an embodiment resembling that of a warrior, sent to bring peace to conflict-torn communities. UN peacekeeping first conceptually emerged in 1948 in the wake of the Arab-Israeli war that ensued following the United Kingdom’s relinquishing of its mandate over Palestine, and the proclamation of the State of Israel. “Forged in the crucible of practical diplomacy” (Rubinstein 16), unarmed military observers were deployed to Palestine to monitor the hostilities and mediate armistice agreements between Israel and its Arab neighbours. This operation, the United Nations Truce Supervision Organization (UNTSO), significantly exemplified the diplomatic and observational capabilities of military men, in line with the UN Charter’s objectives of international peace and security, setting henceforth a basic archetype for international peacekeeping. It was only in 1956, however, that peacekeeping formally emerged when armed UN forces deployed to Egypt to supervise the withdrawal of forces occupying the Suez Canal (informally known as the ‘Second Arab-Israeli’ war). Here, the formation of UN peacekeeping represented an international pacifying mechanism </w:t>
      </w:r>
    </w:p>
    <w:p>
      <w:pPr/>
      <w:r>
        <w:rPr>
          <w:b/>
        </w:rPr>
        <w:t>POSSIBLE 2023:</w:t>
      </w:r>
      <w:r>
        <w:t xml:space="preserve"> EU Involvement in the Financing of the Blue Economy — https://doi.org/10.33067/se.1.2023.7</w:t>
      </w:r>
    </w:p>
    <w:p>
      <w:pPr/>
      <w:r>
        <w:rPr>
          <w:b/>
        </w:rPr>
        <w:t>Shared claim-specific concepts:</w:t>
      </w:r>
      <w:r>
        <w:t xml:space="preserve"> discusses, blue; EU scope visible. This is a provisional connection, not an outcome finding.</w:t>
      </w:r>
    </w:p>
    <w:p>
      <w:pPr>
        <w:pStyle w:val="SourceNote"/>
      </w:pPr>
      <w:r>
        <w:rPr>
          <w:b/>
        </w:rPr>
        <w:t>Available abstract (not full text):</w:t>
      </w:r>
      <w:r>
        <w:t xml:space="preserve"> he prospect of implementing the concept of the Blue Economy is currently still at a relatively early stage of achieving its full potential. The purpose of this paper is to present the idea of the ocean economy and selected aspects of its financing, including initiatives undertaken in this area by the European Union. Part I characterises the Blue Economy, part II discusses selected aspects of financing a sustainable ocean economy, and part III analyses the institutional approach, particularly within the EU, to the financing process of this type of economy. The descriptive method was used to conduct this study, and the available literature on and legal acts related to the subject of the article has been analysed. The undertakings made so far, especially by the EU, are impressive and, moreover, are driving global activity towards the sustainable financing of the Blue Economy. It is becoming a fundamental priority to realise the governments’ and international organisations’ aspirations to make economies independent from excessive carbon emissions, to counteract water degradation, overfishing, and shrinking drinking water resources. In the long term, it is important to develop coherence between the actions of national entities and the sources and methods of international funding. This is in order to develop a mutual, global good of innovative fi nancing of coastal projects for susta</w:t>
      </w:r>
    </w:p>
    <w:p>
      <w:pPr/>
      <w:r>
        <w:rPr>
          <w:b/>
        </w:rPr>
        <w:t>POSSIBLE 2022:</w:t>
      </w:r>
      <w:r>
        <w:t xml:space="preserve"> Review on Methylene Blue: Its Properties, Uses, Toxicity and Photodegradation — https://doi.org/10.3390/w14020242</w:t>
      </w:r>
    </w:p>
    <w:p>
      <w:pPr/>
      <w:r>
        <w:rPr>
          <w:b/>
        </w:rPr>
        <w:t>Shared claim-specific concepts:</w:t>
      </w:r>
      <w:r>
        <w:t xml:space="preserve"> blue, time; EU scope not established. This is a provisional connection, not an outcome finding.</w:t>
      </w:r>
    </w:p>
    <w:p>
      <w:pPr>
        <w:pStyle w:val="SourceNote"/>
      </w:pPr>
      <w:r>
        <w:rPr>
          <w:b/>
        </w:rPr>
        <w:t>Available abstract (not full text):</w:t>
      </w:r>
      <w:r>
        <w:t xml:space="preserve">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pPr>
        <w:pStyle w:val="Heading2"/>
      </w:pPr>
      <w:r>
        <w:t>981. Scenarios for the future of the European process industry - the case of the chemical industry</w:t>
      </w:r>
    </w:p>
    <w:p>
      <w:pPr>
        <w:pStyle w:val="SourceNote"/>
      </w:pPr>
      <w:r>
        <w:rPr>
          <w:b/>
        </w:rPr>
        <w:t>Original source (2013):</w:t>
      </w:r>
      <w:r>
        <w:t xml:space="preserve"> https://doi.org/10.1007/s40309-013-0010-9</w:t>
      </w:r>
    </w:p>
    <w:p>
      <w:pPr/>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pPr/>
      <w:r>
        <w:rPr>
          <w:b/>
        </w:rPr>
        <w:t>POSSIBLE 2025:</w:t>
      </w:r>
      <w:r>
        <w:t xml:space="preserve"> Taxonomy of Chemical Bondings: Opportunities and Challenges — https://doi.org/10.1002/anie.202506525</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pPr/>
      <w:r>
        <w:rPr>
          <w:b/>
        </w:rPr>
        <w:t>POSSIBLE 2025:</w:t>
      </w:r>
      <w:r>
        <w:t xml:space="preserve"> Scientific and Regulatory Perspectives on Chemical Risk Assessment of Pesticides in the European Union — https://doi.org/10.3390/jox15050173</w:t>
      </w:r>
    </w:p>
    <w:p>
      <w:pPr/>
      <w:r>
        <w:rPr>
          <w:b/>
        </w:rPr>
        <w:t>Shared claim-specific concepts:</w:t>
      </w:r>
      <w:r>
        <w:t xml:space="preserve"> challenges, chemical, made; EU scope visible. This is a provisional connection, not an outcome finding.</w:t>
      </w:r>
    </w:p>
    <w:p>
      <w:pPr>
        <w:pStyle w:val="SourceNote"/>
      </w:pPr>
      <w:r>
        <w:rPr>
          <w:b/>
        </w:rPr>
        <w:t>Available abstract (not full text):</w:t>
      </w:r>
      <w:r>
        <w:t xml:space="preserve"> People are exposed to pesticides daily through food, drinking water, and the environment, both in urban and rural settings. These chemicals, while offering economic and agricultural benefits through pest control and increased productivity, may pose a growing risk to human health and ecosystem biodiversity. While the European regulatory framework offers a robust foundation for risk assessment, significant limitations persist, especially in addressing cumulative exposure, low-dose effects, and chemical mixtures. This review focuses on selected scientific and regulatory challenges by reviewing recent European Food Safety Authority (EFSA) conclusions, Organization for Economic Co-operation and Development (OECD) test guidelines updates, and current European legislative approaches. Particular attention is given to the regulation of endocrine-disrupting and reprotoxic substances, highlighting progress and remaining gaps in implementation. A brief mention will also be made of immuno-toxic substances, for which no specific hazard class has yet been established. Building on official reports and peer-reviewed literature, this review provides a structured evaluation of the scientific and regulatory landscape, including underexplored issues like the transition to animal-free toxicology and integration of biomonitoring with health data. The goal is to propose realistic, evidence-based impro</w:t>
      </w:r>
    </w:p>
    <w:p>
      <w:pPr/>
      <w:r>
        <w:rPr>
          <w:b/>
        </w:rPr>
        <w:t>POSSIBLE 2025:</w:t>
      </w:r>
      <w:r>
        <w:t xml:space="preserve"> Insect Pest Control from Chemical to Biotechnological Approach: Constrains and Challenges — https://doi.org/10.3390/insects16050528</w:t>
      </w:r>
    </w:p>
    <w:p>
      <w:pPr/>
      <w:r>
        <w:rPr>
          <w:b/>
        </w:rPr>
        <w:t>Shared claim-specific concepts:</w:t>
      </w:r>
      <w:r>
        <w:t xml:space="preserve"> challenges, chemical, based; EU scope visible. This is a provisional connection, not an outcome finding.</w:t>
      </w:r>
    </w:p>
    <w:p>
      <w:pPr>
        <w:pStyle w:val="SourceNote"/>
      </w:pPr>
      <w:r>
        <w:rPr>
          <w:b/>
        </w:rPr>
        <w:t>Available abstract (not full text):</w:t>
      </w:r>
      <w:r>
        <w:t xml:space="preserve"> The large growth in the global population requires new solutions for the control of harmful insects that compete for our food. Changing regulatory requirements and public perception, together with the continuous evolution of resistance to conventional insecticides, also require, in addition to innovative molecules with different modes of action, new non-chemical control strategies that can help maintain efficient integrated pest management programs. The last 30 years have inaugurated a new era characterised by the discovery of new mechanisms of action and new chemical families. Although European programs also promote a green deal in the crop protection sector, the existing thorough regulations slow down its spread and the adoption of new products. In light of these changes, this review will describe in more detail the dynamics of discovery and registration of new conventional insecticides and the difficulties that the agrochemical industries encounter. Subsequently, the different innovative control strategies alternative to conventional insecticides based on natural substances of different origin, entomopathogenic microorganisms, semiochemical and semiophysical compounds, and classical and augmentative biological control will be described. The advantages of these green strategies will be illustrated and also the constrains to their diffusion and commercialisation. Finally, the </w:t>
      </w:r>
    </w:p>
    <w:p>
      <w:pPr/>
      <w:r>
        <w:rPr>
          <w:b/>
        </w:rPr>
        <w:t>POSSIBLE 2023:</w:t>
      </w:r>
      <w:r>
        <w:t xml:space="preserve"> The impacts of the European chemical industry on the planetary boundaries — https://doi.org/10.1016/j.spc.2023.12.006</w:t>
      </w:r>
    </w:p>
    <w:p>
      <w:pPr/>
      <w:r>
        <w:rPr>
          <w:b/>
        </w:rPr>
        <w:t>Shared claim-specific concepts:</w:t>
      </w:r>
      <w:r>
        <w:t xml:space="preserve"> chemical, industry, based; EU scope visible. This is a provisional connection, not an outcome finding.</w:t>
      </w:r>
    </w:p>
    <w:p>
      <w:pPr>
        <w:pStyle w:val="SourceNote"/>
      </w:pPr>
      <w:r>
        <w:rPr>
          <w:b/>
        </w:rPr>
        <w:t>Available abstract (not full text):</w:t>
      </w:r>
      <w:r>
        <w:t xml:space="preserve"> The European chemical industry plays a crucial role in the economy, manufacturing thousands of products that find applications across many sectors. On the other hand, this sector is also one of the largest energy consumers, and emits significant amounts of greenhouse gases, together with toxic, bioaccumulative and persistent chemicals. Acknowledging the need for a shift towards a greener industry model, this contribution assesses the absolute sustainability level of this sector by contrasting the impacts it causes with the ecological capacity of the planet, as given by the planetary boundaries framework. Results indicate that impacts incurred by the European chemical industry transgress CO2-based thresholds significantly, with burdens on atmospheric CO2 concentration, energy imbalance, and ocean acidification being 15, 16 and 6 times larger than planetary limits. The biosphere integrity boundary, assessed here based on functional diversity, is also transgressed by 3 %. The five chemicals with the highest production volume, namely ammonia, polypropylene, high-density polyethylene, styrene, and benzene, are responsible for around 50 % of impacts in all the planetary boundaries. This suggests that they should be the target of dedicated research and policies. Finally, the study assesses a set of improvement pathways for the European chemical industry to become sustainable. It is fo</w:t>
      </w:r>
    </w:p>
    <w:p>
      <w:pPr/>
      <w:r>
        <w:rPr>
          <w:b/>
        </w:rPr>
        <w:t>POSSIBLE 2023:</w:t>
      </w:r>
      <w:r>
        <w:t xml:space="preserve"> A review of chemical looping reforming technologies for hydrogen production: recent advances and future challenges — https://doi.org/10.1088/2515-7655/acc4e8</w:t>
      </w:r>
    </w:p>
    <w:p>
      <w:pPr/>
      <w:r>
        <w:rPr>
          <w:b/>
        </w:rPr>
        <w:t>Shared claim-specific concepts:</w:t>
      </w:r>
      <w:r>
        <w:t xml:space="preserve"> studied, challenges, chemical; EU scope not established. This is a provisional connection, not an outcome finding.</w:t>
      </w:r>
    </w:p>
    <w:p>
      <w:pPr>
        <w:pStyle w:val="SourceNote"/>
      </w:pPr>
      <w:r>
        <w:rPr>
          <w:b/>
        </w:rPr>
        <w:t>Available abstract (not full text):</w:t>
      </w:r>
      <w:r>
        <w:t xml:space="preserve"> Abstract Faced with increasingly serious energy and global warming, it is critical to put forward an alternative non-carbonaceous fuel. In this regard, hydrogen appears as the ultimate clean fuel for power and heat generation, and as an important feedstock for various chemical and petrochemical industries. The chemical looping reforming (CLR) concept, is an emerging technique for the conversion of hydrocarbon fuels into high-quality hydrogen via the circulation of oxygen carriers which allows a decrease in CO2 emissions. In this review, a comprehensive evaluation and recent progress in glycerol, ethanol and methane reforming for hydrogen production are presented. The key elements for a successful CLR process are studied and the technical challenges to achieve high-purity hydrogen along with the possible solutions are also assessed. As product quality, cost and the overall efficiency of the process can be influenced by the oxygen carrier materials used, noteworthy attention is given to the most recent development in this field. The use of Ni, Fe, Cu, Ce, Mn and Co-based material as potential oxygen carriers under different experimental conditions for hydrogen generation from different feedstock by CLR is discussed. Furthermore, the recent research conducted on the sorption-enhanced reforming process is reviewed and the performance of the various type of CO2 sorbents such as CaO,</w:t>
      </w:r>
    </w:p>
    <w:p>
      <w:pPr/>
      <w:r>
        <w:rPr>
          <w:b/>
        </w:rPr>
        <w:t>POSSIBLE 2023:</w:t>
      </w:r>
      <w:r>
        <w:t xml:space="preserve"> Plastic Waste Utilization via Chemical Recycling: Approaches, Limitations, and the Challenges Ahead — https://doi.org/10.1002/cite.202300042</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Abstract Chemical recycling offers the opportunity to foster the transition towards a circular economy for plastics as a complementary strategy for mechanical recycling. For the implementation of chemical recycling technologies, there are still significant challenges ahead that – besides the definition of binding legal frameworks – need for intensified research: knowledge‐based methods for both the identification of suitable process technologies considering decentralized waste conditions and the design of conversion steps and downstream processing are strongly needed for process development and process evaluation.</w:t>
      </w:r>
    </w:p>
    <w:p>
      <w:pPr/>
      <w:r>
        <w:rPr>
          <w:b/>
        </w:rPr>
        <w:t>POSSIBLE 2022:</w:t>
      </w:r>
      <w:r>
        <w:t xml:space="preserve"> Expanding plastics recycling technologies: chemical aspects, technology status and challenges — https://doi.org/10.1039/d2gc02588d</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pPr/>
      <w:r>
        <w:rPr>
          <w:b/>
        </w:rPr>
        <w:t>POSSIBLE 2022:</w:t>
      </w:r>
      <w:r>
        <w:t xml:space="preserve"> Analysis of Waste Minimization Challenges to European Food Production Enterprises — https://doi.org/10.28991/esj-2022-06-03-08</w:t>
      </w:r>
    </w:p>
    <w:p>
      <w:pPr/>
      <w:r>
        <w:rPr>
          <w:b/>
        </w:rPr>
        <w:t>Shared claim-specific concepts:</w:t>
      </w:r>
      <w:r>
        <w:t xml:space="preserve"> studied, challenges, industry, qualitative; EU scope visible. This is a provisional connection, not an outcome finding.</w:t>
      </w:r>
    </w:p>
    <w:p>
      <w:pPr>
        <w:pStyle w:val="SourceNote"/>
      </w:pPr>
      <w:r>
        <w:rPr>
          <w:b/>
        </w:rPr>
        <w:t>Available abstract (not full text):</w:t>
      </w:r>
      <w:r>
        <w:t xml:space="preserve"> Economic growth increases the pressure on environmental issues, thus highlighting the importance of waste minimization processes. The waste management approaches in most European countries have so far been relatively little studied and compared at the micro level. The main objective of the current research is to analyze the challenges of waste minimization in European food industry enterprises and identify good practices in the selected countries. The research used a mixed-method methodology, combining both qualitative and quantitative methods, thus providing an in-depth insight into food enterprises’ efforts to reduce their production waste and use their resources more efficiently. The main data collection methods used for the study were secondary data research, discourse analysis, case studies, and focus group interviews. The analysis of the food waste management applications in the European countries’ food sub-sectors leads to the conclusion that since the national initiatives and success factors vary between the countries, it is important to invent such national food waste management systems that are economically justified and technically available for all enterprises regardless of their food waste production volumes. It is also necessary to raise awareness of the strategies that food industry employers, employees, and consumers can use to reduce their waste and thus promot</w:t>
      </w:r>
    </w:p>
    <w:p>
      <w:pPr/>
      <w:r>
        <w:rPr>
          <w:b/>
        </w:rPr>
        <w:t>POSSIBLE 2022:</w:t>
      </w:r>
      <w:r>
        <w:t xml:space="preserve"> Challenges and opportunities of Solar thermal energy towards a sustainable chemical industry — https://doi.org/10.1016/j.compchemeng.2022.107926</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The most abundant energy on Earth is solar and it is a versatile resource that is to be used to improve the sustainability of the chemical and process industry. Two main pillars support these industries, the raw materials and energy. Energy in the chemical industry is to be provided in the form of utilities such as steam, thermal energy and power. All of them can be provided by transforming solar thermal energy. This work presents the perspectives on the process integration of solar thermal plants and/or solar thermal energy within the chemical industry, describing the state of the art and the technology readiness level of units and facilities as well as the challenges and opportunities that the integration of solar thermal energy in the chemical industry generate for the process system engineering community, aiming at reaching the goals of the agenda 2030.</w:t>
      </w:r>
    </w:p>
    <w:p>
      <w:pPr/>
      <w:r>
        <w:rPr>
          <w:b/>
        </w:rPr>
        <w:t>POSSIBLE 2022:</w:t>
      </w:r>
      <w:r>
        <w:t xml:space="preserve"> Opportunities and challenges for harvest weed seed control in European cropping systems — https://doi.org/10.1016/j.eja.2022.126639</w:t>
      </w:r>
    </w:p>
    <w:p>
      <w:pPr/>
      <w:r>
        <w:rPr>
          <w:b/>
        </w:rPr>
        <w:t>Shared claim-specific concepts:</w:t>
      </w:r>
      <w:r>
        <w:t xml:space="preserve"> challenges, until, based; EU scope visible. This is a provisional connection, not an outcome finding.</w:t>
      </w:r>
    </w:p>
    <w:p>
      <w:pPr>
        <w:pStyle w:val="SourceNote"/>
      </w:pPr>
      <w:r>
        <w:rPr>
          <w:b/>
        </w:rPr>
        <w:t>Available abstract (not full text):</w:t>
      </w:r>
      <w:r>
        <w:t xml:space="preserve"> The rapid increase of herbicide resistance in some of the most problematic annual weeds, and potential negative impacts of herbicides on human health and the environment have led growers to look for alternative non-chemical weed control. Harvest weed seed control (HWSC) is a non-chemical weed control tactic based on reduction of seed return of primarily annual weed species to the soil seed bank that has been successfully adopted by farmers in Australia. The strategy is to collect and/or destroy the weed seeds in the chaff material during harvest using chaff carts, bale direct system, integrated impact mills, windrow burning, chaff tramlining and chaff lining or other methods of targeting the chaff material containing the weed seeds. Two biological characteristics are exploited with successful HWSC: the level of weed seed retention at crop harvest above crop canopy height and coincidence of weed and crop maturity. Initial research efforts in Europe have found that there are several candidates for HWSC among weed species with a high importance in European cropping systems. The highest potential has been found for weeds such as Galium aparine, Lolium rigidum and Silene noctiflora . However, there are several challenges for the adoption of these systems under European conditions compared to e.g., Australia. The challenges include that crop and weed maturity are not concomitant whic</w:t>
      </w:r>
    </w:p>
    <w:p>
      <w:pPr/>
      <w:r>
        <w:rPr>
          <w:b/>
        </w:rPr>
        <w:t>POSSIBLE 2021:</w:t>
      </w:r>
      <w:r>
        <w:t xml:space="preserve"> Delivery of oligonucleotide‐based therapeutics: challenges and opportunities — https://doi.org/10.15252/emmm.202013243</w:t>
      </w:r>
    </w:p>
    <w:p>
      <w:pPr/>
      <w:r>
        <w:rPr>
          <w:b/>
        </w:rPr>
        <w:t>Shared claim-specific concepts:</w:t>
      </w:r>
      <w:r>
        <w:t xml:space="preserve"> challenges, industry, based; EU scope not established. This is a provisional connection, not an outcome finding.</w:t>
      </w:r>
    </w:p>
    <w:p>
      <w:pPr>
        <w:pStyle w:val="SourceNote"/>
      </w:pPr>
      <w:r>
        <w:rPr>
          <w:b/>
        </w:rPr>
        <w:t>Available abstract (not full text):</w:t>
      </w:r>
      <w:r>
        <w:t xml:space="preserve"> Nucleic acid-based therapeutics that regulate gene expression have been developed towards clinical use at a steady pace for several decades, but in recent years the field has been accelerating. To date, there are 11 marketed products based on antisense oligonucleotides, aptamers and small interfering RNAs, and many others are in the pipeline for both academia and industry. A major technology trigger for this development has been progress in oligonucleotide chemistry to improve the drug properties and reduce cost of goods, but the main hurdle for the application to a wider range of disorders is delivery to target tissues. The adoption of delivery technologies, such as conjugates or nanoparticles, has been a game changer for many therapeutic indications, but many others are still awaiting their eureka moment. Here, we cover the variety of methods developed to deliver nucleic acid-based therapeutics across biological barriers and the model systems used to test them. We discuss important safety considerations and regulatory requirements for synthetic oligonucleotide chemistries and the hurdles for translating laboratory breakthroughs to the clinic. Recent advances in the delivery of nucleic acid-based therapeutics and in the development of model systems, as well as safety considerations and regulatory requirements for synthetic oligonucleotide chemistries are discussed in this revi</w:t>
      </w:r>
    </w:p>
    <w:p>
      <w:pPr/>
      <w:r>
        <w:rPr>
          <w:b/>
        </w:rPr>
        <w:t>POSSIBLE 2021:</w:t>
      </w:r>
      <w:r>
        <w:t xml:space="preserve"> Chemical prioritisation strategy in the European Human Biomonitoring Initiative (HBM4EU) – Development and results — https://doi.org/10.1016/j.ijheh.2021.113778</w:t>
      </w:r>
    </w:p>
    <w:p>
      <w:pPr/>
      <w:r>
        <w:rPr>
          <w:b/>
        </w:rPr>
        <w:t>Shared claim-specific concepts:</w:t>
      </w:r>
      <w:r>
        <w:t xml:space="preserve"> chemical, participating, experts; EU scope visible. This is a provisional connection, not an outcome finding.</w:t>
      </w:r>
    </w:p>
    <w:p>
      <w:pPr>
        <w:pStyle w:val="SourceNote"/>
      </w:pPr>
      <w:r>
        <w:rPr>
          <w:b/>
        </w:rPr>
        <w:t>Available abstract (not full text):</w:t>
      </w:r>
      <w:r>
        <w:t xml:space="preserve"> ) has established a European Union-wide human biomonitoring (HBM) programme to generate knowledge on human internal exposure to chemical pollutants and their potential health impacts in Europe, in order to support policy makers' efforts to ensure chemical safety and improve health in Europe. A prioritisation strategy was necessary to determine and meet the most important needs of both policy makers and risk assessors, as well as common national needs of participating countries and a broad range of stakeholders. This strategy consisted of three mains steps: 1) mapping of knowledge gaps identified by policy makers, 2) prioritisation of substances using a scoring system, and 3) generation of a list of priority substances reflective of the scoring, as well as of public policy priorities and available resources. For the first step, relevant ministries and agencies at EU and national levels, as well as members of the Stakeholder Forum each nominated up to 5 substances/substance groups of concern for policy-makers. These nominations were collated into a preliminary list of 48 substances/substance groups, which was subsequently shortened to a list of 23 after considering the total number of nominations each substance/substance group received and the nature of the nominating entities. For the second step, a panel of 11 experts in epidemiology, toxicology, exposure sciences, and occupati</w:t>
      </w:r>
    </w:p>
    <w:p>
      <w:pPr>
        <w:pStyle w:val="Heading2"/>
      </w:pPr>
      <w:r>
        <w:t>982. Superconductivity and the environment: a Roadmap</w:t>
      </w:r>
    </w:p>
    <w:p>
      <w:pPr>
        <w:pStyle w:val="SourceNote"/>
      </w:pPr>
      <w:r>
        <w:rPr>
          <w:b/>
        </w:rPr>
        <w:t>Original source (2013):</w:t>
      </w:r>
      <w:r>
        <w:t xml:space="preserve"> https://doi.org/10.1088/0953-2048/26/11/113001</w:t>
      </w:r>
    </w:p>
    <w:p>
      <w:pPr/>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pPr/>
      <w:r>
        <w:rPr>
          <w:b/>
        </w:rPr>
        <w:t>POSSIBLE 2025:</w:t>
      </w:r>
      <w:r>
        <w:t xml:space="preserve"> What Does China Want? — https://doi.org/10.1162/isec.a.5</w:t>
      </w:r>
    </w:p>
    <w:p>
      <w:pPr/>
      <w:r>
        <w:rPr>
          <w:b/>
        </w:rPr>
        <w:t>Shared claim-specific concepts:</w:t>
      </w:r>
      <w:r>
        <w:t xml:space="preserve"> want, parts, all; EU scope not established. This is a provisional connection, not an outcome finding.</w:t>
      </w:r>
    </w:p>
    <w:p>
      <w:pPr>
        <w:pStyle w:val="SourceNote"/>
      </w:pPr>
      <w:r>
        <w:rPr>
          <w:b/>
        </w:rPr>
        <w:t>Available abstract (not full text):</w:t>
      </w:r>
      <w:r>
        <w:t xml:space="preserve">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pPr/>
      <w:r>
        <w:rPr>
          <w:b/>
        </w:rPr>
        <w:t>POSSIBLE 2022:</w:t>
      </w:r>
      <w:r>
        <w:t xml:space="preserve"> Low-temperature filamentary plasma for ignition-stabilized combustion — https://doi.org/10.1016/j.combustflame.2022.112501</w:t>
      </w:r>
    </w:p>
    <w:p>
      <w:pPr/>
      <w:r>
        <w:rPr>
          <w:b/>
        </w:rPr>
        <w:t>Shared claim-specific concepts:</w:t>
      </w:r>
      <w:r>
        <w:t xml:space="preserve"> per, energy; EU scope not established. This is a provisional connection, not an outcome finding.</w:t>
      </w:r>
    </w:p>
    <w:p>
      <w:pPr>
        <w:pStyle w:val="SourceNote"/>
      </w:pPr>
      <w:r>
        <w:rPr>
          <w:b/>
        </w:rPr>
        <w:t>Available abstract (not full text):</w:t>
      </w:r>
      <w:r>
        <w:t xml:space="preserve"> In this work, an experimental study investigating dielectric barrier discharge (DBD) plasma-assisted ignition in methane-air flows at near-atmospheric pressure is presented. Discharges are produced using 10 ns duration high voltage pulses at maximum 3 kHz pulse repetition rate. The goal is to check the feasibility of plasma as an ignition source for ignition-stabilized combustion in a wide range of equivalence ratio, pressure, and flow speed conditions. To that end, four important characteristics are investigated: 1) Ignition dynamics, 2) Minimum number of pulses required for ignition, 3) Plasma energy per pulse, gas temperature, and the effective reduced electric field, and 4) Plasma NOx production. In continuous plasma mode, we observe an elongated flame outside of the discharge region when a methane-air mixture flows through the discharge. The elongated flame is due to repetitively ignited kernels moving downstream with the flow. High-speed intensified imaging is used to explore plasma morphology and ignition dynamics. Plasma has a filamentary nature which is perceived as moving with the flow due to pulse-to-pulse memory effects. For fuel-air mixtures, ignition is followed by kernel expansion and splitting, flame propagation, and consecutive ignition. The time delay between consecutive ignition events is found to be a function of flow speed, because ignition is achieved only</w:t>
      </w:r>
    </w:p>
    <w:p>
      <w:pPr/>
      <w:r>
        <w:rPr>
          <w:b/>
        </w:rPr>
        <w:t>POSSIBLE 2018:</w:t>
      </w:r>
      <w:r>
        <w:t xml:space="preserve"> “Japanese Ants (Tenebrio Molitor) Stabilize Blood Sugar Levels For Diabetics”: The Current Issue OF Herbal Medicine In Indonesia" — https://doi.org/10.29082/ijnms/2018/vol2.iss02.141</w:t>
      </w:r>
    </w:p>
    <w:p>
      <w:pPr/>
      <w:r>
        <w:rPr>
          <w:b/>
        </w:rPr>
        <w:t>Shared claim-specific concepts:</w:t>
      </w:r>
      <w:r>
        <w:t xml:space="preserve"> want, stabilize, levels, all; EU scope not established. This is a provisional connection, not an outcome finding.</w:t>
      </w:r>
    </w:p>
    <w:p>
      <w:pPr>
        <w:pStyle w:val="SourceNote"/>
      </w:pPr>
      <w:r>
        <w:rPr>
          <w:b/>
        </w:rPr>
        <w:t>Available abstract (not full text):</w:t>
      </w:r>
      <w:r>
        <w:t xml:space="preserve"> There are still many of our people who have never heard or even seen the shape of the Japanese ants, so sometimes people consume Japanese ants with different doses between people with each other and even some who consume Japanese ants are not appropriate doses because they want to get well soon. The purpose of research to know the relationship between consumption patterns of Japanese ants and blood sugar levels of people with diabetes mellitus. The design of this study is correlational analytic with crossectional approach. Variables of this research there are two that is the pattern of consumption of Japanese ants as an independent variable and blood sugar levels as the dependent variable. The population of this study was all patients with diabetes Mellitus who had suffered &gt; 5 years who consumed Japanese ants in Grinting Village Karangjeruk Village Jatirejo Subdistrict Mojokerto regency as many as 10 respondents. in the sampling of researchers using total sampling technique. Data collection with an observation sheet of Japanese ant consumption and blood sugar level. The result of the research showed that most of the respondents consume Japanese ants regularly as much as 6 respondents (60%) and most respondents have blood sugar level in the normal category that is between 100-125 mg/dl as many as 6 respondents (60%). Consumption Japanese ants can routinely lower blood sugar lev</w:t>
      </w:r>
    </w:p>
    <w:p>
      <w:pPr/>
      <w:r>
        <w:rPr>
          <w:b/>
        </w:rPr>
        <w:t>POSSIBLE 2018:</w:t>
      </w:r>
      <w:r>
        <w:t xml:space="preserve"> A Natural Deep Eutectic Solvent Formulated to Stabilize β-Lactam Antibiotics — https://doi.org/10.1038/s41598-018-33148-w</w:t>
      </w:r>
    </w:p>
    <w:p>
      <w:pPr/>
      <w:r>
        <w:rPr>
          <w:b/>
        </w:rPr>
        <w:t>Shared claim-specific concepts:</w:t>
      </w:r>
      <w:r>
        <w:t xml:space="preserve"> stabilize, levels, forms; EU scope not established. This is a provisional connection, not an outcome finding.</w:t>
      </w:r>
    </w:p>
    <w:p>
      <w:pPr>
        <w:pStyle w:val="SourceNote"/>
      </w:pPr>
      <w:r>
        <w:rPr>
          <w:b/>
        </w:rPr>
        <w:t>Available abstract (not full text):</w:t>
      </w:r>
      <w:r>
        <w:t xml:space="preserve"> β-lactam antibiotics, such as penicillin share a very unstable chemical structure. In water-based solutions, such as those used for clinical applications, the β-lactam ring is readily opened due to a nucleophilic or electrophilic attack, leading to the loss of antimicrobial activity. Since the achievement and maintenance of optimum therapeutic levels of β-lactam antibiotics is critical for the resolution of many infectious clinical situations, and to avoid antibiotic resistance generation, the design of new non-aqueous dosage forms is urgent. Recently, natural deep eutectic solvents (NADES) have emerged as alternative non-toxic and non-aqueous solvents for different biomedical applications. In this work, we formulated and characterized a NADES composed by betaine and urea (BU). Using this solvent, we evaluated the stability of clavulanic acid (CLV) and imipenem (IMP) and characterized their antimicrobial activities calculating the minimal inhibitory concentration. Characterization of BU solvent by infrared spectroscopy (IR) and nuclear magnetic resonance spectroscopy (NMR) indicated that the obtained solvent has a microstructure mainly based on hydrogen bonding interactions and water addition strongly affects its dynamic. The stability of β-lactam antibiotic IMP and CLV using this solvent was increased by 7 fold and 2.5 fold respectively compared to water when analysed seven da</w:t>
      </w:r>
    </w:p>
    <w:p>
      <w:pPr/>
      <w:r>
        <w:rPr>
          <w:b/>
        </w:rPr>
        <w:t>POSSIBLE 2017:</w:t>
      </w:r>
      <w:r>
        <w:t xml:space="preserve"> Construction and Stabilization of Coastal Foredunes With Vegetation: Padre Island, Texas — https://doi.org/10.5962/bhl.title.46474</w:t>
      </w:r>
    </w:p>
    <w:p>
      <w:pPr/>
      <w:r>
        <w:rPr>
          <w:b/>
        </w:rPr>
        <w:t>Shared claim-specific concepts:</w:t>
      </w:r>
      <w:r>
        <w:t xml:space="preserve"> stabilize, all; EU scope not established. This is a provisional connection, not an outcome finding.</w:t>
      </w:r>
    </w:p>
    <w:p>
      <w:pPr>
        <w:pStyle w:val="SourceNote"/>
      </w:pPr>
      <w:r>
        <w:rPr>
          <w:b/>
        </w:rPr>
        <w:t>Available abstract (not full text):</w:t>
      </w:r>
      <w:r>
        <w:t xml:space="preserve"> Abstract : Experiments were conducted from 1969 to 1974 on Padre Island, Texas, to establish technical specifications and methodologies for the use of beach grasses to construct and stabilize foredunes as storm surge barriers along the gulf coast. Conclusions are based on 2.5 linear miles of experimental plots, consisting of beach plantings and fence-built dunes. Additional experiments on the effects of nutrients and salinity on beach grass growth were conducted in a greenhouse. Bitter panicum and sea oats were the best adapted species for beach plantings. The most successful method of establishing a vegetated dune ridge was transplanting these grasses on the backshore, where they trapped, grew through, and stabilized accumulating sand. Barren dunes built with sand fencing were stabilized with grasses, but the process was more difficult and costly. Most beach plantings were made with a tobacco transplanter, with single culms spaced on 2-foot centers and planted or seated 8 inches deep. A 50-foot-wide planting trapped all available blowing sand. Time-costs for establishing a 1-mile-long, 50-foot-wide beach planting (2-foot centers) of sea oats and bitter panicum were 500 and 287 man-hours, respectively. Both grasses were successfully transplanted year round, but winter through spring was the most favorable period. Transplant survival was influenced by many factors, but mostly by</w:t>
      </w:r>
    </w:p>
    <w:p>
      <w:pPr/>
      <w:r>
        <w:rPr>
          <w:b/>
        </w:rPr>
        <w:t>POSSIBLE 2016:</w:t>
      </w:r>
      <w:r>
        <w:t xml:space="preserve"> flowVS: channel-specific variance stabilization in flow cytometry — https://doi.org/10.1186/s12859-016-1083-9</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pPr/>
      <w:r>
        <w:rPr>
          <w:b/>
        </w:rPr>
        <w:t>POSSIBLE 2016:</w:t>
      </w:r>
      <w:r>
        <w:t xml:space="preserve"> Stabilization, Extraversions and Political Settlements in Somalia — https://openalex.org/W7115257383</w:t>
      </w:r>
    </w:p>
    <w:p>
      <w:pPr/>
      <w:r>
        <w:rPr>
          <w:b/>
        </w:rPr>
        <w:t>Shared claim-specific concepts:</w:t>
      </w:r>
      <w:r>
        <w:t xml:space="preserve"> stabilize, forms, http, org; EU scope not established. This is a provisional connection, not an outcome finding.</w:t>
      </w:r>
    </w:p>
    <w:p>
      <w:pPr>
        <w:pStyle w:val="SourceNote"/>
      </w:pPr>
      <w:r>
        <w:rPr>
          <w:b/>
        </w:rPr>
        <w:t>Available abstract (not full text):</w:t>
      </w:r>
      <w:r>
        <w:t xml:space="preserve"> Past and present attempts to stabilize Somalia highlight the entanglements and interplay between local and foreign elites in policies and practices that frequently undermine statebuilding in south-central Somalia. Moving beyond the mainstream analysis of local actors and internal dynamics as a central dynamic behind the continuous political disorder, this study highlight the role of external aid in dysfunctional statebuilding in Somalia, further assuming that foreign actors should be seen as an integral part of these processes. Persistent tactics by Somali elites—mobilizing, appropriating and redirecting foreign resources and agendas—have been at the core of failed statebuilding. Such tactics form part of what French Africanist Jean-François Bayart has described as ‘extraversion’. Because Somali elites have regularly turned their participation in transitional governments into a resource appropriation tactic, statebuilding has become an end in itself rather than the outcome of a more profound process of actual state formation that would have entailed the centralization of coercion, the generation of public revenue or the building up of popular support. This report highlights four findings echoing existing literature, but also offering new insights, including the observation of recurrent negative relationship between external stabilization attempts and peaceful political settleme</w:t>
      </w:r>
    </w:p>
    <w:p>
      <w:pPr/>
      <w:r>
        <w:rPr>
          <w:b/>
        </w:rPr>
        <w:t>POSSIBLE 2015:</w:t>
      </w:r>
      <w:r>
        <w:t xml:space="preserve"> Dynamic MIPS Rate Stabilization for Complex Processors — https://doi.org/10.1145/2714575</w:t>
      </w:r>
    </w:p>
    <w:p>
      <w:pPr/>
      <w:r>
        <w:rPr>
          <w:b/>
        </w:rPr>
        <w:t>Shared claim-specific concepts:</w:t>
      </w:r>
      <w:r>
        <w:t xml:space="preserve"> stabilize, levels, per, all, energy; EU scope not established. This is a provisional connection, not an outcome finding.</w:t>
      </w:r>
    </w:p>
    <w:p>
      <w:pPr>
        <w:pStyle w:val="SourceNote"/>
      </w:pPr>
      <w:r>
        <w:rPr>
          <w:b/>
        </w:rPr>
        <w:t>Available abstract (not full text):</w:t>
      </w:r>
      <w:r>
        <w:t xml:space="preserve">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pPr/>
      <w:r>
        <w:rPr>
          <w:b/>
        </w:rPr>
        <w:t>POSSIBLE 2015:</w:t>
      </w:r>
      <w:r>
        <w:t xml:space="preserve"> Dietary Vitamin D and Its Metabolites Non-Genomically Stabilize the Endothelium — https://doi.org/10.1371/journal.pone.0140370</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Vitamin D is a known modulator of inflammation. Native dietary vitamin D3 is thought to be bio-inactive, and beneficial vitamin D3 effects are thought to be largely mediated by the metabolite 1,25(OH)2D3. Reduced serum levels of the most commonly measured precursor metabolite, 25(OH)D3, is linked to an increased risk of multiple inflammatory diseases, including: cardiovascular disease, arthritis, multiple sclerosis, and sepsis. Common to all of these diseases is the disruption of endothelial stability and an enhancement of vascular leak. We previously performed an unbiased chemical suppressor screen on a genetic model of vascular instability, and identified cholecalciferol (D3, dietary Vitamin D3) as a factor that had profound and immediate stabilizing and therapeutic effects in that model. In this manuscript we show that the presumed inactive sterol, D3, is actually a potent and general mediator of endothelial stability at physiologically relevant concentrations. We further demonstrate that this phenomenon is apparent in vitamin D3 metabolites 25(OH)D3 and 1,25(OH)2D3, and that the effects are independent of the canonical transcription-mediated vitamin D pathway. Our data suggests the presence of an alternative signaling modality by which D3 acts directly on endothelial cells to prevent vascular leak. The finding that D3 and its metabolites modulate endothelial stability may h</w:t>
      </w:r>
    </w:p>
    <w:p>
      <w:pPr/>
      <w:r>
        <w:rPr>
          <w:b/>
        </w:rPr>
        <w:t>POSSIBLE 2014:</w:t>
      </w:r>
      <w:r>
        <w:t xml:space="preserve"> Diabetic retinopathy stabilization after renal transplantation — https://doi.org/10.4103/0301-4738.136303</w:t>
      </w:r>
    </w:p>
    <w:p>
      <w:pPr/>
      <w:r>
        <w:rPr>
          <w:b/>
        </w:rPr>
        <w:t>Shared claim-specific concepts:</w:t>
      </w:r>
      <w:r>
        <w:t xml:space="preserve"> want, levels, all; EU scope not established. This is a provisional connection, not an outcome finding.</w:t>
      </w:r>
    </w:p>
    <w:p>
      <w:pPr>
        <w:pStyle w:val="SourceNote"/>
      </w:pPr>
      <w:r>
        <w:rPr>
          <w:b/>
        </w:rPr>
        <w:t>Available abstract (not full text):</w:t>
      </w:r>
      <w:r>
        <w:t xml:space="preserve">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983. THE CRITICAL ANALYSIS OF SCENARIO CONSTRUCTION IN THE POLISH FORESIGHT INITIATIVES</w:t>
      </w:r>
    </w:p>
    <w:p>
      <w:pPr>
        <w:pStyle w:val="SourceNote"/>
      </w:pPr>
      <w:r>
        <w:rPr>
          <w:b/>
        </w:rPr>
        <w:t>Original source (2013):</w:t>
      </w:r>
      <w:r>
        <w:t xml:space="preserve"> https://doi.org/10.3846/20294913.2013.809030</w:t>
      </w:r>
    </w:p>
    <w:p>
      <w:pPr/>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Diamond OA Policy Forum Europe: Strategies for Funding Diamond OA in Europe — https://doi.org/10.5281/zenodo.23301450</w:t>
      </w:r>
    </w:p>
    <w:p>
      <w:pPr/>
      <w:r>
        <w:rPr>
          <w:b/>
        </w:rPr>
        <w:t>Shared claim-specific concepts:</w:t>
      </w:r>
      <w:r>
        <w:t xml:space="preserve"> national, science, project, initiatives; EU scope visible. This is a provisional connection, not an outcome finding.</w:t>
      </w:r>
    </w:p>
    <w:p>
      <w:pPr>
        <w:pStyle w:val="SourceNote"/>
      </w:pPr>
      <w:r>
        <w:rPr>
          <w:b/>
        </w:rPr>
        <w:t>Available abstract (not full text):</w:t>
      </w:r>
      <w:r>
        <w:t xml:space="preserve">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pPr/>
      <w:r>
        <w:rPr>
          <w:b/>
        </w:rPr>
        <w:t>POSSIBLE 2026:</w:t>
      </w:r>
      <w:r>
        <w:t xml:space="preserve"> Models of science financing in the context of European integration: analysis of European practices and prospects for Ukraine — https://doi.org/10.15407/etet2026.02.089</w:t>
      </w:r>
    </w:p>
    <w:p>
      <w:pPr/>
      <w:r>
        <w:rPr>
          <w:b/>
        </w:rPr>
        <w:t>Shared claim-specific concepts:</w:t>
      </w:r>
      <w:r>
        <w:t xml:space="preserve"> national, science, article; EU scope visible. This is a provisional connection, not an outcome finding.</w:t>
      </w:r>
    </w:p>
    <w:p>
      <w:pPr>
        <w:pStyle w:val="SourceNote"/>
      </w:pPr>
      <w:r>
        <w:rPr>
          <w:b/>
        </w:rPr>
        <w:t>Available abstract (not full text):</w:t>
      </w:r>
      <w:r>
        <w:t xml:space="preserve"> The article analyzes the possibilities of financing scientific research in Ukraine with the support of European programs and funds. Particular attention is paid to the advantages of participation in programs such as Horizon Europe, and key barriers to the full integration of Ukraine into the European Research Area are identified. Factors affecting the effectiveness of attracting financial resources are assessed, and directions for improving Ukraine’s scientific policy are proposed. The EU’s experience in forming innovative models of science financing is considered. Recommendations are formulated for creating a national strategy for the development of science based on a combination of internal and external sources of funding.</w:t>
      </w:r>
    </w:p>
    <w:p>
      <w:pPr/>
      <w:r>
        <w:rPr>
          <w:b/>
        </w:rPr>
        <w:t>POSSIBLE 2026:</w:t>
      </w:r>
      <w:r>
        <w:t xml:space="preserve"> Coal Transition Pathways in the European Union: Governance and Regional Transformation in Germany, Poland, and Czechia — https://doi.org/10.3390/su18189616</w:t>
      </w:r>
    </w:p>
    <w:p>
      <w:pPr/>
      <w:r>
        <w:rPr>
          <w:b/>
        </w:rPr>
        <w:t>Shared claim-specific concepts:</w:t>
      </w:r>
      <w:r>
        <w:t xml:space="preserve"> national, poland, within, project, application; EU scope visible. This is a provisional connection, not an outcome finding.</w:t>
      </w:r>
    </w:p>
    <w:p>
      <w:pPr>
        <w:pStyle w:val="SourceNote"/>
      </w:pPr>
      <w:r>
        <w:rPr>
          <w:b/>
        </w:rPr>
        <w:t>Available abstract (not full text):</w:t>
      </w:r>
      <w:r>
        <w:t xml:space="preserve"> The European Union’s climate-neutrality objective is reshaping coal-dependent regions, but transition pathways differ according to historical coal dependence, institutional capacity, national energy systems, and regional economic structures. Coal phase-outs represent not merely a sector-specific energy shift, but a systemic socio-spatial transformation that reconfigures regional planning and territorial dynamics. This study examines how governance coordination, phase-out clarity, labour-market instruments, innovation strategies, and post-mining land reuse operate across three major Central European coal regions: the Ruhr Area (Germany), Upper Silesia (Poland), and the Moravian–Silesian Region (Czechia). It applies a qualitative, structured comparative review based on academic literature, policy and strategic documents, official statistics, and three flagship redevelopment cases within the framework of the EU RFCS-funded RAISING project. The comparison shows that the Ruhr Area’s long-term, corporatist coordination has facilitated structural diversification and land reuse over several decades, though challenges regarding job quality and socio-spatial inequalities persist. In Upper Silesia, negotiated agreements foster regional consensus, while the multi-decade transition timeline reflects national energy-security priorities, supply-security constraints, and institutional complexi</w:t>
      </w:r>
    </w:p>
    <w:p>
      <w:pPr/>
      <w:r>
        <w:rPr>
          <w:b/>
        </w:rPr>
        <w:t>POSSIBLE 2026:</w:t>
      </w:r>
      <w:r>
        <w:t xml:space="preserve"> The making of a funding call text: How funding professionals craft interdisciplinary research opportunities for Social Sciences and Humanities — https://doi.org/10.1016/j.respol.2026.105418</w:t>
      </w:r>
    </w:p>
    <w:p>
      <w:pPr/>
      <w:r>
        <w:rPr>
          <w:b/>
        </w:rPr>
        <w:t>Shared claim-specific concepts:</w:t>
      </w:r>
      <w:r>
        <w:t xml:space="preserve"> funded, national, within, project, aim; EU scope visible. This is a provisional connection, not an outcome finding.</w:t>
      </w:r>
    </w:p>
    <w:p>
      <w:pPr>
        <w:pStyle w:val="SourceNote"/>
      </w:pPr>
      <w:r>
        <w:rPr>
          <w:b/>
        </w:rPr>
        <w:t>Available abstract (not full text):</w:t>
      </w:r>
      <w:r>
        <w:t xml:space="preserve"> Whilst it is well-known that research funding significantly shapes research landscapes, there is too little known about the processes that sit behind the funding opportunities — and specifically the publicly-shared funding call texts. The aim of this paper is therefore to investigate the processes experienced by EU funding professionals in authoring and operationalising funding call texts, to surface the different ways in which interdisciplinarity is understood. In seeing these texts as artefacts of situated practices, we conducted a case study on the European Union (EU) Cluster 5 Work Programmes (on climate, energy, mobility) as part of Horizon Europe, including its predecessor calls in Horizon2020. From our analysis of 15 semi-structured interviews, we identified 10 roles that funding professionals adopt, across three stages of a funding call text lifetime: within the Call Creation stage (led by European Commission Policy Officers), there was Steering, Feedback Integration, Quality Control, and Disruption; the Call Dissemination stage (led by EU National Contact Points) involved Awareness-raising, Matchmaking, and Gap-spotting; and the Proposal Selection stage (led by Commission Project Officers overseeing evaluations) involved Expertise Cultivation, Consensus-building, and being a Critical Friend. This study provides empirically-driven insights into the dynamic social proces</w:t>
      </w:r>
    </w:p>
    <w:p>
      <w:pPr/>
      <w:r>
        <w:rPr>
          <w:b/>
        </w:rPr>
        <w:t>POSSIBLE 2025:</w:t>
      </w:r>
      <w:r>
        <w:t xml:space="preserve"> D4.3: Mapping of citizen science funding models — https://doi.org/10.5281/zenodo.20717233</w:t>
      </w:r>
    </w:p>
    <w:p>
      <w:pPr/>
      <w:r>
        <w:rPr>
          <w:b/>
        </w:rPr>
        <w:t>Shared claim-specific concepts:</w:t>
      </w:r>
      <w:r>
        <w:t xml:space="preserve"> national, science, within, project, initiatives; EU scope visible. This is a provisional connection, not an outcome finding.</w:t>
      </w:r>
    </w:p>
    <w:p>
      <w:pPr>
        <w:pStyle w:val="SourceNote"/>
      </w:pPr>
      <w:r>
        <w:rPr>
          <w:b/>
        </w:rPr>
        <w:t>Available abstract (not full text):</w:t>
      </w:r>
      <w:r>
        <w:t xml:space="preserve"> This deliverable presents a comprehensive mapping of citizen science funding models across Europe, addressing a fundamental challenge: how to sustain citizen science initiatives beyond their initial funding periods. The analysis draws on systematic review of 30 literature sources spanning academic literature, EU project deliverables, and policy documents, complemented by primary data collection including ten expert interviews, two practitioner surveys (n=42 combined), and mapping of 487 citizen science projects across the five Horizon Europe Missions. Key findings reveal a landscape dominated by short-term public grant funding, with +50% of projects relying primarily on EU or national grants. This concentration creates structural vulnerability: the WP2 mapping found 40% of projects show no evidence of continuation and nearly 50% have durations shorter than five years. The fundamental mismatch between short funding cycles (typically 1–3 years) and the long-term requirements of citizen science (continuous monitoring, community building, sustained data collection) represents the central sustainability challenge. Alternative funding models remain underutilised despite evidence of their potential. Private sector engagement accounts for only 6–8% of projects; philanthropic funding is rare in the European context; and hybrid/diversified models – identified as most sustainable in the l</w:t>
      </w:r>
    </w:p>
    <w:p>
      <w:pPr/>
      <w:r>
        <w:rPr>
          <w:b/>
        </w:rPr>
        <w:t>POSSIBLE 2025:</w:t>
      </w:r>
      <w:r>
        <w:t xml:space="preserve"> Geological risk assessment on rock cultural monuments on the territory of the Eastern Rhodopes, Bulgaria: National Science Fund project — https://doi.org/10.52321/igh.39.1.27</w:t>
      </w:r>
    </w:p>
    <w:p>
      <w:pPr/>
      <w:r>
        <w:rPr>
          <w:b/>
        </w:rPr>
        <w:t>Shared claim-specific concepts:</w:t>
      </w:r>
      <w:r>
        <w:t xml:space="preserve"> national, science, project; EU scope visible. This is a provisional connection, not an outcome finding.</w:t>
      </w:r>
    </w:p>
    <w:p>
      <w:pPr>
        <w:pStyle w:val="SourceNote"/>
      </w:pPr>
      <w:r>
        <w:rPr>
          <w:b/>
        </w:rPr>
        <w:t>Available abstract (not full text):</w:t>
      </w:r>
      <w:r>
        <w:t xml:space="preserve"> With this study, we are launching a project "Geological risk assessment on rock cultural monuments on the territory of the Eastern Rhodopes" supported by the Bulgarian National Science Fund (2025–2027). The project aims to develop a methodology for assessing the geological risks threatening the rock cultural monuments in the Eastern Rhodopes, Bulgaria. The region was chosen due to its rich archaeological and historical heritage, featuring monuments from various eras, and the need to protect them from destructive geological processes. The research team's task is to further develop the heuristic risk assessment methods applied in Europe and provide a more detailed assessment of the risk and its economic aspects.</w:t>
      </w:r>
    </w:p>
    <w:p>
      <w:pPr/>
      <w:r>
        <w:rPr>
          <w:b/>
        </w:rPr>
        <w:t>POSSIBLE 2024:</w:t>
      </w:r>
      <w:r>
        <w:t xml:space="preserve"> Researchers at Risk: An Update on National-level Actions in Europe 2024 (Inspireurope+) — https://doi.org/10.5281/zenodo.17361729</w:t>
      </w:r>
    </w:p>
    <w:p>
      <w:pPr/>
      <w:r>
        <w:rPr>
          <w:b/>
        </w:rPr>
        <w:t>Shared claim-specific concepts:</w:t>
      </w:r>
      <w:r>
        <w:t xml:space="preserve"> national, science, number, aim, initiatives; EU scope visible. This is a provisional connection, not an outcome finding.</w:t>
      </w:r>
    </w:p>
    <w:p>
      <w:pPr>
        <w:pStyle w:val="SourceNote"/>
      </w:pPr>
      <w:r>
        <w:rPr>
          <w:b/>
        </w:rPr>
        <w:t>Available abstract (not full text):</w:t>
      </w:r>
      <w:r>
        <w:t xml:space="preserve"> Academic freedom and institutional autonomy are currently under pressure in many countries around the world. The initial Inspireurope mapping report and the first report on national-level initiatives in Europe have already pointed out that the number of researchers at risk largely exceeds the available support structures. In the last two years, the contributors to this report have witnessed an increasing number of applications by researchers at risk. Attacks on the academic freedom of scholars and university students continue to curtail academic freedom by limiting what can and cannot be said in and out of classrooms, and additionally by encouraging self-censorship. They affect staff and students alike and range from loss of life and liberty to loss of professional standing, and employment. In some countries, this results from war or armed conflict, as in Ukraine, Sudan, or the Middle East. In other countries, the attacks follow in the trail of increasingly oppressive and authoritarian regimes. Afghanistan, Iran or Russia may serve as examples of countries where the risk of prosecution faced by scholars and students, and, particularly by female academics, has continued to be on the rise. For decades such attacks have been met by NGOs, higher education institutions and government-backed programs offering temporary positions for researchers who have been forced to flee oppressive</w:t>
      </w:r>
    </w:p>
    <w:p>
      <w:pPr/>
      <w:r>
        <w:rPr>
          <w:b/>
        </w:rPr>
        <w:t>POSSIBLE 2024:</w:t>
      </w:r>
      <w:r>
        <w:t xml:space="preserve"> Why European Social Sciences and Humanities Advocacy Matters — https://doi.org/10.1017/pub.2024.49</w:t>
      </w:r>
    </w:p>
    <w:p>
      <w:pPr/>
      <w:r>
        <w:rPr>
          <w:b/>
        </w:rPr>
        <w:t>Shared claim-specific concepts:</w:t>
      </w:r>
      <w:r>
        <w:t xml:space="preserve"> national, science, shaping, article; EU scope visible. This is a provisional connection, not an outcome finding.</w:t>
      </w:r>
    </w:p>
    <w:p>
      <w:pPr>
        <w:pStyle w:val="SourceNote"/>
      </w:pPr>
      <w:r>
        <w:rPr>
          <w:b/>
        </w:rPr>
        <w:t>Available abstract (not full text):</w:t>
      </w:r>
      <w:r>
        <w:t xml:space="preserve"> Abstract This article highlights the importance of European scientists, particularly in the social sciences and humanities, in shaping global research policies through active advocacy in science policy. The European Union (EU) is a significant transnational research funder, largely through its multiannual Framework Programmes, such as Horizon Europe (2020–2027), which support collaboration between researchers worldwide. This funding drives innovation and societal benefit, influencing global standards on topics like sustainability, cultural heritage, and data protection. The EU’s openness to consultation makes it unique compared to countries like the United States and China, where funding decisions are decided top-down by governments and policymakers. Thus, European humanities and social science researchers have a unique opportunity to shape the political research agenda. To strengthen this advocacy, three practical steps await researchers: (1) understand national research narratives, (2) ensure research impacts policymaking, and (3) support international research organisations.</w:t>
      </w:r>
    </w:p>
    <w:p>
      <w:pPr/>
      <w:r>
        <w:rPr>
          <w:b/>
        </w:rPr>
        <w:t>POSSIBLE 2024:</w:t>
      </w:r>
      <w:r>
        <w:t xml:space="preserve"> Cervical cancer in Poland — epidemiology, prevention, and treatment pathways — https://doi.org/10.5603/ocp.100857</w:t>
      </w:r>
    </w:p>
    <w:p>
      <w:pPr/>
      <w:r>
        <w:rPr>
          <w:b/>
        </w:rPr>
        <w:t>Shared claim-specific concepts:</w:t>
      </w:r>
      <w:r>
        <w:t xml:space="preserve"> national, poland, within, polish; EU scope visible. This is a provisional connection, not an outcome finding.</w:t>
      </w:r>
    </w:p>
    <w:p>
      <w:pPr>
        <w:pStyle w:val="SourceNote"/>
      </w:pPr>
      <w:r>
        <w:rPr>
          <w:b/>
        </w:rPr>
        <w:t>Available abstract (not full text):</w:t>
      </w:r>
      <w:r>
        <w:t xml:space="preserve"> Introduction. Cervical cancer in Poland has a higher incidence and mortality rates, and lower 5-year survival rates compared to Western Europe. The Polish government has initiated screening and vaccination programs to improve outcomes. This study reviews cervical cancer epidemiology in Poland and assesses adherence to preventative measures. Additionally, we tried to assess the potential for improving the epidemiological situation in the future. Material and methods. Data were collected from the Polish National Cancer Registry and the National Health Fund. We performed desk research using international databases and peer-reviewed publications to contextualize Poland’s situation within Europe. Results. The incidence rate of cervical cancer in Poland is gradually decreasing, with an annual percent change of -3.3 (95% CI from –5.2 to –1.4; p &lt; 0.05). The age-standardized incidence rate of 18.9 ranks Poland 20th of 27 European countries, while the mortality rate of 10.5 is twice as high as the European average. With only 55.1% of diagnosed women surviving 5 years, Poland ranks near the bottom in Europe. Additionally, only 10% of Poles have received anti-HPV immunization, and cytology screening coverage does not exceed 25%. Conclusions. Cervical cancer outcomes in Poland remain significantly below the European average. There is a pressing need for enhanced preventative measures and e</w:t>
      </w:r>
    </w:p>
    <w:p>
      <w:pPr/>
      <w:r>
        <w:rPr>
          <w:b/>
        </w:rPr>
        <w:t>POSSIBLE 2024:</w:t>
      </w:r>
      <w:r>
        <w:t xml:space="preserve"> Implementing Open Science Principles in Ukrainian Legislation: European Experiences and National Specificities — https://doi.org/10.21564/2414-990x.166.315471</w:t>
      </w:r>
    </w:p>
    <w:p>
      <w:pPr/>
      <w:r>
        <w:rPr>
          <w:b/>
        </w:rPr>
        <w:t>Shared claim-specific concepts:</w:t>
      </w:r>
      <w:r>
        <w:t xml:space="preserve"> national, science, within; EU scope visible. This is a provisional connection, not an outcome finding.</w:t>
      </w:r>
    </w:p>
    <w:p>
      <w:pPr>
        <w:pStyle w:val="SourceNote"/>
      </w:pPr>
      <w:r>
        <w:rPr>
          <w:b/>
        </w:rPr>
        <w:t>Available abstract (not full text):</w:t>
      </w:r>
      <w:r>
        <w:t xml:space="preserve"> In the context of Ukraine's European integration and ongoing scientific sector reform, implementing Open Science principles has become increasingly relevant for the national academic community. This paper analyzes EU and Ukrainian legislation regarding open access to scientific and technical information and research infrastructure, while also proposing ways to improve the quality assessment system for scientific and technical activities. The authors employ a comprehensive methodology, combining general scientific methods (analysis, synthesis, comparison, and historical analysis) with specialized legal research methods (doctrinal analysis, forecasting, and modeling) to conduct a multifaceted study and support their conclusions on the need for legislative updates. The first section examines the legal framework supporting open access to scientific and technical information, arguing for the introduction of new legislative concepts including «open access to scientific and technical information», «public funding of scientific research», «research data,», «metadata». The second section addresses copyright protection within the open science context, proposing amendments to Ukrainian legislation regarding open access to scientific publications, in-depth text and data analysis, regulation of orphan works, and the right of secondary publication. The third section evaluates the alignment o</w:t>
      </w:r>
    </w:p>
    <w:p>
      <w:pPr/>
      <w:r>
        <w:rPr>
          <w:b/>
        </w:rPr>
        <w:t>POSSIBLE 2024:</w:t>
      </w:r>
      <w:r>
        <w:t xml:space="preserve"> Return on investment in science: twenty years of European Commission funded research in Alzheimer’s dementia, breast cancer and prostate cancer — https://doi.org/10.1186/s12962-024-00540-5</w:t>
      </w:r>
    </w:p>
    <w:p>
      <w:pPr/>
      <w:r>
        <w:rPr>
          <w:b/>
        </w:rPr>
        <w:t>Shared claim-specific concepts:</w:t>
      </w:r>
      <w:r>
        <w:t xml:space="preserve"> funded, national, science, shaping, number, present; EU scope visible. This is a provisional connection, not an outcome finding.</w:t>
      </w:r>
    </w:p>
    <w:p>
      <w:pPr>
        <w:pStyle w:val="SourceNote"/>
      </w:pPr>
      <w:r>
        <w:rPr>
          <w:b/>
        </w:rPr>
        <w:t>Available abstract (not full text):</w:t>
      </w:r>
      <w:r>
        <w:t xml:space="preserve"> Alzheimer's disease (AD), breast cancer (BC) and prostate cancer (PC) continue to be high in the research and innovation agenda of the European Commission (EC). This is due to their exceptionally large burden to the national health systems, the profound economic effects of opportunity costs attributable to decreased working ability, premature mortality and the ever-increasing demand for both hospital and home-based medical care. Over the last two decades, the EC has been steadily increasing both the number of proposals being funded and the amounts of financial resources being allocated to these fields of research. This trend has continued throughout four consecutive science funding cycles, namely framework programme (FP)5, FP6, FP7 and Horizon 2020 (H2020). We performed a retrospective assessment of the outputs and outcomes of EC funding in AD, BC and PC research over the 1999-2019 period by means of selected indicators. These indicators were assessed for their ability to screen the past, present and future for an array of causal relationships and long-term trends in clinical, epidemiological and public health sphere, while considering also the broader socioeconomic impact of funded research on the society at large. This analysis shows that public-private partnerships with large industry and university-based consortia have led to some of the most impactful proposals being funde</w:t>
      </w:r>
    </w:p>
    <w:p>
      <w:pPr>
        <w:pStyle w:val="Heading2"/>
      </w:pPr>
      <w:r>
        <w:t>984. The EU Decarbonisation Roadmap 2050—What way to walk?</w:t>
      </w:r>
    </w:p>
    <w:p>
      <w:pPr>
        <w:pStyle w:val="SourceNote"/>
      </w:pPr>
      <w:r>
        <w:rPr>
          <w:b/>
        </w:rPr>
        <w:t>Original source (2013):</w:t>
      </w:r>
      <w:r>
        <w:t xml:space="preserve"> https://doi.org/10.1016/j.enpol.2012.11.054</w:t>
      </w:r>
    </w:p>
    <w:p>
      <w:pPr/>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POSSIBLE 2026:</w:t>
      </w:r>
      <w:r>
        <w:t xml:space="preserve"> Financing the European Union's Progressive Industrial Policies — https://doi.org/10.4324/9781003745563-13</w:t>
      </w:r>
    </w:p>
    <w:p>
      <w:pPr/>
      <w:r>
        <w:rPr>
          <w:b/>
        </w:rPr>
        <w:t>Shared claim-specific concepts:</w:t>
      </w:r>
      <w:r>
        <w:t xml:space="preserve"> include, decarbonisation; EU scope visible. This is a provisional connection, not an outcome finding.</w:t>
      </w:r>
    </w:p>
    <w:p>
      <w:pPr>
        <w:pStyle w:val="SourceNote"/>
      </w:pPr>
      <w:r>
        <w:rPr>
          <w:b/>
        </w:rPr>
        <w:t>Available abstract (not full text):</w:t>
      </w:r>
      <w:r>
        <w:t xml:space="preserve"> As the EU's annual green investment gap amounts to approximately 2.3–3.2% of gross domestic product (GDP), this chapter discusses financing alternatives for the expanded EU-level industrial policies addressed in this volume. Proposed options to increase the EU budget from 2028 onwards include enhanced EU-level taxation, particularly on financial transactions, wealth, and capital gains; permanent issuance of EU bonds; the creation of a permanent EU investment fund; and the continued leveraging of development banks to scale up credit allocation and public equity funding. Many of these financing options are rather mutually supportive than exclusive on a technical level. Amid fiscal restraint (financial) derisking, intended to “escort” private finance to green but unprofitable investments, has become central to European policymakers' strategy for accelerating the green transition. However, such derisking measures have largely failed to generate the level of investment required to meet the EU's decarbonisation goals. The chapter therefore elaborates on the concept of “progressive derisking”, i.e., designing derisking mechanisms to align with progressive approaches to European industrial policy. Targeting European public goods is essential for enhancing the political feasibility of increased supranational public funding.</w:t>
      </w:r>
    </w:p>
    <w:p>
      <w:pPr/>
      <w:r>
        <w:rPr>
          <w:b/>
        </w:rPr>
        <w:t>POSSIBLE 2025:</w:t>
      </w:r>
      <w:r>
        <w:t xml:space="preserve"> Clean Heat Standards: Foundations, Policy Mechanisms, and Recent Developments — https://doi.org/10.3390/en18112764</w:t>
      </w:r>
    </w:p>
    <w:p>
      <w:pPr/>
      <w:r>
        <w:rPr>
          <w:b/>
        </w:rPr>
        <w:t>Shared claim-specific concepts:</w:t>
      </w:r>
      <w:r>
        <w:t xml:space="preserve"> clean, mechanism, emissions; EU scope not established. This is a provisional connection, not an outcome finding.</w:t>
      </w:r>
    </w:p>
    <w:p>
      <w:pPr>
        <w:pStyle w:val="SourceNote"/>
      </w:pPr>
      <w:r>
        <w:rPr>
          <w:b/>
        </w:rPr>
        <w:t>Available abstract (not full text):</w:t>
      </w:r>
      <w:r>
        <w:t xml:space="preserve"> Clean heat standards (CHS) represent a promising policy mechanism to drive the decarbonization of space and hot water heating, a significant contributor to global greenhouse gas emissions. This paper provides an introduction to CHS, which set targets for heat decarbonization for heating market actors. We explore their design features, implementation approaches, and potential synergies with other policy instruments. The analysis focuses on their role in complementing fossil fuel phaseout policies, accelerating market transformation, and addressing key barriers. Drawing on examples from existing and proposed policies worldwide, the paper examines the potential impacts of clean heat standards placed on heating appliance manufacturers, energy companies, and end users. It also considers the importance of integrating these standards into broader energy and environmental policy frameworks to achieve equitable and efficient outcomes. The findings suggest that while clean heat standards have substantial potential to reduce emissions and advance energy transition goals, their effectiveness will depend on careful design, robust enforcement, and alignment with complementary policies. This paper aims to provide policymakers, researchers, and stakeholders with a foundational understanding of clean heat standards and their role in fostering sustainable heating solutions.</w:t>
      </w:r>
    </w:p>
    <w:p>
      <w:pPr/>
      <w:r>
        <w:rPr>
          <w:b/>
        </w:rPr>
        <w:t>POSSIBLE 2025:</w:t>
      </w:r>
      <w:r>
        <w:t xml:space="preserve"> Policy options in accelerating circular economy adoption in the Gulf countries — https://doi.org/10.70132/h2693793554</w:t>
      </w:r>
    </w:p>
    <w:p>
      <w:pPr/>
      <w:r>
        <w:rPr>
          <w:b/>
        </w:rPr>
        <w:t>Shared claim-specific concepts:</w:t>
      </w:r>
      <w:r>
        <w:t xml:space="preserve"> include, clean, countries, roadmap; EU scope not established. This is a provisional connection, not an outcome finding.</w:t>
      </w:r>
    </w:p>
    <w:p>
      <w:pPr>
        <w:pStyle w:val="SourceNote"/>
      </w:pPr>
      <w:r>
        <w:rPr>
          <w:b/>
        </w:rPr>
        <w:t>Available abstract (not full text):</w:t>
      </w:r>
      <w:r>
        <w:t xml:space="preserve"> The transition to a circular economy is a pivotal step for the Gulf Cooperation Council (GCC) countries, given the growing environmental challenges, scarce resources, and the urgent need to diversify economies away from hydrocarbon dependence.This paper presents a comprehensive analysis of policies to accelerate the adoption of the circular economy in the Gulf countries based on a multidimensional analytical framework encompassing Social, Technological, Economic, Environmental, and Political (STEEP) aspects.Drawing on consultations with regional experts and specialized researchers, numerous case studies, and global best practices.The study reviews a set of proposed policies to accelerate investment in the circular economy in the Gulf countries.These include various tools such as investment in clean technology, strong political support, and the establishment of circular funds.It also reviews the challenges and outcomes of recycling, stimulates legislation, and reduces traditional consumption patterns.The study also presents a "causal loop diagram" (CLD) highlighting the dynamic interactions and feedback influencing the transition to a circular economy.The findings emphasize the importance of aligning regulatory policies, providing financial incentives, developing circular infrastructure, and enhancing community awareness.The study concludes by proposing six actionable policy opt</w:t>
      </w:r>
    </w:p>
    <w:p>
      <w:pPr/>
      <w:r>
        <w:rPr>
          <w:b/>
        </w:rPr>
        <w:t>POSSIBLE 2025:</w:t>
      </w:r>
      <w:r>
        <w:t xml:space="preserve"> European Climate Policy and the Global Context — https://doi.org/10.1007/978-3-031-84483-6_4</w:t>
      </w:r>
    </w:p>
    <w:p>
      <w:pPr/>
      <w:r>
        <w:rPr>
          <w:b/>
        </w:rPr>
        <w:t>Shared claim-specific concepts:</w:t>
      </w:r>
      <w:r>
        <w:t xml:space="preserve"> option, there, countries, emissions; EU scope visible. This is a provisional connection, not an outcome finding.</w:t>
      </w:r>
    </w:p>
    <w:p>
      <w:pPr>
        <w:pStyle w:val="SourceNote"/>
      </w:pPr>
      <w:r>
        <w:rPr>
          <w:b/>
        </w:rPr>
        <w:t>Available abstract (not full text):</w:t>
      </w:r>
      <w:r>
        <w:t xml:space="preserve"> This chapter addresses European climate policy and puts it in the context of strategic aspects of international climate policy. To explore the strategic nature of international climate policy-making, governments’ decision-making is modelled in game theoretical settings. Climate change mitigation is a global public good, as it is non-excludable and non-rival in consumption globally. Own provision of this public good and other countries’ provision are perfect substitutes, i.e., benefits of slowed global warming are equally enjoyed regardless of whether climate protection is produced domestically or abroad. The difference is only on the cost side, as a country’s own climate protection raises domestic costs while costs of climate protection abroad are borne by other countries. Consequently, there are free-rider incentives in international climate protection and as these incentives are prevalent among all countries, the global climate protection level remains at a sub-optimally low level. Given these free-rider incentives, ambitious climate change mitigation policy by the EU tends to require some additional justification. In this context, the EU regularly refers to significant non-global benefits of climate protection projects that arise additionally to the global primary benefits, i.e., the global benefits enjoyed from pursuing the primary aim of climate change mitigation policy, w</w:t>
      </w:r>
    </w:p>
    <w:p>
      <w:pPr/>
      <w:r>
        <w:rPr>
          <w:b/>
        </w:rPr>
        <w:t>POSSIBLE 2024:</w:t>
      </w:r>
      <w:r>
        <w:t xml:space="preserve"> Policy options for sustainable access to off-patent antibiotics in Europe — https://doi.org/10.1038/s44259-024-00061-4</w:t>
      </w:r>
    </w:p>
    <w:p>
      <w:pPr/>
      <w:r>
        <w:rPr>
          <w:b/>
        </w:rPr>
        <w:t>Shared claim-specific concepts:</w:t>
      </w:r>
      <w:r>
        <w:t xml:space="preserve"> countries,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exposure of nonhuman living organisms to mobile communication emissions: A survey to establish European stakeholders’ policy option preferences — https://doi.org/10.1111/risa.14322</w:t>
      </w:r>
    </w:p>
    <w:p>
      <w:pPr/>
      <w:r>
        <w:rPr>
          <w:b/>
        </w:rPr>
        <w:t>Shared claim-specific concepts:</w:t>
      </w:r>
      <w:r>
        <w:t xml:space="preserve"> option, there, emissions; EU scope visible. This is a provisional connection, not an outcome finding.</w:t>
      </w:r>
    </w:p>
    <w:p>
      <w:pPr>
        <w:pStyle w:val="SourceNote"/>
      </w:pPr>
      <w:r>
        <w:rPr>
          <w:b/>
        </w:rPr>
        <w:t>Available abstract (not full text):</w:t>
      </w:r>
      <w:r>
        <w:t xml:space="preserve"> There is an unprecedented exposure of living organisms to mobile communications radiofrequency electromagnetic field (RF-EMF) emissions. Guidelines on exposure thresholds to limit thermal effects from these emissions are restricted to humans. However, tissue heating can occur in all living organisms that are exposed. In addition, exposure at millimetric frequencies used by 5G may impact surface tissues and organs of plants and small-size species. It is also expected that the addition of 5G to existing networks will intensify radiofrequency absorption by living organisms. A European Parliament report proposed policy options on the effects of RF-EMF exposure of plants, animals, and other living organisms in the context of 5G: funding more research, implementing monitoring networks, accessing more information from operators on antennas and EMF emissions, and developing compliance studies when antennas are installed. However, there is no evidence on the preferences of relevant stakeholders regarding these policy options. This paper reports the findings of a survey of key European stakeholders' policy option preferences based on the European Parliament's report. It reveals a broad consensus on funding more research on the effects of exposure of plants, animals, and other living organisms to EMFs. It also highlights the need for deliberation concerning the other policy options that c</w:t>
      </w:r>
    </w:p>
    <w:p>
      <w:pPr/>
      <w:r>
        <w:rPr>
          <w:b/>
        </w:rPr>
        <w:t>POSSIBLE 2024:</w:t>
      </w:r>
      <w:r>
        <w:t xml:space="preserve"> Clean Energy Options for the Future — https://doi.org/10.1007/978-3-031-25463-5_18</w:t>
      </w:r>
    </w:p>
    <w:p>
      <w:pPr/>
      <w:r>
        <w:rPr>
          <w:b/>
        </w:rPr>
        <w:t>Shared claim-specific concepts:</w:t>
      </w:r>
      <w:r>
        <w:t xml:space="preserve"> clean, there, countries; EU scope not established. This is a provisional connection, not an outcome finding.</w:t>
      </w:r>
    </w:p>
    <w:p>
      <w:pPr>
        <w:pStyle w:val="SourceNote"/>
      </w:pPr>
      <w:r>
        <w:rPr>
          <w:b/>
        </w:rPr>
        <w:t>Available abstract (not full text):</w:t>
      </w:r>
      <w:r>
        <w:t xml:space="preserve"> While the transition to a cleaner energy sector is underway in Pacific Island Countries and Territories (PICTs), there are still many challenges that need to be overcome from demand, energy, chemical, and technological perspectives. The composition of the Pacific region makes it highly compatible with the movement towards small-scale, decentralized, and on-demand production of chemicals (for direct use as well as acting as an energy storage vector). Power-to-X, being the conversion of electricity into a range of different chemicals and fuels, has immense potential to offset reliance on imports, fossil fuels, as well as decrease transportation requirements. The emerging Power-to-X technologies have potential to address many of the struggles in transforming to a renewable sector. This chapter examines the transition to clean energy generation technologies, focusing on those emerging technologies which are close-to-market level implementation and have the potential to transform the Pacific region. The prospects and limitations, including the diversity of the region from both a generation and storage perspective, as well as the chemical demand, and its reliance on fossil fuel-based derivatives and imports are discussed.</w:t>
      </w:r>
    </w:p>
    <w:p>
      <w:pPr/>
      <w:r>
        <w:rPr>
          <w:b/>
        </w:rPr>
        <w:t>POSSIBLE 2024:</w:t>
      </w:r>
      <w:r>
        <w:t xml:space="preserve"> European Climate Policy and the Global Context — https://doi.org/10.1007/978-1-4614-6431-0_4-4</w:t>
      </w:r>
    </w:p>
    <w:p>
      <w:pPr/>
      <w:r>
        <w:rPr>
          <w:b/>
        </w:rPr>
        <w:t>Shared claim-specific concepts:</w:t>
      </w:r>
      <w:r>
        <w:t xml:space="preserve"> option, there, countries, emissions; EU scope visible. This is a provisional connection, not an outcome finding.</w:t>
      </w:r>
    </w:p>
    <w:p>
      <w:pPr>
        <w:pStyle w:val="SourceNote"/>
      </w:pPr>
      <w:r>
        <w:rPr>
          <w:b/>
        </w:rPr>
        <w:t>Available abstract (not full text):</w:t>
      </w:r>
      <w:r>
        <w:t xml:space="preserve"> This chapter addresses European climate policy and puts it in the context of strategic aspects of international climate policy. To explore the strategic nature of international climate policy-making, governments’ decision-making is modelled in game theoretical settings. Climate change mitigation is a global public good, as it is non-excludable and non-rival in consumption globally. Own provision of this public good and other countries’ provision are perfect substitutes, i.e., benefits of slowed global warming are equally enjoyed regardless of whether climate protection is produced domestically or abroad. The difference is only on the cost side, as a country’s own climate protection raises domestic costs while costs of climate protection abroad are borne by other countries. Consequently, there are free-rider incentives in international climate protection and as these incentives are prevalent among all countries, the global climate protection level remains at a sub-optimally low level. Given these free-rider incentives, ambitious climate change mitigation policy by the EU tends to require some additional justification. In this context, the EU regularly refers to significant non-global benefits of climate protection projects that arise additionally to the global primary benefits, i.e., the global benefits enjoyed from pursuing the primary aim of climate change mitigation policy, w</w:t>
      </w:r>
    </w:p>
    <w:p>
      <w:pPr/>
      <w:r>
        <w:rPr>
          <w:b/>
        </w:rPr>
        <w:t>POSSIBLE 2024:</w:t>
      </w:r>
      <w:r>
        <w:t xml:space="preserve"> Clean Industry in China: A Techno-Economic Comparison of Electrified Heat Technologies, Barriers, and Policy Options — https://doi.org/10.20357/b70894</w:t>
      </w:r>
    </w:p>
    <w:p>
      <w:pPr/>
      <w:r>
        <w:rPr>
          <w:b/>
        </w:rPr>
        <w:t>Shared claim-specific concepts:</w:t>
      </w:r>
      <w:r>
        <w:t xml:space="preserve"> option, clean, there, emissions, out; EU scope not established. This is a provisional connection, not an outcome finding.</w:t>
      </w:r>
    </w:p>
    <w:p>
      <w:pPr>
        <w:pStyle w:val="SourceNote"/>
      </w:pPr>
      <w:r>
        <w:rPr>
          <w:b/>
        </w:rPr>
        <w:t>Available abstract (not full text):</w:t>
      </w:r>
      <w:r>
        <w:t xml:space="preserve"> China’s manufacturing sector generates 61% of the country’s CO2 emissions, nearly three-quarters of which is related to industrial process heating. To meet China’s climate targets and attain a zero-carbon industrial sector, decarbonizing these industrial heating processes is a necessity. If China’s electricity grid is similarly decarbonized, direct electrification is the most practical means of supplying this heat efficiently at the required scale. In addition to reducing greenhouse gas emissions, industrial electrification would help reduce conventional pollution that was responsible for 1.85 million premature deaths in China in 2019, and it would improve China’s energy security, as the country imported 85% of its petroleum products and crude oil as well as 46% of its natural gas in 2021. Direct electrification would also help Chinese firms avoid volatile fossil fuel prices and future carbon pricing costs, and ensure competitiveness when selling products to environmentally-conscious buyers and governments that may use carbon border adjustment mechanisms or similar efforts to encourage the procurement of cleaner materials. Two electrified technologies stand out as means for China to decarbonize its industrial process heating: industrial heat pumps and thermal batteries. Heat pumps can be the most efficient and cost-effective method to supply clean, low-temperature heat for indu</w:t>
      </w:r>
    </w:p>
    <w:p>
      <w:pPr/>
      <w:r>
        <w:rPr>
          <w:b/>
        </w:rPr>
        <w:t>POSSIBLE 2024:</w:t>
      </w:r>
      <w:r>
        <w:t xml:space="preserve"> Climate Policy Reform Options in 2025 — https://doi.org/10.3386/w32168</w:t>
      </w:r>
    </w:p>
    <w:p>
      <w:pPr/>
      <w:r>
        <w:rPr>
          <w:b/>
        </w:rPr>
        <w:t>Shared claim-specific concepts:</w:t>
      </w:r>
      <w:r>
        <w:t xml:space="preserve"> include, clean, emissions; EU scope not established. This is a provisional connection, not an outcome finding.</w:t>
      </w:r>
    </w:p>
    <w:p>
      <w:pPr>
        <w:pStyle w:val="SourceNote"/>
      </w:pPr>
      <w:r>
        <w:rPr>
          <w:b/>
        </w:rPr>
        <w:t>Available abstract (not full text):</w:t>
      </w:r>
      <w:r>
        <w:t xml:space="preserve"> With the expiration of many tax cuts and unmet climate targets, 2025 could be a crucial year for climate policy in the United States.Using an integrated model of energy supply and demand, this paper aims to assess climate policies that the U.S. federal government may consider in 2025 and to evaluate emissions reductions, abatement costs, fiscal impacts, and household energy expenditures across a range of policy scenarios.The model results show several key findings.First, the emissions reductions of the Inflation Reduction Act are significantly augmented under scenarios that add a modest carbon fee or, to a lesser extent, that implement a clean electricity standard in the power sector.Second, net fiscal costs can be substantially reduced in scenarios that include a carbon fee, especially if fossil fuel exports are taxed.Third, expanding the IRA tax credits yields modest additional emissions reductions with higher fiscal costs.Finally, although none of the policy combinations across these scenarios achieve the U.S. target of a 50-52% economy-wide emissions reduction by 2030 from 2005 levels, the carbon fee and clean electricity standard scenarios achieve these levels between 2030 and 2035.</w:t>
      </w:r>
    </w:p>
    <w:p>
      <w:pPr/>
      <w:r>
        <w:rPr>
          <w:b/>
        </w:rPr>
        <w:t>POSSIBLE 2023:</w:t>
      </w:r>
      <w:r>
        <w:t xml:space="preserve"> Sustainability and Competition Policy in Europe: Recent Developments — https://doi.org/10.1093/jeclap/lpad032</w:t>
      </w:r>
    </w:p>
    <w:p>
      <w:pPr/>
      <w:r>
        <w:rPr>
          <w:b/>
        </w:rPr>
        <w:t>Shared claim-specific concepts:</w:t>
      </w:r>
      <w:r>
        <w:t xml:space="preserve"> without, out;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2023:</w:t>
      </w:r>
      <w:r>
        <w:t xml:space="preserve"> 4.N. Round table: Policy options for fixing the global and European health and care workforce-crisis — https://doi.org/10.1093/eurpub/ckad160.260</w:t>
      </w:r>
    </w:p>
    <w:p>
      <w:pPr/>
      <w:r>
        <w:rPr>
          <w:b/>
        </w:rPr>
        <w:t>Shared claim-specific concepts:</w:t>
      </w:r>
      <w:r>
        <w:t xml:space="preserve"> include, there, countries; EU scope visible. This is a provisional connection, not an outcome finding.</w:t>
      </w:r>
    </w:p>
    <w:p>
      <w:pPr>
        <w:pStyle w:val="SourceNote"/>
      </w:pPr>
      <w:r>
        <w:rPr>
          <w:b/>
        </w:rPr>
        <w:t>Available abstract (not full text):</w:t>
      </w:r>
      <w:r>
        <w:t xml:space="preserve"> Abstract Globally and within Europe, health systems are plagued by health and care workforce (HCWF) shortages, regional maldistribution, and skill-gaps. Insufficient training pipelines for health and care workers (HCW), attrition, discouraging working conditions and, in Europe, the demographics are contributing factors to the HCWF-crisis. This situation has been aggravated by the impact of COVID-19 and its immense burden on HCW's resulting in a further thinning of the HCWF. Despite these challenges, there are also many lessons to be learned from the various COVID-19 health systems responses in countries on improving the situation for the HCWF. National responses to COVID-19 showed that the health and care workforce is capable of hugely positive change. The lessons generated offer powerful evidence on how best to develop a sustainable workforce that is equipped to deliver on the ambitions of universal health coverage (UHC), health security and the sustainable development goals (SDGs). There is, however, no simple solution or silver bullet that can resolve the crisis. The response needs to be multi-faceted. Therefore, in this roundtable discussion, we will review policy options bundled in three sets: The first set focuses on the working conditions, which include: changing the scope of practice and introducing team-based roles; increasing the use of technology and digital tools; a</w:t>
      </w:r>
    </w:p>
    <w:p>
      <w:pPr>
        <w:pStyle w:val="Heading2"/>
      </w:pPr>
      <w:r>
        <w:t>985. The European Unions Strategic Gas Supply Options and the Prevalence of the Southern Corridor</w:t>
      </w:r>
    </w:p>
    <w:p>
      <w:pPr>
        <w:pStyle w:val="SourceNote"/>
      </w:pPr>
      <w:r>
        <w:rPr>
          <w:b/>
        </w:rPr>
        <w:t>Original source (2013):</w:t>
      </w:r>
      <w:r>
        <w:t xml:space="preserve"> https://doi.org/10.54648/eerr2013040</w:t>
      </w:r>
    </w:p>
    <w:p>
      <w:pPr/>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pPr/>
      <w:r>
        <w:rPr>
          <w:b/>
        </w:rPr>
        <w:t>POSSIBLE 2025:</w:t>
      </w:r>
      <w:r>
        <w:t xml:space="preserve"> Predicting and preventing preterm birth in Europe: current challenges and gaps — https://doi.org/10.1080/14767058.2025.2547687</w:t>
      </w:r>
    </w:p>
    <w:p>
      <w:pPr/>
      <w:r>
        <w:rPr>
          <w:b/>
        </w:rPr>
        <w:t>Shared claim-specific concepts:</w:t>
      </w:r>
      <w:r>
        <w:t xml:space="preserve"> current, predict, need, concern; EU scope visible. This is a provisional connection, not an outcome finding.</w:t>
      </w:r>
    </w:p>
    <w:p>
      <w:pPr>
        <w:pStyle w:val="SourceNote"/>
      </w:pPr>
      <w:r>
        <w:rPr>
          <w:b/>
        </w:rPr>
        <w:t>Available abstract (not full text):</w:t>
      </w:r>
      <w:r>
        <w:t xml:space="preserve">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pPr/>
      <w:r>
        <w:rPr>
          <w:b/>
        </w:rPr>
        <w:t>POSSIBLE 2025:</w:t>
      </w:r>
      <w:r>
        <w:t xml:space="preserve"> Prevalence of Glaucoma in Europe and Projections to 2050 — https://doi.org/10.1016/j.ophtha.2025.06.002</w:t>
      </w:r>
    </w:p>
    <w:p>
      <w:pPr/>
      <w:r>
        <w:rPr>
          <w:b/>
        </w:rPr>
        <w:t>Shared claim-specific concepts:</w:t>
      </w:r>
      <w:r>
        <w:t xml:space="preserve"> current, estimates, predict;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Current Estimates on Greenhouse Gas Emissions in China Between 1970 and 2023 — https://doi.org/10.3390/atmos16111276</w:t>
      </w:r>
    </w:p>
    <w:p>
      <w:pPr/>
      <w:r>
        <w:rPr>
          <w:b/>
        </w:rPr>
        <w:t>Shared claim-specific concepts:</w:t>
      </w:r>
      <w:r>
        <w:t xml:space="preserve"> current, estimates, need, gas; EU scope not established. This is a provisional connection, not an outcome finding.</w:t>
      </w:r>
    </w:p>
    <w:p>
      <w:pPr>
        <w:pStyle w:val="SourceNote"/>
      </w:pPr>
      <w:r>
        <w:rPr>
          <w:b/>
        </w:rPr>
        <w:t>Available abstract (not full text):</w:t>
      </w:r>
      <w:r>
        <w:t xml:space="preserve"> Between 1970 and 2023, China’s yearly anthropogenic CO2 emissions increased from 0.96 to 13.58 Pg. Yearly non-CO2 greenhouse gases (GHGs) in China increased from 1133.7 Tg CO2eq in 1970 to 3095.3 Tg CO2eq in 2023. In terms of weight of the global warming potential over a horizon of 100 years, China’s anthropogenic non-CO2 GHG emissions, approximately 56.8%, 13.5%, 10.1%, 10.4%, 5.2%, and 3.9% of which were from methane, nitrous oxide, hydrochlorofluorocarbons, hydrofluorocarbons, perfluorinated compounds, and chlorofluorocarbons, respectively, were equal to 23.3% of its anthropogenic CO2 emissions in 2023. Despite efforts for mitigation, China’s non-CO2 emissions are projected to keep growing in the foreseeable future due to unreported emissions, continuous industrialization, and global warming. This result shows that merely controlling anthropogenic CO2 emissions and achieving carbon neutrality are not enough; non-CO2 GHG emissions also need to be curbed.</w:t>
      </w:r>
    </w:p>
    <w:p>
      <w:pPr/>
      <w:r>
        <w:rPr>
          <w:b/>
        </w:rPr>
        <w:t>POSSIBLE 2025:</w:t>
      </w:r>
      <w:r>
        <w:t xml:space="preserve"> Observations informed European Black Carbon emission estimates for 2022 — https://doi.org/10.5194/egusphere-egu25-18977</w:t>
      </w:r>
    </w:p>
    <w:p>
      <w:pPr/>
      <w:r>
        <w:rPr>
          <w:b/>
        </w:rPr>
        <w:t>Shared claim-specific concepts:</w:t>
      </w:r>
      <w:r>
        <w:t xml:space="preserve"> current, estimates, strong;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r>
        <w:rPr>
          <w:b/>
        </w:rPr>
        <w:t>POSSIBLE 2024:</w:t>
      </w:r>
      <w:r>
        <w:t xml:space="preserve"> Pesticide Residues in Organic and Conventional Agricultural Soils across Europe: Measured and Predicted Concentrations — https://doi.org/10.1021/acs.est.3c09059</w:t>
      </w:r>
    </w:p>
    <w:p>
      <w:pPr/>
      <w:r>
        <w:rPr>
          <w:b/>
        </w:rPr>
        <w:t>Shared claim-specific concepts:</w:t>
      </w:r>
      <w:r>
        <w:t xml:space="preserve"> current, estimates, countries; EU scope visible. This is a provisional connection, not an outcome finding.</w:t>
      </w:r>
    </w:p>
    <w:p>
      <w:pPr>
        <w:pStyle w:val="SourceNote"/>
      </w:pPr>
      <w:r>
        <w:rPr>
          <w:b/>
        </w:rPr>
        <w:t>Available abstract (not full text):</w:t>
      </w:r>
      <w:r>
        <w:t xml:space="preserve">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pPr/>
      <w:r>
        <w:rPr>
          <w:b/>
        </w:rPr>
        <w:t>POSSIBLE 2024:</w:t>
      </w:r>
      <w:r>
        <w:t xml:space="preserve"> Helping the climate by replacing liquefied natural gas with liquefied hydrogen or ammonia? — https://doi.org/10.1088/1748-9326/ad376f</w:t>
      </w:r>
    </w:p>
    <w:p>
      <w:pPr/>
      <w:r>
        <w:rPr>
          <w:b/>
        </w:rPr>
        <w:t>Shared claim-specific concepts:</w:t>
      </w:r>
      <w:r>
        <w:t xml:space="preserve"> gas, about, countries; EU scope visible. This is a provisional connection, not an outcome finding.</w:t>
      </w:r>
    </w:p>
    <w:p>
      <w:pPr>
        <w:pStyle w:val="SourceNote"/>
      </w:pPr>
      <w:r>
        <w:rPr>
          <w:b/>
        </w:rPr>
        <w:t>Available abstract (not full text):</w:t>
      </w:r>
      <w:r>
        <w:t xml:space="preserve"> Abstract The war in Ukraine caused Europe to more than double its imports of liquefied natural gas (LNG) in only one year. In addition, imported LNG remains a crucial source of energy for resource-poor countries, such as Japan, where LNG imports satisfy about a quarter of the country’s primary energy demand. However, an increasing number of countries are formulating stringent decarbonization plans. Liquefied hydrogen and liquefied ammonia coupled with carbon capture and storage (LH2-CCS, LNH3-CCS) are emerging as the front runners in the search for low-carbon alternatives to LNG. Yet, little is currently known about the full environmental profile of LH2-CCS and LNH3-CCS because several characteristics of the two alternatives have only been analyzed in isolation in previous work. Here we show that the potential of these fuels to reduce greenhouse gas (GHG) emissions throughout the supply chain is highly uncertain. Our best estimate is that LH2-CCS and LNH3-CCS can reduce GHG emissions by 25%–61% relative to LNG assuming a 100 year global warming potential. However, directly coupling LNG with CCS would lead to substantial GHG reductions on the order of 74%. Further, under certain conditions, emissions from LH2-CCS and LNH3-CCS could exceed those of LNG, by up to 44%. These results question the suitability of LH2-CCS and LNH3-CCS for stringent decarbonization purposes.</w:t>
      </w:r>
    </w:p>
    <w:p>
      <w:pPr/>
      <w:r>
        <w:rPr>
          <w:b/>
        </w:rPr>
        <w:t>POSSIBLE 2023:</w:t>
      </w:r>
      <w:r>
        <w:t xml:space="preserve"> European Gas Market Restructuring: Interests of Importing Countries and Gas Exporting Companies — https://doi.org/10.20542/0131-2227-2023-67-8-48-59</w:t>
      </w:r>
    </w:p>
    <w:p>
      <w:pPr/>
      <w:r>
        <w:rPr>
          <w:b/>
        </w:rPr>
        <w:t>Shared claim-specific concepts:</w:t>
      </w:r>
      <w:r>
        <w:t xml:space="preserve"> gas, russian, countries; EU scope visible. This is a provisional connection, not an outcome finding.</w:t>
      </w:r>
    </w:p>
    <w:p>
      <w:pPr>
        <w:pStyle w:val="SourceNote"/>
      </w:pPr>
      <w:r>
        <w:rPr>
          <w:b/>
        </w:rPr>
        <w:t>Available abstract (not full text):</w:t>
      </w:r>
      <w:r>
        <w:t xml:space="preserve"> The article focuses on the process of restructuring the natural gas market in Europe. It is shown that the transformation of the European gas market is taking place under the decisive influence of the political decision of the European Commission and the governments of the EU largest gas consuming countries, first, to reduce gas consumption as much as possible in the shortest time; second, to replace Russian gas with imports from alternative sources. As both tasks have the highest priority, the EU countries act within the framework of political, not market logic, regardless of significant economic costs. To hedge against very high gas prices EU introduced since 15 February 2023 the market correction mechanism, capping the price of gas from the above. It is also expected the mandatory filling of gas storage facilities to at least 90% of their capacity before the winter season since 2023 would pressure gas prices downwards. Natural gas exporting companies operate within a system of market coordinates and are ready to participate in the process of transforming the European natural gas market only to the extent that does not contradict their economic interests. The politicization of gas cooperation between the EU and the US at the interstate level cannot change the market behavior of companies. Given the uncertainty regarding the perspective demand for gas in Europe, gas exporting </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current, about, especially;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Estimating hepatitis B virus prevalence among key population groups for European Union and European Economic Area countries and the United Kingdom: a modelling study — https://doi.org/10.1186/s12879-023-08433-3</w:t>
      </w:r>
    </w:p>
    <w:p>
      <w:pPr/>
      <w:r>
        <w:rPr>
          <w:b/>
        </w:rPr>
        <w:t>Shared claim-specific concepts:</w:t>
      </w:r>
      <w:r>
        <w:t xml:space="preserve"> estimates, predict, there, eastern, countries; EU scope visible. This is a provisional connection, not an outcome finding.</w:t>
      </w:r>
    </w:p>
    <w:p>
      <w:pPr>
        <w:pStyle w:val="SourceNote"/>
      </w:pPr>
      <w:r>
        <w:rPr>
          <w:b/>
        </w:rPr>
        <w:t>Available abstract (not full text):</w:t>
      </w:r>
      <w:r>
        <w:t xml:space="preserve"> BACKGROUND: Hepatitis B virus (HBV) epidemiology in Europe differs by region and population risk group, and data are often incomplete. We estimated chronic HBV prevalence as measured by surface antigen (HBsAg) among general and key population groups for each country in the European Union, European Economic Area and the United Kingdom (EU/EEA/UK), including where data are currently unavailable. METHODS: We combined data from a 2018 systematic review (updated in 2021), data gathered directly by the European Centre for Disease Control (ECDC) from EU/EEA countries and the UK and further country-level data. We included data on adults from the general population, pregnant women, first time blood donors (FTBD), men who have sex with men (MSM), prisoners, people who inject drugs (PWID), and migrants from 2001 to 2021, with three exceptions made for pre-2001 estimates. Finite Mixture Models (FMM) and Beta regression were used to predict country and population group HBsAg prevalence. A separate multiplier method was used to estimate HBsAg prevalence among the migrant populations within each country, due to biases in the data available. RESULTS: There were 595 included studies from 31 countries (N = 41,955,969 people): 66 were among the general population (mean prevalence ([Formula: see text]) 1.3% [range: 0.0-7.6%]), 52 among pregnant women ([Formula: see text]1.1% [0.1-5.3%]), 315 among</w:t>
      </w:r>
    </w:p>
    <w:p>
      <w:pPr/>
      <w:r>
        <w:rPr>
          <w:b/>
        </w:rPr>
        <w:t>POSSIBLE 2023:</w:t>
      </w:r>
      <w:r>
        <w:t xml:space="preserve"> Emissions intensity: do we need a CBAM for oil and gas imports? — https://doi.org/10.1093/jwelb/jwad036</w:t>
      </w:r>
    </w:p>
    <w:p>
      <w:pPr/>
      <w:r>
        <w:rPr>
          <w:b/>
        </w:rPr>
        <w:t>Shared claim-specific concepts:</w:t>
      </w:r>
      <w:r>
        <w:t xml:space="preserve"> need, gas, countries; EU scope not established. This is a provisional connection, not an outcome finding.</w:t>
      </w:r>
    </w:p>
    <w:p>
      <w:pPr>
        <w:pStyle w:val="SourceNote"/>
      </w:pPr>
      <w:r>
        <w:rPr>
          <w:b/>
        </w:rPr>
        <w:t>Available abstract (not full text):</w:t>
      </w:r>
      <w:r>
        <w:t xml:space="preserve"> Abstract The UK has seen significant recent attention being paid to the issue of the ‘emissions intensity’ of oil and gas operations, with the oil and gas industry and the Government using this as a climate justification for domestic North Sea production over imported oil and gas. This commentary explores these arguments in the context of the Rosebank decision and examines why emission intensity matters for lawyers. One key reason identified involves trade: without a carbon border adjustment mechanism (tax) or equivalent on imports of oil and gas from countries with poor records on electrification, flaring and vented emissions, domestic oil and gas production faces unfair climate competition.</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current, predict, there;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2022:</w:t>
      </w:r>
      <w:r>
        <w:t xml:space="preserve"> European Economic impacts of cutting energy imports from Russia: A computable general equilibrium analysis — https://doi.org/10.1016/j.esr.2022.101006</w:t>
      </w:r>
    </w:p>
    <w:p>
      <w:pPr/>
      <w:r>
        <w:rPr>
          <w:b/>
        </w:rPr>
        <w:t>Shared claim-specific concepts:</w:t>
      </w:r>
      <w:r>
        <w:t xml:space="preserve"> current, import, gas, strong, russian, especially; EU scope visible. This is a provisional connection, not an outcome finding.</w:t>
      </w:r>
    </w:p>
    <w:p>
      <w:pPr>
        <w:pStyle w:val="SourceNote"/>
      </w:pPr>
      <w:r>
        <w:rPr>
          <w:b/>
        </w:rPr>
        <w:t>Available abstract (not full text):</w:t>
      </w:r>
      <w:r>
        <w:t xml:space="preserve"> The recent economic sanctions against Russia can jeopardize the sustainability of the European Union’s (EU) energy supply. Despite the EU’s strong commitment to stringent abatement targets, fossil fuels still play a significant role in the EU energy policy. And high dependency on Russian energy supplies underlines the vulnerability of the EU energy security. Using a global computable general equilibrium model, we prove that the current EU embargo on coal and oil imported from Russia will have adverse supply effects, substantially increasing energy prices and welfare costs for the EU resident. Although it reduces emissions, extending the embargo to include natural gas doubles this welfare cost. The use of coal is likely to increase, especially in EU electricity generation, given the current constraints of additional import capacities from non-Russian producers. For Russia, a more substantial depreciation of the ruble because of the cut in natural gas exports to the EU could stimulate higher exports outside the EU, potentially easing its welfare loss.</w:t>
      </w:r>
    </w:p>
    <w:p>
      <w:pPr>
        <w:pStyle w:val="Heading2"/>
      </w:pPr>
      <w:r>
        <w:t>986. Toward Identification of the Priority Lines of Research in Nanotechnology on the Basis of the Technology Foresight NT for Podlaskie 2020</w:t>
      </w:r>
    </w:p>
    <w:p>
      <w:pPr>
        <w:pStyle w:val="SourceNote"/>
      </w:pPr>
      <w:r>
        <w:rPr>
          <w:b/>
        </w:rPr>
        <w:t>Original source (2013):</w:t>
      </w:r>
      <w:r>
        <w:t xml:space="preserve"> https://doi.org/10.7763/ijiet.2013.v3.293</w:t>
      </w:r>
    </w:p>
    <w:p>
      <w:pPr/>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POSSIBLE 2026:</w:t>
      </w:r>
      <w:r>
        <w:t xml:space="preserve"> CtrlWAM: Controllable World Action Models with Aligned Intent and Foresight — https://doi.org/10.48550/arxiv.2610.00859</w:t>
      </w:r>
    </w:p>
    <w:p>
      <w:pPr/>
      <w:r>
        <w:rPr>
          <w:b/>
        </w:rPr>
        <w:t>Shared claim-specific concepts:</w:t>
      </w:r>
      <w:r>
        <w:t xml:space="preserve"> foresight, world, together, them; EU scope not established. This is a provisional connection, not an outcome finding.</w:t>
      </w:r>
    </w:p>
    <w:p>
      <w:pPr>
        <w:pStyle w:val="SourceNote"/>
      </w:pPr>
      <w:r>
        <w:rPr>
          <w:b/>
        </w:rPr>
        <w:t>Available abstract (not full text):</w:t>
      </w:r>
      <w:r>
        <w:t xml:space="preserve"> World action models (WAMs) jointly predict actions (intent) and visual future (foresight). Standard training adds noise to recorded actions and video simultaneously, but such training paradigms introduce a mismatch: perturbed actions imply counterfactual future visual, while the noised video remains tied to the GT recording. In low-noise regime, the scene geometry and even the dynamic behavior remain clearly visible from the noisy future frames despite the added noise. We present CtrlWAM, which executes perturbed actions in a simulator and pairs them with their noised visual consequences for joint WAM learning. To accommodate the different denoising requirements of video and actions, we introduce warped video--action noise schedules that aim to keep visual layout responsive as action predictions evolve. We further extend the action interface from ego-only control to a variable number of agent streams, allowing a unified model to represent predicted or commanded futures for multiple agents. Driving experiments show more accurate action forecasts, closer agreement between generated video and actions, and better following of supplied commands; robotics experiments show stronger motion fidelity and controllability. Matched controls support the benefit of off-path renders for command following and manipulation fidelity. Together, these findings contribute to a more controllable worl</w:t>
      </w:r>
    </w:p>
    <w:p>
      <w:pPr/>
      <w:r>
        <w:rPr>
          <w:b/>
        </w:rPr>
        <w:t>POSSIBLE 2026:</w:t>
      </w:r>
      <w:r>
        <w:t xml:space="preserve"> Application of a Systematic Approach for Monitoring Between Foresight and PEP in the C2CBridge Project — https://doi.org/10.46254/ap07.20260187</w:t>
      </w:r>
    </w:p>
    <w:p>
      <w:pPr/>
      <w:r>
        <w:rPr>
          <w:b/>
        </w:rPr>
        <w:t>Shared claim-specific concepts:</w:t>
      </w:r>
      <w:r>
        <w:t xml:space="preserve"> foresight, process, implemented; EU scope not established. This is a provisional connection, not an outcome finding.</w:t>
      </w:r>
    </w:p>
    <w:p>
      <w:pPr>
        <w:pStyle w:val="SourceNote"/>
      </w:pPr>
      <w:r>
        <w:rPr>
          <w:b/>
        </w:rPr>
        <w:t>Available abstract (not full text):</w:t>
      </w:r>
      <w:r>
        <w:t xml:space="preserve"> In product engineering processes, foresight analyses are typically conducted only at early project stages, while their underlying assumptions remain largely unchallenged as development progresses. This can lead to late design changes and increased correction costs when environmental conditions, technologies, or market requirements evolve. To address this gap, this paper applies a systematic approach for continuous monitoring and validation of product properties throughout the product engineering process. The approach integrates strategic foresight, environmental scanning, and indicator-based monitoring into a continuous feedback loop that enables early identification of relevant deviations from expected developments. The approach is demonstrated using a case study from the project Country to City Bridge (C2CBridge), a research initiative focused on developing user-centered, intermodal mobility solutions. The application is deliberately limited to the vehicle concept to ensure methodological clarity. The results show that systematically linking trends, prognoses, indicators, and product characteristics allows the identification of sensitive product properties and key indicators that are critical for long-term product robustness. Furthermore, the case study reveals methodological refinement needs, particularly regarding evaluation schemes, normalization of assessment scales, and </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across, regional, tools;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across, increasingly, poland, nearly;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AstraNav-World: World Model for Foresight Control and Consistency — https://doi.org/10.48550/arxiv.2512.21714</w:t>
      </w:r>
    </w:p>
    <w:p>
      <w:pPr/>
      <w:r>
        <w:rPr>
          <w:b/>
        </w:rPr>
        <w:t>Shared claim-specific concepts:</w:t>
      </w:r>
      <w:r>
        <w:t xml:space="preserve"> foresight, across, world; EU scope not established. This is a provisional connection, not an outcome finding.</w:t>
      </w:r>
    </w:p>
    <w:p>
      <w:pPr>
        <w:pStyle w:val="SourceNote"/>
      </w:pPr>
      <w:r>
        <w:rPr>
          <w:b/>
        </w:rPr>
        <w:t>Available abstract (not full text):</w:t>
      </w:r>
      <w:r>
        <w:t xml:space="preserve">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pPr/>
      <w:r>
        <w:rPr>
          <w:b/>
        </w:rPr>
        <w:t>POSSIBLE 2025:</w:t>
      </w:r>
      <w:r>
        <w:t xml:space="preserve"> Embedding the Future in the European Union: Advancing Towards Strategic Foresight — https://doi.org/10.33067/se.1.2025.10</w:t>
      </w:r>
    </w:p>
    <w:p>
      <w:pPr/>
      <w:r>
        <w:rPr>
          <w:b/>
        </w:rPr>
        <w:t>Shared claim-specific concepts:</w:t>
      </w:r>
      <w:r>
        <w:t xml:space="preserve"> foresight, anticipating, increasingly, also;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Strategic Foresight for Sustainable Development in the European Union: The Role of Entrepreneurship — https://doi.org/10.34021/ve.2025.08.03(2)</w:t>
      </w:r>
    </w:p>
    <w:p>
      <w:pPr/>
      <w:r>
        <w:rPr>
          <w:b/>
        </w:rPr>
        <w:t>Shared claim-specific concepts:</w:t>
      </w:r>
      <w:r>
        <w:t xml:space="preserve"> foresight, across, important, also, related; EU scope visible. This is a provisional connection, not an outcome finding.</w:t>
      </w:r>
    </w:p>
    <w:p>
      <w:pPr>
        <w:pStyle w:val="SourceNote"/>
      </w:pPr>
      <w:r>
        <w:rPr>
          <w:b/>
        </w:rPr>
        <w:t>Available abstract (not full text):</w:t>
      </w:r>
      <w:r>
        <w:t xml:space="preserve"> Sustainable development has become a strategic priority for the European Union (EU), requiring coordinated institutional, economic and entrepreneurial transformations. While a growing body of literature recognises entrepreneurship as an important mechanism for advancing sustainability objectives, empirical evidence on how structural features of the business environment influence sustainability trajectories at the macroeconomic level remains fragmented. In particular, the dynamic relationships among sustainable development, business regulation and market openness across EU countries remain insufficiently understood. The objective of this study is to analyse how business regulation and market openness influence entrepreneurship-driven progress towards sustainable development in the European Union and to examine the dynamic interactions among these institutional and economic dimensions. The empirical analysis employs an annual panel dataset covering 27 EU member states for the period 2010–2024. The study applies a panel vector autoregression (PVAR) framework combined with Granger causality testing and impulse response analysis to capture short-run and long-run relationships among sustainable development, regulatory quality and market openness. The results reveal strong persistence and path dependence in sustainable development trajectories. Business regulation does not exert stati</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across, governments, increasingly, also;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2024:</w:t>
      </w:r>
      <w:r>
        <w:t xml:space="preserve"> Stakeholders and Their Participation in Foresight Projects — https://doi.org/10.17323/2500-2597.2024.1.80.91</w:t>
      </w:r>
    </w:p>
    <w:p>
      <w:pPr/>
      <w:r>
        <w:rPr>
          <w:b/>
        </w:rPr>
        <w:t>Shared claim-specific concepts:</w:t>
      </w:r>
      <w:r>
        <w:t xml:space="preserve"> foresight, projects, becoming; EU scope not established. This is a provisional connection, not an outcome finding.</w:t>
      </w:r>
    </w:p>
    <w:p>
      <w:pPr>
        <w:pStyle w:val="SourceNote"/>
      </w:pPr>
      <w:r>
        <w:rPr>
          <w:b/>
        </w:rPr>
        <w:t>Available abstract (not full text):</w:t>
      </w:r>
      <w:r>
        <w:t xml:space="preserve">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pPr/>
      <w:r>
        <w:rPr>
          <w:b/>
        </w:rPr>
        <w:t>POSSIBLE 2024:</w:t>
      </w:r>
      <w:r>
        <w:t xml:space="preserve"> Article: Project FORESIGHT and Return on Investment — https://doi.org/10.4324/9780429318528-14</w:t>
      </w:r>
    </w:p>
    <w:p>
      <w:pPr/>
      <w:r>
        <w:rPr>
          <w:b/>
        </w:rPr>
        <w:t>Shared claim-specific concepts:</w:t>
      </w:r>
      <w:r>
        <w:t xml:space="preserve"> foresight, projects, tools; EU scope visible. This is a provisional connection, not an outcome finding.</w:t>
      </w:r>
    </w:p>
    <w:p>
      <w:pPr>
        <w:pStyle w:val="SourceNote"/>
      </w:pPr>
      <w:r>
        <w:rPr>
          <w:b/>
        </w:rPr>
        <w:t>Available abstract (not full text):</w:t>
      </w:r>
      <w:r>
        <w:t xml:space="preserve">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pPr/>
      <w:r>
        <w:rPr>
          <w:b/>
        </w:rPr>
        <w:t>POSSIBLE 2024:</w:t>
      </w:r>
      <w:r>
        <w:t xml:space="preserve"> Applying foresight methods at the national level in the field of substance use: Experience from the DRUG-PREP project — https://doi.org/10.1093/eurpub/ckae144.540</w:t>
      </w:r>
    </w:p>
    <w:p>
      <w:pPr/>
      <w:r>
        <w:rPr>
          <w:b/>
        </w:rPr>
        <w:t>Shared claim-specific concepts:</w:t>
      </w:r>
      <w:r>
        <w:t xml:space="preserve"> foresight, used, across, regional, important, implemented; EU scope visible. This is a provisional connection, not an outcome finding.</w:t>
      </w:r>
    </w:p>
    <w:p>
      <w:pPr>
        <w:pStyle w:val="SourceNote"/>
      </w:pPr>
      <w:r>
        <w:rPr>
          <w:b/>
        </w:rPr>
        <w:t>Available abstract (not full text):</w:t>
      </w:r>
      <w:r>
        <w:t xml:space="preserve">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pPr/>
      <w:r>
        <w:rPr>
          <w:b/>
        </w:rPr>
        <w:t>POSSIBLE 2024:</w:t>
      </w:r>
      <w:r>
        <w:t xml:space="preserve"> Emerging Biotechnologies in Europe: Foresight for Policy — https://doi.org/10.2760/4814109</w:t>
      </w:r>
    </w:p>
    <w:p>
      <w:pPr/>
      <w:r>
        <w:rPr>
          <w:b/>
        </w:rPr>
        <w:t>Shared claim-specific concepts:</w:t>
      </w:r>
      <w:r>
        <w:t xml:space="preserve"> foresight, projects, across, regional, important;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pStyle w:val="Heading2"/>
      </w:pPr>
      <w:r>
        <w:t>987. Towards Europe 2035 - In Search of the Archimedean Screw: FOCUS in Perspective</w:t>
      </w:r>
    </w:p>
    <w:p>
      <w:pPr>
        <w:pStyle w:val="SourceNote"/>
      </w:pPr>
      <w:r>
        <w:rPr>
          <w:b/>
        </w:rPr>
        <w:t>Original source (2013):</w:t>
      </w:r>
      <w:r>
        <w:t xml:space="preserve"> https://doi.org/10.11610/isij.2912</w:t>
      </w:r>
    </w:p>
    <w:p>
      <w:pPr/>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POSSIBLE 2026:</w:t>
      </w:r>
      <w:r>
        <w:t xml:space="preserve"> PUBLIC SECURITY AS AN ADMINISTRATIVE FUNCTION IN THE EUROPEAN UNION. A MULTILEVEL GOVERNANCE APPROACH — https://doi.org/10.13165/pspo-25-38-01-02</w:t>
      </w:r>
    </w:p>
    <w:p>
      <w:pPr/>
      <w:r>
        <w:rPr>
          <w:b/>
        </w:rPr>
        <w:t>Shared claim-specific concepts:</w:t>
      </w:r>
      <w:r>
        <w:t xml:space="preserve"> planning, security, further, provide, framework; EU scope visible. This is a provisional connection, not an outcome finding.</w:t>
      </w:r>
    </w:p>
    <w:p>
      <w:pPr>
        <w:pStyle w:val="SourceNote"/>
      </w:pPr>
      <w:r>
        <w:rPr>
          <w:b/>
        </w:rPr>
        <w:t>Available abstract (not full text):</w:t>
      </w:r>
      <w:r>
        <w:t xml:space="preserve">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pPr/>
      <w:r>
        <w:rPr>
          <w:b/>
        </w:rPr>
        <w:t>POSSIBLE 2026:</w:t>
      </w:r>
      <w:r>
        <w:t xml:space="preserve"> NATO’s evolution and European security dynamics — https://doi.org/10.1007/s44282-026-00594-1</w:t>
      </w:r>
    </w:p>
    <w:p>
      <w:pPr/>
      <w:r>
        <w:rPr>
          <w:b/>
        </w:rPr>
        <w:t>Shared claim-specific concepts:</w:t>
      </w:r>
      <w:r>
        <w:t xml:space="preserve"> planning, security, time, they, environment; EU scope visible. This is a provisional connection, not an outcome finding.</w:t>
      </w:r>
    </w:p>
    <w:p>
      <w:pPr>
        <w:pStyle w:val="SourceNote"/>
      </w:pPr>
      <w:r>
        <w:rPr>
          <w:b/>
        </w:rPr>
        <w:t>Available abstract (not full text):</w:t>
      </w:r>
      <w:r>
        <w:t xml:space="preserve">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pPr/>
      <w:r>
        <w:rPr>
          <w:b/>
        </w:rPr>
        <w:t>POSSIBLE 2026:</w:t>
      </w:r>
      <w:r>
        <w:t xml:space="preserve"> Energy policy and economic security: a comparison of Europe and Asia — https://doi.org/10.33223/epj/207199</w:t>
      </w:r>
    </w:p>
    <w:p>
      <w:pPr/>
      <w:r>
        <w:rPr>
          <w:b/>
        </w:rPr>
        <w:t>Shared claim-specific concepts:</w:t>
      </w:r>
      <w:r>
        <w:t xml:space="preserve"> approaches, security, long-term, environment;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Emerging research security approaches: organisational arrangements at three European universities — https://doi.org/10.1080/23322969.2026.2751120</w:t>
      </w:r>
    </w:p>
    <w:p>
      <w:pPr/>
      <w:r>
        <w:rPr>
          <w:b/>
        </w:rPr>
        <w:t>Shared claim-specific concepts:</w:t>
      </w:r>
      <w:r>
        <w:t xml:space="preserve"> approaches, security, further, framework; EU scope visible. This is a provisional connection, not an outcome finding.</w:t>
      </w:r>
    </w:p>
    <w:p>
      <w:pPr>
        <w:pStyle w:val="SourceNote"/>
      </w:pPr>
      <w:r>
        <w:rPr>
          <w:b/>
        </w:rPr>
        <w:t>Available abstract (not full text):</w:t>
      </w:r>
      <w:r>
        <w:t xml:space="preserve"> European and national policymakers have, in recent years, introduced new expectations regarding the safeguarding of research and innovation. However, the extant literature has paid limited attention to how universities interpret and operationalise these emerging research security agendas. This paper examines how research security is operationalised within universities through the interaction of policy framing, organisational structures, and local governance practices. Drawing on a comparative case study of three European universities, the KTH Royal Institute of Technology (Sweden), the University of Barcelona (Spain), and the University of Liège (Belgium), the study investigates how research security policies are translated into organisational arrangements and everyday practices. The findings demonstrate that research security does not develop through a single governance model but is shaped by institution-specific interpretations of broader policy narratives. While common European concerns have encouraged convergence around issues such as risk management, awareness-raising, due diligence, and compliance, significant differences remain in how universities define challenges, assign responsibilities, and organise responses. The analysis further shows that export control compliance frequently serves as an entry point for broader research security initiatives. It concludes that rese</w:t>
      </w:r>
    </w:p>
    <w:p>
      <w:pPr/>
      <w:r>
        <w:rPr>
          <w:b/>
        </w:rPr>
        <w:t>POSSIBLE 2026:</w:t>
      </w:r>
      <w:r>
        <w:t xml:space="preserve"> CRIMEA, UKRAINE, IRAN. THE EUROPEAN DIMENSION OF AVIATION SECURITY — https://doi.org/10.61846/cuji-ssh.2026.3.09</w:t>
      </w:r>
    </w:p>
    <w:p>
      <w:pPr/>
      <w:r>
        <w:rPr>
          <w:b/>
        </w:rPr>
        <w:t>Shared claim-specific concepts:</w:t>
      </w:r>
      <w:r>
        <w:t xml:space="preserve"> planning, security, support, they, long-term; EU scope visible. This is a provisional connection, not an outcome finding.</w:t>
      </w:r>
    </w:p>
    <w:p>
      <w:pPr>
        <w:pStyle w:val="SourceNote"/>
      </w:pPr>
      <w:r>
        <w:rPr>
          <w:b/>
        </w:rPr>
        <w:t>Available abstract (not full text):</w:t>
      </w:r>
      <w:r>
        <w:t xml:space="preserve"> The need to make progress, improve security policies, and enhance global aviation security has been a priority for this sector, spanning industry, economic development, mobility, and scientific research. The constant evolution of public policies, involving the assessment of existing ones and the emergence of a need for new, modern policies capable of responding to changing inputs, has prompted nations and international organisations to collaborate with industry specialists on their development. The growing interdependence among nations and the technical nature of certain fields have necessitated the identification and establishment of coordinated, harmonized actions at both global and regional levels. The states comprising these intergovernmental international organizations have played and continue to play a significant role, both in drafting constituent instruments and in adopting documents issued within the organization; such documents become operational only after ratification by a specific proportion of member states. By accepting and ratifying the constituent instruments of intergovernmental international organizations, member states enable these organizations to "act" as legal entities under domestic law. Addressing this subject is relevant for highlighting the influence civil aviation currently has on diplomatic and military affairs, given its potential to play a n very </w:t>
      </w:r>
    </w:p>
    <w:p>
      <w:pPr/>
      <w:r>
        <w:rPr>
          <w:b/>
        </w:rPr>
        <w:t>POSSIBLE 2025:</w:t>
      </w:r>
      <w:r>
        <w:t xml:space="preserve"> Food Security And Regional Planning Approach: Challenges &amp; Opportunities — https://doi.org/10.64252/q0684p75</w:t>
      </w:r>
    </w:p>
    <w:p>
      <w:pPr/>
      <w:r>
        <w:rPr>
          <w:b/>
        </w:rPr>
        <w:t>Shared claim-specific concepts:</w:t>
      </w:r>
      <w:r>
        <w:t xml:space="preserve"> approaches, planning, security, support; EU scope not established. This is a provisional connection, not an outcome finding.</w:t>
      </w:r>
    </w:p>
    <w:p>
      <w:pPr>
        <w:pStyle w:val="SourceNote"/>
      </w:pPr>
      <w:r>
        <w:rPr>
          <w:b/>
        </w:rPr>
        <w:t>Available abstract (not full text):</w:t>
      </w:r>
      <w:r>
        <w:t xml:space="preserve">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pPr/>
      <w:r>
        <w:rPr>
          <w:b/>
        </w:rPr>
        <w:t>POSSIBLE 2025:</w:t>
      </w:r>
      <w:r>
        <w:t xml:space="preserve"> Safe and Sound: Governance for Planning Public Space in a Security-by-Design Paradigm — https://doi.org/10.3390/urbansci9070241</w:t>
      </w:r>
    </w:p>
    <w:p>
      <w:pPr/>
      <w:r>
        <w:rPr>
          <w:b/>
        </w:rPr>
        <w:t>Shared claim-specific concepts:</w:t>
      </w:r>
      <w:r>
        <w:t xml:space="preserve"> project, planning, security, time, support, further; EU scope visible. This is a provisional connection, not an outcome finding.</w:t>
      </w:r>
    </w:p>
    <w:p>
      <w:pPr>
        <w:pStyle w:val="SourceNote"/>
      </w:pPr>
      <w:r>
        <w:rPr>
          <w:b/>
        </w:rPr>
        <w:t>Available abstract (not full text):</w:t>
      </w:r>
      <w:r>
        <w:t xml:space="preserve">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pPr/>
      <w:r>
        <w:rPr>
          <w:b/>
        </w:rPr>
        <w:t>POSSIBLE 2025:</w:t>
      </w:r>
      <w:r>
        <w:t xml:space="preserve"> Implementation of a project approach to managing the development of territorial communities in accordance with the standards and experience of the European Union — https://doi.org/10.58442/3041-1858-2025-34(63)-253-274</w:t>
      </w:r>
    </w:p>
    <w:p>
      <w:pPr/>
      <w:r>
        <w:rPr>
          <w:b/>
        </w:rPr>
        <w:t>Shared claim-specific concepts:</w:t>
      </w:r>
      <w:r>
        <w:t xml:space="preserve"> approaches, project, trends; EU scope visible. This is a provisional connection, not an outcome finding.</w:t>
      </w:r>
    </w:p>
    <w:p>
      <w:pPr>
        <w:pStyle w:val="SourceNote"/>
      </w:pPr>
      <w:r>
        <w:rPr>
          <w:b/>
        </w:rPr>
        <w:t>Available abstract (not full text):</w:t>
      </w:r>
      <w:r>
        <w:t xml:space="preserve"> The article examines the need to implement a project approach to managing the development of territorial communities in Ukraine in accordance with the standards and experience of the European Union (EU). Scientific approaches to determining the essence of project management in the public sphere are analyzed, the main trends of its development in the context of the decentralization reform are summarized. It was determined that the project-program management model is an effective tool for ensuring the effectiveness, transparency and accountability of the activities of local self-government bodies, as well as increasing the effectiveness of strategic budgeting and the effective use of international technical assistance. The regulatory-legal and institutional-administrative bases of the EU and Ukraine in the field of application of the project approach to local development have been studied. In particular, the main methodologies, approaches and tools of project management in the public sphere, as well as the principles of new public management, good governance and sustainable development, as well as the concept of multi-level governance, are analyzed. The main directions of adaptation of these standards to Ukrainian practice have been determined, namely: harmonization of regulatory and legal procedures, development of institutional capacity and personnel potential, digitalization o</w:t>
      </w:r>
    </w:p>
    <w:p>
      <w:pPr/>
      <w:r>
        <w:rPr>
          <w:b/>
        </w:rPr>
        <w:t>POSSIBLE 2025:</w:t>
      </w:r>
      <w:r>
        <w:t xml:space="preserve"> EUROPEAN STRATEGIES FOR CROSS-SECTORAL COOPERATION THROUGH A PROJECT-BASED APPROACH IN PUBLIC ADMINISTRATION — https://doi.org/10.30838/ep.197.187-192</w:t>
      </w:r>
    </w:p>
    <w:p>
      <w:pPr/>
      <w:r>
        <w:rPr>
          <w:b/>
        </w:rPr>
        <w:t>Shared claim-specific concepts:</w:t>
      </w:r>
      <w:r>
        <w:t xml:space="preserve"> focus, project, planning, support, they, further; EU scope visible. This is a provisional connection, not an outcome finding.</w:t>
      </w:r>
    </w:p>
    <w:p>
      <w:pPr>
        <w:pStyle w:val="SourceNote"/>
      </w:pPr>
      <w:r>
        <w:rPr>
          <w:b/>
        </w:rPr>
        <w:t>Available abstract (not full text):</w:t>
      </w:r>
      <w:r>
        <w:t xml:space="preserve"> The article examines modern European strategies of intersectoral cooperation in public administration, with a focus on the project approach. It discusses how these strategies promote innovation, efficiency, and transparency in decision-making. By combining theoretical perspectives with practical examples, the research identifies key mechanisms that support collaboration among public, private, and civil sectors, contributing to improved governance. Special emphasis is placed on the project approach, which fosters innovation, enhances efficiency, and ensures transparency in decision-making. These principles are crucial for improving cooperation between sectors in line with societal and organizational goals. The research examines various forms of cross-sectoral collaboration, including public-private partnerships, public-public partnerships, and tripartite partnerships, which bring together collective efforts to address complex challenges. European strategies highlight the significance of transparency in decision-making by ensuring stakeholders have access to relevant information, monitoring outcomes closely, and upholding accountability. The integration of advanced technologies such as digitalization and AI further enhances these initiatives. These technologies promote efficient resource use and facilitate real-time data sharing, enhancing sector communication. The project-based </w:t>
      </w:r>
    </w:p>
    <w:p>
      <w:pPr/>
      <w:r>
        <w:rPr>
          <w:b/>
        </w:rPr>
        <w:t>POSSIBLE 2025:</w:t>
      </w:r>
      <w:r>
        <w:t xml:space="preserve"> From strategy to doctrine: the next steps for European economic security — https://doi.org/10.64153/nmid5539</w:t>
      </w:r>
    </w:p>
    <w:p>
      <w:pPr/>
      <w:r>
        <w:rPr>
          <w:b/>
        </w:rPr>
        <w:t>Shared claim-specific concepts:</w:t>
      </w:r>
      <w:r>
        <w:t xml:space="preserve"> planning, security, time, support; EU scope visible. This is a provisional connection, not an outcome finding.</w:t>
      </w:r>
    </w:p>
    <w:p>
      <w:pPr>
        <w:pStyle w:val="SourceNote"/>
      </w:pPr>
      <w:r>
        <w:rPr>
          <w:b/>
        </w:rPr>
        <w:t>Available abstract (not full text):</w:t>
      </w:r>
      <w:r>
        <w:t xml:space="preserve"> The European Union’s economic security strategy was initially developed at a time of close transatlantic cooperation and focused largely on risks linked to Chinese dominance of certain parts of global manufacturing. However, given the diminished commitment of the United States to its traditional alliances and to multilateral rules, EU economic-security planning now also needs to take into account the risk of US coercive action. The EU must combine a medium-term strategy to reduce dependencies on both China and the US in critical areas with the capacity to react in the short term to threats of coercion. This requires supply chain chokepoints to be identified. There should also be a political discussion with EU countries on the circumstances in which the EU Anti-Coercion Instrument should be deployed, and the appropriate measures to respond to coercion. The EU’s various tools for responding to urgent threats to its economic security need to be adapted to the new geopolitical context. The EU should prioritise support for research and development in relation to critical technologies and should ensure a more targeted and effective approach to state aid. It should avoid ‘buy Europe’ policies that contradict its international commitments and limit the scope for partnering with third countries. On traditional economic-statecraft tools, screening of foreign investment needs to be transf</w:t>
      </w:r>
    </w:p>
    <w:p>
      <w:pPr/>
      <w:r>
        <w:rPr>
          <w:b/>
        </w:rPr>
        <w:t>POSSIBLE 2025:</w:t>
      </w:r>
      <w:r>
        <w:t xml:space="preserve"> Queering European Union Foreign and Security Policy: Invisibility, Heteronormativity and Binaries in the EU's Approach to Women, Peace and Security — https://doi.org/10.1111/jcms.13750</w:t>
      </w:r>
    </w:p>
    <w:p>
      <w:pPr/>
      <w:r>
        <w:rPr>
          <w:b/>
        </w:rPr>
        <w:t>Shared claim-specific concepts:</w:t>
      </w:r>
      <w:r>
        <w:t xml:space="preserve"> focus, security, framework; EU scope visible. This is a provisional connection, not an outcome finding.</w:t>
      </w:r>
    </w:p>
    <w:p>
      <w:pPr>
        <w:pStyle w:val="SourceNote"/>
      </w:pPr>
      <w:r>
        <w:rPr>
          <w:b/>
        </w:rPr>
        <w:t>Available abstract (not full text):</w:t>
      </w:r>
      <w:r>
        <w:t xml:space="preserve"> Abstract Queer scholarship highlights and analyses how international politics are produced through sexuality and gender norms. Doing so, queer perspectives question and unpack binaries and the assumptions underlying dominant concepts in international politics such as sovereignty. Although there is some vibrant research on the European Union (EU) and the promotion of lesbian, gay, bisexual, transgender, queer/questioning, intersex and asexual (LGBTQIA+) human and citizenship rights, a systematic framework that adopts a queer perspective on the EU's role as a global actor and its foreign and security policy is lacking. To start tackling this gap, we study the EU's implementation of the United Nations Women, Peace and Security (WPS) agenda through a queer lens. We suggest that the focus on WPS allows us to open up a broader queer research agenda to study the EU's foreign and security policy by unpacking the dominant invisibilities, heteronormativity and binaries.</w:t>
      </w:r>
    </w:p>
    <w:p>
      <w:pPr/>
      <w:r>
        <w:rPr>
          <w:b/>
        </w:rPr>
        <w:t>POSSIBLE 2025:</w:t>
      </w:r>
      <w:r>
        <w:t xml:space="preserve"> Implementing the systems-based breeding approach: Lessons learned from the European Union LIVESEED project — https://doi.org/10.5304/jafscd.2025.144.004</w:t>
      </w:r>
    </w:p>
    <w:p>
      <w:pPr/>
      <w:r>
        <w:rPr>
          <w:b/>
        </w:rPr>
        <w:t>Shared claim-specific concepts:</w:t>
      </w:r>
      <w:r>
        <w:t xml:space="preserve"> approaches, focus, project, security; EU scope visible. This is a provisional connection, not an outcome finding.</w:t>
      </w:r>
    </w:p>
    <w:p>
      <w:pPr>
        <w:pStyle w:val="SourceNote"/>
      </w:pPr>
      <w:r>
        <w:rPr>
          <w:b/>
        </w:rPr>
        <w:t>Available abstract (not full text):</w:t>
      </w:r>
      <w:r>
        <w:t xml:space="preserve"> Organic breeders must meet many requirements when developing cultivars to satisfy demand for high yield, good quality, resource efficiency and climate robustness, cultural and ethical accepta­bil­ity, and the provision of ecosystem services. Given the current and future climatic, agronomic, eco­nomic, and socio-cultural challenges, resilience can only be efficiently achieved through concerted actions. The concept of systems-based breeding integrates the strengths of different breeding orientations and provides a perspective where breeders can initiate developments toward ecologi­cally and societally resilient crop production that address six sustainability targets, including (1) food security, safety and quality; (2) food and seed sov­ereignty; (3) social justice; (4) agrobiodiversity; (5) ecosystem services; and (6) climate robustness. In this paper we present five supportive pillars for implementing the concept of systems-based breed­ing, based on experiences obtained during the European Union (EU) project LIVESEED from 2017 to 2021, and including results from prior related projects and literature on innovation sys­tems and systems change. The five supportive pil­lars we have identified are (1) increasing social awareness and reflection, (2) developing alternative financing approaches, (3) promoting the develop­ment of appropriate breeding methodologies and methods, (4) apply</w:t>
      </w:r>
    </w:p>
    <w:p>
      <w:pPr>
        <w:pStyle w:val="Heading2"/>
      </w:pPr>
      <w:r>
        <w:t>988. Warming increases plant biomass and reduces diversity across continents, latitudes, and species migration scenarios in experimental wetland communities</w:t>
      </w:r>
    </w:p>
    <w:p>
      <w:pPr>
        <w:pStyle w:val="SourceNote"/>
      </w:pPr>
      <w:r>
        <w:rPr>
          <w:b/>
        </w:rPr>
        <w:t>Original source (2013):</w:t>
      </w:r>
      <w:r>
        <w:t xml:space="preserve"> https://doi.org/10.1111/gcb.12378</w:t>
      </w:r>
    </w:p>
    <w:p>
      <w:pPr/>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POSSIBLE 2026:</w:t>
      </w:r>
      <w:r>
        <w:t xml:space="preserve"> Attainment of Steady State Algebraically: How Constant Coefficients in First and Second Order Differential Equations Reveal the Time Constant — https://doi.org/10.18260/1-2-510-57870</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Textbooks for differential equations often address transient and steady state solutions, but less frequently link the two or connect them to real world situations or laboratory results.In this paper, both types of solutions are considered, as well as the impact of the transient solution upon the full solution.This approach, as delineated, removes all of the complicated mathematics (which can now be accomplished using a calculator or computational software) in order to understand the general results, only requiring that the coefficients in the general equation be constant.The time constant, τ, is regularly taught in first order differential equations, and its relationship to the equation coefficients is widely known.However, for second order differential equations, the concept of the time constant appears to be rarely, if ever, discussed in many textbooks.Toward that end, in this work, second order differential equations with constant coefficients are examined.In addition, a typical equation for many real-world electrical and mechanical problems will be addressed by algebraically solving for τ.The steady state solution will be described in terms of the system's behavior after the transient no longer exists, i.e., after t = 5τ.This method avoids much mathematical manipulation, and has the added benefit of providing the solution for the steady state behavior of the system (t &gt; 5τ)</w:t>
      </w:r>
    </w:p>
    <w:p>
      <w:pPr/>
      <w:r>
        <w:rPr>
          <w:b/>
        </w:rPr>
        <w:t>POSSIBLE 2026:</w:t>
      </w:r>
      <w:r>
        <w:t xml:space="preserve"> Virome analysis reveals ORF7 sequences of type 2 porcine respiratory and reproductive syndrome virus (PRRSV) for the first time in a rodent host (Microtus pennsylvanicus) — https://doi.org/10.1016/j.onehlt.2026.101345</w:t>
      </w:r>
    </w:p>
    <w:p>
      <w:pPr/>
      <w:r>
        <w:rPr>
          <w:b/>
        </w:rPr>
        <w:t>Shared claim-specific concepts:</w:t>
      </w:r>
      <w:r>
        <w:t xml:space="preserve"> first, time, species; EU scope not established. This is a provisional connection, not an outcome finding.</w:t>
      </w:r>
    </w:p>
    <w:p>
      <w:pPr>
        <w:pStyle w:val="SourceNote"/>
      </w:pPr>
      <w:r>
        <w:rPr>
          <w:b/>
        </w:rPr>
        <w:t>Available abstract (not full text):</w:t>
      </w:r>
      <w:r>
        <w:t xml:space="preserve"> The lung virome of meadow vole ( Microtus pennsylvanicus) from six neighbouring locations in New York State, USA was investigated using metagenomics to determine the circulation of potentially zoonotic viruses in a common wild rodent. This study provides the first evidence of the occurrence of Type 2 Porcine Respiratory and Reproductive Syndrome Virus (PRRSV2) in a rodent, or indeed in any species apart from wild and domestic pigs ( Sus scrofa ). PRRSV has the highest economic impact on the pig husbandry industry of any pathogen, but up to now, farm-to-farm transmission of this virus has been assumed to be associated with movement of and contact with infected pigs and fomites. Our results showing the natural occurrence of this virus in potential transmission hosts other than wild or domestic pigs challenge this scenario. Phylogenetic analysis of assembled partial genomes from four of our pooled samples and all other nucleocapsid protein (ORF7) sequences available in Genbank showed that the sequences recovered from meadow voles unambiguously clustered within the PRRSV2 clade together with sequences derived from wild and domestic pigs . Historical research suggests that spillover from voles to domestic pigs may be the most parsimonious explanation for these results; however, we cannot rule out the reverse: that the source of PRRSV2 in these wild voles derives from pigs. From a On</w:t>
      </w:r>
    </w:p>
    <w:p>
      <w:pPr/>
      <w:r>
        <w:rPr>
          <w:b/>
        </w:rPr>
        <w:t>POSSIBLE 2025:</w:t>
      </w:r>
      <w:r>
        <w:t xml:space="preserve"> Collaborative effort between fishers and scientists reveals first-time evidence of the smalltooth sandtiger shark (Odontaspis ferox) in Puerto Rico — https://doi.org/10.1017/s0025315425100246</w:t>
      </w:r>
    </w:p>
    <w:p>
      <w:pPr/>
      <w:r>
        <w:rPr>
          <w:b/>
        </w:rPr>
        <w:t>Shared claim-specific concepts:</w:t>
      </w:r>
      <w:r>
        <w:t xml:space="preserve"> first, species, temperate, diversity; EU scope not established. This is a provisional connection, not an outcome finding.</w:t>
      </w:r>
    </w:p>
    <w:p>
      <w:pPr>
        <w:pStyle w:val="SourceNote"/>
      </w:pPr>
      <w:r>
        <w:rPr>
          <w:b/>
        </w:rPr>
        <w:t>Available abstract (not full text):</w:t>
      </w:r>
      <w:r>
        <w:t xml:space="preserve">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pPr/>
      <w:r>
        <w:rPr>
          <w:b/>
        </w:rPr>
        <w:t>POSSIBLE 2025:</w:t>
      </w:r>
      <w:r>
        <w:t xml:space="preserve"> Bioassay tests reveal for the first time pyrethroid resistance in — https://doi.org/10.1051/parasite/2025036/pdf</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A three-sided story: a biosystematic revision of genus Datura reveals novel tropane alkaloids for the first-time in certain species — https://doi.org/10.3389/fpls.2025.1555237</w:t>
      </w:r>
    </w:p>
    <w:p>
      <w:pPr/>
      <w:r>
        <w:rPr>
          <w:b/>
        </w:rPr>
        <w:t>Shared claim-specific concepts:</w:t>
      </w:r>
      <w:r>
        <w:t xml:space="preserve"> first, species, plant; EU scope not established. This is a provisional connection, not an outcome finding.</w:t>
      </w:r>
    </w:p>
    <w:p>
      <w:pPr>
        <w:pStyle w:val="SourceNote"/>
      </w:pPr>
      <w:r>
        <w:rPr>
          <w:b/>
        </w:rPr>
        <w:t>Available abstract (not full text):</w:t>
      </w:r>
      <w:r>
        <w:t xml:space="preserve"> Introduction: Datura, long considered an medicinal plant, represents a prospective source for discovering novel drugs for modern medicine. The Egyptian flora encompasses six Datura genotypes, including D. innoxia, D. ferox, D. metel and three forms of D. stramonium (stramonium, tatula and inermis). However, the taxonomic status of Datura genus remains controversial. Methods: Our study aims to clarify the phylogenetic relationships among Egyptian Datura via contemporary molecular taxonomy techniques, including ISSR, SCoT, CDDP, as well as cytogenetics assessment, and chemical taxonomy, using total- and tropane-alkaloid and UV spectroscopic pattern. Results: Based on our results, the three forms of D. stramonium (stramonium, tatula and inermis) are closely related taxa, although there were some significant differences, suggesting the need to upgrade inermis to level of subspecies (Datura stramonium subsp. Inermis). The GC-MS results identified 31 tropane alkaloids. Out of which, seven were described in a qualitative manner in genus Datura, which enhances these genotypes' medical and economic value. Expression level of the genes PMT, TR1, TR2, H6H, HDH and AT4 influenced the tropane alkaloids accumulation within the genotypes examined. Discussion: To date, this is the first study to identify the evolutionary relationship of the genus Datura combining molecular and chemical taxonom</w:t>
      </w:r>
    </w:p>
    <w:p>
      <w:pPr/>
      <w:r>
        <w:rPr>
          <w:b/>
        </w:rPr>
        <w:t>POSSIBLE 2025:</w:t>
      </w:r>
      <w:r>
        <w:t xml:space="preserve"> Bioassay tests reveal for the first time pyrethroid resistance in Aedes mosquitoes from Franceville, southeast Gabon, Central Africa — https://doi.org/10.1051/parasite/2025036</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Relaxation of social time pressure reveals tight coupling between daily sleep and eating behavior and extends the interval between last and first meal — https://doi.org/10.1093/sleep/zsaf247</w:t>
      </w:r>
    </w:p>
    <w:p>
      <w:pPr/>
      <w:r>
        <w:rPr>
          <w:b/>
        </w:rPr>
        <w:t>Shared claim-specific concepts:</w:t>
      </w:r>
      <w:r>
        <w:t xml:space="preserve"> reveal, first, time, species, induce; EU scope not established. This is a provisional connection, not an outcome finding.</w:t>
      </w:r>
    </w:p>
    <w:p>
      <w:pPr>
        <w:pStyle w:val="SourceNote"/>
      </w:pPr>
      <w:r>
        <w:rPr>
          <w:b/>
        </w:rPr>
        <w:t>Available abstract (not full text):</w:t>
      </w:r>
      <w:r>
        <w:t xml:space="preserve"> STUDY OBJECTIVES: As a day-active species, humans abstain from some or all foods and beverages and rest at night. The modern social clock diverged from the natural light-dark clock with far-stretching consequences for both fasting/eating and sleep/wake daily cycles. METHODS: During the COVID-19 pandemic, prolonged social restrictions (SRs) offered a quasi-experimental protocol to directly test the impact of the relaxed social clock on eating and sleep behaviors and the coupling between them. RESULTS: Using data from a global survey of 5747 adults (mean age 37.2 ± 13.7, 67.1% females, 100% worked/studied), we show that relaxation of the social time pressure (STP) during SRs led, on average, to a 42 min increase in the habitual fasting duration (FD, interval between the last and the first meal) (from 12:16 ± 2:09 to 12:57 ± 2:04) and a 34 min delay in the fasting window. FD was extended by lengthening both the presleep fasting and sleep durations. Pre-SR breakfast eaters delayed sleep and fasting, while breakfast skippers delayed sleep and advanced meals. Stopping alarm use on workdays was associated with a larger increase in FD. The correlations between chronotype, FD, and the mid-fasting time became more robust during SR. CONCLUSIONS: We conclude that relaxed STP extends habitual FD and promotes co-alignment of daily fasting and sleeping. Given the finding that the sleep-fastin</w:t>
      </w:r>
    </w:p>
    <w:p>
      <w:pPr/>
      <w:r>
        <w:rPr>
          <w:b/>
        </w:rPr>
        <w:t>POSSIBLE 2025:</w:t>
      </w:r>
      <w:r>
        <w:t xml:space="preserve"> Impact of Cold Wakes on Tropical Cyclone Rainfall under Global Warming — https://doi.org/10.1175/jcli-d-25-0104.1</w:t>
      </w:r>
    </w:p>
    <w:p>
      <w:pPr/>
      <w:r>
        <w:rPr>
          <w:b/>
        </w:rPr>
        <w:t>Shared claim-specific concepts:</w:t>
      </w:r>
      <w:r>
        <w:t xml:space="preserve"> first, time, warming, influence; EU scope not established. This is a provisional connection, not an outcome finding.</w:t>
      </w:r>
    </w:p>
    <w:p>
      <w:pPr>
        <w:pStyle w:val="SourceNote"/>
      </w:pPr>
      <w:r>
        <w:rPr>
          <w:b/>
        </w:rPr>
        <w:t>Available abstract (not full text):</w:t>
      </w:r>
      <w:r>
        <w:t xml:space="preserve"> Abstract Tropical cyclone (TC)-induced cold wakes play a crucial role in regulating TC precipitation (TCP). However, the influence of air–sea coupling on TCP under global warming remains unclear. This study investigates the potential impact of air–sea interactions on TCP using coupled and uncoupled experiments under a future global warming scenario. Results indicate that cold wakes suppress precipitation in the TC inner-core region (∼300 km). Associated with global warming, the TCs’ cold wakes are progressively strengthened, leading to a more pronounced reduction in inner-core precipitation. Two dominate pathways are revealed by moisture budget analysis as responsible for the changes in TCP. The first is the direct modulation of TCP by cold wakes through their control over evaporation via air–sea interactions. The second is an indirect effect by weakening the TC intensity, thereby reducing moisture convergence and further suppressing TCP. The relative contributions of these two pathways depend on the time scale considered. In the future mean state, cold wakes reduce TCP by equally suppressing evaporation and decreasing moisture convergence through weakened TC intensity. The strengthening cold wakes under global warming lead to an amplifying trend of relative TCP decrease. These findings improve our understanding of air–sea interactions in shaping future TCP, offering valuable i</w:t>
      </w:r>
    </w:p>
    <w:p>
      <w:pPr/>
      <w:r>
        <w:rPr>
          <w:b/>
        </w:rPr>
        <w:t>POSSIBLE 2025:</w:t>
      </w:r>
      <w:r>
        <w:t xml:space="preserve"> Figure 2 in Bioassay tests reveal for the first time pyrethroid resistance in Aedes mosquitoes from Franceville, southeast Gabon, Central Africa — https://doi.org/10.5281/zenodo.20217709</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Figure 2. Mortality of adult females 24 h after 1-hour exposure to insecticides and pre-exposure to PBO. The red dotted line indicates 90% mortality, and the green one 98% mortality.</w:t>
      </w:r>
    </w:p>
    <w:p>
      <w:pPr/>
      <w:r>
        <w:rPr>
          <w:b/>
        </w:rPr>
        <w:t>POSSIBLE 2025:</w:t>
      </w:r>
      <w:r>
        <w:t xml:space="preserve"> Amplified warming and marine heatwaves in the North Sea under a warming climate and their impacts — https://doi.org/10.5194/os-21-2505-2025</w:t>
      </w:r>
    </w:p>
    <w:p>
      <w:pPr/>
      <w:r>
        <w:rPr>
          <w:b/>
        </w:rPr>
        <w:t>Shared claim-specific concepts:</w:t>
      </w:r>
      <w:r>
        <w:t xml:space="preserve"> impacts, warming, atmospheric; EU scope visible. This is a provisional connection, not an outcome finding.</w:t>
      </w:r>
    </w:p>
    <w:p>
      <w:pPr>
        <w:pStyle w:val="SourceNote"/>
      </w:pPr>
      <w:r>
        <w:rPr>
          <w:b/>
        </w:rPr>
        <w:t>Available abstract (not full text):</w:t>
      </w:r>
      <w:r>
        <w:t xml:space="preserve"> Abstract. The Northeast Atlantic and adjacent regions, such as the North Sea, are among the fastest-warming areas in the world. However, the role of climate change and internal variability on marine heatwaves (MHWs) in this region remains poorly understood. This study aims to quantify the relevant changes in sea surface temperature (SST) and MHWs in the North Sea, as well as to identify the leading patterns of interannual MHW variability over more than four decades (1982–2024). Our results indicate a new regime shift in the annual mean SST in the North Sea since 2013. Therefore, we examine the relationships between MHW trends and long-term SST warming trends to quantify the role of climate change in the intensification of MHWs. We found that the increase in MHWs is related to the significant decadal change in SST over the North Sea, and we have revealed that large-scale climate modes, such as the Atlantic Multidecadal Oscillation and the East Atlantic Pattern, play a crucial role in this decadal change in SST. In particular, the SST trend has doubled in recent years (post-2013) compared to the previous period (1982–2012: pre-2013), leading to more intense and frequent MHWs. The SST and MHW frequencies have significantly increased by 0.38 °C/decade and 1.04 events/decade, respectively, over the entire study period. After removing the long-term SST warming trend before MHW detect</w:t>
      </w:r>
    </w:p>
    <w:p>
      <w:pPr/>
      <w:r>
        <w:rPr>
          <w:b/>
        </w:rPr>
        <w:t>POSSIBLE 2025:</w:t>
      </w:r>
      <w:r>
        <w:t xml:space="preserve"> Exploring Global Warming Impact on the Economy: The Nexus of Global Warming and the Economy in Perspective — https://doi.org/10.22610/jsds.v15i1(s).4383</w:t>
      </w:r>
    </w:p>
    <w:p>
      <w:pPr/>
      <w:r>
        <w:rPr>
          <w:b/>
        </w:rPr>
        <w:t>Shared claim-specific concepts:</w:t>
      </w:r>
      <w:r>
        <w:t xml:space="preserve"> reveal, time, warming, productivity; EU scope not established. This is a provisional connection, not an outcome finding.</w:t>
      </w:r>
    </w:p>
    <w:p>
      <w:pPr>
        <w:pStyle w:val="SourceNote"/>
      </w:pPr>
      <w:r>
        <w:rPr>
          <w:b/>
        </w:rPr>
        <w:t>Available abstract (not full text):</w:t>
      </w:r>
      <w:r>
        <w:t xml:space="preserve"> This study explores global warming’s impact on the economy, recommending solutions to reduce poverty. Its most important implications are for policy economists who present global warming’s effects as impacting intergenerational equity. Grounded in production theory, the specific emphasis of this study is public-goods investment and agricultural productivity’s dependency on nature. A focus on these two areas is what sets this study apart from similar research. After conducting a meta-study of the relevant qualitative information on these areas, my findings reveal that global warming’s effects are always a trade-off between present and future generations’ consumption of resources. Since the global population increases while resources are limited, historical inequalities are likely to persist if concerted interventions are not widely adopted. I argue that if global warming’s effects are economic problems, the over-exploitation of limited resources needs to be addressed directly and that economic solutions without follow-through cannot fix the problem. Ultimately, the study recommends that reducing greenhouse gas (GHG) emissions, despite negative economic outcomes in the short term, will be beneficial over time. As a result, the present generation needs to invest wisely in environmentally sustainable technologies, rather than short-term goods, so that future generations will enjoy </w:t>
      </w:r>
    </w:p>
    <w:p>
      <w:pPr/>
      <w:r>
        <w:rPr>
          <w:b/>
        </w:rPr>
        <w:t>POSSIBLE 2024:</w:t>
      </w:r>
      <w:r>
        <w:t xml:space="preserve"> Hidden impacts of ocean warming and acidification on biological responses of marine animals revealed through meta-analysis — https://doi.org/10.1038/s41467-024-47064-3</w:t>
      </w:r>
    </w:p>
    <w:p>
      <w:pPr/>
      <w:r>
        <w:rPr>
          <w:b/>
        </w:rPr>
        <w:t>Shared claim-specific concepts:</w:t>
      </w:r>
      <w:r>
        <w:t xml:space="preserve"> impacts, warming, induce; EU scope not established. This is a provisional connection, not an outcome finding.</w:t>
      </w:r>
    </w:p>
    <w:p>
      <w:pPr>
        <w:pStyle w:val="SourceNote"/>
      </w:pPr>
      <w:r>
        <w:rPr>
          <w:b/>
        </w:rPr>
        <w:t>Available abstract (not full text):</w:t>
      </w:r>
      <w:r>
        <w:t xml:space="preserve">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pPr>
        <w:pStyle w:val="Heading2"/>
      </w:pPr>
      <w:r>
        <w:t>989. A history of futures: A review of scenario use in water policy studies in the Netherlands</w:t>
      </w:r>
    </w:p>
    <w:p>
      <w:pPr>
        <w:pStyle w:val="SourceNote"/>
      </w:pPr>
      <w:r>
        <w:rPr>
          <w:b/>
        </w:rPr>
        <w:t>Original source (2012):</w:t>
      </w:r>
      <w:r>
        <w:t xml:space="preserve"> https://doi.org/10.1016/j.envsci.2012.03.002</w:t>
      </w:r>
    </w:p>
    <w:p>
      <w:pPr/>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POSSIBLE 2026:</w:t>
      </w:r>
      <w:r>
        <w:t xml:space="preserve"> A Two-Stage Robust Federated Learning Framework for Offshore Wind Power Forecasting based on Spatiotemporal Topology Clustering — https://doi.org/10.2139/ssrn.7312109</w:t>
      </w:r>
    </w:p>
    <w:p>
      <w:pPr/>
      <w:r>
        <w:rPr>
          <w:b/>
        </w:rPr>
        <w:t>Shared claim-specific concepts:</w:t>
      </w:r>
      <w:r>
        <w:t xml:space="preserve"> based, learning, robust;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Enhancing Robustness of Federated Learning via Server Learning — https://doi.org/10.48550/arxiv.2604.03226</w:t>
      </w:r>
    </w:p>
    <w:p>
      <w:pPr/>
      <w:r>
        <w:rPr>
          <w:b/>
        </w:rPr>
        <w:t>Shared claim-specific concepts:</w:t>
      </w:r>
      <w:r>
        <w:t xml:space="preserve"> robustness, learning, not; EU scope not established. This is a provisional connection, not an outcome finding.</w:t>
      </w:r>
    </w:p>
    <w:p>
      <w:pPr>
        <w:pStyle w:val="SourceNote"/>
      </w:pPr>
      <w:r>
        <w:rPr>
          <w:b/>
        </w:rPr>
        <w:t>Available abstract (not full text):</w:t>
      </w:r>
      <w:r>
        <w:t xml:space="preserve"> This paper explores the use of server learning for enhancing the robustness of federated learning against malicious attacks even when clients' training data are not independent and identically distributed. We propose a heuristic algorithm that uses server learning and client update filtering in combination with geometric median aggregation. We demonstrate via experiments that this approach can achieve significant improvement in model accuracy even when the fraction of malicious clients is high, even more than $50\%$ in some cases, and the dataset utilized by the server is small and could be synthetic with its distribution not necessarily close to that of the clients' aggregated data.</w:t>
      </w:r>
    </w:p>
    <w:p>
      <w:pPr/>
      <w:r>
        <w:rPr>
          <w:b/>
        </w:rPr>
        <w:t>POSSIBLE 2025:</w:t>
      </w:r>
      <w:r>
        <w:t xml:space="preserve"> Lyme Borreliosis Incidence Across Europe, 2015–2023: A Surveillance-Based Review and Analysis — https://doi.org/10.1177/15303667251363125</w:t>
      </w:r>
    </w:p>
    <w:p>
      <w:pPr/>
      <w:r>
        <w:rPr>
          <w:b/>
        </w:rPr>
        <w:t>Shared claim-specific concepts:</w:t>
      </w:r>
      <w:r>
        <w:t xml:space="preserve"> based, two, criteria, increased, but; EU scope visible. This is a provisional connection, not an outcome finding.</w:t>
      </w:r>
    </w:p>
    <w:p>
      <w:pPr>
        <w:pStyle w:val="SourceNote"/>
      </w:pPr>
      <w:r>
        <w:rPr>
          <w:b/>
        </w:rPr>
        <w:t>Available abstract (not full text):</w:t>
      </w:r>
      <w:r>
        <w:t xml:space="preserve"> Background: Lyme borreliosis (LB) is the most common tick-borne disease in Europe. Incidence is increasing partly due to climate change and changing human behaviors. This review compiled updated national European LB surveillance data to assess recent incidence trends from 2015 to 2023. Methods: Publicly available LB surveillance data sources were identified for 29 European countries. Cases were collected from reports and dashboards. Estimates of population-based incidence were calculated. Countries were categorized based on their case classification criteria and geographic region. Subnational regions were classified as high-incidence areas if they reported ≥10 cases per 100,000 population per year (PPY) over a three-year period. The percentage of people residing in these high-incidence regions was calculated. Results: An average of 132,000 LB cases were reported to surveillance systems annually. Countries that included both erythema migrans and laboratory-confirmed LB cases in their reporting had the highest incidence rates—particularly Estonia, Finland, and Slovenia, exceeding 100 cases per 100,000 PPY. Overall, variation of incidence at the subnational level was observed, showing incidence at the national level can mask subnational differences in rates. Temporary decreases in incidence were observed during 2019–2021, but incidence increased from 2021 to 2023. A minimum of 223</w:t>
      </w:r>
    </w:p>
    <w:p>
      <w:pPr/>
      <w:r>
        <w:rPr>
          <w:b/>
        </w:rPr>
        <w:t>POSSIBLE 2025:</w:t>
      </w:r>
      <w:r>
        <w:t xml:space="preserve"> Proposal for revised criteria for daylight provision in the European daylight standard based on calculations for Swedish multifamily residential buildings — https://doi.org/10.1177/14771535241306970</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European Standard EN 17037 was first introduced in 2018 with the aim of encouraging building designers to ensure adequate daylight in buildings. Experience has shown that the standard’s criteria for daylight provision are generally perceived to be too challenging, and this in turn has hindered its implementation in national legislations. This paper proposes a revised illuminance-based criteria for daylight provision using the specific case of regularly occupied rooms in multifamily Swedish residential buildings as an example. In total, 3562 rooms representing typical Swedish residential design are assessed. Two sets of criteria for dwellings are proposed; one based on a fixed illuminance, another based on a fixed area fraction. Both have three levels of ambition, in which the lowest would result in approximately two-thirds of the investigated Swedish dwellings reaching compliance. This is the same compliance rate as for the current national legislation. The implications of three proposed criteria on residential design are also discussed. While results are given for the Swedish context, the proposed criteria could be generalized for use in other European countries. The intention of this proposal is to allow for a wider application of the daylight standard within residential construction across Europe.</w:t>
      </w:r>
    </w:p>
    <w:p>
      <w:pPr/>
      <w:r>
        <w:rPr>
          <w:b/>
        </w:rPr>
        <w:t>POSSIBLE 2025:</w:t>
      </w:r>
      <w:r>
        <w:t xml:space="preserve"> Distral: Robust Multitask Reinforcement Learning — https://doi.org/10.57702/nufubi9l</w:t>
      </w:r>
    </w:p>
    <w:p>
      <w:pPr/>
      <w:r>
        <w:rPr>
          <w:b/>
        </w:rPr>
        <w:t>Shared claim-specific concepts:</w:t>
      </w:r>
      <w:r>
        <w:t xml:space="preserve"> learning, robust, not; EU scope not established. This is a provisional connection, not an outcome finding.</w:t>
      </w:r>
    </w:p>
    <w:p>
      <w:pPr>
        <w:pStyle w:val="SourceNote"/>
      </w:pPr>
      <w:r>
        <w:rPr>
          <w:b/>
        </w:rPr>
        <w:t>Available abstract (not full text):</w:t>
      </w:r>
      <w:r>
        <w:t xml:space="preserve"> Most deep reinforcement learning algorithms are data inefficient in complex and rich environments, limiting their applicability to many scenarios. One direction for improving data efficiency is multitask learning with shared neural network parameters, where efficiency may be improved through transfer across related tasks. In practice, however, this is not usually observed, because gradients from different tasks can interfere negatively, making learning unstable and sometimes even less data efficient. Another issue is the different reward schemes between tasks, which can easily lead to one task dominating the learning of a shared model. We propose a new approach for joint training of multiple tasks, which we refer to as Distral (distill &amp; transfer learning). Instead of sharing parameters between the different workers, we propose to share a distilled policy that captures common behaviour across tasks. Each worker is trained to solve its own task while constrained to stay close to the shared policy, while the shared policy is trained by distillation to be the centroid of all task policies. Both aspects of the learning process are derived by optimizing a joint objective function. We show that our approach supports efficient transfer on complex 3D environments, outperforming several related methods. Moreover, the proposed learning process is more robust to hyperparameter settings an</w:t>
      </w:r>
    </w:p>
    <w:p>
      <w:pPr/>
      <w:r>
        <w:rPr>
          <w:b/>
        </w:rPr>
        <w:t>POSSIBLE 2025:</w:t>
      </w:r>
      <w:r>
        <w:t xml:space="preserve"> Zero-Trust Based Robust Federated Learning Against Betrayal Behaviors — https://doi.org/10.1109/tmc.2025.3591632</w:t>
      </w:r>
    </w:p>
    <w:p>
      <w:pPr/>
      <w:r>
        <w:rPr>
          <w:b/>
        </w:rPr>
        <w:t>Shared claim-specific concepts:</w:t>
      </w:r>
      <w:r>
        <w:t xml:space="preserve"> based, robustness, learning, robust, paradigm; EU scope not established. This is a provisional connection, not an outcome finding.</w:t>
      </w:r>
    </w:p>
    <w:p>
      <w:pPr>
        <w:pStyle w:val="SourceNote"/>
      </w:pPr>
      <w:r>
        <w:rPr>
          <w:b/>
        </w:rPr>
        <w:t>Available abstract (not full text):</w:t>
      </w:r>
      <w:r>
        <w:t xml:space="preserve"> Due to its advantage of protecting data privacy and reducing communication overhead, Federated Learning (FL) is becoming a promising machine learning paradigm. However, resource limitations and unstable communication connections on the participating client end can lead to unintentional failures that degrade FL performance. Moreover, as FL systems scale and interconnect increasingly, they face growing exposure to intentional network risks. Furthermore, the assumption of continued trust in historically benign clients introduces vulnerabilities to potential internal betrayal within FL systems. In this paper, we enhance the robustness of FL by incorporating the zero-trust principle, which eliminates implicit trust in clients and mitigates unintentional failures, intentional attacks, and strategic betrayal risks. The framework incorporates dynamic client selection and aggregation weight allocation through trustworthiness evaluation and sustained skepticism toward each potential betrayal behavior. Specifically, a Dirichlet-based trust evaluation technique is presented to update clients' trustworthiness with evolving observations. Then, to reduce potential betrayal loss, we formulate a min-max optimization problem that minimizes the worst-case betrayal loss. Next, we transform the formulation into a convex programming problem for solution. Extensive simulations are conducted to demons</w:t>
      </w:r>
    </w:p>
    <w:p>
      <w:pPr/>
      <w:r>
        <w:rPr>
          <w:b/>
        </w:rPr>
        <w:t>POSSIBLE 2024:</w:t>
      </w:r>
      <w:r>
        <w:t xml:space="preserve"> Federated Learning for Generalization, Robustness, Fairness: A Survey and Benchmark — https://doi.org/10.1109/tpami.2024.3418862</w:t>
      </w:r>
    </w:p>
    <w:p>
      <w:pPr/>
      <w:r>
        <w:rPr>
          <w:b/>
        </w:rPr>
        <w:t>Shared claim-specific concepts:</w:t>
      </w:r>
      <w:r>
        <w:t xml:space="preserve"> robustness, learning, paradigm; EU scope not established. This is a provisional connection, not an outcome finding.</w:t>
      </w:r>
    </w:p>
    <w:p>
      <w:pPr>
        <w:pStyle w:val="SourceNote"/>
      </w:pPr>
      <w:r>
        <w:rPr>
          <w:b/>
        </w:rPr>
        <w:t>Available abstract (not full text):</w:t>
      </w:r>
      <w:r>
        <w:t xml:space="preserve">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pPr/>
      <w:r>
        <w:rPr>
          <w:b/>
        </w:rPr>
        <w:t>POSSIBLE 2024:</w:t>
      </w:r>
      <w:r>
        <w:t xml:space="preserve"> Robust two-qubit gate with reinforcement learning and dropout — https://doi.org/10.1103/physreva.110.032614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based, two, criteria, method;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Generalizability and robustness evaluation of attribute-based zero-shot learning — https://doi.org/10.1016/j.neunet.2024.106278</w:t>
      </w:r>
    </w:p>
    <w:p>
      <w:pPr/>
      <w:r>
        <w:rPr>
          <w:b/>
        </w:rPr>
        <w:t>Shared claim-specific concepts:</w:t>
      </w:r>
      <w:r>
        <w:t xml:space="preserve"> based, robustness, learning; EU scope not established. This is a provisional connection, not an outcome finding.</w:t>
      </w:r>
    </w:p>
    <w:p>
      <w:pPr>
        <w:pStyle w:val="SourceNote"/>
      </w:pPr>
      <w:r>
        <w:rPr>
          <w:b/>
        </w:rPr>
        <w:t>Available abstract (not full text):</w:t>
      </w:r>
      <w:r>
        <w:t xml:space="preserve"> In the field of deep learning, large quantities of data are typically required to effectively train models. This challenge has given rise to techniques like zero-shot learning (ZSL), which trains models on a set of "seen" classes and evaluates them on a set of "unseen" classes. Although ZSL has shown considerable potential, particularly with the employment of generative methods, its generalizability to real-world scenarios remains uncertain. The hypothesis of this work is that the performance of ZSL models is systematically influenced by the chosen "splits"; in particular, the statistical properties of the classes and attributes used in training. In this paper, we test this hypothesis by introducing the concepts of generalizability and robustness in attribute-based ZSL and carry out a variety of experiments to stress-test ZSL models against different splits. Our aim is to lay the groundwork for future research on ZSL models' generalizability, robustness, and practical applications. We evaluate the accuracy of state-of-the-art models on benchmark datasets and identify consistent trends in generalizability and robustness. We analyze how these properties vary based on the dataset type, differentiating between coarse- and fine-grained datasets, and our findings indicate significant room for improvement in both generalizability and robustness. Furthermore, our results demonstrate th</w:t>
      </w:r>
    </w:p>
    <w:p>
      <w:pPr/>
      <w:r>
        <w:rPr>
          <w:b/>
        </w:rPr>
        <w:t>POSSIBLE 2024:</w:t>
      </w:r>
      <w:r>
        <w:t xml:space="preserve"> ProcSim: Proxy-based Confidence for Robust Similarity Learning — https://doi.org/10.1109/wacv57701.2024.00134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Deep Metric Learning (DML) methods aim at learning an embedding space in which distances are closely related to the inherent semantic similarity of the inputs. Previous studies have shown that popular benchmark datasets often contain numerous wrong labels, and DML methods are susceptible to them. Intending to study the effect of realistic noise, we create an ontology of the classes in a dataset and use it to simulate semantically coherent labeling mistakes. To train robust DML models, we propose ProcSim, a simple framework that assigns a confidence score to each sample using the normalized distance to its class representative. The experimental results show that the proposed method achieves state-of-the-art performance on the DML benchmark datasets injected with uniform and the proposed semantically coherent noise.</w:t>
      </w:r>
    </w:p>
    <w:p>
      <w:pPr/>
      <w:r>
        <w:rPr>
          <w:b/>
        </w:rPr>
        <w:t>POSSIBLE 2024:</w:t>
      </w:r>
      <w:r>
        <w:t xml:space="preserve"> RIME: Robust Preference-based Reinforcement Learning with Noisy Preferences — https://doi.org/10.48550/arxiv.2402.17257</w:t>
      </w:r>
    </w:p>
    <w:p>
      <w:pPr/>
      <w:r>
        <w:rPr>
          <w:b/>
        </w:rPr>
        <w:t>Shared claim-specific concepts:</w:t>
      </w:r>
      <w:r>
        <w:t xml:space="preserve"> robustness, learning, robust, method; EU scope not established. This is a provisional connection, not an outcome finding.</w:t>
      </w:r>
    </w:p>
    <w:p>
      <w:pPr>
        <w:pStyle w:val="SourceNote"/>
      </w:pPr>
      <w:r>
        <w:rPr>
          <w:b/>
        </w:rPr>
        <w:t>Available abstract (not full text):</w:t>
      </w:r>
      <w:r>
        <w:t xml:space="preserve"> Preference-based Reinforcement Learning (PbRL) circumvents the need for reward engineering by harnessing human preferences as the reward signal. However, current PbRL methods excessively depend on high-quality feedback from domain experts, which results in a lack of robustness. In this paper, we present RIME, a robust PbRL algorithm for effective reward learning from noisy preferences. Our method utilizes a sample selection-based discriminator to dynamically filter out noise and ensure robust training. To counteract the cumulative error stemming from incorrect selection, we suggest a warm start for the reward model, which additionally bridges the performance gap during the transition from pre-training to online training in PbRL. Our experiments on robotic manipulation and locomotion tasks demonstrate that RIME significantly enhances the robustness of the state-of-the-art PbRL method. Code is available at https://github.com/CJReinforce/RIME_ICML2024.</w:t>
      </w:r>
    </w:p>
    <w:p>
      <w:pPr>
        <w:pStyle w:val="Heading2"/>
      </w:pPr>
      <w:r>
        <w:t>990. After-crisis Scenarios for the European Regions</w:t>
      </w:r>
    </w:p>
    <w:p>
      <w:pPr>
        <w:pStyle w:val="SourceNote"/>
      </w:pPr>
      <w:r>
        <w:rPr>
          <w:b/>
        </w:rPr>
        <w:t>Original source (2012):</w:t>
      </w:r>
      <w:r>
        <w:t xml:space="preserve"> https://doi.org/10.2457/srs.42.3</w:t>
      </w:r>
    </w:p>
    <w:p>
      <w:pPr/>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POSSIBLE 2026:</w:t>
      </w:r>
      <w:r>
        <w:t xml:space="preserve"> The New European Bauhaus Academy: a novel skills, knowledge and innovation platform to boost sustainable construction within the built environment — https://doi.org/10.5281/zenodo.20586709</w:t>
      </w:r>
    </w:p>
    <w:p>
      <w:pPr/>
      <w:r>
        <w:rPr>
          <w:b/>
        </w:rPr>
        <w:t>Shared claim-specific concepts:</w:t>
      </w:r>
      <w:r>
        <w:t xml:space="preserve"> reference, built, all, one; EU scope visible. This is a provisional connection, not an outcome finding.</w:t>
      </w:r>
    </w:p>
    <w:p>
      <w:pPr>
        <w:pStyle w:val="SourceNote"/>
      </w:pPr>
      <w:r>
        <w:rPr>
          <w:b/>
        </w:rPr>
        <w:t>Available abstract (not full text):</w:t>
      </w:r>
      <w:r>
        <w:t xml:space="preserve">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pPr/>
      <w:r>
        <w:rPr>
          <w:b/>
        </w:rPr>
        <w:t>POSSIBLE 2026:</w:t>
      </w:r>
      <w:r>
        <w:t xml:space="preserve"> Public perception of dermatologists in Europe — https://openalex.org/W7171337581</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2026:</w:t>
      </w:r>
      <w:r>
        <w:t xml:space="preserve"> Alcide De Gasperi and the European Defence Community: Lessons for Today’s Europe — https://doi.org/10.1177/10692509261477264</w:t>
      </w:r>
    </w:p>
    <w:p>
      <w:pPr/>
      <w:r>
        <w:rPr>
          <w:b/>
        </w:rPr>
        <w:t>Shared claim-specific concepts:</w:t>
      </w:r>
      <w:r>
        <w:t xml:space="preserve"> reference, built, but, not; EU scope visible. This is a provisional connection, not an outcome finding.</w:t>
      </w:r>
    </w:p>
    <w:p>
      <w:pPr>
        <w:pStyle w:val="SourceNote"/>
      </w:pPr>
      <w:r>
        <w:rPr>
          <w:b/>
        </w:rPr>
        <w:t>Available abstract (not full text):</w:t>
      </w:r>
      <w:r>
        <w:t xml:space="preserve"> In March 2025, opening a European Parliament debate on defence, Commission President Ursula von der Leyen cited Alcide De Gasperi, recalling that 70 years earlier he had urged Europeans not merely to keep the peace but to build a common defence. The reference was not simply a rhetorical flourish: the collapse of the European Defence Community in 1954 still shapes Europe’s unfinished security architecture. This article traces the European Defence Community from the Pleven Plan (1950) to the rejection of this proposed treaty by the French National Assembly (1954), and reconstructs De Gasperi’s federalist reading of it, embodied in Article 38, which tied military integration to a democratic political community. The article then weighs that vision against what the EU has since built and what is still missing, concluding with three lessons learned from the analysis: this is Europe’s last call for a common defence, unpopular decisions demand courage, and the future lies not in ceding sovereignty but in maintaining it within an association of sovereign states.</w:t>
      </w:r>
    </w:p>
    <w:p>
      <w:pPr/>
      <w:r>
        <w:rPr>
          <w:b/>
        </w:rPr>
        <w:t>POSSIBLE 2026:</w:t>
      </w:r>
      <w:r>
        <w:t xml:space="preserve"> Built environment and childhood obesity: A systematic review of the European literature — https://doi.org/10.29333/jconseph/17944</w:t>
      </w:r>
    </w:p>
    <w:p>
      <w:pPr/>
      <w:r>
        <w:rPr>
          <w:b/>
        </w:rPr>
        <w:t>Shared claim-specific concepts:</w:t>
      </w:r>
      <w:r>
        <w:t xml:space="preserve"> built, all, but, second; EU scope visible. This is a provisional connection, not an outcome finding.</w:t>
      </w:r>
    </w:p>
    <w:p>
      <w:pPr>
        <w:pStyle w:val="SourceNote"/>
      </w:pPr>
      <w:r>
        <w:rPr>
          <w:b/>
        </w:rPr>
        <w:t>Available abstract (not full text):</w:t>
      </w:r>
      <w:r>
        <w:t xml:space="preserve"> Background: Childhood obesity is a major public health issue, identifying pathways to it is crucial. The term “obesogenic environment” describes neighborhood traits linked to higher obesity risk, but it’s unclear which environmental factors increase this risk and which neighborhood changes can improve outcomes. Methods: Articles published between 2000 and June 2024 from PubMed, Cochrane Library, and Web of Science databases conducted in EuropeanUnion countries were included, focusing on children aged 0-18. Results: We found 2,531 articles initially and 1,278 in a second search, with 43 meeting all the criteria. Studies examined green space, air and noise pollution, facility richness, sports facilities, food environment, land-use mix, housing, walkability, street connectivity, and traffic. Only food environment and green space showed associations with childhood obesity, which mostly disappeared after adjusting for individual socioeconomic factors. Other environment variables showed no consistent associations. Further research is needed to understand how neighborhood properties influence childhood obesity.</w:t>
      </w:r>
    </w:p>
    <w:p>
      <w:pPr/>
      <w:r>
        <w:rPr>
          <w:b/>
        </w:rPr>
        <w:t>POSSIBLE 2026:</w:t>
      </w:r>
      <w:r>
        <w:t xml:space="preserve"> Ecosystem services and disservices of forests and greenspaces: A pan-European representative study of societal perceptions — https://doi.org/10.1016/j.ecoser.2026.101832</w:t>
      </w:r>
    </w:p>
    <w:p>
      <w:pPr/>
      <w:r>
        <w:rPr>
          <w:b/>
        </w:rPr>
        <w:t>Shared claim-specific concepts:</w:t>
      </w:r>
      <w:r>
        <w:t xml:space="preserve"> structural, but, second, perceived; EU scope visible. This is a provisional connection, not an outcome finding.</w:t>
      </w:r>
    </w:p>
    <w:p>
      <w:pPr>
        <w:pStyle w:val="SourceNote"/>
      </w:pPr>
      <w:r>
        <w:rPr>
          <w:b/>
        </w:rPr>
        <w:t>Available abstract (not full text):</w:t>
      </w:r>
      <w:r>
        <w:t xml:space="preserve"> • Survey of perceptions of ecosystem services of forests and greenspaces across Europe. • Regulating and cultural ecosystem services were perceived as most important. • Provisioning services and disservices were perceived as least important. • Four distinct country-clusters form based on perceptions of ecosystem services. • Both values and demographics significantly influenced perceptions. Understanding public perceptions of ecosystem services and disservices of forests and greenspaces is essential for developing targeted forest policy and management strategies. However, across Europe, geographic differences and the role of demographic patterns and values in shaping perceptions remain largely unexplored. This study assesses societal perceptions of forests and greenspace services for the first time on a continental scale, encompassing data from 33 countries. Based on a representative sample ( n = 10,782), perceptions were assessed from two angles: First, by analysing regional differences across Europe. Second, by examining how Schwartz’s values (i.e., openness to change, conservation, self-enhancement, and self-transcendence) and demographics (i.e., age, gender) relate to their perceived importance. Overall, regulating and cultural ecosystem services are perceived as very important, and provisioning services as less important. Disservices are generally perceived as unimportant. </w:t>
      </w:r>
    </w:p>
    <w:p>
      <w:pPr/>
      <w:r>
        <w:rPr>
          <w:b/>
        </w:rPr>
        <w:t>POSSIBLE 2026:</w:t>
      </w:r>
      <w:r>
        <w:t xml:space="preserve"> Assessment of the 5-year evaluation for 1st call members of the European Reference Network on Rare Endocrine Conditions (Endo-ERN) — https://doi.org/10.1530/ec-25-0619</w:t>
      </w:r>
    </w:p>
    <w:p>
      <w:pPr/>
      <w:r>
        <w:rPr>
          <w:b/>
        </w:rPr>
        <w:t>Shared claim-specific concepts:</w:t>
      </w:r>
      <w:r>
        <w:t xml:space="preserve"> reference, not, one; EU scope visible. This is a provisional connection, not an outcome finding.</w:t>
      </w:r>
    </w:p>
    <w:p>
      <w:pPr>
        <w:pStyle w:val="SourceNote"/>
      </w:pPr>
      <w:r>
        <w:rPr>
          <w:b/>
        </w:rPr>
        <w:t>Available abstract (not full text):</w:t>
      </w:r>
      <w:r>
        <w:t xml:space="preserve"> Background: The European Reference Networks on Rare Endocrine Diseases (Endo-ERN) and member healthcare providers (HCPs) both are mandated to undergo periodical evaluation of their performance every 5 years. This evaluation is to ensure the continued high standards of ERN HCPs and gauges network progress. The first 5-year evaluation took place in 2022 for healthcare providers that joined Endo-ERN as full members in 2017. As the first implementation of this methodology, it must be reviewed and refined before the next 5-year evaluation. Aim: To investigate how the evaluation process could have impacted the changes in scores beyond merit of the HCP. Methods: This mixed-methods retrospective study and content analysis (CA) was used to examine the self-evaluation results from HCPs, comparing the draft and final scores earned. Results: Fifty-eight HCPs that were subjected to the 5-year evaluation were included, with 14 receiving on-site audit. Final scores of HCPs who received an on-site audit were significantly higher than draft scores in only one area, concerning 'quality and safety' (W = 105, P &lt; 0.0001). CA found five different concepts potentially causing this difference. HCPs with on-site audit commented 'No evidence is provided' online frequently. In follow-up, 61% of HCPs who received the on-site audit felt the on-site visit added value; however, in parallel, 55% felt that th</w:t>
      </w:r>
    </w:p>
    <w:p>
      <w:pPr/>
      <w:r>
        <w:rPr>
          <w:b/>
        </w:rPr>
        <w:t>POSSIBLE 2025:</w:t>
      </w:r>
      <w:r>
        <w:t xml:space="preserve"> Education, perception and the future of European human rights — https://openalex.org/W7111648218</w:t>
      </w:r>
    </w:p>
    <w:p>
      <w:pPr/>
      <w:r>
        <w:rPr>
          <w:b/>
        </w:rPr>
        <w:t>Shared claim-specific concepts:</w:t>
      </w:r>
      <w:r>
        <w:t xml:space="preserve"> perception, act, effective; EU scope visible. This is a provisional connection, not an outcome finding.</w:t>
      </w:r>
    </w:p>
    <w:p>
      <w:pPr>
        <w:pStyle w:val="SourceNote"/>
      </w:pPr>
      <w:r>
        <w:rPr>
          <w:b/>
        </w:rPr>
        <w:t>Available abstract (not full text):</w:t>
      </w:r>
      <w:r>
        <w:t xml:space="preserve"> This chapter explores the evolving relationship between public perception, education, and the future of human rights in Europe. In doing so, it focuses on the United Kingdom (UK), a country with complex and checkered history on human rights. Contrary to widespread belief, survey data indicates that public support for human rights remains robust, in the UK and beyond, despite political rhetoric suggesting otherwise. However, a lack of knowledge and awareness among the general public presents challenges to fostering more vocal and effective advocacy for human rights frameworks, such as the European Convention on Human Rights (ECHR) and the Human Rights Act (HRA) 1998. This chapter argues that education is a critical factor in building positive perceptions of human rights. By increasing public awareness and knowledge, citizens are more likely to support and engage with human rights protections. The study examines the historical and current frameworks of human rights in the UK, the disconnect between political claims and public sentiment, and the impact of media coverage on shaping attitudes. The chapter concludes by recommending that Council of Europe member states, including the UK, must prioritise high-quality human rights education to ensure that future generations understand and uphold these protections. Additionally, it calls for more extensive research into the methods of ef</w:t>
      </w:r>
    </w:p>
    <w:p>
      <w:pPr/>
      <w:r>
        <w:rPr>
          <w:b/>
        </w:rPr>
        <w:t>POSSIBLE 2025:</w:t>
      </w:r>
      <w:r>
        <w:t xml:space="preserve"> Design Policy Mapping in Europe — https://openalex.org/W7215223829</w:t>
      </w:r>
    </w:p>
    <w:p>
      <w:pPr/>
      <w:r>
        <w:rPr>
          <w:b/>
        </w:rPr>
        <w:t>Shared claim-specific concepts:</w:t>
      </w:r>
      <w:r>
        <w:t xml:space="preserve"> built, policies, one;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Perceptions of the European Green Deal: Understanding Public Sentiment — https://doi.org/10.1177/20563051251337404</w:t>
      </w:r>
    </w:p>
    <w:p>
      <w:pPr/>
      <w:r>
        <w:rPr>
          <w:b/>
        </w:rPr>
        <w:t>Shared claim-specific concepts:</w:t>
      </w:r>
      <w:r>
        <w:t xml:space="preserve"> trends, way, compared; EU scope visible. This is a provisional connection, not an outcome finding.</w:t>
      </w:r>
    </w:p>
    <w:p>
      <w:pPr>
        <w:pStyle w:val="SourceNote"/>
      </w:pPr>
      <w:r>
        <w:rPr>
          <w:b/>
        </w:rPr>
        <w:t>Available abstract (not full text):</w:t>
      </w:r>
      <w:r>
        <w:t xml:space="preserve"> Launched in December 2019, the European Green Deal (EGD) represents the European Union’s (EU) ambitious policy framework to achieve climate neutrality by 2050. This study employs a sentiment analysis of 582,156 tweets from the beginning of 2020 to April 2024 to understand the evolution of public sentiment toward the EGD. Grounded in Social Representations Theory and Framing Theory, we analyze sentiment trends, topic distributions, and the impact of key policy and external events (e.g. COVID-19 spread) on public sentiment. The results reveal predominantly neutral sentiment (61.68%), with more positive (28.26%) than negative (10.06%) sentiment overall and a substantially stable trend over time. EU-affiliated accounts showed higher positive sentiment compared to non-EU-affiliated accounts. Sentiment trends were correlated with key policy announcements and global events, demonstrating the intricate relationship between policy communication and the formation of public opinion. The study identified key themes and specific initiatives driving positive sentiment, including those linked to the first EU climate law and climate targets, Farm to Fork, and New European Bauhaus. Conversely, economic concerns, challenges in policy implementation challenges, ecosystem conservation status, and food system, and energy security issues appeared as associated with negative sentiment. The findings h</w:t>
      </w:r>
    </w:p>
    <w:p>
      <w:pPr/>
      <w:r>
        <w:rPr>
          <w:b/>
        </w:rPr>
        <w:t>POSSIBLE 2025:</w:t>
      </w:r>
      <w:r>
        <w:t xml:space="preserve"> Towards a Regenerative and Climate-Resilient Built Environment: Greening Lessons from European Cities — https://doi.org/10.3390/buildings15111878</w:t>
      </w:r>
    </w:p>
    <w:p>
      <w:pPr/>
      <w:r>
        <w:rPr>
          <w:b/>
        </w:rPr>
        <w:t>Shared claim-specific concepts:</w:t>
      </w:r>
      <w:r>
        <w:t xml:space="preserve"> built, but, policies, not; EU scope visible. This is a provisional connection, not an outcome finding.</w:t>
      </w:r>
    </w:p>
    <w:p>
      <w:pPr>
        <w:pStyle w:val="SourceNote"/>
      </w:pPr>
      <w:r>
        <w:rPr>
          <w:b/>
        </w:rPr>
        <w:t>Available abstract (not full text):</w:t>
      </w:r>
      <w:r>
        <w:t xml:space="preserve"> Nature-Based Solutions offer a concrete opportunity to integrate nature into cities and strengthen their resilience, in response to global challenges related to climate change, biodiversity loss, and water management, which are exacerbated by urban expansion and its impacts on the built environment. This study aims to analyze various European policies and urban greening practices, considering not only some European Union member states but also other cities geographically located in Europe. The main goal is to explore how these solutions are used in various European cities to address environmental challenges and improve urban quality of life. The study highlights the growing role of greening strategies in EU urban policies as key tools to tackle global challenges. It finds that green interventions—such as green roofs, façades, and green urban spaces—offer multifunctional benefits, but their effectiveness relies on integrated planning, strong public–private cooperation, and active community involvement. Key challenges include the limited scalability of these solutions in dense or economically constrained areas and the need for long-term financial and institutional support. Overall, the study highlights that greening is not merely aesthetic but central to building regenerative and climate-resilient cities.</w:t>
      </w:r>
    </w:p>
    <w:p>
      <w:pPr/>
      <w:r>
        <w:rPr>
          <w:b/>
        </w:rPr>
        <w:t>POSSIBLE 2024:</w:t>
      </w:r>
      <w:r>
        <w:t xml:space="preserve"> Development and validation of the MosquitoWise survey to assess perceptions towards mosquitoes and mosquito-borne viruses in Europe — https://doi.org/10.1038/s41598-024-52219-9</w:t>
      </w:r>
    </w:p>
    <w:p>
      <w:pPr/>
      <w:r>
        <w:rPr>
          <w:b/>
        </w:rPr>
        <w:t>Shared claim-specific concepts:</w:t>
      </w:r>
      <w:r>
        <w:t xml:space="preserve"> there, all, effective; EU scope visible. This is a provisional connection, not an outcome finding.</w:t>
      </w:r>
    </w:p>
    <w:p>
      <w:pPr>
        <w:pStyle w:val="SourceNote"/>
      </w:pPr>
      <w:r>
        <w:rPr>
          <w:b/>
        </w:rPr>
        <w:t>Available abstract (not full text):</w:t>
      </w:r>
      <w:r>
        <w:t xml:space="preserve"> Due to climate change and the expanding geographical ranges of key mosquito species, several mosquito-borne viruses (MBVs) have recently emerged in Europe. Understanding people's perceptions and behaviours towards these viruses and the mosquitoes capable of transmitting them is crucial for implementing effective prevention measures and targeted communication campaigns. However, there is currently no appropriate validated survey for European populations to assess this. This study developed and validated a standardized survey, based on the Health Belief Model (HBM), to assess perceptions of mosquitoes and MBVs among Europe's residents. The survey was distributed online to United Kingdom (UK), Dutch and Spanish participants through panel providers. Survey validity and reliability were tested using confirmatory factor analysis (CFA) and Cronbach's alpha. The optimised survey was completed by 336 UK, 438 Dutch and 475 Spanish residents, respectively, and the HBM items passed our validity and reliability testing in all three countries. The final survey has 57 questions, including 19 validated HBM items, and questions to assess demographic characteristics, knowledge, prevention measures and behavioural determinants. Our MosquitoWise survey bridges researchers' understandings of European residents' perceptions and knowledge as a first step to improve preventive behaviour towards mosqui</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pStyle w:val="Heading2"/>
      </w:pPr>
      <w:r>
        <w:t>991. An assessment of the impact of climate adaptation measures to reduce flood risk on ecosystem services</w:t>
      </w:r>
    </w:p>
    <w:p>
      <w:pPr>
        <w:pStyle w:val="SourceNote"/>
      </w:pPr>
      <w:r>
        <w:rPr>
          <w:b/>
        </w:rPr>
        <w:t>Original source (2012):</w:t>
      </w:r>
      <w:r>
        <w:t xml:space="preserve"> https://doi.org/10.1007/s10980-012-9715-6</w:t>
      </w:r>
    </w:p>
    <w:p>
      <w:pPr/>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POSSIBLE 2026:</w:t>
      </w:r>
      <w:r>
        <w:t xml:space="preserve"> Standard adaptation — https://doi.org/10.1093/9780197831533.003.0002</w:t>
      </w:r>
    </w:p>
    <w:p>
      <w:pPr/>
      <w:r>
        <w:rPr>
          <w:b/>
        </w:rPr>
        <w:t>Shared claim-specific concepts:</w:t>
      </w:r>
      <w:r>
        <w:t xml:space="preserve"> therefore, likely, adaptation; EU scope not established. This is a provisional connection, not an outcome finding.</w:t>
      </w:r>
    </w:p>
    <w:p>
      <w:pPr>
        <w:pStyle w:val="SourceNote"/>
      </w:pPr>
      <w:r>
        <w:rPr>
          <w:b/>
        </w:rPr>
        <w:t>Available abstract (not full text):</w:t>
      </w:r>
      <w:r>
        <w:t xml:space="preserve"> Abstract This chapter provides a clear and structured walkthrough of traditional adaptation reasoning, designed to help readers understand both the logic and the value of standard evolutionary explanations. Drawing on classic examples and contemporary insights, it lays out the conceptual toolkit that enables biologists to ask and answer “why” questions about biological form. Rather than caricaturing adaptationism as simplistic or naive, the chapter demonstrates the way rigorous adaptationist reasoning proceeds: from identifying viable variation, to linking traits to function and performance, to evaluating relative fitness and inferring likely evolutionary outcomes. It highlights the role of natural selection in shaping observable traits, while remaining grounded in biological realism about variation, heritability, and developmental feasibility. The goal is not to defend adaptationism against its critics, but to show what strong, clear adaptationist reasoning actually looks like in practice. Many researchers, including those skeptical of selectionist accounts, benefit from fluency in these methods. This chapter, therefore, builds a foundation for the mutually reinforcing approach developed throughout the book, in which traditional adaptationist logic is not discarded but strengthened through complementarity with developmental, ecological, and physiological insights. Readers emer</w:t>
      </w:r>
    </w:p>
    <w:p>
      <w:pPr/>
      <w:r>
        <w:rPr>
          <w:b/>
        </w:rPr>
        <w:t>POSSIBLE 2024:</w:t>
      </w:r>
      <w:r>
        <w:t xml:space="preserve"> Aneuploidy Can Be an Evolutionary Diversion on the Path to Adaptation — https://doi.org/10.1093/molbev/msae052</w:t>
      </w:r>
    </w:p>
    <w:p>
      <w:pPr/>
      <w:r>
        <w:rPr>
          <w:b/>
        </w:rPr>
        <w:t>Shared claim-specific concepts:</w:t>
      </w:r>
      <w:r>
        <w:t xml:space="preserve"> therefore, likely, adaptation, compared, conditions; EU scope not established. This is a provisional connection, not an outcome finding.</w:t>
      </w:r>
    </w:p>
    <w:p>
      <w:pPr>
        <w:pStyle w:val="SourceNote"/>
      </w:pPr>
      <w:r>
        <w:rPr>
          <w:b/>
        </w:rPr>
        <w:t>Available abstract (not full text):</w:t>
      </w:r>
      <w:r>
        <w:t xml:space="preserve">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pPr/>
      <w:r>
        <w:rPr>
          <w:b/>
        </w:rPr>
        <w:t>POSSIBLE 2024:</w:t>
      </w:r>
      <w:r>
        <w:t xml:space="preserve"> Synergy‐as‐principle in global climate regulation — https://doi.org/10.1111/1758-5899.13425</w:t>
      </w:r>
    </w:p>
    <w:p>
      <w:pPr/>
      <w:r>
        <w:rPr>
          <w:b/>
        </w:rPr>
        <w:t>Shared claim-specific concepts:</w:t>
      </w:r>
      <w:r>
        <w:t xml:space="preserve"> synergies, climate; EU scope not established. This is a provisional connection, not an outcome finding.</w:t>
      </w:r>
    </w:p>
    <w:p>
      <w:pPr>
        <w:pStyle w:val="SourceNote"/>
      </w:pPr>
      <w:r>
        <w:rPr>
          <w:b/>
        </w:rPr>
        <w:t>Available abstract (not full text):</w:t>
      </w:r>
      <w:r>
        <w:t xml:space="preserve"> Abstract Isolated policy interventions are unlikely to effectively address a highly complex and cross‐cutting issue such as climate change. Such issues require more integrated or holistic approaches. The concept of searching for synergy across multiple objectives could then achieve better outcomes than a default position of trade‐off and collision. This contribution construes a novel principle of synergy to structure integrated decision‐making in global climate regulation through law. This article grounds its argument theoretically in the analysis of global regulation. It first develops the rationale of a regulatory principle justifying synergetic choices in rule‐design and rule‐application. It then sets out a typology of regulatory synergies – reinforcing, functional, and dormant or connecting – which can be arranged on a sliding scale and delivered with appropriate policy tools. It also suggests pathways for synergy‐as‐principle to advance beyond an effective strategy to acquiring legal bindingness within global regulation through law. Finally, this article tests the workability of this principle in four scenarios where climate protection and adjacent objectives intersect. Beyond this analysis of global climate regulation, this article points to the deeper normative foundations capable of supporting a non‐exclusionary global community.</w:t>
      </w:r>
    </w:p>
    <w:p>
      <w:pPr/>
      <w:r>
        <w:rPr>
          <w:b/>
        </w:rPr>
        <w:t>POSSIBLE 2024:</w:t>
      </w:r>
      <w:r>
        <w:t xml:space="preserve"> Time Horizons and Biosemiotic Adaptation — https://doi.org/10.1002/9781119865667.ch22</w:t>
      </w:r>
    </w:p>
    <w:p>
      <w:pPr/>
      <w:r>
        <w:rPr>
          <w:b/>
        </w:rPr>
        <w:t>Shared claim-specific concepts:</w:t>
      </w:r>
      <w:r>
        <w:t xml:space="preserve"> adaptation, conditions; EU scope not established. This is a provisional connection, not an outcome finding.</w:t>
      </w:r>
    </w:p>
    <w:p>
      <w:pPr>
        <w:pStyle w:val="SourceNote"/>
      </w:pPr>
      <w:r>
        <w:rPr>
          <w:b/>
        </w:rPr>
        <w:t>Available abstract (not full text):</w:t>
      </w:r>
      <w:r>
        <w:t xml:space="preserve"> Semiotics occurs beyond our planet; that we can be sure of. Astrobiology requires astrosemiotics; and as life on this planet may well have arrived from an extraterrestrial source, rather than (only) endogenously, we must consider the basis for extraterrestrial semiosis. This extraterrestrial semiosis suggests that the adaptability of life is far greater than conventionally considered. Similarly, the role variable temporalities have in adapting to divergent astroecological conditions also requires reassessing Einstein's taking for granted the universality of time in the ontological extension of relativity theory. Following Bergson and Whitehead's rejection of temporal universality we focus attention on the importance of variable temporal Umwelten to understanding astrobiological but also terrestrial contexts. Especially in terms of the massive die-offs in the current anthropogenic Sixth Great Extinction, now involving aided adaptation moving plants and animals around to viable habitats to perpetuate their species, a better conception of time horizons in semiosis, adaptation, and fitting deserves investigation. If lifeforms in theory are infinitely adaptable (even across different planets), but in practice require different timespans to adapt to changing environmental conditions, then time-appropriate semiosis offers a route towards ethical space exploration, decelerating the unr</w:t>
      </w:r>
    </w:p>
    <w:p>
      <w:pPr/>
      <w:r>
        <w:rPr>
          <w:b/>
        </w:rPr>
        <w:t>POSSIBLE 2023:</w:t>
      </w:r>
      <w:r>
        <w:t xml:space="preserve"> Environmental effects on genetic variance are likely to constrain adaptation in novel environments — https://doi.org/10.1093/evlett/qrad065</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pPr/>
      <w:r>
        <w:rPr>
          <w:b/>
        </w:rPr>
        <w:t>POSSIBLE 2023:</w:t>
      </w:r>
      <w:r>
        <w:t xml:space="preserve"> Trade-offs and synergies in ecosystem services for sustainability — https://doi.org/10.3389/fsrma.2023.1129396</w:t>
      </w:r>
    </w:p>
    <w:p>
      <w:pPr/>
      <w:r>
        <w:rPr>
          <w:b/>
        </w:rPr>
        <w:t>Shared claim-specific concepts:</w:t>
      </w:r>
      <w:r>
        <w:t xml:space="preserve"> synergies, trade-offs, services; EU scope not established. This is a provisional connection, not an outcome finding.</w:t>
      </w:r>
    </w:p>
    <w:p>
      <w:pPr>
        <w:pStyle w:val="SourceNote"/>
      </w:pPr>
      <w:r>
        <w:rPr>
          <w:b/>
        </w:rPr>
        <w:t>Available abstract (not full text):</w:t>
      </w:r>
      <w:r>
        <w:t xml:space="preserve"> OPINION article Front. Sustain. Resour. Manag., 27 February 2023Sec. Natural Resources Volume 2 - 2023 | https://doi.org/10.3389/fsrma.2023.1129396</w:t>
      </w:r>
    </w:p>
    <w:p>
      <w:pPr/>
      <w:r>
        <w:rPr>
          <w:b/>
        </w:rPr>
        <w:t>POSSIBLE 2023:</w:t>
      </w:r>
      <w:r>
        <w:t xml:space="preserve"> Spinning in circles? A systematic review on the role of theory in social vulnerability, resilience and adaptation research — https://doi.org/10.1016/j.gloenvcha.2023.102672</w:t>
      </w:r>
    </w:p>
    <w:p>
      <w:pPr/>
      <w:r>
        <w:rPr>
          <w:b/>
        </w:rPr>
        <w:t>Shared claim-specific concepts:</w:t>
      </w:r>
      <w:r>
        <w:t xml:space="preserve"> adaptation, flood, climate; EU scope not established. This is a provisional connection, not an outcome finding.</w:t>
      </w:r>
    </w:p>
    <w:p>
      <w:pPr>
        <w:pStyle w:val="SourceNote"/>
      </w:pPr>
      <w:r>
        <w:rPr>
          <w:b/>
        </w:rPr>
        <w:t>Available abstract (not full text):</w:t>
      </w:r>
      <w:r>
        <w:t xml:space="preserve"> An increasing number of publications focus on social vulnerability, resilience, and adaptation (SVRA) towards natural hazards and climate change. Despite this proliferation of research, a systematic understanding of how these studies are theoretically grounded is lacking. Here, we systematically reviewed 4432 articles that address SVRA in various disciplinary fields (e.g. psychology, sociology, geography, mathematics) for various hazards, including floods, droughts, landslides, storm surges, wildfires, tsunamis, earthquakes, and volcano eruptions. We focus on the extent to which these studies explicate the frameworks, theoretical constructs or theories they rely on. Surprisingly, we found that about 90% of the reviewed studies do not explicitly refer to a theoretical un-derpinning. Overall, theories focusing on individuals' SVRA were more frequently used than those focusing on systems, society, groups, and networks. Moreover, the uptake of theories varied according to the hazard investigated and field of knowledge, being more frequent in wildfire and flood studies and articles published in social science journals. Based on our analysis, we propose a reflexive handling of theories to foster more transparent, comparable, and robust empirical research on SVRA.</w:t>
      </w:r>
    </w:p>
    <w:p>
      <w:pPr/>
      <w:r>
        <w:rPr>
          <w:b/>
        </w:rPr>
        <w:t>POSSIBLE 2023:</w:t>
      </w:r>
      <w:r>
        <w:t xml:space="preserve"> Jobs and skills for adaptation and resilience in Scotland — https://doi.org/10.31235/osf.io/fhgm5</w:t>
      </w:r>
    </w:p>
    <w:p>
      <w:pPr/>
      <w:r>
        <w:rPr>
          <w:b/>
        </w:rPr>
        <w:t>Shared claim-specific concepts:</w:t>
      </w:r>
      <w:r>
        <w:t xml:space="preserve"> therefore, likely, adaptation, climate; EU scope not established. This is a provisional connection, not an outcome finding.</w:t>
      </w:r>
    </w:p>
    <w:p>
      <w:pPr>
        <w:pStyle w:val="SourceNote"/>
      </w:pPr>
      <w:r>
        <w:rPr>
          <w:b/>
        </w:rPr>
        <w:t>Available abstract (not full text):</w:t>
      </w:r>
      <w:r>
        <w:t xml:space="preserve"> Although there is awareness of the ‘green jobs’ opportunity associated with climate mitigation and especially energy efficiency in the built environment, understanding of the potential for jobs associated with adaptation and resilience is more limited. The purpose of this report is therefore to assess awareness of adaptation and resilience within existing policy literature on skills and jobs associated with Scotland’s climate change response, and to link this with international peer-reviewed scholarly literature to identify job and skill areas. The Clyde Corridor area of Glasgow City Region is taken as a focal point, as the launch of the Glasgow City Region Climate Adaptation Strategy and the initiation of the Scottish Government’s Clyde Mission have in recent years given dual impetus towards a just transition towards resilience for the Clyde Corridor and for the Glasgow City Region more widely.Key job areas and workforce/skills requirements that are identified across the literature include jobs in construction, land-based sectors, civil engineering and cross-cutting sectors to support societal transformation. Regional Skills Assessments from Skills Development Scotland and statistics from the Scottish Government were also used to identify opportunities for particular localities or sections of the workforce to be able to benefit from training or upskilling, so that adaptation j</w:t>
      </w:r>
    </w:p>
    <w:p>
      <w:pPr/>
      <w:r>
        <w:rPr>
          <w:b/>
        </w:rPr>
        <w:t>POSSIBLE 2022:</w:t>
      </w:r>
      <w:r>
        <w:t xml:space="preserve"> Focus 7 Migration as adaptation — https://openalex.org/W4318220719</w:t>
      </w:r>
    </w:p>
    <w:p>
      <w:pPr/>
      <w:r>
        <w:rPr>
          <w:b/>
        </w:rPr>
        <w:t>Shared claim-specific concepts:</w:t>
      </w:r>
      <w:r>
        <w:t xml:space="preserve"> therefore, adaptation, between, climate; EU scope not established. This is a provisional connection, not an outcome finding.</w:t>
      </w:r>
    </w:p>
    <w:p>
      <w:pPr>
        <w:pStyle w:val="SourceNote"/>
      </w:pPr>
      <w:r>
        <w:rPr>
          <w:b/>
        </w:rPr>
        <w:t>Available abstract (not full text):</w:t>
      </w:r>
      <w:r>
        <w:t xml:space="preserve"> This focus explores the relationship between changes in the environment and migration decisions. It is based on a literature review and multisite qualitative research into rural-to-urban migration in a context of environmental changes, in particular from the Mekong Delta to Ho Chi Minh City. Key results show that environmental changes act as an underlying factor in the migration decision, masked by economic factors. Insufficient incomes from the agricultural sector and the lack of alternative job opportunities emerge as the primary reasons for moving – as consequences of the economic context, environmental changes and limited availability of farming land. Environmental hazards do affect livelihoods, but they are rarely identified as migration factors by migrants themselves. Economic and social dynamics feed populations’ aspirations for upward social mobility, and propel them towards urban areas. Moreover, the research highlights that while out-migration from the Delta replaces or complements on-site adaptation strategies, it also can lead to multidimensional vulnerability in urban areas. Low-skilled rural migrants often make a long-term temporary move rather than a permanent one, before returning to the hometown where they have kept their land. However, land availability and current environmental trends in the Mekong Delta call the durability of these strategies into question. </w:t>
      </w:r>
    </w:p>
    <w:p>
      <w:pPr/>
      <w:r>
        <w:rPr>
          <w:b/>
        </w:rPr>
        <w:t>POSSIBLE 2022:</w:t>
      </w:r>
      <w:r>
        <w:t xml:space="preserve"> International Students' Psychological and Sociocultural Adaptation in the United States — https://doi.org/10.57709/1061378</w:t>
      </w:r>
    </w:p>
    <w:p>
      <w:pPr/>
      <w:r>
        <w:rPr>
          <w:b/>
        </w:rPr>
        <w:t>Shared claim-specific concepts:</w:t>
      </w:r>
      <w:r>
        <w:t xml:space="preserve"> therefore, likely, adaptation, between, services; EU scope not established. This is a provisional connection, not an outcome finding.</w:t>
      </w:r>
    </w:p>
    <w:p>
      <w:pPr>
        <w:pStyle w:val="SourceNote"/>
      </w:pPr>
      <w:r>
        <w:rPr>
          <w:b/>
        </w:rPr>
        <w:t>Available abstract (not full text):</w:t>
      </w:r>
      <w:r>
        <w:t xml:space="preserve"> International students constitute an important cohort in the United States (U.S.) colleges and universities. In order for the U.S. colleges and universities to better accommodate the significant number of international students and to recruit them in the future, it is critical to identify factors that influence these students? acculturation and adjustment processes and provide professionals with guidelines for creating culturally appropriate services and programs for them. Therefore the current study examined international students? adaptation to the U.S. in relation to their acculturation levels, coping processes, and intent to stay in the U.S. after their graduation. Center for Epidemiologic Studies - Depression scale was used as a measure of psychological adaptation. In addition, Sociocultural Adaptation Scale, Acculturation Index, and Ways of Coping Questionnaire, were used to measure sociocultural adaptation, acculturation dimensions, and coping processes, respectively. A total of 204 F1 visa holding international students participated in the current study. This project was a cross-sectional, exploratory study that measured depression and sociocultural adaptation among international students. Cronbach?s alpha for each instrument was calculated to determine the internal reliability for the current sample. Pearson product moment correlational analyses were performed to exami</w:t>
      </w:r>
    </w:p>
    <w:p>
      <w:pPr/>
      <w:r>
        <w:rPr>
          <w:b/>
        </w:rPr>
        <w:t>POSSIBLE 2022:</w:t>
      </w:r>
      <w:r>
        <w:t xml:space="preserve"> Tradeoffs and synergies in wetland multifunctionality: A scaling issue — https://doi.org/10.1016/j.scitotenv.2022.160746</w:t>
      </w:r>
    </w:p>
    <w:p>
      <w:pPr/>
      <w:r>
        <w:rPr>
          <w:b/>
        </w:rPr>
        <w:t>Shared claim-specific concepts:</w:t>
      </w:r>
      <w:r>
        <w:t xml:space="preserve"> therefore, synergies, range, services, climate; EU scope not established. This is a provisional connection, not an outcome finding.</w:t>
      </w:r>
    </w:p>
    <w:p>
      <w:pPr>
        <w:pStyle w:val="SourceNote"/>
      </w:pPr>
      <w:r>
        <w:rPr>
          <w:b/>
        </w:rPr>
        <w:t>Available abstract (not full text):</w:t>
      </w:r>
      <w:r>
        <w:t xml:space="preserve"> 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w:t>
      </w:r>
    </w:p>
    <w:p>
      <w:pPr/>
      <w:r>
        <w:rPr>
          <w:b/>
        </w:rPr>
        <w:t>POSSIBLE 2022:</w:t>
      </w:r>
      <w:r>
        <w:t xml:space="preserve"> Connecting climate justice and adaptation planning: An adaptation justice index — https://doi.org/10.1016/j.envsci.2022.07.024</w:t>
      </w:r>
    </w:p>
    <w:p>
      <w:pPr/>
      <w:r>
        <w:rPr>
          <w:b/>
        </w:rPr>
        <w:t>Shared claim-specific concepts:</w:t>
      </w:r>
      <w:r>
        <w:t xml:space="preserve"> adaptation, climate; EU scope not established. This is a provisional connection, not an outcome finding.</w:t>
      </w:r>
    </w:p>
    <w:p>
      <w:pPr>
        <w:pStyle w:val="SourceNote"/>
      </w:pPr>
      <w:r>
        <w:rPr>
          <w:b/>
        </w:rPr>
        <w:t>Available abstract (not full text):</w:t>
      </w:r>
      <w:r>
        <w:t xml:space="preserve"> Considerations of justice with regards to climate change adaptation are increasingly called for in the academic literature, but little attention has been paid to the dimensions of justice regarding the development of adaptation policy and instruments used. Thus, there is a gap when it comes to connecting the dimensions of justice to different types of adaptation strategies and plans. Here, we synthesise the findings of previous studies to create an adaptation justice index for the four dimensions of climate justice in the context of adaptation: recognitional, distributive, procedural and restorative justice. This index can be used ex ante to analyse and compare climate adaptation strategies and plans in different societal contexts as well as at different levels of governance, and we illustrate this by analysing four national and four city-level strategies. As adaptation planning is still a relatively new area of climate governance, the results offer potential for justice informed evaluation of adaptation plans and strategies.</w:t>
      </w:r>
    </w:p>
    <w:p>
      <w:pPr>
        <w:pStyle w:val="Heading2"/>
      </w:pPr>
      <w:r>
        <w:t>992. Backcasting scenarios for Finland 2050 of low emissions</w:t>
      </w:r>
    </w:p>
    <w:p>
      <w:pPr>
        <w:pStyle w:val="SourceNote"/>
      </w:pPr>
      <w:r>
        <w:rPr>
          <w:b/>
        </w:rPr>
        <w:t>Original source (2012):</w:t>
      </w:r>
      <w:r>
        <w:t xml:space="preserve"> https://doi.org/10.1108/14636681211256099</w:t>
      </w:r>
    </w:p>
    <w:p>
      <w:pPr/>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important, exercise;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2025:</w:t>
      </w:r>
      <w:r>
        <w:t xml:space="preserve"> Influence of exercise and nutrition on sarcopenia in cardiovascular disease: a Scientific Statement of the European Association of Preventive Cardiology of the European Society of Cardiology — https://doi.org/10.1093/eurjpc/zwaf432</w:t>
      </w:r>
    </w:p>
    <w:p>
      <w:pPr/>
      <w:r>
        <w:rPr>
          <w:b/>
        </w:rPr>
        <w:t>Shared claim-specific concepts:</w:t>
      </w:r>
      <w:r>
        <w:t xml:space="preserve"> however, exercise, used; EU scope visible. This is a provisional connection, not an outcome finding.</w:t>
      </w:r>
    </w:p>
    <w:p>
      <w:pPr>
        <w:pStyle w:val="SourceNote"/>
      </w:pPr>
      <w:r>
        <w:rPr>
          <w:b/>
        </w:rPr>
        <w:t>Available abstract (not full text):</w:t>
      </w:r>
      <w:r>
        <w:t xml:space="preserve"> This document aims to review current scientific evidence on exercise and nutrition as a treatment for sarcopenia in the context of cardiovascular disease (CVD). First, we introduce the topic of sarcopenia and its estimated prevalence in patients with CVD. Then, we critically analyse the available evidence to support the use of exercise and nutrition, both alone and combined, for treating sarcopenia in patients with CVD followed by discussing factors that may optimize management. We further discuss the relevance of how medications used in CVD impact sarcopenia and how they may negatively interact with exercise/nutritional interventions. Finally, we provide insights into the practical implications and future directions for managing sarcopenia in patients with CVD. In summary, optimized physical exercise interventions (dedicated resistance training in addition to endurance training and other modalities) together with adequate nutritional intake (avoiding malnutrition and ensuring sufficient protein consumption) is advised for the prevention and management of sarcopenia. However, there currently remains a lack of high-quality evidence to support these approaches in the context of CVD, where baseline sarcopenia status has typically not been evaluated. Future work, therefore, is required in CVD populations with confirmed sarcopenia to better understand what optimal exercise and nutri</w:t>
      </w:r>
    </w:p>
    <w:p>
      <w:pPr/>
      <w:r>
        <w:rPr>
          <w:b/>
        </w:rPr>
        <w:t>POSSIBLE 2025:</w:t>
      </w:r>
      <w:r>
        <w:t xml:space="preserve"> Note on carbon sequestration policies in the European Union — https://doi.org/10.36253/rea-15795</w:t>
      </w:r>
    </w:p>
    <w:p>
      <w:pPr/>
      <w:r>
        <w:rPr>
          <w:b/>
        </w:rPr>
        <w:t>Shared claim-specific concepts:</w:t>
      </w:r>
      <w:r>
        <w:t xml:space="preserve"> note; EU scope visible. This is a provisional connection, not an outcome finding.</w:t>
      </w:r>
    </w:p>
    <w:p>
      <w:pPr>
        <w:pStyle w:val="SourceNote"/>
      </w:pPr>
      <w:r>
        <w:rPr>
          <w:b/>
        </w:rPr>
        <w:t>Available abstract (not full text):</w:t>
      </w:r>
      <w:r>
        <w:t xml:space="preserve"> This note examines the state of carbon farming (CF) policies in the European Union (EU), highlighting their potential to deliver significant public benefits, such as improved soil health, air quality, and climate mitigation. The existing mechanisms for encouraging carbon sequestration and evaluating alternative support scenarios are assessed, starting from analysing the regulation on carbon sequestration certification adopted by the European Parliament and the Council following a proposal from the European Commission. This note analyses the integration of CF into the EU’s Common Agricultural Policy (CAP) through cross-compliance measures, eco-schemes, and Rural Development programmes. Additionally, it explores potential CF support frameworks, including exclusive reliance on the first CAP pillar, the voluntary carbon market, and mixed approaches. The analysis highlights several trade-offs: balancing CAP budget limitations with the need for stronger environmental measures, mitigating market uncertainty in the voluntary carbon market, and ensuring that certification costs do not deter farmer participation. Despite these challenges, the findings suggest that including CF within CAP, either as an alternative or complement to the voluntary carbon credit market, could enhance carbon sequestration and align EU agriculture with climate neutrality goals, particularly when supported by a </w:t>
      </w:r>
    </w:p>
    <w:p>
      <w:pPr/>
      <w:r>
        <w:rPr>
          <w:b/>
        </w:rPr>
        <w:t>POSSIBLE 2025:</w:t>
      </w:r>
      <w:r>
        <w:t xml:space="preserve"> Impacts on and damage to European forests from the 2018–2022 heat and drought events — https://doi.org/10.5194/nhess-25-77-2025</w:t>
      </w:r>
    </w:p>
    <w:p>
      <w:pPr/>
      <w:r>
        <w:rPr>
          <w:b/>
        </w:rPr>
        <w:t>Shared claim-specific concepts:</w:t>
      </w:r>
      <w:r>
        <w:t xml:space="preserve"> important, note, however; EU scope visible. This is a provisional connection, not an outcome finding.</w:t>
      </w:r>
    </w:p>
    <w:p>
      <w:pPr>
        <w:pStyle w:val="SourceNote"/>
      </w:pPr>
      <w:r>
        <w:rPr>
          <w:b/>
        </w:rPr>
        <w:t>Available abstract (not full text):</w:t>
      </w:r>
      <w:r>
        <w:t xml:space="preserve"> Abstract. Drought and heat events are becoming more frequent in Europe due to human-induced climate change, affecting many aspects of human well-being and ecosystem functioning. However, the intensity of these drought and heat events is not spatially and temporally uniform. Understanding the spatial variability of drought impacts is important information for decision makers, supporting both planning and preparations to cope with the changing climatic conditions. Currently, data relating to the damage caused by extended drought episodes is scattered across languages and sources such as scientific publications, governmental reports and the media. In this review paper, we compiled data of damages caused by the drought and heat of 2018 until 2022 in forest ecosystems and relate it to large European data sets, providing support for decision making both on the regional and European levels. We partitioned data from 16 European countries to the following regions: Northern, Central, Alpine, and South. We focused on drought and heat damage to forests, and categorized them as (1) physiological (2) pest, and (3) fire damage. We were able to identify the following key trends: (1) Relative defoliation rates of broadleaves is higher than of conifers in every country with the exception of Czech Republic (2) the incidence of wood destroyed by insects is extremely high in Central Europe and Swed</w:t>
      </w:r>
    </w:p>
    <w:p>
      <w:pPr/>
      <w:r>
        <w:rPr>
          <w:b/>
        </w:rPr>
        <w:t>POSSIBLE 2024:</w:t>
      </w:r>
      <w:r>
        <w:t xml:space="preserve"> Regulatory scoping exercise for the future adoption of autonomous inland ships in Europe — https://doi.org/10.1186/s41072-023-00160-x</w:t>
      </w:r>
    </w:p>
    <w:p>
      <w:pPr/>
      <w:r>
        <w:rPr>
          <w:b/>
        </w:rPr>
        <w:t>Shared claim-specific concepts:</w:t>
      </w:r>
      <w:r>
        <w:t xml:space="preserve"> important, exercise, objective; EU scope visible. This is a provisional connection, not an outcome finding.</w:t>
      </w:r>
    </w:p>
    <w:p>
      <w:pPr>
        <w:pStyle w:val="SourceNote"/>
      </w:pPr>
      <w:r>
        <w:rPr>
          <w:b/>
        </w:rPr>
        <w:t>Available abstract (not full text):</w:t>
      </w:r>
      <w:r>
        <w:t xml:space="preserve"> Abstract Shipping is a heavily regulated sector, and autonomous ships will by no means be able to escape the public regulator’s agenda. Furthermore, regulatory adaptation is necessary because current laws oppose the introduction of this new technology. In contrast to maritime shipping, in which considerable regulatory work on autonomous ships has already been achieved, the process of adapting inland shipping regulations for autonomous vessels is rather slow, thereby considerably hindering the further development of the sector. An important reason for this is the multi-levelled regulatory institutional structure in European inland shipping, which consequently has less unified rules than its maritime counterpart. In addition, previous research on regulatory obstacles is highly fragmented and restricted in scope. This study presents a systematic regulatory analysis of relevant inland shipping regulations by following the approach adopted by the International Maritime Organisation with respect to maritime shipping regulations, with the objective of identifying potential obstacles in relevant regulatory instruments and common themes across them. It also discusses the existing possibilities under current European Union law for the exceptional operation of autonomous inland ships and describes the latest policy directions taken by the European legislator to foster innovation developme</w:t>
      </w:r>
    </w:p>
    <w:p>
      <w:pPr/>
      <w:r>
        <w:rPr>
          <w:b/>
        </w:rPr>
        <w:t>POSSIBLE 2024:</w:t>
      </w:r>
      <w:r>
        <w:t xml:space="preserve"> How Important is European Integration for Pro-European Voters in Times of Politicization? — https://doi.org/10.1007/s11615-024-00545-y</w:t>
      </w:r>
    </w:p>
    <w:p>
      <w:pPr/>
      <w:r>
        <w:rPr>
          <w:b/>
        </w:rPr>
        <w:t>Shared claim-specific concepts:</w:t>
      </w:r>
      <w:r>
        <w:t xml:space="preserve"> important, however, only; EU scope visible. This is a provisional connection, not an outcome finding.</w:t>
      </w:r>
    </w:p>
    <w:p>
      <w:pPr>
        <w:pStyle w:val="SourceNote"/>
      </w:pPr>
      <w:r>
        <w:rPr>
          <w:b/>
        </w:rPr>
        <w:t>Available abstract (not full text):</w:t>
      </w:r>
      <w:r>
        <w:t xml:space="preserve"> Abstract The increasing success of Eurosceptic parties and multiple European crises have fostered the politicization of European integration. However, we know little about how pro-European voters behave in this politicized environment. How important is European integration for pro-European voters? Do they care more about European integration when their vision of Europe is increasingly contested? The past 15 years have been characterized by persistent politicization of Eurosceptic parties and an increasing willingness of Europhile parties to engage with European topics. Moreover, European crises illustrated potential consequences of political disintegration. I expect these developments to be reflected in an increasing salience of European integration among pro-European voters. I derive salience estimates from spatial vote models encompassing four issue dimensions to track the development of salience. I use data from the European Social Survey, the European Election Studies, and the Chapel Hill Expert Survey, which cover many EU member states between 2008 and 2019. The results show that the salience of the European integration issue is most pronounced among Eurosceptic voters, while it is less pronounced among pro-European voters. However, in countries with a successful Eurosceptic party, it is more likely that the European integration issue also matters to pro-European voters. M</w:t>
      </w:r>
    </w:p>
    <w:p>
      <w:pPr/>
      <w:r>
        <w:rPr>
          <w:b/>
        </w:rPr>
        <w:t>POSSIBLE 2024:</w:t>
      </w:r>
      <w:r>
        <w:t xml:space="preserve"> Petitions and Petitioning in Europe and North America — https://doi.org/10.5871/bacad/9780197267721.001.0001</w:t>
      </w:r>
    </w:p>
    <w:p>
      <w:pPr/>
      <w:r>
        <w:rPr>
          <w:b/>
        </w:rPr>
        <w:t>Shared claim-specific concepts:</w:t>
      </w:r>
      <w:r>
        <w:t xml:space="preserve"> important, present; EU scope visible. This is a provisional connection, not an outcome finding.</w:t>
      </w:r>
    </w:p>
    <w:p>
      <w:pPr>
        <w:pStyle w:val="SourceNote"/>
      </w:pPr>
      <w:r>
        <w:rPr>
          <w:b/>
        </w:rPr>
        <w:t>Available abstract (not full text):</w:t>
      </w:r>
      <w:r>
        <w:t xml:space="preserve"> Abstract Throughout history, across very different types of state and society, petitions and petitioning have been ubiquitous practices. The interaction between petitioners and authority has been a crucial dynamic in exercising and contesting power. Consolidating and advancing a rapidly expanding field of research across history, law, and the social sciences, this book is the first study of these venerable practices from their development in the late medieval period to the emergence of e-petitions in the 21st century. With a broad focus on Europe and North America, this volume breaks new ground by examining the concept, history, and practice of petitions and petitioning across chronological and geographical boundaries, opening up this important topic to a wider audience across the humanities and social sciences. The book is organised in three parts: the first section defines petitions with greater clarity than before; the second examines cycles of continuity and transformation over long periods of time; while the final section zooms in to analyse examples that reveal why petitions and petitioning have mattered for both petitioners and authority. The chapters emphasise why petitionary practices have been crucial forms of collective action and representation, and a ubiquitous presence in political culture, both past and present.</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important, case,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Overview of the European species of the genus Clitocella (Entolomataceae, Agaricales) with notes on extralimital taxa — https://doi.org/10.3767/persoonia.2023.50.04</w:t>
      </w:r>
    </w:p>
    <w:p>
      <w:pPr/>
      <w:r>
        <w:rPr>
          <w:b/>
        </w:rPr>
        <w:t>Shared claim-specific concepts:</w:t>
      </w:r>
      <w:r>
        <w:t xml:space="preserve"> out, present, used; EU scope visible. This is a provisional connection, not an outcome finding.</w:t>
      </w:r>
    </w:p>
    <w:p>
      <w:pPr>
        <w:pStyle w:val="SourceNote"/>
      </w:pPr>
      <w:r>
        <w:rPr>
          <w:b/>
        </w:rPr>
        <w:t>Available abstract (not full text):</w:t>
      </w:r>
      <w:r>
        <w:t xml:space="preserve"> A revision, based on morphological and multigene analysis, of the Clitocella species currently present in Europe is provided. Portions of nrITS rDNA, nr28S rDNA (LSU), RNA polymerase II second largest subunit (RPB2), translation elongation factor 1-alpha (EF-1α), and ATPase subunit 6 (ATP6), were used to sort out the relationships of the species within the genus. Three subgenera were recognized: Clitocella subg. Clitocella encompassing C.popinalis, C.colorata, C.mundula, C.nigrescens, C.obscura and the new species C.solaris from Switzerland; the new Clitocella subg. Paraclitopilus including C.fallax and C.blancii; and the new Clitocella subg. Rhodopleurella for accommodating C. termitophila, a peculiar entity characterized by a pleurotoid habit and growing on decaying, abandoned termite nests in the Dominican Republic. Clitocella colorata originally described from China is here reported and described for the first time in Europe (Italy and Estonia). Rhodocybe cupressicola and Clitopilus ammophilus are reduced to later synonyms of Rhodopaxillus nigrescens; similarly, Clitopilus amarus is treated as a later synonym of Omphalia fallax while Rhodocybe amarella and R. ochraceopallida of Rhodopaxillus blancii. Finally, Austrian and Swedish herbarium collections identified as Rhodocybe, a doubtful taxon considered by several modern authors occasionally as either a similar but distinct</w:t>
      </w:r>
    </w:p>
    <w:p>
      <w:pPr/>
      <w:r>
        <w:rPr>
          <w:b/>
        </w:rPr>
        <w:t>POSSIBLE 2023:</w:t>
      </w:r>
      <w:r>
        <w:t xml:space="preserve"> A note on European farmers' preferences under cumulative prospect theory — https://doi.org/10.1111/1477-9552.12565</w:t>
      </w:r>
    </w:p>
    <w:p>
      <w:pPr/>
      <w:r>
        <w:rPr>
          <w:b/>
        </w:rPr>
        <w:t>Shared claim-specific concepts:</w:t>
      </w:r>
      <w:r>
        <w:t xml:space="preserve"> note, however, present; EU scope visible. This is a provisional connection, not an outcome finding.</w:t>
      </w:r>
    </w:p>
    <w:p>
      <w:pPr>
        <w:pStyle w:val="SourceNote"/>
      </w:pPr>
      <w:r>
        <w:rPr>
          <w:b/>
        </w:rPr>
        <w:t>Available abstract (not full text):</w:t>
      </w:r>
      <w:r>
        <w:t xml:space="preserve"> Abstract 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w:t>
      </w:r>
    </w:p>
    <w:p>
      <w:pPr/>
      <w:r>
        <w:rPr>
          <w:b/>
        </w:rPr>
        <w:t>POSSIBLE 2023:</w:t>
      </w:r>
      <w:r>
        <w:t xml:space="preserve"> PERSPECTIVEs on supervised exercise programs in people with metastatic breast cancer- a qualitative study in four European countries — https://doi.org/10.1007/s00520-023-07739-x</w:t>
      </w:r>
    </w:p>
    <w:p>
      <w:pPr/>
      <w:r>
        <w:rPr>
          <w:b/>
        </w:rPr>
        <w:t>Shared claim-specific concepts:</w:t>
      </w:r>
      <w:r>
        <w:t xml:space="preserve"> important, exercise, qualitative, purpose; EU scope visible. This is a provisional connection, not an outcome finding.</w:t>
      </w:r>
    </w:p>
    <w:p>
      <w:pPr>
        <w:pStyle w:val="SourceNote"/>
      </w:pPr>
      <w:r>
        <w:rPr>
          <w:b/>
        </w:rPr>
        <w:t>Available abstract (not full text):</w:t>
      </w:r>
      <w:r>
        <w:t xml:space="preserve"> PURPOSE: Supervised exercise is a potentially promising supportive care intervention for people with metastatic breast cancer (MBC), but research on the patients' perspective is limited. The aim of the current focus group study was to gain an in-depth understanding of MBC patients' perceived barriers, facilitators, and preferences for supervised exercise programs. METHODS: Eleven online focus groups with, in total, 44 MBC patients were conducted in four European countries (Germany, Poland, Spain, Sweden). Main topics of the semi-structured discussions covered attitudes towards participation in supervised exercise programs, perceived facilitators, experienced barriers, and exercise preferences. Interviews were transcribed verbatim, translated into English, and coded based on a preliminary coding framework, supplemented by themes emerging during the sessions. The codes were subsequently examined for interrelations and re-organized into overarching clusters. RESULTS: Participants had positive attitudes towards exercise, but experienced physical limitations and insecurities that inhibited their participation. They expressed a strong desire for exercise tailored to their needs, and supervision by an exercise professional. Participants also highlighted the social nature of group training as an important facilitator. They had no clear preference for exercise type, but rather favored a</w:t>
      </w:r>
    </w:p>
    <w:p>
      <w:pPr/>
      <w:r>
        <w:rPr>
          <w:b/>
        </w:rPr>
        <w:t>POSSIBLE 2021:</w:t>
      </w:r>
      <w:r>
        <w:t xml:space="preserve"> Environmental Restrictions on the Exercise of Land Rights: European Experience — https://doi.org/10.33687/ijae.009.00.3963</w:t>
      </w:r>
    </w:p>
    <w:p>
      <w:pPr/>
      <w:r>
        <w:rPr>
          <w:b/>
        </w:rPr>
        <w:t>Shared claim-specific concepts:</w:t>
      </w:r>
      <w:r>
        <w:t xml:space="preserve"> exercise, purpose, present; EU scope visible. This is a provisional connection, not an outcome finding.</w:t>
      </w:r>
    </w:p>
    <w:p>
      <w:pPr>
        <w:pStyle w:val="SourceNote"/>
      </w:pPr>
      <w:r>
        <w:rPr>
          <w:b/>
        </w:rPr>
        <w:t>Available abstract (not full text):</w:t>
      </w:r>
      <w:r>
        <w:t xml:space="preserve">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pPr>
        <w:pStyle w:val="Heading2"/>
      </w:pPr>
      <w:r>
        <w:t>993. FORECASTED TRENDS IN CHANGES OF VEGETATION IN THE EUROPEAN PART OF RUSSIA IN CONNECTION WITH GLOBAL WARMING</w:t>
      </w:r>
    </w:p>
    <w:p>
      <w:pPr>
        <w:pStyle w:val="SourceNote"/>
      </w:pPr>
      <w:r>
        <w:rPr>
          <w:b/>
        </w:rPr>
        <w:t>Original source (2012):</w:t>
      </w:r>
      <w:r>
        <w:t xml:space="preserve"> https://doi.org/10.24057/2071-9388-2012-5-4-4-16</w:t>
      </w:r>
    </w:p>
    <w:p>
      <w:pPr/>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pPr/>
      <w:r>
        <w:rPr>
          <w:b/>
        </w:rPr>
        <w:t>POSSIBLE 2026:</w:t>
      </w:r>
      <w:r>
        <w:t xml:space="preserve"> Changing-CAMELS: A pan-European dataset for non-stationary hydrological modeling under climate and land-use change — https://doi.org/10.5194/egusphere-egu26-6543</w:t>
      </w:r>
    </w:p>
    <w:p>
      <w:pPr/>
      <w:r>
        <w:rPr>
          <w:b/>
        </w:rPr>
        <w:t>Shared claim-specific concepts:</w:t>
      </w:r>
      <w:r>
        <w:t xml:space="preserve"> boundaries, vegetation; EU scope visible. This is a provisional connection, not an outcome finding.</w:t>
      </w:r>
    </w:p>
    <w:p>
      <w:pPr>
        <w:pStyle w:val="SourceNote"/>
      </w:pPr>
      <w:r>
        <w:rPr>
          <w:b/>
        </w:rPr>
        <w:t>Available abstract (not full text):</w:t>
      </w:r>
      <w:r>
        <w:t xml:space="preserve">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pPr/>
      <w:r>
        <w:rPr>
          <w:b/>
        </w:rPr>
        <w:t>POSSIBLE 2026:</w:t>
      </w:r>
      <w:r>
        <w:t xml:space="preserve"> Projecting Current and Future Habitat for the European Ground Squirrel Using MaxEnt Modeling under Climate Change — https://doi.org/10.54254/2753-8818/2026.au32281</w:t>
      </w:r>
    </w:p>
    <w:p>
      <w:pPr/>
      <w:r>
        <w:rPr>
          <w:b/>
        </w:rPr>
        <w:t>Shared claim-specific concepts:</w:t>
      </w:r>
      <w:r>
        <w:t xml:space="preserve"> used, areas; EU scope visible. This is a provisional connection, not an outcome finding.</w:t>
      </w:r>
    </w:p>
    <w:p>
      <w:pPr>
        <w:pStyle w:val="SourceNote"/>
      </w:pPr>
      <w:r>
        <w:rPr>
          <w:b/>
        </w:rPr>
        <w:t>Available abstract (not full text):</w:t>
      </w:r>
      <w:r>
        <w:t xml:space="preserve"> Climate change and human activities are changing the places where different species live more and more quickly. The European ground squirrel (Spermophilus citellus) is a species at risk, and it plays a very important role in keeping grassland environments healthy. But right now, we still do not know clearly where this threatened species lives now and where it will live in the future as the climate changes. This study combined data from many different sources and used an improved Maximum Entropy (MaxEnt) model (the test AUC value is more than 0.87) to carefully study the current situation and future changes of the good living areas for this species. The results found that the number of people living in an area and isothermality are the main environmental factors that affect where this species lives. Future guesses show that the good living areas for it will keep getting smaller. This is especially true under the high-pollution SSP5-8.5 scenario. By the end of the century, this might lead to a total loss of more than 20% of its suitable living areas. At the same time, there will be a big drop in the number of high-quality living areas for the species. It is projected that the area where this species lives will have a big move to the north. This study points out that we badly need active and flexible management methods to protect this species. The species can survive only if the w</w:t>
      </w:r>
    </w:p>
    <w:p>
      <w:pPr/>
      <w:r>
        <w:rPr>
          <w:b/>
        </w:rPr>
        <w:t>POSSIBLE 2026:</w:t>
      </w:r>
      <w:r>
        <w:t xml:space="preserve"> Modeling Sub‐Grid Peatland Vegetation Dynamics in the ORCHIDEE‐PEAT Land Surface Model — https://doi.org/10.1029/2025ms005257</w:t>
      </w:r>
    </w:p>
    <w:p>
      <w:pPr/>
      <w:r>
        <w:rPr>
          <w:b/>
        </w:rPr>
        <w:t>Shared claim-specific concepts:</w:t>
      </w:r>
      <w:r>
        <w:t xml:space="preserve"> vegetation, productivity, one, warming; EU scope not established. This is a provisional connection, not an outcome finding.</w:t>
      </w:r>
    </w:p>
    <w:p>
      <w:pPr>
        <w:pStyle w:val="SourceNote"/>
      </w:pPr>
      <w:r>
        <w:rPr>
          <w:b/>
        </w:rPr>
        <w:t>Available abstract (not full text):</w:t>
      </w:r>
      <w:r>
        <w:t xml:space="preserve"> Abstract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w:t>
      </w:r>
    </w:p>
    <w:p>
      <w:pPr/>
      <w:r>
        <w:rPr>
          <w:b/>
        </w:rPr>
        <w:t>POSSIBLE 2026:</w:t>
      </w:r>
      <w:r>
        <w:t xml:space="preserve"> Modeling Sub-Grid Peatland Vegetation Dynamics in the ORCHIDEE-PEAT Land Surface Model — https://openalex.org/W7153954885</w:t>
      </w:r>
    </w:p>
    <w:p>
      <w:pPr/>
      <w:r>
        <w:rPr>
          <w:b/>
        </w:rPr>
        <w:t>Shared claim-specific concepts:</w:t>
      </w:r>
      <w:r>
        <w:t xml:space="preserve"> vegetation, productivity, warming; EU scope not established. This is a provisional connection, not an outcome finding.</w:t>
      </w:r>
    </w:p>
    <w:p>
      <w:pPr>
        <w:pStyle w:val="SourceNote"/>
      </w:pPr>
      <w:r>
        <w:rPr>
          <w:b/>
        </w:rPr>
        <w:t>Available abstract (not full text):</w:t>
      </w:r>
      <w:r>
        <w:t xml:space="preserve">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northern p</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2024:</w:t>
      </w:r>
      <w:r>
        <w:t xml:space="preserve"> Diversity and distribution of Raunkiær's life forms in European vegetation — https://doi.org/10.1111/jvs.13229</w:t>
      </w:r>
    </w:p>
    <w:p>
      <w:pPr/>
      <w:r>
        <w:rPr>
          <w:b/>
        </w:rPr>
        <w:t>Shared claim-specific concepts:</w:t>
      </w:r>
      <w:r>
        <w:t xml:space="preserve"> used, vegetation, forest; EU scope visible. This is a provisional connection, not an outcome finding.</w:t>
      </w:r>
    </w:p>
    <w:p>
      <w:pPr>
        <w:pStyle w:val="SourceNote"/>
      </w:pPr>
      <w:r>
        <w:rPr>
          <w:b/>
        </w:rPr>
        <w:t>Available abstract (not full text):</w:t>
      </w:r>
      <w:r>
        <w:t xml:space="preserve"> Abstract Aims The Raunkiær's system classifies vascular plants into life forms based on the position of renewal buds during periods unfavourable for plant growth. Despite the importance of Raunkiær's system for ecological research, a study exploring the diversity and distribution of life forms on a continental scale is missing. We aim to (i) map the diversity and distribution of life forms in European vegetation and (ii) test for effects of bioclimatic variables while controlling for habitat‐specific responses. Location Europe. Methods We used data on life forms of 8883 species recorded in 546,501 vegetation plots of different habitats (forest, grassland, scrub and wetland). For each plot, we calculated: (i) the proportion of species of each life form and (ii) the richness and evenness of life forms. We mapped these plot‐level metrics averaged across 50 km × 50 km grid cells and modelled their response to bioclimatic variables. Results Hemicryptophytes were the most widespread life form, especially in the temperate zone of Central Europe. Conversely, therophyte and chamaephyte species were more common in the Mediterranean as well as in the dry temperate regions. Moreover, chamaephytes were also more common in the boreal and arctic zones. Higher proportions of phanerophytes were found in the Mediterranean. Overall, a higher richness of life forms was found at lower latitudes whi</w:t>
      </w:r>
    </w:p>
    <w:p>
      <w:pPr/>
      <w:r>
        <w:rPr>
          <w:b/>
        </w:rPr>
        <w:t>POSSIBLE 2024:</w:t>
      </w:r>
      <w:r>
        <w:t xml:space="preserve"> The fingerprint of tropospheric ozone on broadleaved forest vegetation in Europe — https://doi.org/10.1016/j.ecolind.2023.111486</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Tropospheric ozone (O3) increased globally in the 20th century, contributes to climate change and can have adverse effects on terrestrial ecosystems. The response of forest vegetation to ozone is modulated by species- and site-specific factors and visible foliar symptoms (VFS) are the only direct evidence of ozone effects on vegetation. VFS have been observed and reproduced under (semi-) controlled conditions and their field assessment has been largely harmonized in Europe. We analyzed ozone concentration and VFS data as measured at (respectively) 118 and 91 intensive monitoring sites of the International Co-Operative Programme on Assessment and Monitoring of Air Pollution Effects on Forests (ICP Forests) spanning over five European biogeographic regions from 2005 to 2018. Average values for VFS were calculated accounting for the number of species present and their observed frequency. Spatial and temporal variation of ozone concentrations, VFS, and their relationships across Europe were then investigated by applying Generalized Linear Mixed Models (GLMMs) and combined GLMMs. Ozone concentrations exceeded 40 ppb on 37.3 % of the sites and were significantly higher (p &lt; 0.05) in the Alpine and the Mediterranean regions. Over the 2005–2018 period there was a substantial stagnation of ozone concentrations with a tendency towards decreasing values in the Alpine-Boreal sites and incr</w:t>
      </w:r>
    </w:p>
    <w:p>
      <w:pPr/>
      <w:r>
        <w:rPr>
          <w:b/>
        </w:rPr>
        <w:t>POSSIBLE 2024:</w:t>
      </w:r>
      <w:r>
        <w:t xml:space="preserve"> Attributing the effects of climate change and forest disturbance on runoff using distributed modeling and indicators of hydrological alteration in Central European montane basins — https://doi.org/10.1016/j.ejrh.2024.102101</w:t>
      </w:r>
    </w:p>
    <w:p>
      <w:pPr/>
      <w:r>
        <w:rPr>
          <w:b/>
        </w:rPr>
        <w:t>Shared claim-specific concepts:</w:t>
      </w:r>
      <w:r>
        <w:t xml:space="preserve"> forest, warming; EU scope visible. This is a provisional connection, not an outcome finding.</w:t>
      </w:r>
    </w:p>
    <w:p>
      <w:pPr>
        <w:pStyle w:val="SourceNote"/>
      </w:pPr>
      <w:r>
        <w:rPr>
          <w:b/>
        </w:rPr>
        <w:t>Available abstract (not full text):</w:t>
      </w:r>
      <w:r>
        <w:t xml:space="preserve"> Eight unregulated basins in the headwaters of five mid-latitude mountain ranges in Central Europe, including the Šumava Mts. (Vydra, Blanice), Krkonoše (Mumlava, Úpa), Orlické Mts. (Zdobnice), Jeseníky Mts. (Branná), and Beskydy Mts. (Čeladenka, Vsetínská Bečva). This study examines the impacts of climate warming and forest disturbances on hydrological alterations in montane headwater basins. Using the MIKE SHE distributed hydrological model, scenario-based simulations assessed changes in runoff seasonality, evapotranspiration, streamflow, and variability. Hydrological alteration indicators were applied to disentangle the contributions of these drivers and their interactions under varying environmental conditions. Climate warming is the primary driver of hydrological change, causing shifts in runoff seasonality, increased evapotranspiration, and reduced streamflow. Forest disturbances amplify these effects during dry conditions, intensifying runoff variability, increasing low-flow frequency, and modifying peak flows. Regional differences show greater sensitivity in steeper eastern basins due to limited snow accumulation and higher runoff variability. This study highlights the interconnected impacts of climate warming and forest disturbances, with warming driving systemic shifts and disturbances acting as amplifiers in extreme conditions. The findings provide a framework for dis</w:t>
      </w:r>
    </w:p>
    <w:p>
      <w:pPr/>
      <w:r>
        <w:rPr>
          <w:b/>
        </w:rPr>
        <w:t>POSSIBLE 2024:</w:t>
      </w:r>
      <w:r>
        <w:t xml:space="preserve"> Uncertainty analysis of vegetation distribution in the northern high latitudes during the 21st century with a dynamic vegetation model: Uncertainty Analysis of Vegetation Distribution — https://doi.org/10.1002/ece3.85</w:t>
      </w:r>
    </w:p>
    <w:p>
      <w:pPr/>
      <w:r>
        <w:rPr>
          <w:b/>
        </w:rPr>
        <w:t>Shared claim-specific concepts:</w:t>
      </w:r>
      <w:r>
        <w:t xml:space="preserve"> vegetation, forest, warming; EU scope not established. This is a provisional connection, not an outcome finding.</w:t>
      </w:r>
    </w:p>
    <w:p>
      <w:pPr>
        <w:pStyle w:val="SourceNote"/>
      </w:pPr>
      <w:r>
        <w:rPr>
          <w:b/>
        </w:rPr>
        <w:t>Available abstract (not full text):</w:t>
      </w:r>
      <w:r>
        <w:t xml:space="preserve"> This study aims to assess how high-latitude vegetation may respond under various climate scenarios during the 21st century with a focus on analyzing model parameters induced uncertainty and how this uncertainty compares to the uncertainty induced by various climates. The analysis was based on a set of 10,000 Monte Carlo ensemble Lund-Potsdam-Jena (LPJ) simulations for the northern high latitudes (45oN and polewards) for the period 1900–2100. The LPJ Dynamic Global Vegetation Model (LPJ-DGVM) was run under contemporary and future climates from four Special Report Emission Scenarios (SRES), A1FI, A2, B1, and B2, based on the Hadley Centre General Circulation Model (GCM), and six climate scenarios, X901M, X902L, X903H, X904M, X905L, and X906H from the Integrated Global System Model (IGSM) at the Massachusetts Institute of Technology (MIT). In the current dynamic vegetation model, some parameters are more important than others in determining the vegetation distribution. Parameters that control plant carbon uptake and light-use efficiency have the predominant influence on the vegetation distribution of both woody and herbaceous plant functional types. The relative importance of different parameters varies temporally and spatially and is influenced by climate inputs. In addition to climate, these parameters play an important role in determining the vegetation distribution in the regi</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Climate-Adapted Potential Vegetation—A European Multiclass Model Estimating the Future Potential of Natural Vegetation — https://doi.org/10.3390/f14020239</w:t>
      </w:r>
    </w:p>
    <w:p>
      <w:pPr/>
      <w:r>
        <w:rPr>
          <w:b/>
        </w:rPr>
        <w:t>Shared claim-specific concepts:</w:t>
      </w:r>
      <w:r>
        <w:t xml:space="preserve"> boundaries, vegetation, forest; EU scope visible. This is a provisional connection, not an outcome finding.</w:t>
      </w:r>
    </w:p>
    <w:p>
      <w:pPr>
        <w:pStyle w:val="SourceNote"/>
      </w:pPr>
      <w:r>
        <w:rPr>
          <w:b/>
        </w:rPr>
        <w:t>Available abstract (not full text):</w:t>
      </w:r>
      <w:r>
        <w:t xml:space="preserve">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vegetation, forest, productivity, one;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pStyle w:val="Heading2"/>
      </w:pPr>
      <w:r>
        <w:t>994. Facing the future: Scanning, synthesizing and sense-making in horizon scanning</w:t>
      </w:r>
    </w:p>
    <w:p>
      <w:pPr>
        <w:pStyle w:val="SourceNote"/>
      </w:pPr>
      <w:r>
        <w:rPr>
          <w:b/>
        </w:rPr>
        <w:t>Original source (2012):</w:t>
      </w:r>
      <w:r>
        <w:t xml:space="preserve"> https://doi.org/10.1093/scipol/scs021</w:t>
      </w:r>
    </w:p>
    <w:p>
      <w:pPr/>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issues, horizon, scanning, time;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key, horizon, scanning, time;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A global review of horizon scanning exercises for invasive alien species — https://doi.org/10.3897/aca.9.e202375</w:t>
      </w:r>
    </w:p>
    <w:p>
      <w:pPr/>
      <w:r>
        <w:rPr>
          <w:b/>
        </w:rPr>
        <w:t>Shared claim-specific concepts:</w:t>
      </w:r>
      <w:r>
        <w:t xml:space="preserve"> discuss, key, horizon, scanning, particularly, challenges;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Key issues for European ecosystem based fisheries management — https://doi.org/10.1093/icesjms/fsag167</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Abstract Ecosystem based fisheries management (EBFM) aims to maintain healthy ecological systems as well as sustainable exploitation and benefits to social systems. However, the operationalization of EBFM may be hampered by a variety of factors, including lack of clarity about key priorities, lack of adequate knowledge and lack of management responses. We derived key concern topics in European-wide consultations of scientists and stakeholders, investigated the knowledge available for each of these topics and compared both to existing European management indicators to determine the degree to which key topics, knowledge, and management indicators align. The identified issues of relevance to EBFM advice included almost as many topics related to human wellbeing as to ecological wellbeing for all stakeholder groups. The frequency of topics varied among regions but did not differ between non-scientist stakeholder groups. Comparison of the balance between topics revealed large differences between regions in the available knowledge in spite of extensive consistency among key topics. This leaves local and Europe-wide “blind spots” for managers when trying to make informed decisions. Knowledge is particularly limited on the links between fisheries and human well-being, endangered, threatened and protected species and other human drivers such as pollution. Further, management indicators 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key, horizon, scanning, shape, time;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Horizon scanning at EMA: preparing for the medicines of the future — https://doi.org/10.3389/fmed.2026.1800213</w:t>
      </w:r>
    </w:p>
    <w:p>
      <w:pPr/>
      <w:r>
        <w:rPr>
          <w:b/>
        </w:rPr>
        <w:t>Shared claim-specific concepts:</w:t>
      </w:r>
      <w:r>
        <w:t xml:space="preserve"> key, horizon, scanning, foresight, challenges, out;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Freshwater biodiversity in a rapidly changing Arctic: An expert horizon scan of key research questions — https://doi.org/10.1007/s13280-025-02331-5</w:t>
      </w:r>
    </w:p>
    <w:p>
      <w:pPr/>
      <w:r>
        <w:rPr>
          <w:b/>
        </w:rPr>
        <w:t>Shared claim-specific concepts:</w:t>
      </w:r>
      <w:r>
        <w:t xml:space="preserve"> key, issues, horizon, challenges; EU scope not established. This is a provisional connection, not an outcome finding.</w:t>
      </w:r>
    </w:p>
    <w:p>
      <w:pPr>
        <w:pStyle w:val="SourceNote"/>
      </w:pPr>
      <w:r>
        <w:rPr>
          <w:b/>
        </w:rPr>
        <w:t>Available abstract (not full text):</w:t>
      </w:r>
      <w:r>
        <w:t xml:space="preserve"> Arctic freshwater biodiversity is rapidly changing due to climate warming, resource extraction, infrastructure development, and landscape transformation. To improve understanding, predict future responses, and inform policy formulation, research needs must be clearly identified. Using a horizon scan survey, Arctic freshwater experts from government, international agencies, and Indigenous Peoples identified 77 biodiversity research questions with 17 highlighted as most important for near term assessment. These questions span nine thematic categories: biodiversity and taxonomic challenges, hydrological change, productivity and food webs, ecosystem connectivity, methods, monitoring and assessment, permafrost change, winter ecology, anthropogenic development, and Indigenous Knowledge. Climate change emerged as the major driver among all categories and research questions. A key priority identified was the urgent need for long-term, harmonized monitoring programs among Arctic countries. Multiple knowledge gaps detected suggest that circumpolar research collaborations are required to tackle these issues.</w:t>
      </w:r>
    </w:p>
    <w:p>
      <w:pPr/>
      <w:r>
        <w:rPr>
          <w:b/>
        </w:rPr>
        <w:t>POSSIBLE 2026:</w:t>
      </w:r>
      <w:r>
        <w:t xml:space="preserve"> Horizon Scanning report 2016-2025 update — https://openalex.org/W7212410651</w:t>
      </w:r>
    </w:p>
    <w:p>
      <w:pPr/>
      <w:r>
        <w:rPr>
          <w:b/>
        </w:rPr>
        <w:t>Shared claim-specific concepts:</w:t>
      </w:r>
      <w:r>
        <w:t xml:space="preserve"> horizon, scanning, systemic; EU scope not established. This is a provisional connection, not an outcome finding.</w:t>
      </w:r>
    </w:p>
    <w:p>
      <w:pPr>
        <w:pStyle w:val="SourceNote"/>
      </w:pPr>
      <w:r>
        <w:rPr>
          <w:b/>
        </w:rPr>
        <w:t>Available abstract (not full text):</w:t>
      </w:r>
      <w:r>
        <w:t xml:space="preserve"> that explore the links between vulnerability factors, amplification mechanisms, health crises, geopolitical instability, technological innovation, and radicalization dynamics.To achieve the research objectives, various academic databases and search engines were used, including Scopus, Web of Science, Google Scholar, Minerva, and other specialist platforms, in order to ensure broad coverage of available sources.The corpus analyzed includes peerreviewed scientific articles, institutional reports, policy documents, monographs, conference proceedings, and interdisciplinary contributions from fields such as sociology, psychology, political science, media studies, law, computer science, and information science.Overall, the methodology adopted has made it possible to develop an up-to-date, systemic analysis that is comparable with the first report, strengthening the focus on the middle-aged population and providing a solid empirical and theoretical basis for the subsequent development of operational and policy recommendations on combating disinformation and conspiracy theories.</w:t>
      </w:r>
    </w:p>
    <w:p>
      <w:pPr/>
      <w:r>
        <w:rPr>
          <w:b/>
        </w:rPr>
        <w:t>POSSIBLE 2025:</w:t>
      </w:r>
      <w:r>
        <w:t xml:space="preserve"> Editorial: Discussing key issues in the digital agenda — https://doi.org/10.1108/jstpm-03-2025-250</w:t>
      </w:r>
    </w:p>
    <w:p>
      <w:pPr/>
      <w:r>
        <w:rPr>
          <w:b/>
        </w:rPr>
        <w:t>Shared claim-specific concepts:</w:t>
      </w:r>
      <w:r>
        <w:t xml:space="preserve"> key, issues, horizon, policies, challenges; EU scope visible. This is a provisional connection, not an outcome finding.</w:t>
      </w:r>
    </w:p>
    <w:p>
      <w:pPr>
        <w:pStyle w:val="SourceNote"/>
      </w:pPr>
      <w:r>
        <w:rPr>
          <w:b/>
        </w:rPr>
        <w:t>Available abstract (not full text):</w:t>
      </w:r>
      <w:r>
        <w:t xml:space="preserve">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pPr/>
      <w:r>
        <w:rPr>
          <w:b/>
        </w:rPr>
        <w:t>POSSIBLE 2025:</w:t>
      </w:r>
      <w:r>
        <w:t xml:space="preserve"> One Health Horizon Scanning: Contribution to Road Map — https://doi.org/10.1079/junoreports.2025.0003</w:t>
      </w:r>
    </w:p>
    <w:p>
      <w:pPr/>
      <w:r>
        <w:rPr>
          <w:b/>
        </w:rPr>
        <w:t>Shared claim-specific concepts:</w:t>
      </w:r>
      <w:r>
        <w:t xml:space="preserve"> discuss, key, issues, horizon, scanning, challenges; EU scope visible. This is a provisional connection, not an outcome finding.</w:t>
      </w:r>
    </w:p>
    <w:p>
      <w:pPr>
        <w:pStyle w:val="SourceNote"/>
      </w:pPr>
      <w:r>
        <w:rPr>
          <w:b/>
        </w:rPr>
        <w:t>Available abstract (not full text):</w:t>
      </w:r>
      <w:r>
        <w:t xml:space="preserve">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pPr/>
      <w:r>
        <w:rPr>
          <w:b/>
        </w:rPr>
        <w:t>POSSIBLE 2025:</w:t>
      </w:r>
      <w:r>
        <w:t xml:space="preserve"> Assessing the success of a horizon scanning approach in predicting invasive non‐native species arrival — https://doi.org/10.1111/1365-2664.70217</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pPr>
        <w:pStyle w:val="Heading2"/>
      </w:pPr>
      <w:r>
        <w:t>995. Future air quality in Europe: a multi-model assessment of projected exposure to ozone</w:t>
      </w:r>
    </w:p>
    <w:p>
      <w:pPr>
        <w:pStyle w:val="SourceNote"/>
      </w:pPr>
      <w:r>
        <w:rPr>
          <w:b/>
        </w:rPr>
        <w:t>Original source (2012):</w:t>
      </w:r>
      <w:r>
        <w:t xml:space="preserve"> https://doi.org/10.5194/acp-12-10613-2012</w:t>
      </w:r>
    </w:p>
    <w:p>
      <w:pPr/>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POSSIBLE 2026:</w:t>
      </w:r>
      <w:r>
        <w:t xml:space="preserve"> A Segmentation Analysis of Air Passengers in European Countries — https://doi.org/10.3390/futuretransp6010027</w:t>
      </w:r>
    </w:p>
    <w:p>
      <w:pPr/>
      <w:r>
        <w:rPr>
          <w:b/>
        </w:rPr>
        <w:t>Shared claim-specific concepts:</w:t>
      </w:r>
      <w:r>
        <w:t xml:space="preserve"> air, both, factors; EU scope visible. This is a provisional connection, not an outcome finding.</w:t>
      </w:r>
    </w:p>
    <w:p>
      <w:pPr>
        <w:pStyle w:val="SourceNote"/>
      </w:pPr>
      <w:r>
        <w:rPr>
          <w:b/>
        </w:rPr>
        <w:t>Available abstract (not full text):</w:t>
      </w:r>
      <w:r>
        <w:t xml:space="preserve"> Fully integrated airport access requires managing many aspects from both the passengers’ and the operational point of view. It is noted that air passenger preferences, influenced by distance, time, and other travel-related factors, are one of the fundamentals for understanding airport choice within multi-region airport systems. Therefore, an online survey was conducted in Europe, collecting more than two thousand responses, from which passengers’ attitudes and motives for selecting airport access travel modes were obtained. On the basis of the mobility profile of respondents, Fuzzy C-means (FCM) clustering analysis was performed to identify segments with similar travel attributes. The outcomes of clustering were validated through the comparison between the FCM and K-means clustering algorithms. The results of the study showed that (i) the car was the most preferred mode of transport across different age groups, and (ii) waiting time, travel costs, and travel time were rated as important, with reliability identified as the most important factor when making travel mode choices. These findings may serve as a reference for improving multimodal airport access services and encouraging a shift from private to public transportation modes.</w:t>
      </w:r>
    </w:p>
    <w:p>
      <w:pPr/>
      <w:r>
        <w:rPr>
          <w:b/>
        </w:rPr>
        <w:t>POSSIBLE 2025:</w:t>
      </w:r>
      <w:r>
        <w:t xml:space="preserve"> Air pollution and innovation — https://doi.org/10.1016/j.jeem.2024.103102</w:t>
      </w:r>
    </w:p>
    <w:p>
      <w:pPr/>
      <w:r>
        <w:rPr>
          <w:b/>
        </w:rPr>
        <w:t>Shared claim-specific concepts:</w:t>
      </w:r>
      <w:r>
        <w:t xml:space="preserve"> conclude, air, pollution, least; EU scope visible. This is a provisional connection, not an outcome finding.</w:t>
      </w:r>
    </w:p>
    <w:p>
      <w:pPr>
        <w:pStyle w:val="SourceNote"/>
      </w:pPr>
      <w:r>
        <w:rPr>
          <w:b/>
        </w:rPr>
        <w:t>Available abstract (not full text):</w:t>
      </w:r>
      <w:r>
        <w:t xml:space="preserve">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pPr/>
      <w:r>
        <w:rPr>
          <w:b/>
        </w:rPr>
        <w:t>POSSIBLE 2025:</w:t>
      </w:r>
      <w:r>
        <w:t xml:space="preserve"> The impact of air pollution on labour productivity — https://doi.org/10.1787/318cb85f-en</w:t>
      </w:r>
    </w:p>
    <w:p>
      <w:pPr/>
      <w:r>
        <w:rPr>
          <w:b/>
        </w:rPr>
        <w:t>Shared claim-specific concepts:</w:t>
      </w:r>
      <w:r>
        <w:t xml:space="preserve"> air, pollution, least, quality; EU scope visible. This is a provisional connection, not an outcome finding.</w:t>
      </w:r>
    </w:p>
    <w:p>
      <w:pPr>
        <w:pStyle w:val="SourceNote"/>
      </w:pPr>
      <w:r>
        <w:rPr>
          <w:b/>
        </w:rPr>
        <w:t>Available abstract (not full text):</w:t>
      </w:r>
      <w:r>
        <w:t xml:space="preserve"> This study provides causal estimates of the impact of air pollution on short-run productivity based on firm-level data covering over 2.5 million companies operating in Europe from 2000 to 2022. Using the changes in the height of the planetary boundary layer as an instrumental variable, the analysis shows that a 1 µg/m3 increase in PM2.5 concentration (a 7% increase at the sample mean) causes a 0.55% reduction in labour productivity that same year. The effect is driven by high air pollution days above at least 25 µg/m3. Firms in the construction sector and in sectors employing a larger share of high-skilled workers, medium-sized firms, and firms with low capital intensity are more affected. The results suggest that public policies to reduce air pollution may contribute positively to economic growth: back-of-the-envelope simulations suggest that around a third of labour productivity growth in Europe over the period 2011-2022 could have been due to improvements in air quality.</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air, pollution, measures, main, factors, least;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Governance, green taxes, and air pollution in the European Union — https://doi.org/10.1186/s12302-025-01231-5</w:t>
      </w:r>
    </w:p>
    <w:p>
      <w:pPr/>
      <w:r>
        <w:rPr>
          <w:b/>
        </w:rPr>
        <w:t>Shared claim-specific concepts:</w:t>
      </w:r>
      <w:r>
        <w:t xml:space="preserve"> air, pollution, both, but, quality; EU scope visible. This is a provisional connection, not an outcome finding.</w:t>
      </w:r>
    </w:p>
    <w:p>
      <w:pPr>
        <w:pStyle w:val="SourceNote"/>
      </w:pPr>
      <w:r>
        <w:rPr>
          <w:b/>
        </w:rPr>
        <w:t>Available abstract (not full text):</w:t>
      </w:r>
      <w:r>
        <w:t xml:space="preserve"> This study examines the dynamic relationship between environmental pollution, governance quality, and environmental taxation in European Union (EU) countries from 1996 to 2022. Three major air pollutants—PM₂.₅, NO₂, and SO₂—are examined as dependent variables to capture environmental outcomes. Governance quality is represented by regulatory quality, government effectiveness, and rule of law, while environmental policy is proxied by three environmentally related tax indicators: environmental tax as a share of total tax revenue, environmentally related tax revenue as a share of GDP, and environmentally related tax revenue per capita. Employing a panel autoregressive distributed lag (ARDL) framework, the study uncovers both short- and long-run dynamics. The findings reveal that governance quality—particularly regulatory quality and rule of law—exerts a significant long-run negative effect on PM₂.₅ and NO₂, while the influence on SO₂ is comparatively weaker. Environmental taxation shows mixed but generally meaningful long-run effects, underscoring the complementary role of fiscal instruments alongside institutional reforms in reducing emissions. Control variables such as per capita GDP, renewable energy use, and working-age population display heterogeneous effects across pollutants, highlighting the complex economic–environmental linkages in the EU. Overall, the results emphasize t</w:t>
      </w:r>
    </w:p>
    <w:p>
      <w:pPr/>
      <w:r>
        <w:rPr>
          <w:b/>
        </w:rPr>
        <w:t>POSSIBLE 2024:</w:t>
      </w:r>
      <w:r>
        <w:t xml:space="preserve"> Geographic sources of ozone air pollution and mortality burden in Europe — https://doi.org/10.1038/s41591-024-02976-x</w:t>
      </w:r>
    </w:p>
    <w:p>
      <w:pPr/>
      <w:r>
        <w:rPr>
          <w:b/>
        </w:rPr>
        <w:t>Shared claim-specific concepts:</w:t>
      </w:r>
      <w:r>
        <w:t xml:space="preserve"> air, pollution, mitigation, both, but, about; EU scope visible. This is a provisional connection, not an outcome finding.</w:t>
      </w:r>
    </w:p>
    <w:p>
      <w:pPr>
        <w:pStyle w:val="SourceNote"/>
      </w:pPr>
      <w:r>
        <w:rPr>
          <w:b/>
        </w:rPr>
        <w:t>Available abstract (not full text):</w:t>
      </w:r>
      <w:r>
        <w:t xml:space="preserve">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pPr/>
      <w:r>
        <w:rPr>
          <w:b/>
        </w:rPr>
        <w:t>POSSIBLE 2024:</w:t>
      </w:r>
      <w:r>
        <w:t xml:space="preserve"> Integrated strategies for air and climate measures — https://doi.org/10.6027/temanord2024-561</w:t>
      </w:r>
    </w:p>
    <w:p>
      <w:pPr/>
      <w:r>
        <w:rPr>
          <w:b/>
        </w:rPr>
        <w:t>Shared claim-specific concepts:</w:t>
      </w:r>
      <w:r>
        <w:t xml:space="preserve"> air, measures, both, but, climate; EU scope not established. This is a provisional connection, not an outcome finding.</w:t>
      </w:r>
    </w:p>
    <w:p>
      <w:pPr>
        <w:pStyle w:val="SourceNote"/>
      </w:pPr>
      <w:r>
        <w:rPr>
          <w:b/>
        </w:rPr>
        <w:t>Available abstract (not full text):</w:t>
      </w:r>
      <w:r>
        <w:t xml:space="preserve"> Samman fattning 4. Discussion and policy options 4.1 International goals and obligations for the Nordic countries 4.2 Integrated measures to reduce ammonia, methane and nitrogen 4.2.1 Literature review of integrated measures and its effectiveness 4.3 Policy Areas 4.4 Policy instruments 4.5 Examples on stakeholder perspectives 4.6 Synergies and trade-offs 4.6.1 Examples of bene its, trade -offs and negative impacts 4.6.2Measures which reduce both ammonia and methane emissions 4.6.3Measures which reduce one pollutant but have no effect on another 4.6.4Measures which reduce one pollutant but increase the other pollutant 4.7 Example of an integrated policy 5. Conclusion 5.1 Future recommendations 6.</w:t>
      </w:r>
    </w:p>
    <w:p>
      <w:pPr/>
      <w:r>
        <w:rPr>
          <w:b/>
        </w:rPr>
        <w:t>POSSIBLE 2024:</w:t>
      </w:r>
      <w:r>
        <w:t xml:space="preserve"> Air pollution and rhinitis — https://doi.org/10.3389/falgy.2024.1387525</w:t>
      </w:r>
    </w:p>
    <w:p>
      <w:pPr/>
      <w:r>
        <w:rPr>
          <w:b/>
        </w:rPr>
        <w:t>Shared claim-specific concepts:</w:t>
      </w:r>
      <w:r>
        <w:t xml:space="preserve"> air, pollution, climate; EU scope not established. This is a provisional connection, not an outcome finding.</w:t>
      </w:r>
    </w:p>
    <w:p>
      <w:pPr>
        <w:pStyle w:val="SourceNote"/>
      </w:pPr>
      <w:r>
        <w:rPr>
          <w:b/>
        </w:rPr>
        <w:t>Available abstract (not full text):</w:t>
      </w:r>
      <w:r>
        <w:t xml:space="preserve"> Rhinitis arises from either allergic or non-allergic inflammation of the nasal mucosa, characterized by the infiltration of inflammatory cells into the tissue and nasal secretions, along with structural alterations in the nasal mucosa. The pathways through which air pollution affects rhinitis may diverge from those affecting asthma. This article aims to review the effects of diverse air pollutants on the nose, the correlation of climate change and pollution, and how they aggravate the symptoms of patients with rhinitis.</w:t>
      </w:r>
    </w:p>
    <w:p>
      <w:pPr/>
      <w:r>
        <w:rPr>
          <w:b/>
        </w:rPr>
        <w:t>POSSIBLE 2024:</w:t>
      </w:r>
      <w:r>
        <w:t xml:space="preserve"> Urban challenges and air quality in selected european cities — https://doi.org/10.37190/epe240304</w:t>
      </w:r>
    </w:p>
    <w:p>
      <w:pPr/>
      <w:r>
        <w:rPr>
          <w:b/>
        </w:rPr>
        <w:t>Shared claim-specific concepts:</w:t>
      </w:r>
      <w:r>
        <w:t xml:space="preserve"> air, pollution, improvement, climate, quality; EU scope visible. This is a provisional connection, not an outcome finding.</w:t>
      </w:r>
    </w:p>
    <w:p>
      <w:pPr>
        <w:pStyle w:val="SourceNote"/>
      </w:pPr>
      <w:r>
        <w:rPr>
          <w:b/>
        </w:rPr>
        <w:t>Available abstract (not full text):</w:t>
      </w:r>
      <w:r>
        <w:t xml:space="preserve"> More than half of the world's population currently resides in urban areas. Therefore, cities must be part of the solution if the increasingly urbanized world is to successfully address environmental challenges such as climate change. Air pollution poses a significant health risk to Europeans. Due to urbanization, population growth, traffic congestion, industrial activities, energy generation, and inadequate urban planning connected to environmental solutions modern cities confront a range of complex challenges concerning air quality. Achieving the zero-pollution vision for 2050 demands further endeavors to diminish air pollution to levels deemed safe for health. This article examines the multifaceted obstacles that modern cities encounter, with a particular emphasis on the critical issue of air quality. The study aims to analyze low-emission solutions aimed at improving the state of air quality in selected European cities. The study assessed changes in the concentrations of NO2, O3, PM10, PM2.5 and benzo(a)pyrene in chosen European cities between 2013–2022 offering a comparative analysis of air quality challenges and solutions across selected cities. The value of the analysis lies in its ability to draw conclusions from current European urban trends related to air quality improvement and to develop a comprehensive set of recommendations tailored for policymakers.</w:t>
      </w:r>
    </w:p>
    <w:p>
      <w:pPr/>
      <w:r>
        <w:rPr>
          <w:b/>
        </w:rPr>
        <w:t>POSSIBLE 2024:</w:t>
      </w:r>
      <w:r>
        <w:t xml:space="preserve"> Air Pollution and Health — https://doi.org/10.1039/9781837672790-00134</w:t>
      </w:r>
    </w:p>
    <w:p>
      <w:pPr/>
      <w:r>
        <w:rPr>
          <w:b/>
        </w:rPr>
        <w:t>Shared claim-specific concepts:</w:t>
      </w:r>
      <w:r>
        <w:t xml:space="preserve"> air, pollution, but, about, quality; EU scope not established. This is a provisional connection, not an outcome finding.</w:t>
      </w:r>
    </w:p>
    <w:p>
      <w:pPr>
        <w:pStyle w:val="SourceNote"/>
      </w:pPr>
      <w:r>
        <w:rPr>
          <w:b/>
        </w:rPr>
        <w:t>Available abstract (not full text):</w:t>
      </w:r>
      <w:r>
        <w:t xml:space="preserve"> OBJECTIVE: To review the effects of air pollution on health, with special reference to data obtained locally in Hong Kong. DATA SOURCES: Medline literature search (1960-1999), websites of the World Health Organization and Environmental Protection Department, Hong Kong, and a report from the Sub-Working Group on the Review of Hong Kong's Air Quality Objectives, 1999. STUDY SELECTION: Key words for the literature search were 'air pollution' and 'health'. DATA EXTRACTION: The author reviewed relevant information and data. DATA SYNTHESIS: In many parts of the world and in Hong Kong, air pollution is associated with increased mortality and morbidity rates, as reflected by increased hospital admissions and doctor visits, not only for respiratory illnesses but also for cardiovascular illnesses. Some studies have found that air pollution is also associated with an increase in respiratory symptoms in lower lung function in children. In Hong Kong, air pollution is mostly because of traffic emissions. During the past decade, the annual mean levels of respirable suspended particulates and oxides of nitrogen and ozone have increased and exceeded the air quality objectives set by the Environmental Protection Department of Hong Kong. CONCLUSION: The medical profession should be concerned about the health effects of air pollution and should call for action to reduce the current levels of air p</w:t>
      </w:r>
    </w:p>
    <w:p>
      <w:pPr/>
      <w:r>
        <w:rPr>
          <w:b/>
        </w:rPr>
        <w:t>POSSIBLE 2023:</w:t>
      </w:r>
      <w:r>
        <w:t xml:space="preserve"> Clean air in Europe for all — https://doi.org/10.1097/ee9.0000000000000245</w:t>
      </w:r>
    </w:p>
    <w:p>
      <w:pPr/>
      <w:r>
        <w:rPr>
          <w:b/>
        </w:rPr>
        <w:t>Shared claim-specific concepts:</w:t>
      </w:r>
      <w:r>
        <w:t xml:space="preserve"> air, pollution, present, but, climate, quality;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Air pollution and respiratory infections: the past, present, and future — https://doi.org/10.1093/toxsci/kfad003</w:t>
      </w:r>
    </w:p>
    <w:p>
      <w:pPr/>
      <w:r>
        <w:rPr>
          <w:b/>
        </w:rPr>
        <w:t>Shared claim-specific concepts:</w:t>
      </w:r>
      <w:r>
        <w:t xml:space="preserve"> conclude, air, pollution, measures, present; EU scope not established. This is a provisional connection, not an outcome finding.</w:t>
      </w:r>
    </w:p>
    <w:p>
      <w:pPr>
        <w:pStyle w:val="SourceNote"/>
      </w:pPr>
      <w:r>
        <w:rPr>
          <w:b/>
        </w:rPr>
        <w:t>Available abstract (not full text):</w:t>
      </w:r>
      <w:r>
        <w:t xml:space="preserve"> Air pollution levels across the globe continue to rise despite government regulations. The increase in global air pollution levels drives detrimental human health effects, including 7 million premature deaths every year. Many of these deaths are attributable to increased incidence of respiratory infections. Considering the COVID-19 pandemic, an unprecedented public health crisis that has claimed the lives of over 6.5 million people globally, respiratory infections as a driver of human mortality is a pressing concern. Therefore, it is more important than ever to understand the relationship between air pollution and respiratory infections so that public health measures can be implemented to ameliorate further morbidity and mortality. This article aims to review the current epidemiologic and basic science research on interactions between air pollution exposure and respiratory infections. The first section will present epidemiologic studies organized by pathogen, followed by a review of basic science research investigating the mechanisms of infection, and then conclude with a discussion of areas that require future investigation.</w:t>
      </w:r>
    </w:p>
    <w:p>
      <w:pPr>
        <w:pStyle w:val="Heading2"/>
      </w:pPr>
      <w:r>
        <w:t>996. Impact of climate change on ozone-related mortality and morbidity in Europe</w:t>
      </w:r>
    </w:p>
    <w:p>
      <w:pPr>
        <w:pStyle w:val="SourceNote"/>
      </w:pPr>
      <w:r>
        <w:rPr>
          <w:b/>
        </w:rPr>
        <w:t>Original source (2012):</w:t>
      </w:r>
      <w:r>
        <w:t xml:space="preserve"> https://doi.org/10.1183/09031936.00210411</w:t>
      </w:r>
    </w:p>
    <w:p>
      <w:pPr/>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POSSIBLE 2025:</w:t>
      </w:r>
      <w:r>
        <w:t xml:space="preserve"> New baselines, new extremes? Assessing the impact of reference periods on climate extremes in Central Europe — https://doi.org/10.5194/ems2025-601</w:t>
      </w:r>
    </w:p>
    <w:p>
      <w:pPr/>
      <w:r>
        <w:rPr>
          <w:b/>
        </w:rPr>
        <w:t>Shared claim-specific concepts:</w:t>
      </w:r>
      <w:r>
        <w:t xml:space="preserve"> baseline, period, periods, climate; EU scope visible. This is a provisional connection, not an outcome finding.</w:t>
      </w:r>
    </w:p>
    <w:p>
      <w:pPr>
        <w:pStyle w:val="SourceNote"/>
      </w:pPr>
      <w:r>
        <w:rPr>
          <w:b/>
        </w:rPr>
        <w:t>Available abstract (not full text):</w:t>
      </w:r>
      <w:r>
        <w:t xml:space="preserve">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pPr/>
      <w:r>
        <w:rPr>
          <w:b/>
        </w:rPr>
        <w:t>POSSIBLE 2025:</w:t>
      </w:r>
      <w:r>
        <w:t xml:space="preserve"> Diverging trends in large floods across Europe in a warming climate — https://doi.org/10.1038/s43247-025-02734-y</w:t>
      </w:r>
    </w:p>
    <w:p>
      <w:pPr/>
      <w:r>
        <w:rPr>
          <w:b/>
        </w:rPr>
        <w:t>Shared claim-specific concepts:</w:t>
      </w:r>
      <w:r>
        <w:t xml:space="preserve"> larger, increases,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Extreme high temperatures and heatwave events across Europe in 2023 — https://doi.org/10.1088/2515-7620/adae60</w:t>
      </w:r>
    </w:p>
    <w:p>
      <w:pPr/>
      <w:r>
        <w:rPr>
          <w:b/>
        </w:rPr>
        <w:t>Shared claim-specific concepts:</w:t>
      </w:r>
      <w:r>
        <w:t xml:space="preserve"> baseline, period, much; EU scope visible. This is a provisional connection, not an outcome finding.</w:t>
      </w:r>
    </w:p>
    <w:p>
      <w:pPr>
        <w:pStyle w:val="SourceNote"/>
      </w:pPr>
      <w:r>
        <w:rPr>
          <w:b/>
        </w:rPr>
        <w:t>Available abstract (not full text):</w:t>
      </w:r>
      <w:r>
        <w:t xml:space="preserve"> Abstract With global mean temperatures reaching record highs in 2023, many regions experienced successive heatwaves, causing negative impacts on human health, social economy, and ecosystems. Europe is among the continents that experienced a series of extreme heatwaves over large areas in the year. However, there is a lack of quantitative analysis of spatial and temporal features of such record high heatwaves. Here, we investigated the spatial patterns and seasonal evolution of heatwaves over Europe in 2023. Overall, Europe was unusually warm with prolonged seasons and expanded spatial extent of heatwaves in 2023 compared to the baseline period (1991–2020). The earliest heatwave occurred in the Iberian Peninsula in late April, with the heatwave intensity up to 30 °C. Then, heatwaves were observed in the British Isles and Scandinavia in mid-June successively, with duration above 10 days and the highest intensity in some areas since 1991. Extreme heatwaves extended through the autumn primarily in the Mediterranean areas and western Europe, with some areas experiencing maximum temperature up to 32 °C and duration exceeding 12 days. The heatwave number, duration, frequency, and intensity in areas affected by extreme heatwaves in all seasons were much higher than the average in the baseline period. Especially in the autumn, the frequency and seasonal cumulative heat anomalies were up</w:t>
      </w:r>
    </w:p>
    <w:p>
      <w:pPr/>
      <w:r>
        <w:rPr>
          <w:b/>
        </w:rPr>
        <w:t>POSSIBLE 2024:</w:t>
      </w:r>
      <w:r>
        <w:t xml:space="preserve"> Recovery and resilience of European temperate forests after large and severe disturbances — https://doi.org/10.1111/gcb.17159</w:t>
      </w:r>
    </w:p>
    <w:p>
      <w:pPr/>
      <w:r>
        <w:rPr>
          <w:b/>
        </w:rPr>
        <w:t>Shared claim-specific concepts:</w:t>
      </w:r>
      <w:r>
        <w:t xml:space="preserve"> baseline, larger, climate; EU scope visible. This is a provisional connection, not an outcome finding.</w:t>
      </w:r>
    </w:p>
    <w:p>
      <w:pPr>
        <w:pStyle w:val="SourceNote"/>
      </w:pPr>
      <w:r>
        <w:rPr>
          <w:b/>
        </w:rPr>
        <w:t>Available abstract (not full text):</w:t>
      </w:r>
      <w:r>
        <w:t xml:space="preserve"> Abstract Recent observations of tree regeneration failures following large and severe disturbances, particularly under warm and dry conditions, have raised concerns about the resilience of forest ecosystems and their recovery dynamics in the face of climate change. We investigated the recovery of temperate forests in Europe after large and severe disturbance events (i.e., resulting in more than 70% canopy loss in patches larger than 1 ha), with a range of one to five decades since the disturbance occurred. The study included 143 sites of different forest types and management practices that had experienced 28 disturbance events, including windthrow (132 sites), fire (six sites), and bark beetle outbreaks (five sites). We focused on assessing post‐disturbance tree density, structure, and composition as key indicators of forest resilience. We compared post‐disturbance height‐weighted densities with site‐specific pre‐disturbance densities to qualitatively assess the potential for structural and compositional recovery, overall and for dominant tree species, respectively. Additionally, we analyzed the ecological drivers of post‐windthrow tree density, such as forest management, topography, and post‐disturbance aridity, using a series of generalized additive models. The descriptive results show that European temperate forests have been resilient to past large and severe disturbances a</w:t>
      </w:r>
    </w:p>
    <w:p>
      <w:pPr/>
      <w:r>
        <w:rPr>
          <w:b/>
        </w:rPr>
        <w:t>POSSIBLE 2023:</w:t>
      </w:r>
      <w:r>
        <w:t xml:space="preserve"> Contact allergy to corticosteroids: Is the European baseline series sufficient? — https://doi.org/10.1111/cod.14358</w:t>
      </w:r>
    </w:p>
    <w:p>
      <w:pPr/>
      <w:r>
        <w:rPr>
          <w:b/>
        </w:rPr>
        <w:t>Shared claim-specific concepts:</w:t>
      </w:r>
      <w:r>
        <w:t xml:space="preserve"> baseline, period, stronger; EU scope visible. This is a provisional connection, not an outcome finding.</w:t>
      </w:r>
    </w:p>
    <w:p>
      <w:pPr>
        <w:pStyle w:val="SourceNote"/>
      </w:pPr>
      <w:r>
        <w:rPr>
          <w:b/>
        </w:rPr>
        <w:t>Available abstract (not full text):</w:t>
      </w:r>
      <w:r>
        <w:t xml:space="preserve">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pPr/>
      <w:r>
        <w:rPr>
          <w:b/>
        </w:rPr>
        <w:t>POSSIBLE 2023:</w:t>
      </w:r>
      <w:r>
        <w:t xml:space="preserve"> Effect of Baseline Period on Quantification of Climate Extremes Over the United States — https://doi.org/10.1029/2023gl105204</w:t>
      </w:r>
    </w:p>
    <w:p>
      <w:pPr/>
      <w:r>
        <w:rPr>
          <w:b/>
        </w:rPr>
        <w:t>Shared claim-specific concepts:</w:t>
      </w:r>
      <w:r>
        <w:t xml:space="preserve"> baseline, period, periods, climate; EU scope not established. This is a provisional connection, not an outcome finding.</w:t>
      </w:r>
    </w:p>
    <w:p>
      <w:pPr>
        <w:pStyle w:val="SourceNote"/>
      </w:pPr>
      <w:r>
        <w:rPr>
          <w:b/>
        </w:rPr>
        <w:t>Available abstract (not full text):</w:t>
      </w:r>
      <w:r>
        <w:t xml:space="preserve"> Abstract Extreme climate events are societally harmful and have increased in frequency and intensity in recent decades. Indices based on temperature and precipitation are a valuable way to quantify climate extremes. Certain indices are defined relative to percentiles, which are dependent on a climatological baseline period. In this study, indices computed using temperature and precipitation from the Modern Era Retrospective Analysis for Research and Applications, Version 2 are calculated using percentiles from three baseline periods: 1981–2010, 1991–2020 and 1981–2020. Updating the baseline period from 1981 to 2010 to 1991–2020 leads to significant changes in the quantification of temperature and precipitation extremes over the United States over 1980–2021. Using the later baseline period indicates more cold extremes, fewer warm extremes, and fewer but more intense precipitation extremes throughout the US, with regional variation. Changing the baseline period can mislead the public and decision makers, potentially undermining the appropriate response to climate‐related health risks.</w:t>
      </w:r>
    </w:p>
    <w:p>
      <w:pPr/>
      <w:r>
        <w:rPr>
          <w:b/>
        </w:rPr>
        <w:t>POSSIBLE 2023:</w:t>
      </w:r>
      <w:r>
        <w:t xml:space="preserve"> Comparing methods to predict baseline mortality for excess mortality calculations — https://doi.org/10.1186/s12874-023-02061-w</w:t>
      </w:r>
    </w:p>
    <w:p>
      <w:pPr/>
      <w:r>
        <w:rPr>
          <w:b/>
        </w:rPr>
        <w:t>Shared claim-specific concepts:</w:t>
      </w:r>
      <w:r>
        <w:t xml:space="preserve"> comparing, baseline, mortality; EU scope visible. This is a provisional connection, not an outcome finding.</w:t>
      </w:r>
    </w:p>
    <w:p>
      <w:pPr>
        <w:pStyle w:val="SourceNote"/>
      </w:pPr>
      <w:r>
        <w:rPr>
          <w:b/>
        </w:rPr>
        <w:t>Available abstract (not full text):</w:t>
      </w:r>
      <w:r>
        <w:t xml:space="preserve"> BACKGROUND: The World Health Organization (WHO)'s excess mortality estimates presented in May 2022 stirred controversy, due in part to the high estimate provided for Germany, which was later attributed to the spline model used. This paper aims to reproduce the problem using synthetic datasets, thus allowing the investigation of its sensitivity to parameters, both of the mortality curve and of the used method, thereby shedding light on the conditions that gave rise to this error and identifying possible remedies. METHODS: A negative binomial model was used accounting for long-term change, seasonality, flu seasons, and heat waves. Simulated mortality curves from this model were then analysed using simple methods (mean, linear trend), the WHO method, and the method of Acosta and Irizarry. RESULTS: The performance of the WHO's method with its original parametrization was indeed very poor, however it can be profoundly improved by a better choice of parameters. The Acosta-Irizarry method outperformed the WHO method despite being also based on splines, but it was also dependent on its parameters. Linear extrapolation could produce very good results, but was highly dependent on the choice of the starting year, while the average was the worst in almost all cases. CONCLUSIONS: Splines are not inherently unsuitable for predicting baseline mortality, but caution should be taken. In particu</w:t>
      </w:r>
    </w:p>
    <w:p>
      <w:pPr/>
      <w:r>
        <w:rPr>
          <w:b/>
        </w:rPr>
        <w:t>POSSIBLE 2022:</w:t>
      </w:r>
      <w:r>
        <w:t xml:space="preserve"> European Ground Motion Service: Basic 2016-present (vector), Europe, yearly, Aug. 2022 — https://doi.org/10.2909/cc459e76-a40f-4b8e-9a66-6da4acbbf239</w:t>
      </w:r>
    </w:p>
    <w:p>
      <w:pPr/>
      <w:r>
        <w:rPr>
          <w:b/>
        </w:rPr>
        <w:t>Shared claim-specific concepts:</w:t>
      </w:r>
      <w:r>
        <w:t xml:space="preserve"> baseline, period, periods; EU scope visible. This is a provisional connection, not an outcome finding.</w:t>
      </w:r>
    </w:p>
    <w:p>
      <w:pPr>
        <w:pStyle w:val="SourceNote"/>
      </w:pPr>
      <w:r>
        <w:rPr>
          <w:b/>
        </w:rPr>
        <w:t>Available abstract (not full text):</w:t>
      </w:r>
      <w:r>
        <w:t xml:space="preserve"> The European Ground Motion Service (EGMS), part of the Copernicus Land Monitoring Service, provides consistent, regular, standardised, harmonised, and reliable information on natural and anthropogenic ground motion phenomena across Copernicus Participating States and national borders, with millimetre-level accuracy. This metadata describes the first product level of EGMS: Basic. EGMS Basic delivers InSAR displacement data in the satellite Line-of-Sight (LOS), accompanied by annotated geolocation and quality indicators for each measurement point. It is derived from full-resolution interferometric analysis of Sentinel-1 radar imagery and includes LOS velocity maps for both ascending and descending orbits. Each measurement is referenced to a local point within the processing unit, meaning ground motion values are only meaningful within that unit and cannot be directly compared across adjacent units. EGMS Basic is visualised as a vector map of measurement points, colour-coded by average LOS velocity, and distributed in comma-separated values (CSV) format. Each point includes a displacement time series, representing ground motion values for each Sentinel-1 acquisition over the monitoring period. EGMS Basic is delivered to users on an annual basis, following a five-year moving window update strategy. This means that after the Baseline/first update (2016-2021), the following data peri</w:t>
      </w:r>
    </w:p>
    <w:p>
      <w:pPr/>
      <w:r>
        <w:rPr>
          <w:b/>
        </w:rPr>
        <w:t>POSSIBLE 2022:</w:t>
      </w:r>
      <w:r>
        <w:t xml:space="preserve"> The duration of the school-to-work transition in Italy and in other European countries: a flexible baseline hazard interpretation — https://doi.org/10.1108/ijm-03-2021-0135</w:t>
      </w:r>
    </w:p>
    <w:p>
      <w:pPr/>
      <w:r>
        <w:rPr>
          <w:b/>
        </w:rPr>
        <w:t>Shared claim-specific concepts:</w:t>
      </w:r>
      <w:r>
        <w:t xml:space="preserve"> comparing, baseline, increases; EU scope visible. This is a provisional connection, not an outcome finding.</w:t>
      </w:r>
    </w:p>
    <w:p>
      <w:pPr>
        <w:pStyle w:val="SourceNote"/>
      </w:pPr>
      <w:r>
        <w:rPr>
          <w:b/>
        </w:rPr>
        <w:t>Available abstract (not full text):</w:t>
      </w:r>
      <w:r>
        <w:t xml:space="preserve"> Purpose The Italian school-to-work transition (STWT) is astonishingly slow and long in comparison to the other EU countries. We analyze its determinants comparing the Italian case with Austria, Poland and the UK. Design/methodology/approach The analysis is based on a Cox survival model with proportional hazard. The smoothed hazard estimates allow us to identify the nonlinear path of the hazard function. Findings The authors reckon that the actual length of the transition to a stable job is around 30 months in Italy. Conversely, it is less than one year in the other countries. Women are particularly penalized, despite being on average more educated than men. Tertiary or vocational education at high secondary school strongly increases the hazard rate to a regular job. The smoothed hazard estimates suggest positive duration dependence at the beginning of the transition and slightly negative thereafter. Practical implications Stimulating economic growth and investing in education and training are important pre-conditions for shortening the transition. Originality/value Despite the duration of the STWT is one of the most important indicators to measure the efficiency of the STWT, it is not easy to measure. The authors build on their previous research work on this topic, but relaxing the assumption of a monotonic hazard rate and using the flexible baseline hazard approach to test for</w:t>
      </w:r>
    </w:p>
    <w:p>
      <w:pPr/>
      <w:r>
        <w:rPr>
          <w:b/>
        </w:rPr>
        <w:t>POSSIBLE 2021:</w:t>
      </w:r>
      <w:r>
        <w:t xml:space="preserve"> Emerging new climate extremes over Europe — https://doi.org/10.1007/s00382-021-05917-3</w:t>
      </w:r>
    </w:p>
    <w:p>
      <w:pPr/>
      <w:r>
        <w:rPr>
          <w:b/>
        </w:rPr>
        <w:t>Shared claim-specific concepts:</w:t>
      </w:r>
      <w:r>
        <w:t xml:space="preserve"> baseline, period, larger, stronger, climate; EU scope visible. This is a provisional connection, not an outcome finding.</w:t>
      </w:r>
    </w:p>
    <w:p>
      <w:pPr>
        <w:pStyle w:val="SourceNote"/>
      </w:pPr>
      <w:r>
        <w:rPr>
          <w:b/>
        </w:rPr>
        <w:t>Available abstract (not full text):</w:t>
      </w:r>
      <w:r>
        <w:t xml:space="preserve">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pPr/>
      <w:r>
        <w:rPr>
          <w:b/>
        </w:rPr>
        <w:t>POSSIBLE 2021:</w:t>
      </w:r>
      <w:r>
        <w:t xml:space="preserve"> Achieving sustainable development: A baseline analysis of Western and Eastern European countries — https://doi.org/10.15826/recon.2021.7.1.002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Relevance. Sustainable development is now an increasingly important topic on the global agenda, which received much attention in connection with the adoption of the 2030 Agenda for Sustainable Development and the Sustainable Development Goals (SDGs).Research objectives. The article aims to contribute to the understanding of sustainability expansion and SDGs achievement in Europe by comparing the differences between Western and Eastern European countries. Data and methods. The study relies on descriptive statistics and comparative analysis of sustainable development results in Western (18) and Eastern European (21) countries. The parametric Student's t-distribution test and non-parametric U Mann-Whitney test were used to examine the significance of the differences between Western and Eastern European countries.Results. Sustainable development in Eastern and Western European countries is affected by various economic, social and environmental processes. The SDGs in Western European countries is achieved mostly in the social and economic spheres while in the Eastern European countries, in social and environmental spheres. Although Europe leads globally on sustainability, it still faces significant challenges in reaching the SDGs.Conclusions. European countries are compared in order to identify the main SDGs directions and constraints in the current state of sustainability achieveme</w:t>
      </w:r>
    </w:p>
    <w:p>
      <w:pPr/>
      <w:r>
        <w:rPr>
          <w:b/>
        </w:rPr>
        <w:t>POSSIBLE 2021:</w:t>
      </w:r>
      <w:r>
        <w:t xml:space="preserve"> Design Space Constraints and the Cultural Taxonomy of European Final Palaeolithic Large Tanged Points: A Comparison of Typological, Landmark-Based and Whole-Outline Geometric Morphometric Approaches — https://doi.org/10.1007/s41982-021-00097-2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Abstract The identification of material culture variability remains an important goal in archaeology, as such variability is commonly coupled with interpretations of cultural transmission and adaptation. While most archaeological cultures are defined on the basis of typology and research tradition, cultural evolutionary reasoning combined with computer-aided methods such as geometric morphometrics (GMM) can shed new light on the validity of many such entrenched groupings, especially in regard to European Upper Palaeolithic projectile points and their classification. Little methodological consistency, however, makes it difficult to compare the conclusions of such studies. Here, we present an effort towards a benchmarked, case-transferrable toolkit that comparatively explores relevant techniques centred on outline-based GMM. First, we re-analyse two previously conducted landmark-based analyses of stone artefacts using our whole-outline approach, demonstrating that outlines can offer an efficient and reliable alternative. We then show how a careful application of clustering algorithms to GMM outline data is able to successfully discriminate between distinctive tool shapes and suggest that such data can also be used to infer cultural evolutionary histories matching already observed typo-chronological patterns. Building on this baseline work, we apply the same methods to a dataset o</w:t>
      </w:r>
    </w:p>
    <w:p>
      <w:pPr>
        <w:pStyle w:val="Heading2"/>
      </w:pPr>
      <w:r>
        <w:t>997. Implications of sustainability constraints on UK bioenergy development: Assessing optimistic and precautionary approaches with UK MARKAL</w:t>
      </w:r>
    </w:p>
    <w:p>
      <w:pPr>
        <w:pStyle w:val="SourceNote"/>
      </w:pPr>
      <w:r>
        <w:rPr>
          <w:b/>
        </w:rPr>
        <w:t>Original source (2012):</w:t>
      </w:r>
      <w:r>
        <w:t xml:space="preserve"> https://doi.org/10.1016/j.enpol.2012.05.015</w:t>
      </w:r>
    </w:p>
    <w:p>
      <w:pPr/>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pPr/>
      <w:r>
        <w:rPr>
          <w:b/>
        </w:rPr>
        <w:t>POSSIBLE 2026:</w:t>
      </w:r>
      <w:r>
        <w:t xml:space="preserve"> Tourism Dynamics at Meenakshi Amman Temple: Examining Implications for Micro-Enterprise Economic Performance — https://doi.org/10.34293/management.v13is1-i2-feb.10387</w:t>
      </w:r>
    </w:p>
    <w:p>
      <w:pPr/>
      <w:r>
        <w:rPr>
          <w:b/>
        </w:rPr>
        <w:t>Shared claim-specific concepts:</w:t>
      </w:r>
      <w:r>
        <w:t xml:space="preserve"> implications, but, significantly; EU scope not established. This is a provisional connection, not an outcome finding.</w:t>
      </w:r>
    </w:p>
    <w:p>
      <w:pPr>
        <w:pStyle w:val="SourceNote"/>
      </w:pPr>
      <w:r>
        <w:rPr>
          <w:b/>
        </w:rPr>
        <w:t>Available abstract (not full text):</w:t>
      </w:r>
      <w:r>
        <w:t xml:space="preserve"> Now a days Local economies are significantly boosted by religious tourism destination, especially for small business that depend significantly on visitor traffic. The constant stream of pilgrims in holy cities like Madurai has a direct impact on the prosperity of Local business and service providers. The study looks at how local microbusiness’ performance is affected by tourism near the meenakshi Amman Temple.we concentrated on business operating close to the temple that were MSME –registered such as retail stores,food vendors, lodging facilities,and tour companies.we collected data from 120 business owners using structured questionnaires. Our analysis employed simple statistical methods percentages,Descriptive analysis and simple t-test,correlation. Findings indicates that there are definite advantages to tourism including higher sales, more clients and study revenue during busy time. However, these advantages change throughout the year. Businesses suffer major difficulties during low visitor seasons, particularly when infrastructure is poor or crowd control is ineffective. Temple tourism has a lot of room to grow, but doing so would require better infrastructure and encouraging laws.</w:t>
      </w:r>
    </w:p>
    <w:p>
      <w:pPr/>
      <w:r>
        <w:rPr>
          <w:b/>
        </w:rPr>
        <w:t>POSSIBLE 2026:</w:t>
      </w:r>
      <w:r>
        <w:t xml:space="preserve"> CRANIAL STRUCTURE OF †CHONDROSTEUS ACIPENSEROIDES RE-EXAMINED: IMPLICATIONS FOR UPPER JAW HOMOLOGIES IN ACIPENSERIFORM FISHES — https://doi.org/10.7302/28802</w:t>
      </w:r>
    </w:p>
    <w:p>
      <w:pPr/>
      <w:r>
        <w:rPr>
          <w:b/>
        </w:rPr>
        <w:t>Shared claim-specific concepts:</w:t>
      </w:r>
      <w:r>
        <w:t xml:space="preserve"> implications, but, not; EU scope not established. This is a provisional connection, not an outcome finding.</w:t>
      </w:r>
    </w:p>
    <w:p>
      <w:pPr>
        <w:pStyle w:val="SourceNote"/>
      </w:pPr>
      <w:r>
        <w:rPr>
          <w:b/>
        </w:rPr>
        <w:t>Available abstract (not full text):</w:t>
      </w:r>
      <w:r>
        <w:t xml:space="preserve"> The Early Jurassic family †Chondrosteidae is considered the sister lineage to all remaining acipenseriforms, the actinopterygian group that includes sturgeons, paddlefishes, and their immediate extinct relatives. As the best-known and oldest †chondrosteid, the Hettangian– Sinemurian †Chondrosteus acipenseroides plays a central role in understanding plesiomorphic acipenseriform conditions. Here we present a micro-computed tomographic examination of the cranial anatomy of †Chondrosteus based on a laterally compressed skull. We corroborate many aspects of the most recent account of this genus but find additional upper jaw bones not previously reported. These newly recognized ossifications, some dermal and some endoskeletal in origin, bear on hypothesized homologies of upper jaw components in acipenseriforms. First, †Chondrosteus possesses a series of up to three toothed dermal bones associated with the ventral margin of the palate. These bones correspond to the dermopalatines of other actinopterygians. We therefore reject identification of the marginal, strap-like bone of the acipenseriform upper jaw as a dermopalatine and accept the historical interpretation of that ossification as a maxilla. Second, two endoskeletal bones are associated with the aboral surface of the palate. The largest of these is a thin sheet matching the bone conventionally interpreted as an autopalatine in o</w:t>
      </w:r>
    </w:p>
    <w:p>
      <w:pPr/>
      <w:r>
        <w:rPr>
          <w:b/>
        </w:rPr>
        <w:t>POSSIBLE 2026:</w:t>
      </w:r>
      <w:r>
        <w:t xml:space="preserve"> Oxybenzone in Sunscreen: Examining Human Health Implications — https://openalex.org/W7202418639</w:t>
      </w:r>
    </w:p>
    <w:p>
      <w:pPr/>
      <w:r>
        <w:rPr>
          <w:b/>
        </w:rPr>
        <w:t>Shared claim-specific concepts:</w:t>
      </w:r>
      <w:r>
        <w:t xml:space="preserve"> implications, does, not; EU scope not established. This is a provisional connection, not an outcome finding.</w:t>
      </w:r>
    </w:p>
    <w:p>
      <w:pPr>
        <w:pStyle w:val="SourceNote"/>
      </w:pPr>
      <w:r>
        <w:rPr>
          <w:b/>
        </w:rPr>
        <w:t>Available abstract (not full text):</w:t>
      </w:r>
      <w:r>
        <w:t xml:space="preserve"> Objective: The purpose of this paper is to evaluate the current evidence regarding the human health effects associated with exposure to oxybenzone (benzophenone-3) containing sunscreen in individuals using sunscreen products. This review examined outcomes, including systemic absorption, endocrine function, and reproductive health, while considering established benefits of sunscreen for skin cancer prevention. Methods: A comprehensive literature review was conducted using peer-reviewed publications identified through PubMed, Google Scholar, and the Valparaiso University library database. Selected studies included systematic reviews, meta-analyses, pharmacokinetic studies, observational studies, and toxicological research. Literature evaluating systemic absorption, endocrine disruption, reproductive health effects, biomonitoring data, and regulatory safety assessments was critically appraised and synthesized to identify current evidence and clinical implications. Results: The reviewed literature consistently demonstrated that oxybenzone is systemically absorbed following topical sunscreen application, with plasma concentrations frequently exceeding the U.S. Food and Drug Administration threshold, warranting additional safety evaluation. While experimental and animal studies suggest endocrine-disrupting activity, human studies have produced inconsistent findings regarding clinical</w:t>
      </w:r>
    </w:p>
    <w:p>
      <w:pPr/>
      <w:r>
        <w:rPr>
          <w:b/>
        </w:rPr>
        <w:t>POSSIBLE 2026:</w:t>
      </w:r>
      <w:r>
        <w:t xml:space="preserve"> Examining E-Learning System Success in Jordanian Higher Education: Extending the Information Systems Success Model with Monitoring Quality — https://doi.org/10.3390/info17080738</w:t>
      </w:r>
    </w:p>
    <w:p>
      <w:pPr/>
      <w:r>
        <w:rPr>
          <w:b/>
        </w:rPr>
        <w:t>Shared claim-specific concepts:</w:t>
      </w:r>
      <w:r>
        <w:t xml:space="preserve"> systems, but, not, significantly; EU scope not established. This is a provisional connection, not an outcome finding.</w:t>
      </w:r>
    </w:p>
    <w:p>
      <w:pPr>
        <w:pStyle w:val="SourceNote"/>
      </w:pPr>
      <w:r>
        <w:rPr>
          <w:b/>
        </w:rPr>
        <w:t>Available abstract (not full text):</w:t>
      </w:r>
      <w:r>
        <w:t xml:space="preserve"> Higher education is increasingly digitalized, resulting in increased reliance on e-learning systems, and thus, e-learning system success should be sufficiently evaluated. However, students worldwide have shown unproductive e-learning use. Hence, the e-learning systems success model after the outbreak needs revision. To validate the e-learning systems success, the role of monitoring quality was examined in this study using current e-learning and information systems success models. Data from 600 students were analyzed with structural equation modelling (SEM) run by SMARTPLS 4. Results showed that user satisfaction was positively impacted by information quality, system quality and service quality but not by monitoring quality. Results further showed positive impact of user system use on student satisfaction, subsequently impacting student loyalty. Also, results showed user satisfaction significantly impacting learning effectiveness. This study enhances the information systems literature through the inclusion of monitoring quality into the DeLone and McLean information systems success model and through examining its impact on user satisfaction, loyalty intention, and learning effectiveness in e-learning environments.</w:t>
      </w:r>
    </w:p>
    <w:p>
      <w:pPr/>
      <w:r>
        <w:rPr>
          <w:b/>
        </w:rPr>
        <w:t>POSSIBLE 2025:</w:t>
      </w:r>
      <w:r>
        <w:t xml:space="preserve"> Examining the Viable Systems Model (VSM) for Systems of Systems — https://doi.org/10.1109/sose66311.2025.11083819</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pPr/>
      <w:r>
        <w:rPr>
          <w:b/>
        </w:rPr>
        <w:t>POSSIBLE 2025:</w:t>
      </w:r>
      <w:r>
        <w:t xml:space="preserve"> Sociocultural constructs and sensorimotor control: a scoping review examining implications for anterior cruciate injury — https://doi.org/10.1136/bjsports-2024-108617</w:t>
      </w:r>
    </w:p>
    <w:p>
      <w:pPr/>
      <w:r>
        <w:rPr>
          <w:b/>
        </w:rPr>
        <w:t>Shared claim-specific concepts:</w:t>
      </w:r>
      <w:r>
        <w:t xml:space="preserve"> implications, approach, but; EU scope not established. This is a provisional connection, not an outcome finding.</w:t>
      </w:r>
    </w:p>
    <w:p>
      <w:pPr>
        <w:pStyle w:val="SourceNote"/>
      </w:pPr>
      <w:r>
        <w:rPr>
          <w:b/>
        </w:rPr>
        <w:t>Available abstract (not full text):</w:t>
      </w:r>
      <w:r>
        <w:t xml:space="preserve"> OBJECTIVE: There is a need to explore the many factors that may have a more subtle influence on, or relationship with, sensorimotor control as it pertains to anterior cruciate ligament injury risk. Due to well-established sex/gender-related differences in sensorimotor control, a close examination of key sociocultural constructs is warranted. This scoping review examined the connection between sociocultural constructs and sensorimotor control. DESIGN: Scoping review. DATA SOURCES: The following databases were searched: PubMed, Embase, Scopus, CINAHL Complete, Academic Search Complete, Pre-Prints Database and Rehabilitation Reference Center from inception to September 2023. Additionally, relevant grey literature was identified. ELIGIBILITY CRITERIA FOR SELECTING STUDIES: Two blinded reviewers independently performed screening, study selection and data extraction. Original references in English, Spanish and German reporting on sociocultural constructs and motor task performance were included. RESULTS: Data were extracted from 68 included articles. Stereotype threat, gender and race have been examined more than other sociocultural constructs. Sensorimotor control was assessed in upper and lower quarter tasks and physical activity (PA). Task assessment methods varied, often focusing on task completion or completion speed. It is evident that sociocultural constructs influence sensori</w:t>
      </w:r>
    </w:p>
    <w:p>
      <w:pPr/>
      <w:r>
        <w:rPr>
          <w:b/>
        </w:rPr>
        <w:t>POSSIBLE 2025:</w:t>
      </w:r>
      <w:r>
        <w:t xml:space="preserve"> Examining pathways for a climate neutral Europe by 2050; A model comparison analysis including integrated assessment models and energy system models — https://doi.org/10.1016/j.energy.2025.134809</w:t>
      </w:r>
    </w:p>
    <w:p>
      <w:pPr/>
      <w:r>
        <w:rPr>
          <w:b/>
        </w:rPr>
        <w:t>Shared claim-specific concepts:</w:t>
      </w:r>
      <w:r>
        <w:t xml:space="preserve"> energy, systems, but, technology; EU scope visible. This is a provisional connection, not an outcome finding.</w:t>
      </w:r>
    </w:p>
    <w:p>
      <w:pPr>
        <w:pStyle w:val="SourceNote"/>
      </w:pPr>
      <w:r>
        <w:rPr>
          <w:b/>
        </w:rPr>
        <w:t>Available abstract (not full text):</w:t>
      </w:r>
      <w:r>
        <w:t xml:space="preserve"> The European Union's goal of achieving climate neutrality by 2050, outlined in the European Green Deal, is supported by numerous studies providing insights into pathways and emission reduction strategies in the energy sectors. However, model comparisons of such pathways are less common due to the complex nature of climate and energy modelling. Our study brings together integrated assessment models and energy system models under a common framework to develop EU policy scenarios: a Current Trends scenario reflecting existing policies and trends and a Climate Neutrality scenario aligned with the EU's emission reduction target. Both scenarios project reduced final energy consumption by 2050, driven by increased electrification and decreased fossil fuel usage. Electricity consumption increases driven by electrification despite the improved efficiency of electrified technologies. Models align on a shift toward renewables but diverge in technology and fuel choices, reflecting various approaches to reach net-zero energy systems. Furthermore, trade-offs between energy demand and supply mitigation strategies, as well as between renewable energy, e-fuels, and CCS technologies are identified. Considering these model variations, our study highlights the importance of consistent model comparison to offer reliable recommendations to policymakers and stakeholders. We conclude that model divers</w:t>
      </w:r>
    </w:p>
    <w:p>
      <w:pPr/>
      <w:r>
        <w:rPr>
          <w:b/>
        </w:rPr>
        <w:t>POSSIBLE 2025:</w:t>
      </w:r>
      <w:r>
        <w:t xml:space="preserve"> Examining the Impact and Limitations of Distributed Large Language Models and Multimodal Systems — https://openalex.org/W4414685003</w:t>
      </w:r>
    </w:p>
    <w:p>
      <w:pPr/>
      <w:r>
        <w:rPr>
          <w:b/>
        </w:rPr>
        <w:t>Shared claim-specific concepts:</w:t>
      </w:r>
      <w:r>
        <w:t xml:space="preserve"> systems, significantly; EU scope not established. This is a provisional connection, not an outcome finding.</w:t>
      </w:r>
    </w:p>
    <w:p>
      <w:pPr>
        <w:pStyle w:val="SourceNote"/>
      </w:pPr>
      <w:r>
        <w:rPr>
          <w:b/>
        </w:rPr>
        <w:t>Available abstract (not full text):</w:t>
      </w:r>
      <w:r>
        <w:t xml:space="preserve"> Large Language Models (LLMs) and Multimodal Large Language Models (MLLMs) have emerged as transformative advancements in artificial intelligence, enabling unprecedented capabilities in natural language processing, multimodal understanding, and generative AI. These models, powered by massive datasets and distributed computing frameworks, have significantly impacted diverse fields, including healthcare, education, robotics, and creative industries. However, despite their success, LLMs and MLLMs face substantial challenges related to computational efficiency, bias, interpretability, hallucinations, and security vulnerabilities. This survey provides a comprehensive overview of recent progress in distributed LLMs and multimodal models, highlighting key architectural innovations, training paradigms, and real-world applications. We explore critical challenges, including the environmental impact of large-scale model training, ethical concerns surrounding bias and misinformation, and the limitations of current reasoning and knowledge integration capabilities. Furthermore, we discuss emerging trends and future research directions aimed at enhancing model efficiency, reliability, and alignment with human values.</w:t>
      </w:r>
    </w:p>
    <w:p>
      <w:pPr/>
      <w:r>
        <w:rPr>
          <w:b/>
        </w:rPr>
        <w:t>POSSIBLE 2025:</w:t>
      </w:r>
      <w:r>
        <w:t xml:space="preserve"> Examining the Possibility of Transition from the Accusatorial to Inquisitorial Model of Trial in the Present Criminal Justice System — https://doi.org/10.36128/priw.vi54.865</w:t>
      </w:r>
    </w:p>
    <w:p>
      <w:pPr/>
      <w:r>
        <w:rPr>
          <w:b/>
        </w:rPr>
        <w:t>Shared claim-specific concepts:</w:t>
      </w:r>
      <w:r>
        <w:t xml:space="preserve"> examines, but; EU scope visible. This is a provisional connection, not an outcome finding.</w:t>
      </w:r>
    </w:p>
    <w:p>
      <w:pPr>
        <w:pStyle w:val="SourceNote"/>
      </w:pPr>
      <w:r>
        <w:rPr>
          <w:b/>
        </w:rPr>
        <w:t>Available abstract (not full text):</w:t>
      </w:r>
      <w:r>
        <w:t xml:space="preserve"> The criminal justice system plays an important role in any society governed by the rule of law. It basically emphasises on the safety and security of an individual and the society as a whole. Two models of criminal justice system i.e., an accusatorial and inquisitional model are followed across the globe. The inquisitional system has its origin in continental law countries such as Italy, France, Germany etc. while the accusatorial system has its roots in England and other common law countries. India, being a common law country, generally follows the accusatorial model of criminal justice system but in exceptional cases some elements of the inquisitional model have also been adopted through the process of legislation and judicial rulings. The present paper examines the applicability of both models in the exiting criminal justice system. Considering the present scenario and the challenges faced by our country, the author would also like to examine the possibility of tilting towards the inquisitional system to overcome such challenges.</w:t>
      </w:r>
    </w:p>
    <w:p>
      <w:pPr/>
      <w:r>
        <w:rPr>
          <w:b/>
        </w:rPr>
        <w:t>POSSIBLE 2025:</w:t>
      </w:r>
      <w:r>
        <w:t xml:space="preserve"> Examining the Development of a Geographic Information System Georeferencing Algorithm for Building Informaiton Modeling — https://doi.org/10.18494/sam5381</w:t>
      </w:r>
    </w:p>
    <w:p>
      <w:pPr/>
      <w:r>
        <w:rPr>
          <w:b/>
        </w:rPr>
        <w:t>Shared claim-specific concepts:</w:t>
      </w:r>
      <w:r>
        <w:t xml:space="preserve"> systems, but, not; EU scope not established. This is a provisional connection, not an outcome finding.</w:t>
      </w:r>
    </w:p>
    <w:p>
      <w:pPr>
        <w:pStyle w:val="SourceNote"/>
      </w:pPr>
      <w:r>
        <w:rPr>
          <w:b/>
        </w:rPr>
        <w:t>Available abstract (not full text):</w:t>
      </w:r>
      <w:r>
        <w:t xml:space="preserve"> Digital twins are rapidly expanding in the market as an important foundation for industrial revitalization.Among these, building information modeling (BIM) plays a critical role in the digital twin field, and its integration with the Geographic Information System (GIS) enables applications in various areas, including urban planning and digital twin development.However, BIM and GIS were developed for different purposes, resulting in distinct data structures and characteristics, which makes integration challenging.In particular, the integration process requires positional correction owing to differences in coordinate systems, but in practice, location information is not prioritized during BIM model creation, making coordinate matching difficult.To address the discrepancies in location information between BIM and GIS, in this study, we propose an automatic algorithm for coordinate transformation to align Local Coordinate System (LCS)-based data with Reference Coordinate System (RCS)-based GIS digital maps.The algorithm goes through a five-step process: measuring location information levels, extracting outermost polygon vectors, polygon-based model matching, extracting coordinate transformation coefficients, and BIM model georeferencing.Owing to the limited availability of BIM data, the proposed method was only applied experimentally in this study.However, future research should in</w:t>
      </w:r>
    </w:p>
    <w:p>
      <w:pPr/>
      <w:r>
        <w:rPr>
          <w:b/>
        </w:rPr>
        <w:t>POSSIBLE 2024:</w:t>
      </w:r>
      <w:r>
        <w:t xml:space="preserve"> Examining the Alignment of Student Explanations With the System Model in Climate Education Using Systems Thinking — https://doi.org/10.4018/979-8-3693-1710-5.ch003</w:t>
      </w:r>
    </w:p>
    <w:p>
      <w:pPr/>
      <w:r>
        <w:rPr>
          <w:b/>
        </w:rPr>
        <w:t>Shared claim-specific concepts:</w:t>
      </w:r>
      <w:r>
        <w:t xml:space="preserve"> systems, approach; EU scope not established. This is a provisional connection, not an outcome finding.</w:t>
      </w:r>
    </w:p>
    <w:p>
      <w:pPr>
        <w:pStyle w:val="SourceNote"/>
      </w:pPr>
      <w:r>
        <w:rPr>
          <w:b/>
        </w:rPr>
        <w:t>Available abstract (not full text):</w:t>
      </w:r>
      <w:r>
        <w:t xml:space="preserve"> The climate crisis poses a major threat to sustainability, highlighting the need for climate education that develops students' systems thinking skills regarding dynamic environmental issues. For this reason, this project, funded by the United Nations Development Programme (UNDP), was developed by a research university, a non-governmental organization, and a middle school partnership. As part of the project, this study investigated a ten-week after-school climate education program for 8th-grade students that aimed to improve their understanding of the climate system through simulation and policymaking. Semi-structured interviews were analyzed to assess the program's model alignment with students' explanations. The most frequently mentioned category was the economy, followed by the carbon cycle; population and the greenhouse effect were the least common. The study offers valuable insights into using a systems approach in climate education to comprehend climate complexity and dynamics by considering the importance of economy and population in understanding human-caused climate change.</w:t>
      </w:r>
    </w:p>
    <w:p>
      <w:pPr/>
      <w:r>
        <w:rPr>
          <w:b/>
        </w:rPr>
        <w:t>POSSIBLE 2024:</w:t>
      </w:r>
      <w:r>
        <w:t xml:space="preserve"> Examining the Implications of Deepfakes for Election Integrity — https://doi.org/10.48550/arxiv.2406.14290</w:t>
      </w:r>
    </w:p>
    <w:p>
      <w:pPr/>
      <w:r>
        <w:rPr>
          <w:b/>
        </w:rPr>
        <w:t>Shared claim-specific concepts:</w:t>
      </w:r>
      <w:r>
        <w:t xml:space="preserve"> implications, technology; EU scope not established. This is a provisional connection, not an outcome finding.</w:t>
      </w:r>
    </w:p>
    <w:p>
      <w:pPr>
        <w:pStyle w:val="SourceNote"/>
      </w:pPr>
      <w:r>
        <w:rPr>
          <w:b/>
        </w:rPr>
        <w:t>Available abstract (not full text):</w:t>
      </w:r>
      <w:r>
        <w:t xml:space="preserve"> It is becoming cheaper to launch disinformation operations at scale using AI-generated content, in particular 'deepfake' technology. We have observed instances of deepfakes in political campaigns, where generated content is employed to both bolster the credibility of certain narratives (reinforcing outcomes) and manipulate public perception to the detriment of targeted candidates or causes (adversarial outcomes). We discuss the threats from deepfakes in politics, highlight model specifications underlying different types of deepfake generation methods, and contribute an accessible evaluation of the efficacy of existing detection methods. We provide this as a summary for lawmakers and civil society actors to understand how the technology may be applied in light of existing policies regulating its use. We highlight the limitations of existing detection mechanisms and discuss the areas where policies and regulations are required to address the challenges of deepfakes.</w:t>
      </w:r>
    </w:p>
    <w:p>
      <w:pPr>
        <w:pStyle w:val="Heading2"/>
      </w:pPr>
      <w:r>
        <w:t>998. Linking Local Food Systems and the Social Economy? Future Roles for Farmers' Markets in Alberta and British Columbia*</w:t>
      </w:r>
    </w:p>
    <w:p>
      <w:pPr>
        <w:pStyle w:val="SourceNote"/>
      </w:pPr>
      <w:r>
        <w:rPr>
          <w:b/>
        </w:rPr>
        <w:t>Original source (2012):</w:t>
      </w:r>
      <w:r>
        <w:t xml:space="preserve"> https://doi.org/10.1111/j.1549-0831.2011.00068.x</w:t>
      </w:r>
    </w:p>
    <w:p>
      <w:pPr/>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POSSIBLE 2026:</w:t>
      </w:r>
      <w:r>
        <w:t xml:space="preserve"> Developing a Body of Knowledge for Sustainability Engineering Using the Delphi Method: A Work in Progress — https://doi.org/10.18260/1-2--58714</w:t>
      </w:r>
    </w:p>
    <w:p>
      <w:pPr/>
      <w:r>
        <w:rPr>
          <w:b/>
        </w:rPr>
        <w:t>Shared claim-specific concepts:</w:t>
      </w:r>
      <w:r>
        <w:t xml:space="preserve"> used, delphi, method, solicit, within, systems; EU scope not established. This is a provisional connection, not an outcome finding.</w:t>
      </w:r>
    </w:p>
    <w:p>
      <w:pPr>
        <w:pStyle w:val="SourceNote"/>
      </w:pPr>
      <w:r>
        <w:rPr>
          <w:b/>
        </w:rPr>
        <w:t>Available abstract (not full text):</w:t>
      </w:r>
      <w:r>
        <w:t xml:space="preserve">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pPr/>
      <w:r>
        <w:rPr>
          <w:b/>
        </w:rPr>
        <w:t>POSSIBLE 2026:</w:t>
      </w:r>
      <w:r>
        <w:t xml:space="preserve"> AI literacy for K–12 education: an international Delphi study — https://doi.org/10.1080/10494820.2026.2649553</w:t>
      </w:r>
    </w:p>
    <w:p>
      <w:pPr/>
      <w:r>
        <w:rPr>
          <w:b/>
        </w:rPr>
        <w:t>Shared claim-specific concepts:</w:t>
      </w:r>
      <w:r>
        <w:t xml:space="preserve"> delphi, perspectives, role; EU scope not established. This is a provisional connection, not an outcome finding.</w:t>
      </w:r>
    </w:p>
    <w:p>
      <w:pPr>
        <w:pStyle w:val="SourceNote"/>
      </w:pPr>
      <w:r>
        <w:rPr>
          <w:b/>
        </w:rPr>
        <w:t>Available abstract (not full text):</w:t>
      </w:r>
      <w:r>
        <w:t xml:space="preserve"> Artificial intelligence (AI) is currently reshaping education around the world, but it is largely unclear what students need to learn about AI. The aim of this Delphi study is to identify consensus on central components of AI literacy in K–12 education by synthesizing views of diverse, interdisciplinary and international expert stakeholders. Through an online survey in three rounds, an international expert panel (n = 33, 27, 25) identified key components of AI literacy in K–12 education, particularly in relation to understanding and critically evaluating the role of AI in everyday life, recognizing and using AI in daily life, and describing and developing AI solutions to real-world problems. After the three Delphi rounds, consensus was obtained for eight out of 23 statements about AI literacy. These statements could be categorized under two main themes, foundational AI knowledge and critical perspectives, which partly include both societal and ethical components.The findings align with other recent AI literacy frameworks, but at the same time, our model outlines more limited, and therefore potentially more realistic and achievable, components that K–12 instructors can teach students, given adequate guidance, time, and professional development. The findings also corroborate recent research about critical thinking as something requiring content knowledge.</w:t>
      </w:r>
    </w:p>
    <w:p>
      <w:pPr/>
      <w:r>
        <w:rPr>
          <w:b/>
        </w:rPr>
        <w:t>POSSIBLE 2026:</w:t>
      </w:r>
      <w:r>
        <w:t xml:space="preserve"> Content Validation of the Prenatal Evaluation and Referral for Lactation (PEARL) Tool Using a Delphi Method — https://doi.org/10.3390/healthcare14172831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BACKGROUND: Delayed onset of lactogenesis II or delayed secretory activation, defined as milk onset &gt; 72 h postpartum, is a recognized barrier to successful breastfeeding initiation and duration. Prenatal identification and screening for risk factors associated with delayed secretory activation remains underutilized in maternal-child health services. This project aimed to develop and validate content for the Prenatal Evaluation and Referral for Lactation (PEARL) tool, a prenatal screening and referral instrument designed to identify lactation risk factors and guide anticipatory counseling and early referral to an International Board Certified Lactation Consultant (IBCLC) or breastfeeding medicine physician. METHODS: Tool development was informed by a structured literature review conducted on 2 October 2024, across four databases (CINAHL, PubMed, Scopus, and Embase), identifying clinical and other health factors associated with delayed lactogenesis II. A three-round Delphi process was used to establish content validity through multidisciplinary expert consensus. Item-level content validity (ICV) was evaluated using a predefined consensus threshold (≥0.80), while average-measures Intraclass Correlation Coefficients (ICC) were calculated as a complementary assessment of interrater consistency. Following tool refinement, a pilot implementation training was conducted to obtain preli</w:t>
      </w:r>
    </w:p>
    <w:p>
      <w:pPr/>
      <w:r>
        <w:rPr>
          <w:b/>
        </w:rPr>
        <w:t>POSSIBLE 2026:</w:t>
      </w:r>
      <w:r>
        <w:t xml:space="preserve"> The Future of Social Justice in Counseling Psychology: A Delphi Study — https://doi.org/10.1177/00110000261447255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Twenty-six social justice scholars evaluated the strengths and weaknesses of counseling psychology’s contributions to social justice over the past 20 years. Using a Delphi method, they made predictions about the future of social justice in counseling psychology. Strengths included influencing the field of psychology to adopt social justice values and ethics; emphasizing structural influences on well-being; elevating voices of diverse scholars; expanding practice skills to include advocacy; and adopting liberatory practice frameworks. Weaknesses included politicizing social justice dialogue; taking too few risks; omitting international perspectives; being too self-reflexive; failing to work across disciplines; allowing social justice to be jargonized; not fully modifying training models; and allowing social justice to replace traditional content areas. Predictions were a mix of positive expectations (e.g., continuing to push the American Psychological Association [APA] to change training models, participating in more advocacy and activism) and pessimistic visions (e.g., political resistance). Implications for training and leadership are discussed.</w:t>
      </w:r>
    </w:p>
    <w:p>
      <w:pPr/>
      <w:r>
        <w:rPr>
          <w:b/>
        </w:rPr>
        <w:t>POSSIBLE 2026:</w:t>
      </w:r>
      <w:r>
        <w:t xml:space="preserve"> Defining Manuscript Peer Review: An International Delphi Consensus Study — https://doi.org/10.64898/2026.10.05.26364760</w:t>
      </w:r>
    </w:p>
    <w:p>
      <w:pPr/>
      <w:r>
        <w:rPr>
          <w:b/>
        </w:rPr>
        <w:t>Shared claim-specific concepts:</w:t>
      </w:r>
      <w:r>
        <w:t xml:space="preserve"> delphi, perspectives; EU scope not established. This is a provisional connection, not an outcome finding.</w:t>
      </w:r>
    </w:p>
    <w:p>
      <w:pPr>
        <w:pStyle w:val="SourceNote"/>
      </w:pPr>
      <w:r>
        <w:rPr>
          <w:b/>
        </w:rPr>
        <w:t>Available abstract (not full text):</w:t>
      </w:r>
      <w:r>
        <w:t xml:space="preserve"> Abstract Objectives To conduct a Delphi process to inform an international, consensus definition of manuscript peer review. Design Three-round Delphi consensus study including two surveys and one virtual consensus meeting. Peer review features identified through a prior scoping review were rated on a 5-point Likert scale in Rounds 1 and 2 and voted on using include, exclude, and abstain options in Round 3. Consensus was defined as ≥ 80% agreement. Setting International experts representing interest holders affected by manuscript peer review across the fields of biomedical, health, and social sciences, economics, and healthcare-related industries. Participants Round 1 participants were purposively recruited via email from corresponding authors of articles included in the preceding scoping review. Round 2 participants were those who completed Round 1. Round 3 participants were purposely selected to address gaps in representation from earlier rounds, with attention to diversity of perspectives and equity-relevant characteristics informed by PROGRESS-Plus (e.g., geographic location, gender, race/ethnicity, occupation, and socioeconomic context). Participants were required to communicate in English. Main outcome measures Consensus on the terminology, scope, characteristics, functions, processes, and reviewer characteristics that should inform a definition of manuscript peer review. </w:t>
      </w:r>
    </w:p>
    <w:p>
      <w:pPr/>
      <w:r>
        <w:rPr>
          <w:b/>
        </w:rPr>
        <w:t>POSSIBLE 2026:</w:t>
      </w:r>
      <w:r>
        <w:t xml:space="preserve"> Framing collectible design: a Delphi study on an emerging cultural-economic field — https://doi.org/10.1007/s11135-026-02799-7</w:t>
      </w:r>
    </w:p>
    <w:p>
      <w:pPr/>
      <w:r>
        <w:rPr>
          <w:b/>
        </w:rPr>
        <w:t>Shared claim-specific concepts:</w:t>
      </w:r>
      <w:r>
        <w:t xml:space="preserve"> delphi, method, role; EU scope not established. This is a provisional connection, not an outcome finding.</w:t>
      </w:r>
    </w:p>
    <w:p>
      <w:pPr>
        <w:pStyle w:val="SourceNote"/>
      </w:pPr>
      <w:r>
        <w:rPr>
          <w:b/>
        </w:rPr>
        <w:t>Available abstract (not full text):</w:t>
      </w:r>
      <w:r>
        <w:t xml:space="preserve"> Abstract This paper examines collectible design as an emergent hybrid domain at the intersection of art, design, and luxury. Using a two-round Delphi method with expert participants (curators, collectors, designers, and market professionals), we elicited and synthesized judgments in a context marked by ambiguous boundaries and information asymmetries. The study identifies consensus on core value drivers (e.g., authorship, uniqueness, narrative, and aesthetic resonance) and on the central role of expert mediation and field-configuring events in conferring legitimacy. Building on these insights, we introduce symbolic infrastructure as a layered framework (linking evaluative devices, institutional platforms, and identity work) that explains how collectible design stabilizes as a field. The resulting conceptual model specifies directional relationships among category definitions, valuation practices, collector identity, and institutional mechanisms, offering testable propositions for quantitative and mixed-methods research. This paper advances valuation theory, the sociology of cultural markets, and cultural economics by clarifying how novel symbolic fields emerge, structure meaning, and gain legitimacy, while demonstrating the suitability of the Delphi method for theorizing under conditions of limited standardization.</w:t>
      </w:r>
    </w:p>
    <w:p>
      <w:pPr/>
      <w:r>
        <w:rPr>
          <w:b/>
        </w:rPr>
        <w:t>POSSIBLE 2026:</w:t>
      </w:r>
      <w:r>
        <w:t xml:space="preserve"> GovTech in Europe between public- and privateness—A Delphi-based research agenda — https://doi.org/10.1007/s12525-026-00913-z</w:t>
      </w:r>
    </w:p>
    <w:p>
      <w:pPr/>
      <w:r>
        <w:rPr>
          <w:b/>
        </w:rPr>
        <w:t>Shared claim-specific concepts:</w:t>
      </w:r>
      <w:r>
        <w:t xml:space="preserve"> delphi, government, each; EU scope visible. This is a provisional connection, not an outcome finding.</w:t>
      </w:r>
    </w:p>
    <w:p>
      <w:pPr>
        <w:pStyle w:val="SourceNote"/>
      </w:pPr>
      <w:r>
        <w:rPr>
          <w:b/>
        </w:rPr>
        <w:t>Available abstract (not full text):</w:t>
      </w:r>
      <w:r>
        <w:t xml:space="preserve"> Abstract GovTech is emerging as a policy-relevant frame at the intersection of digital government, public procurement, and startup innovation. Yet research remains fragmented and often disconnected from the institutional conditions that shape implementable solutions. This paper develops a stakeholder-validated, dimensional publicness theory informed research agenda for GovTech in the European context using a multiround agenda-setting Delphi study with experts from public administrations, industry, and academia. Synthesizing qualitative inputs and quantitative prioritization, we identify thematic clusters and topic areas, formulate exemplary research questions, and provide rationales that connect each area to concrete governance and implementation challenges. To assess dynamism, we additionally examine perceived relevance trends across two measurement points (2023 and 2025), highlighting where urgency is increasing and where research sequencing is needed. The resulting agenda informs scholarship by clarifying GovTech as a hybrid, regulation-shaped domain and offers entry points for empirical and design-oriented research on ecosystem formation, procurement, regulation, and strategic scaling.</w:t>
      </w:r>
    </w:p>
    <w:p>
      <w:pPr/>
      <w:r>
        <w:rPr>
          <w:b/>
        </w:rPr>
        <w:t>POSSIBLE 2026:</w:t>
      </w:r>
      <w:r>
        <w:t xml:space="preserve"> Exploring Key Factors of Idle Land as Food Estate Area using Delphi Method — https://openalex.org/W7217048500</w:t>
      </w:r>
    </w:p>
    <w:p>
      <w:pPr/>
      <w:r>
        <w:rPr>
          <w:b/>
        </w:rPr>
        <w:t>Shared claim-specific concepts:</w:t>
      </w:r>
      <w:r>
        <w:t xml:space="preserve"> used, delphi, method, food; EU scope not established. This is a provisional connection, not an outcome finding.</w:t>
      </w:r>
    </w:p>
    <w:p>
      <w:pPr>
        <w:pStyle w:val="SourceNote"/>
      </w:pPr>
      <w:r>
        <w:rPr>
          <w:b/>
        </w:rPr>
        <w:t>Available abstract (not full text):</w:t>
      </w:r>
      <w:r>
        <w:t xml:space="preserve"> In the context of globalization and climate change, research on determining the location of utilization of Indonesian Navy idle land is becoming increasingly relevant to face new challenges in agriculture and the environment. The efforts to optimize the utilization of idle land through quality research will provide long-term benefits for the sustainability of natural resources and food resilience. In addition, the sustainability of the logistical aspects of idle land production can support the ability to carry out the Navy's operational tasks. This research aims to identify key factors in empowering Indonesian Navy idle land as a food estate area to support national food resilience. Land Use Planning Theory, and resilience theory support this research. Qualitative analysis is used as a research method supported by the Delphi method. The Lantamal III working area was used as the research locus, because in this area there are still several areas as idle land. The results of the identification of factors using the delphi method approach, obtained six related factors namely 1) Soil Fertility; 2) Risk of Natural Disaster; 3) Labor; 4) Agricultural Technology; 5) Infrastructure Access; 6) Financial. Utilization of Indonesian Navy idle land is driven by soil fertility, manageable risk of natural disasters, abundant labor supply, understanding of agricultural technology, good infrastru</w:t>
      </w:r>
    </w:p>
    <w:p>
      <w:pPr/>
      <w:r>
        <w:rPr>
          <w:b/>
        </w:rPr>
        <w:t>POSSIBLE 2025:</w:t>
      </w:r>
      <w:r>
        <w:t xml:space="preserve"> Proposal for a critical appraisal tool for studies using the Delphi method (DCAT) — https://doi.org/10.1136/bmj-2025-084509</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pPr/>
      <w:r>
        <w:rPr>
          <w:b/>
        </w:rPr>
        <w:t>POSSIBLE 2025:</w:t>
      </w:r>
      <w:r>
        <w:t xml:space="preserve"> A Delphi Study to Improve Agreement Regarding Vocational Assessment Terminology — https://doi.org/10.52382/wert1928.v20i2.1</w:t>
      </w:r>
    </w:p>
    <w:p>
      <w:pPr/>
      <w:r>
        <w:rPr>
          <w:b/>
        </w:rPr>
        <w:t>Shared claim-specific concepts:</w:t>
      </w:r>
      <w:r>
        <w:t xml:space="preserve"> delphi, each; EU scope not established. This is a provisional connection, not an outcome finding.</w:t>
      </w:r>
    </w:p>
    <w:p>
      <w:pPr>
        <w:pStyle w:val="SourceNote"/>
      </w:pPr>
      <w:r>
        <w:rPr>
          <w:b/>
        </w:rPr>
        <w:t>Available abstract (not full text):</w:t>
      </w:r>
      <w:r>
        <w:t xml:space="preserve"> Vocational evaluation and career assessment services are vital for individuals with disabilities, providing them and their families with essential information to make wellinformed decisions regarding their education, careers, and independent living. However, significant variability exists among providers and settings in terms of the types, quality, and intensity of these services. Despite prior literature defining various levels of vocational assessment, inconsistency persists in how vocational evaluation and career assessment are applied in research and practice; inconsistency can also create uneven and poorly designed services, which negatively impact clients. This inconsistency hampers effective research and impedes accurate program evaluation. Through this study, researchers aimed to establish distinct definitions of vocational assessment and vocational evaluation to promote consistency in research, practice, policy, and advocacy. The study employed a modified electronic Delphi survey technique, consisting of two survey Rounds, with participation from 21 experts. Four key definitions emerged from the study including an overall definition for vocational assessment as well as definitions for each of the three levels of vocational assessment. These definitions provided experts an opportunity to describe and distinguish the range of vocational assessment services provided. Reco</w:t>
      </w:r>
    </w:p>
    <w:p>
      <w:pPr/>
      <w:r>
        <w:rPr>
          <w:b/>
        </w:rPr>
        <w:t>POSSIBLE 2025:</w:t>
      </w:r>
      <w:r>
        <w:t xml:space="preserve"> Consensus on high-priority outcomes to be used in the evaluation of services for autistic adults: Results from a “CBPR-Nested Delphi Process” — https://doi.org/10.1177/13623613251322082</w:t>
      </w:r>
    </w:p>
    <w:p>
      <w:pPr/>
      <w:r>
        <w:rPr>
          <w:b/>
        </w:rPr>
        <w:t>Shared claim-specific concepts:</w:t>
      </w:r>
      <w:r>
        <w:t xml:space="preserve"> used, delphi, method, within; EU scope not established. This is a provisional connection, not an outcome finding.</w:t>
      </w:r>
    </w:p>
    <w:p>
      <w:pPr>
        <w:pStyle w:val="SourceNote"/>
      </w:pPr>
      <w:r>
        <w:rPr>
          <w:b/>
        </w:rPr>
        <w:t>Available abstract (not full text):</w:t>
      </w:r>
      <w:r>
        <w:t xml:space="preserve"> People are increasingly recognizing the need for service interventions to improve the lives of autistic adults. However, less is known about how to best evaluate such services. We aimed to identify (1) which self-reported outcomes are most important to measure when evaluating the effectiveness of services for autistic adults and (2) what survey instruments would be needed to measure them. We nested a traditional researcher-driven “Delphi process” within our community-based participatory research approach in what we are calling a “CBPR-Nested Delphi Process.” The process allowed us to reach a full consensus among 53 experts with professional and lived experience as autistic adults, family members, health and disability service providers, autism community leaders, and researchers. The final list of outcomes included quality of life, overall health, emotional wellbeing, anxiety, depression, suicidality, autistic burnout, social support, employment satisfaction, community participation, self-determination, access to communication, activities of daily living, satisfaction with social services, and satisfaction with healthcare services. Experts felt almost all available instruments to measure these outcomes would need adaptations to be used with autistic adults (or proxies). Researchers and service providers should consider targeting interventions to these measurable outcomes and eva</w:t>
      </w:r>
    </w:p>
    <w:p>
      <w:pPr/>
      <w:r>
        <w:rPr>
          <w:b/>
        </w:rPr>
        <w:t>POSSIBLE 2025:</w:t>
      </w:r>
      <w:r>
        <w:t xml:space="preserve"> A collective review on some potential negative impacts of smartphone and social media use on adolescent mental health: Results from a Delphi process — https://doi.org/10.31234/osf.io/b94dy_v1</w:t>
      </w:r>
    </w:p>
    <w:p>
      <w:pPr/>
      <w:r>
        <w:rPr>
          <w:b/>
        </w:rPr>
        <w:t>Shared claim-specific concepts:</w:t>
      </w:r>
      <w:r>
        <w:t xml:space="preserve"> delphi, synthesize, perspectives; EU scope not established. This is a provisional connection, not an outcome finding.</w:t>
      </w:r>
    </w:p>
    <w:p>
      <w:pPr>
        <w:pStyle w:val="SourceNote"/>
      </w:pPr>
      <w:r>
        <w:rPr>
          <w:b/>
        </w:rPr>
        <w:t>Available abstract (not full text):</w:t>
      </w:r>
      <w:r>
        <w:t xml:space="preserve"> The literature on how smartphone and social media use affects adolescent mental health is highly fragmented. To synthesize the evidence, we convened over 120 researchers with diverse perspectives to evaluate 26 commonly cited claims using a Delphi process. A large majority agree that: Adolescent mental health has declined in several Western countries; heavy smartphone and social media use can cause sleep problems; such use correlates with attention problems and behavioural addiction; among girls, social media use may be associated with body dissatisfaction, perfectionism, exposure to mental disorders, harassment and predation. Most other claims were judged to have insufficient evidence due to limited, inconsistent, or non-causal data. Researchers also raised broader concerns, including challenges in measuring mental health and establishing causality, geographic bias in existing evidence, and the need for policies that account for diverse risks and avoid unintended harms. This collective review offers a foundation for future research and policy.</w:t>
      </w:r>
    </w:p>
    <w:p>
      <w:pPr>
        <w:pStyle w:val="Heading2"/>
      </w:pPr>
      <w:r>
        <w:t>999. New Emerging Issues and Wild Cards as Future Shakers and Shapers</w:t>
      </w:r>
    </w:p>
    <w:p>
      <w:pPr>
        <w:pStyle w:val="SourceNote"/>
      </w:pPr>
      <w:r>
        <w:rPr>
          <w:b/>
        </w:rPr>
        <w:t>Original source (2012):</w:t>
      </w:r>
      <w:r>
        <w:t xml:space="preserve"> https://doi.org/10.17323/1995-459x.2012.1.60.73</w:t>
      </w:r>
    </w:p>
    <w:p>
      <w:pPr/>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pPr/>
      <w:r>
        <w:rPr>
          <w:b/>
        </w:rPr>
        <w:t>POSSIBLE 2026:</w:t>
      </w:r>
      <w:r>
        <w:t xml:space="preserve"> Green E.Th.I.Cs: Project Evaluation Methodology and Results — https://openalex.org/W7136099548</w:t>
      </w:r>
    </w:p>
    <w:p>
      <w:pPr/>
      <w:r>
        <w:rPr>
          <w:b/>
        </w:rPr>
        <w:t>Shared claim-specific concepts:</w:t>
      </w:r>
      <w:r>
        <w:t xml:space="preserve"> projects, evaluation, data, thinking, activities; EU scope visible. This is a provisional connection, not an outcome finding.</w:t>
      </w:r>
    </w:p>
    <w:p>
      <w:pPr>
        <w:pStyle w:val="SourceNote"/>
      </w:pPr>
      <w:r>
        <w:rPr>
          <w:b/>
        </w:rPr>
        <w:t>Available abstract (not full text):</w:t>
      </w:r>
      <w:r>
        <w:t xml:space="preserve">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pPr/>
      <w:r>
        <w:rPr>
          <w:b/>
        </w:rPr>
        <w:t>POSSIBLE 2026:</w:t>
      </w:r>
      <w:r>
        <w:t xml:space="preserve"> Results Interpretation, Reporting, and Dissemination in Project Monitoring and Evaluation — https://doi.org/10.5281/zenodo.18299543</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pPr/>
      <w:r>
        <w:rPr>
          <w:b/>
        </w:rPr>
        <w:t>POSSIBLE 2026:</w:t>
      </w:r>
      <w:r>
        <w:t xml:space="preserve"> Comparative analysis of traditional project management methods and lean project methods — https://openalex.org/W7222913199</w:t>
      </w:r>
    </w:p>
    <w:p>
      <w:pPr/>
      <w:r>
        <w:rPr>
          <w:b/>
        </w:rPr>
        <w:t>Shared claim-specific concepts:</w:t>
      </w:r>
      <w:r>
        <w:t xml:space="preserve"> projects, methods, between; EU scope not established. This is a provisional connection, not an outcome finding.</w:t>
      </w:r>
    </w:p>
    <w:p>
      <w:pPr>
        <w:pStyle w:val="SourceNote"/>
      </w:pPr>
      <w:r>
        <w:rPr>
          <w:b/>
        </w:rPr>
        <w:t>Available abstract (not full text):</w:t>
      </w:r>
      <w:r>
        <w:t xml:space="preserve">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pPr/>
      <w:r>
        <w:rPr>
          <w:b/>
        </w:rPr>
        <w:t>POSSIBLE 2026:</w:t>
      </w:r>
      <w:r>
        <w:t xml:space="preserve"> Evaluating AI Vs Human Generated Results Framework Quality for Projects in International Development — https://doi.org/10.17605/osf.io/6sw9h</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Every MDB (Multilateral Development Bank) lending project is built around a Results Framework — a structured document that defines what the project aims to achieve, how progress will be tracked, and what success looks like. These frameworks guide investment decisions and shape how development outcomes are measured in countries around the world. Writing them well requires deducated time and deep expertise in monitoring and evaluation, and the quality of these documents directly affects whether a project can demonstrate its impact. Recent advances in artificial intelligence have made it possible to generate draft Results Frameworks automatically. A natural question arises: how does the quality of AI-generated frameworks compare to those written by experienced human practitioners? If AI drafts are comparable in quality, the technology could save significant time and help teams produce stronger initial drafts for subsequent expert review. If they fall short, understanding where and why matters for guiding future development of these tools. This study is a blinded randomized experiment designed to answer that question. We recruit development professionals — staff and consultants with experience in project design, monitoring and evaluation, or operations — and ask them to evaluate pairs of Results Frameworks side by side. In each pair, one framework was written by a human project tea</w:t>
      </w:r>
    </w:p>
    <w:p>
      <w:pPr/>
      <w:r>
        <w:rPr>
          <w:b/>
        </w:rPr>
        <w:t>POSSIBLE 2025:</w:t>
      </w:r>
      <w:r>
        <w:t xml:space="preserve"> Evaluation Results Dissemination Strategy and Performance of Highway Construction Projects in Kenya — https://doi.org/10.37391/ijbmr.130101</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The purpose of this study is to examine the influence of evaluation results dissemination strategy on performance of highway construction projects in Kenya. This study was anchored on Utilization-Focused Evaluation (UFE) theory. This research utilized pragmatism research philosophy and correlational design. The target population was 69 Category A road construction projects that have been completed by KeNHA for the period between 2018 and 2022. The respondents in these projects were the project managers in all the 69 highway construction projects in Kenya. The study used a census approach and hence all the projects were included in the study. The research adopted both secondary and primary data. The research involved data collection checklist for secondary data collection from the KeNHA. Secondary data was collected from KeNHA reports and primary data was collected by use of semi-structured questionnaires. While qualitative data was analyzed by of thematic analysis, quantitative data was analyzed using descriptive and inferential statistics. The study found that that evaluation results dissemination strategy has a positive and significant impact on performance of highway construction projects in Kenya. The study recommends that project managers should adopt effective dissemination strategies for evaluation findings to ensure timely and accessible communication with all stakehold</w:t>
      </w:r>
    </w:p>
    <w:p>
      <w:pPr/>
      <w:r>
        <w:rPr>
          <w:b/>
        </w:rPr>
        <w:t>POSSIBLE 2025:</w:t>
      </w:r>
      <w:r>
        <w:t xml:space="preserve"> Evaluation Results Dissemination Strategy and Performance of Highway Construction Projects in Kenya — https://doi.org/10.52283/nswrca.ajbmr.20251001a05</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Highway construction projects in Kenya consistently encounter challenges such as delays, cost overruns, and suboptimal quality (Muchiri &amp; Mose, 2022; Mugweru &amp; Muchelule, 2022). These recurring issues underscore the critical need for enhanced decision-making and more effective stakeholder engagement (Ndurya and Bii, 2019). A crucial yet underexplored factor contributing to these challenges is the efficacy of evaluation results dissemination (Mutekhele et al., 2018). While evaluations are designed to foster improved project outcomes, prior research presents varied findings regarding the actual impact of dissemination strategies on project performance (Mutekhele et al., 2018). This study's objective was to investigate the influence of evaluation results dissemination strategy on the performance of highway construction projects in Kenya. This research was grounded in the Utilization-Focused Evaluation (UFE) theory (Patton, 1978). Adopting a pragmatist research philosophy, the study employed a correlational design. The target population comprised 69 Category A road construction projects completed by the Kenya National Highways Authority (KeNHA) between 2018 and 2022. The respondents for these projects were the project managers across all 69 highway construction projects in Kenya. A census approach was utilized, ensuring the inclusion of all projects in the study. The research incor</w:t>
      </w:r>
    </w:p>
    <w:p>
      <w:pPr/>
      <w:r>
        <w:rPr>
          <w:b/>
        </w:rPr>
        <w:t>POSSIBLE 2025:</w:t>
      </w:r>
      <w:r>
        <w:t xml:space="preserve"> Monitoring for results: An evaluation of City Engineering Project Monitoring System (CEPMS) in Quezon City — https://doi.org/10.63498/etcor515</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Aim: This study evaluated the City Engineering Project Monitoring System (CEPMS) as a digital monitoring platform used by the Quezon City Department of Engineering.Specifically, it assessed users' evaluation of CEPMS in terms of outcome achievement, efficiency, service delivery quality, and trust and legitimacy, examined its observed strengths and weaknesses across the project monitoring process, and assessed the extent of challenges encountered in its implementation and utilization.Methodology: A descriptive-quantitative research design was employed involving 148 respondents composed of internal personnel and external contractors.Data were collected using a validated survey questionnaire grounded in public value dimensions.Descriptive statistical tools, including frequency, percentage, and weighted mean, were used to analyze respondents' profiles, evaluations of CEPMS performance indicators, observed strengths and weaknesses, and implementation challenges.Results: Findings revealed that CEPMS was evaluated positively across all four public value dimensions by both internal and external respondents, with internal users consistently reporting stronger agreement.The system was particularly rated high in supporting timely project tracking, improving documentation workflows, enhancing information accessibility, and promoting transparency and accountability in infrastructure monitor</w:t>
      </w:r>
    </w:p>
    <w:p>
      <w:pPr/>
      <w:r>
        <w:rPr>
          <w:b/>
        </w:rPr>
        <w:t>POSSIBLE 2025:</w:t>
      </w:r>
      <w:r>
        <w:t xml:space="preserve"> The Urban-PLUMBER multi-site model evaluation project: Phase 2 initial results — https://doi.org/10.5194/icuc12-981</w:t>
      </w:r>
    </w:p>
    <w:p>
      <w:pPr/>
      <w:r>
        <w:rPr>
          <w:b/>
        </w:rPr>
        <w:t>Shared claim-specific concepts:</w:t>
      </w:r>
      <w:r>
        <w:t xml:space="preserve"> projects, evaluation, methods, data; EU scope not established. This is a provisional connection, not an outcome finding.</w:t>
      </w:r>
    </w:p>
    <w:p>
      <w:pPr>
        <w:pStyle w:val="SourceNote"/>
      </w:pPr>
      <w:r>
        <w:rPr>
          <w:b/>
        </w:rPr>
        <w:t>Available abstract (not full text):</w:t>
      </w:r>
      <w:r>
        <w:t xml:space="preserve"> We present results from Phase 2 of the Urban-PLUMBER project, where we assess the ability to represent the surface energy balance across 30 land surface models at 20 sites, ranging from highly urbanised to highly vegetated. Our findings broadly support those of Phase 1, that community efforts have led to better representation of sensible and latent heat fluxes. However, at sites with higher impervious fractions (i.e. areas with little vegetation or bare soil), urbanised models tend to underestimate, and non-urbanised models overestimate the magnitude of observed latent heat fluxes, with urbanised models performing better overall. We find the performance of models without urban representation diverges at approximately 30% impervious fraction.Our comparison with simple empirically based benchmark models indicates capacity for improvement in longwave radiation and momentum flux representation. Through this benchmarking methodology, we find this study’s group of models perform better than those in the original PLUMBER projects, which tested non-urban land surface models at non-urban sites.The Urban-PLUMBER project has involved more than 60 contributing scientists, including those providing flux tower and meteorological data, undertaking simulations, developing models and evaluation methods. This presentation focuses on the modelling results for Phase 2. The observational forcing an</w:t>
      </w:r>
    </w:p>
    <w:p>
      <w:pPr/>
      <w:r>
        <w:rPr>
          <w:b/>
        </w:rPr>
        <w:t>POSSIBLE 2024:</w:t>
      </w:r>
      <w:r>
        <w:t xml:space="preserve"> EVALUATION OF THE RESULTS OF ESG PROJECT IMPLEMENTATION — https://doi.org/10.20998/2313-8890.2024.06.05</w:t>
      </w:r>
    </w:p>
    <w:p>
      <w:pPr/>
      <w:r>
        <w:rPr>
          <w:b/>
        </w:rPr>
        <w:t>Shared claim-specific concepts:</w:t>
      </w:r>
      <w:r>
        <w:t xml:space="preserve"> projects, evaluation, obtaining; EU scope not established. This is a provisional connection, not an outcome finding.</w:t>
      </w:r>
    </w:p>
    <w:p>
      <w:pPr>
        <w:pStyle w:val="SourceNote"/>
      </w:pPr>
      <w:r>
        <w:rPr>
          <w:b/>
        </w:rPr>
        <w:t>Available abstract (not full text):</w:t>
      </w:r>
      <w:r>
        <w:t xml:space="preserve">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pPr/>
      <w:r>
        <w:rPr>
          <w:b/>
        </w:rPr>
        <w:t>POSSIBLE 2024:</w:t>
      </w:r>
      <w:r>
        <w:t xml:space="preserve"> Methods for Assessing the Economic Efficiency of IT Projects — https://doi.org/10.35808/ersj/3457</w:t>
      </w:r>
    </w:p>
    <w:p>
      <w:pPr/>
      <w:r>
        <w:rPr>
          <w:b/>
        </w:rPr>
        <w:t>Shared claim-specific concepts:</w:t>
      </w:r>
      <w:r>
        <w:t xml:space="preserve"> projects, methods, activities; EU scope not established. This is a provisional connection, not an outcome finding.</w:t>
      </w:r>
    </w:p>
    <w:p>
      <w:pPr>
        <w:pStyle w:val="SourceNote"/>
      </w:pPr>
      <w:r>
        <w:rPr>
          <w:b/>
        </w:rPr>
        <w:t>Available abstract (not full text):</w:t>
      </w:r>
      <w:r>
        <w:t xml:space="preserve"> Purpose: The aim of this article is to classify the methods of assessing the economic efficiency of all types of IT projects. Approach/Methodology/Design:The main research method is a review of national and world scientific and practical literature.Findings: The growing importance of IT systems requires methods that will determine their economic efficiency in enterprises and allow for practical comparison of the obtained economic and financial results.Practical Implications: The practical implications of the research results included in the article will constitute recommendations for activities in managing companies that can be used in business practice.The pace of scientific and technological progress forces the development of IT systems for the optimal efficiency of economic entities.Originality/Value: The original value of the article is the classification of the method for assessing the effectiveness of IT innovations and the development of a process for an appropriate approach to the overall assessment of such projects.</w:t>
      </w:r>
    </w:p>
    <w:p>
      <w:pPr/>
      <w:r>
        <w:rPr>
          <w:b/>
        </w:rPr>
        <w:t>POSSIBLE 2024:</w:t>
      </w:r>
      <w:r>
        <w:t xml:space="preserve"> INCULTUM_D7.3: Updated plan for the impact, evaluation and exploitation of results of INCULTUM Project — https://doi.org/10.5281/zenodo.10980452</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The INCULTUM project responded to the H2020 call TRANSFORMATIONS-04-2019-2020: Innovative approaches to urban and regional development through cultural tourism, which asked for sustainable social, cultural, and economic development using cultural tourism as a tool. In INCULTUM this has been achieved through ten pilot cases scattered across Europe covering a wide range of contexts, partners, associated partners, and stakeholders. The aim has been to demonstrate the high potential of the marginal and peripheral places and their cultural heritage and resources when managed by local communities and stakeholders. Chapter 2 explains the change of perspective of WP7 and of this deliverable as the project is drawing to a close. The focus shifts from facilitating the process of launching innovative cultural tourism products towards the sustainability of those same products past INCULTUM and towards making sure that the innovations of the project reach as far as possible. Chapter 3 will explain the place of this deliverable within the work of WP7 and in relation to the other deliverables prepared by the WP7-team, and chapter 4 will detail the main terminology used when evaluating the performance of the pilots individually and INCULTUM as a whole, paying particular attention to the results-oriented vocabulary: measurable results, outcomes and impact. In chapter 5, the achievements of each</w:t>
      </w:r>
    </w:p>
    <w:p>
      <w:pPr/>
      <w:r>
        <w:rPr>
          <w:b/>
        </w:rPr>
        <w:t>POSSIBLE 2024:</w:t>
      </w:r>
      <w:r>
        <w:t xml:space="preserve"> Fashion Alive — Internal Evaluation of the Project: Results, Impact and Lessons Learned (D5.1) — https://doi.org/10.5281/zenodo.18118784</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This report presents the overall internal evaluation of the Creative Europe project Fashion Alive (Grant Agreement 101056307).It reviews project implementation across management, research activities, sustainable fashion development, cultural events and communication strategies, assessing both achievements and areas for improvement. The document analyses performance indicators, partner collaboration, risk management, timelines, budget control and the results of the sustainable collections and cultural events carried out in Madrid, Guimarães and Aversa. The evaluation highlights strong outcomes in sustainable design experimentation, digital engagement strategies, audience participation and communication impact, while also reflecting on organisational lessons, challenges and recommendations for future collaborative projects. The report contributes to understanding how cultural, educational and sustainability-driven fashion projects can be designed, managed and evaluated within European cooperation frameworks.</w:t>
      </w:r>
    </w:p>
    <w:p>
      <w:pPr>
        <w:pStyle w:val="Heading2"/>
      </w:pPr>
      <w:r>
        <w:t>1000. REMIND-D: A Hybrid Energy-Economy Model of Germany</w:t>
      </w:r>
    </w:p>
    <w:p>
      <w:pPr>
        <w:pStyle w:val="SourceNote"/>
      </w:pPr>
      <w:r>
        <w:rPr>
          <w:b/>
        </w:rPr>
        <w:t>Original source (2012):</w:t>
      </w:r>
      <w:r>
        <w:t xml:space="preserve"> https://doi.org/10.22004/ag.econ.121911</w:t>
      </w:r>
    </w:p>
    <w:p>
      <w:pPr/>
      <w:r>
        <w:t>Original wording (abstract; indexed_source_text_not_full_document_verified): The model provides a quantitative framework for analyzing long-term domestic CO2 emission reduction scenarios.</w:t>
      </w:r>
    </w:p>
    <w:p>
      <w:pPr/>
      <w:r>
        <w:rPr>
          <w:b/>
        </w:rPr>
        <w:t>POSSIBLE 2026:</w:t>
      </w:r>
      <w:r>
        <w:t xml:space="preserve"> Forecasting human tick-borne encephalitis risk across Europe through quantitative models integrating environmental and exposure drivers — https://openalex.org/W7154437128</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pPr/>
      <w:r>
        <w:rPr>
          <w:b/>
        </w:rPr>
        <w:t>POSSIBLE 2026:</w:t>
      </w:r>
      <w:r>
        <w:t xml:space="preserve"> Quantitatively exploring the dark ride experience model — https://doi.org/10.1016/j.annale.2026.100234</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Dark rides are popular, archetypal theme park attractions, yet empirical research on their visitor experience remains limited. This study provides a quantitative exploration of Cornelis and Strijbosch's (2024) dark ride experience model, which describes how immersion, emotions, cognitions, and attentional switching (driven by switch factors of motivation, opportunity and ability) shape overall evaluations. Using self-report data from 770 visitors across nine dark rides at a Western European theme park, collected with a purpose-built post-experience survey, we tested 15 derived hypotheses. Results offer partial, context-bound support: switch factors, immersion, and positive emotions consistently predicted overall evaluations both directly and indirectly, whereas findings on cognitive engagement and negative emotions remain inconclusive. Implications for future dark ride research, design and development are discussed.</w:t>
      </w:r>
    </w:p>
    <w:p>
      <w:pPr/>
      <w:r>
        <w:rPr>
          <w:b/>
        </w:rPr>
        <w:t>POSSIBLE 2026:</w:t>
      </w:r>
      <w:r>
        <w:t xml:space="preserve"> Thirty Years of Agricultural Landscape Simplification in Europe: A Multi-Scale Assessment Using CORINE Land Cover and GAM Models — https://doi.org/10.3390/land15081370</w:t>
      </w:r>
    </w:p>
    <w:p>
      <w:pPr/>
      <w:r>
        <w:rPr>
          <w:b/>
        </w:rPr>
        <w:t>Shared claim-specific concepts:</w:t>
      </w:r>
      <w:r>
        <w:t xml:space="preserve"> provides, quantitative, long-term; EU scope visible. This is a provisional connection, not an outcome finding.</w:t>
      </w:r>
    </w:p>
    <w:p>
      <w:pPr>
        <w:pStyle w:val="SourceNote"/>
      </w:pPr>
      <w:r>
        <w:rPr>
          <w:b/>
        </w:rPr>
        <w:t>Available abstract (not full text):</w:t>
      </w:r>
      <w:r>
        <w:t xml:space="preserve"> Understanding long-term changes in agricultural landscapes is essential for assessing the sustainability of land-use systems and guiding agro-environmental policy. This study analyzes three decades of landscape simplification and natural habitat complexity (1990–2018) across three spatial scales—Europe, Spain, and Extremadura—using CORINE Land Cover data and generalized additive models (GAMs). Four agricultural systems were examined: total agriculture, vineyards, olive groves, and rice fields. For each year and region, 1000 randomly selected 1 km buffers were used to quantify the proportions of focal crops and natural habitat as indicators of landscape simplification and complexity, respectively. Results showed that landscape simplification was widespread and statistically significant across most agricultural systems, particularly in Spanish vineyards (p = 3.02 × 10−5) and rice fields (p = 3.74 × 10−5). Temporal analyses indicated declining simplification trends in Europe and Spain (approximately −1.5%), whereas Extremadura exhibited increasing simplification (+1.5%) and a decline in landscape complexity after 2006. Landscape complexity showed fewer significant trends, with Europe and Spain displaying slight increases over time, whereas Extremadura shifted from initial complexity gains to a decline after 2006, indicating pressures from irrigation expansion and crop intensificat</w:t>
      </w:r>
    </w:p>
    <w:p>
      <w:pPr/>
      <w:r>
        <w:rPr>
          <w:b/>
        </w:rPr>
        <w:t>POSSIBLE 2026:</w:t>
      </w:r>
      <w:r>
        <w:t xml:space="preserve"> Sector-specific adoption patterns of AI in Europe: a quantitative analysis using Eurostat and OECD Data — https://doi.org/10.1080/09537325.2026.2632912</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This study analyses sector-specific AI adoption across 25 European countries and 11 industries from 2020-2024 using harmonized Eurostat and OECD panel data. We develop and test the Sectoral AI Adoption Model (SAAM), proposing five drivers of adoption: technological readiness, innovation intensity, human capital, regulatory environment, and competitive pressure. Fixed-effects panel regressions show that all five factors positively and significantly predict AI adoption, with human capital and technological readiness the strongest predictors. The model explains substantial variation in sectoral adoption (adjusted R2 = 0.62). Interaction results indicate that innovation intensity strengthens the effect of human capital, suggesting complementarity between skills and innovation capacity. Robustness checks confirm results across alternative specifications. Adoption is uneven across sectors, with information and communication technologies leading and construction lagging. The study advances technology adoption research by offering a sector-level framework for AI diffusion and provides actionable guidance for managers and policymakers seeking to accelerate responsible AI integration through workforce development, infrastructure investment, and balanced regulation.</w:t>
      </w:r>
    </w:p>
    <w:p>
      <w:pPr/>
      <w:r>
        <w:rPr>
          <w:b/>
        </w:rPr>
        <w:t>POSSIBLE 2025:</w:t>
      </w:r>
      <w:r>
        <w:t xml:space="preserve"> A Quantitative Analysis of the Legacy ATM Financial Model — https://doi.org/10.1109/ntad67887.2025.11302661</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This paper provides a quantitative analysis of the legacy financial model governing European Air Navigation Service Providers (ANSPs) to establish an empirical baseline for the transition towards a Service-Oriented Architecture (SOA). The research problem centers on the model’s inherent economic characteristics, particularly its cost inelasticity and risk allocation mechanisms, which are poorly understood in a quantitative sense. The methodology involves constructing a mathematical financial model based on the European performance and charging scheme. This model is calibrated and validated using six years (2018-2023) of detailed financial and operational data from a representative national provider, LPS SR of Slovakia. The results of a 7-year simulation (2018-2024) quantify the ANSP’s financial performance, revealing a massive loss in 2020 followed by a sharp, regulation-driven return to profitability in 2022. The discussion analyzes these findings, concluding that the legacy system is defined by regulatory resilience, where financial risk from demand shocks is transferred directly to airspace users, rather than being absorbed by the provider. This analysis demonstrates that a shift to an SOA is not merely a technical change but a fundamental economic transition from a regulated cost-recovery utility to a market-based system where service providers must assume full financial ri</w:t>
      </w:r>
    </w:p>
    <w:p>
      <w:pPr/>
      <w:r>
        <w:rPr>
          <w:b/>
        </w:rPr>
        <w:t>POSSIBLE 2025:</w:t>
      </w:r>
      <w:r>
        <w:t xml:space="preserve"> Furniture reuse: Institutional models in Turkey and Europe — https://doi.org/10.33725/mamad.1736195</w:t>
      </w:r>
    </w:p>
    <w:p>
      <w:pPr/>
      <w:r>
        <w:rPr>
          <w:b/>
        </w:rPr>
        <w:t>Shared claim-specific concepts:</w:t>
      </w:r>
      <w:r>
        <w:t xml:space="preserve"> provides, framework; EU scope visible. This is a provisional connection, not an outcome finding.</w:t>
      </w:r>
    </w:p>
    <w:p>
      <w:pPr>
        <w:pStyle w:val="SourceNote"/>
      </w:pPr>
      <w:r>
        <w:rPr>
          <w:b/>
        </w:rPr>
        <w:t>Available abstract (not full text):</w:t>
      </w:r>
      <w:r>
        <w:t xml:space="preserve"> This study provides a comparative examination of repurposing strategies developed within the furniture sector in line with sustainability and circular economy principles, with a focus on the contexts of Europe and Turkey. The aim is to investigate institutional models for reusing furniture with potential for extended life cycles, analyze the recovery capacity of wood-based materials, and propose a sustainable and applicable framework for Turkey. A qualitative research approach was adopted, in which the activities of European organizations such as RREUSE, WRAP, Repair Café, ENVIE, RepaNet, and AERESS were evaluated through a literature review and document-based analysis. In parallel, official reports and case studies from metropolitan municipalities including Istanbul, Kocaeli, and Izmir were analyzed. In the material assessment, solid wood, MDF, and particleboard were classified according to criteria such as technical suitability, structural durability, and potential for surface renewal. The findings indicate that multi-actor, socially driven models are prevalent in Europe, while in Turkey, initiatives remain limited and largely charity-oriented. The study concludes by proposing a new model based on collaboration with local governments, offering a roadmap for strengthening Turkey’s institutional capacity in sustainable furniture repurposing.</w:t>
      </w:r>
    </w:p>
    <w:p>
      <w:pPr/>
      <w:r>
        <w:rPr>
          <w:b/>
        </w:rPr>
        <w:t>POSSIBLE 2025:</w:t>
      </w:r>
      <w:r>
        <w:t xml:space="preserve"> A quantitative solar ultraviolet radiation job-exposure matrix for Europe — https://doi.org/10.1093/annweh/wxaf011</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INTRODUCTION: Outdoor workers are exposed to high levels of solar ultraviolet radiation (UVR). UVR causes skin cancer and is a risk factor for cataract and other short- and long-term health effects, but there are significant knowledge gaps regarding the exposure-response relations based on quantitative measures of UVR exposure. We developed a quantitative UVR job-exposure matrix (JEM) for the general working population of Europe. METHODS: Three experts from each of Northern, Central, and Southern Europe rated duration of outdoor work for all 372 occupations defined by the International Standard Classification of Occupations from 1988 (ISCO-88(COM)). A systematic literature search identified 12 studies providing 223 sets of summary workday UVR exposure for 49 ISCO-88(COM) occupations based on 75,711 personal workday measurements obtained from 2,645 participants and reported as arithmetic mean standard erythemal dose (SED). We combined the expert ratings with the measured occupational UVR exposure data and estimated harmonized workday UVR exposures for all 372 occupations in a linear mixed effects model. RESULTS: Monotonically increasing workday UVR exposure of 0.68, 1.57, 1.80, and 2.49 SED were seen by increasing expert ratings of 0, 1 to 2, 3 to 4, and ≥5 h of daily outdoor work. The UVR exposure showed a 6-fold increase from lowest to highest exposed occupation. Farm hands, r</w:t>
      </w:r>
    </w:p>
    <w:p>
      <w:pPr/>
      <w:r>
        <w:rPr>
          <w:b/>
        </w:rPr>
        <w:t>POSSIBLE 2024:</w:t>
      </w:r>
      <w:r>
        <w:t xml:space="preserve"> A quantitative investigation of immigrants integration and detention in Europe — https://doi.org/10.1007/s11135-024-01926-6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pPr/>
      <w:r>
        <w:rPr>
          <w:b/>
        </w:rPr>
        <w:t>POSSIBLE 2024:</w:t>
      </w:r>
      <w:r>
        <w:t xml:space="preserve"> Zenith Tropospheric Delay Forecasting in the European Region Using the Informer–Long Short-Term Memory Networks Hybrid Prediction Model — https://doi.org/10.3390/atmos16010031</w:t>
      </w:r>
    </w:p>
    <w:p>
      <w:pPr/>
      <w:r>
        <w:rPr>
          <w:b/>
        </w:rPr>
        <w:t>Shared claim-specific concepts:</w:t>
      </w:r>
      <w:r>
        <w:t xml:space="preserve"> analyzing, long-term; EU scope visible. This is a provisional connection, not an outcome finding.</w:t>
      </w:r>
    </w:p>
    <w:p>
      <w:pPr>
        <w:pStyle w:val="SourceNote"/>
      </w:pPr>
      <w:r>
        <w:rPr>
          <w:b/>
        </w:rPr>
        <w:t>Available abstract (not full text):</w:t>
      </w:r>
      <w:r>
        <w:t xml:space="preserve">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pPr/>
      <w:r>
        <w:rPr>
          <w:b/>
        </w:rPr>
        <w:t>POSSIBLE 2024:</w:t>
      </w:r>
      <w:r>
        <w:t xml:space="preserve"> Analysis and Prediction of PM2.5 Pollution in Madrid: The Use of Prophet–Long Short-Term Memory Hybrid Models — https://doi.org/10.3390/appliedmath4040076</w:t>
      </w:r>
    </w:p>
    <w:p>
      <w:pPr/>
      <w:r>
        <w:rPr>
          <w:b/>
        </w:rPr>
        <w:t>Shared claim-specific concepts:</w:t>
      </w:r>
      <w:r>
        <w:t xml:space="preserve"> provides, long-term; EU scope visible. This is a provisional connection, not an outcome finding.</w:t>
      </w:r>
    </w:p>
    <w:p>
      <w:pPr>
        <w:pStyle w:val="SourceNote"/>
      </w:pPr>
      <w:r>
        <w:rPr>
          <w:b/>
        </w:rPr>
        <w:t>Available abstract (not full text):</w:t>
      </w:r>
      <w:r>
        <w:t xml:space="preserve"> Particulate matter smaller than 2.5 μm (PM2.5) in Madrid is a critical concern due to its impacts on public health. This study employs advanced methodologies, including the CRISP-DM model and hybrid Prophet–Long Short-Term Memory (LSTM), to analyze historical data from monitoring stations and predict future PM2.5 levels. The results reveal a decreasing trend in PM2.5 levels from 2019 to mid-2024, suggesting the effectiveness of policies implemented by the Madrid City Council. However, the observed interannual fluctuations and peaks indicate the need for continuous policy adjustments to address specific events and seasonal variations. The comparison of local policies and those of the European Union underscores the importance of greater coherence and alignment to optimize the outcomes. Predictions made with the Prophet–LSTM model provide a solid foundation for planning and decision making, enabling urban managers to design more effective strategies. This study not only provides a detailed understanding of pollution patterns, but also emphasizes the need for adaptive environmental policies and citizen participation to improve air quality. The findings of this work can be of great assistance to environmental policymakers, providing a basis for future research and actions to improve air quality in Madrid. The hybrid Prophet–LSTM model effectively captured both seasonal trends and po</w:t>
      </w:r>
    </w:p>
    <w:p>
      <w:pPr/>
      <w:r>
        <w:rPr>
          <w:b/>
        </w:rPr>
        <w:t>POSSIBLE 2024:</w:t>
      </w:r>
      <w:r>
        <w:t xml:space="preserve"> COMPARISON OF FOSTER FAMILY MODELS IN EUROPE AND THE MODEL IN TÜRKİYE — https://doi.org/10.30830/tobider.sayi.20.13</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The care and protection of children in need of protection is carried out through institutional care and family care. The foster family model, which undertakes the care and upbringing of the child and provides care in the family environment, is one of the family-based care methods. Foster care means that voluntary families or individuals take care of children under the control of the state. As a result of the European Union's reintegration initiatives, foster care models have become increasingly important. Foster care models have been seen for many years as a cheaper alternative to institutional care. Today, foster care models are considered the best option for caring for children who cannot stay with their biological families. With the establishment of the Ministry of Family and Social Policies in Türkiye in 2011, the sustainability of the foster family, the foster family nuclear family communication, the selection of the appropriate foster family and the high benefit of the models for the child under protection have started to be discussed more. The aim of this study is to evaluate the foster family models applied in Europe and Türkiye and to determine the similarities and differences that arise when compared with our country in this context. In addition, it is aimed to develop the foster family model applied in our country and to explain the aspects that need to be corrected </w:t>
      </w:r>
    </w:p>
    <w:p>
      <w:pPr/>
      <w:r>
        <w:rPr>
          <w:b/>
        </w:rPr>
        <w:t>POSSIBLE 2024:</w:t>
      </w:r>
      <w:r>
        <w:t xml:space="preserve"> Constraining long-term NO x emissions over the United States and Europe using nitrate wet deposition monitoring networks — https://doi.org/10.5194/acp-24-4569-2024</w:t>
      </w:r>
    </w:p>
    <w:p>
      <w:pPr/>
      <w:r>
        <w:rPr>
          <w:b/>
        </w:rPr>
        <w:t>Shared claim-specific concepts:</w:t>
      </w:r>
      <w:r>
        <w:t xml:space="preserve"> long-term, emission; EU scope visible. This is a provisional connection, not an outcome finding.</w:t>
      </w:r>
    </w:p>
    <w:p>
      <w:pPr>
        <w:pStyle w:val="SourceNote"/>
      </w:pPr>
      <w:r>
        <w:rPr>
          <w:b/>
        </w:rPr>
        <w:t>Available abstract (not full text):</w:t>
      </w:r>
      <w:r>
        <w:t xml:space="preserve"> Abstract. Nitrogen oxides (NOx = NO + NO2) play a critical role in regulating tropospheric chemistry, yet NOx emission estimates are subject to large uncertainties, casting doubt on our ability to accurately model secondary pollutants such as ozone. Bottom-up emissions inventories are subject to a number of uncertainties related to estimates of emission activities, scaling factors, and fuel sources. Here, we provide an additional constraint on NOx emissions and trends using nitrate wet deposition (NWD) fluxes from the United States National Atmospheric Deposition Program (NADP) and the European Monitoring and Evaluation Programme (EMEP). We use these NWD measurements to evaluate anthropogenic and total NOx trends and magnitudes in the global Community Emissions Data System (CEDS) emissions inventory and the GEOS-Chem chemical transport model from 1980–2020. Over both the United States and Europe, observed NWD trends track well with anthropogenic NOx emissions from the CEDS inventory until 2010, after which NWD trends level out in contrast to continued decreases in CEDS. After 2010, NWD trends are able to reproduce total NOx emissions trends when the influences of both anthropogenic and background sources are considered. Observed NWD fluxes are also able to capture NOx emissions decreases over the 2020 COVID-19 lockdown period and are consistent with satellite and surface measur</w:t>
      </w:r>
    </w:p>
    <w:p>
      <w:pPr>
        <w:pStyle w:val="Heading2"/>
      </w:pPr>
      <w:r>
        <w:t>1001. Scenarios of the organic food market in Europe</w:t>
      </w:r>
    </w:p>
    <w:p>
      <w:pPr>
        <w:pStyle w:val="SourceNote"/>
      </w:pPr>
      <w:r>
        <w:rPr>
          <w:b/>
        </w:rPr>
        <w:t>Original source (2012):</w:t>
      </w:r>
      <w:r>
        <w:t xml:space="preserve"> https://doi.org/10.1016/j.foodpol.2011.10.003</w:t>
      </w:r>
    </w:p>
    <w:p>
      <w:pPr/>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POSSIBLE 2026:</w:t>
      </w:r>
      <w:r>
        <w:t xml:space="preserve"> Strategic Development of Wheelchair Basketball in Europe and Türkiye: A Systematic Review and Comparative Framework for Sustainable Growth — https://doi.org/10.33438/ijdshs.1800363</w:t>
      </w:r>
    </w:p>
    <w:p>
      <w:pPr/>
      <w:r>
        <w:rPr>
          <w:b/>
        </w:rPr>
        <w:t>Shared claim-specific concepts:</w:t>
      </w:r>
      <w:r>
        <w:t xml:space="preserve"> qualitative, tool, strategic, support; EU scope visible. This is a provisional connection, not an outcome finding.</w:t>
      </w:r>
    </w:p>
    <w:p>
      <w:pPr>
        <w:pStyle w:val="SourceNote"/>
      </w:pPr>
      <w:r>
        <w:rPr>
          <w:b/>
        </w:rPr>
        <w:t>Available abstract (not full text):</w:t>
      </w:r>
      <w:r>
        <w:t xml:space="preserve">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pPr/>
      <w:r>
        <w:rPr>
          <w:b/>
        </w:rPr>
        <w:t>POSSIBLE 2026:</w:t>
      </w:r>
      <w:r>
        <w:t xml:space="preserve"> VIRTUAL REALITY AS A STRATEGIC SPORT MARKETING TOOL IN PROFESSIONAL FOOTBALL: EVIDENCE FROM EUROPE AND GREECE — https://doi.org/10.46827/ejmms.v11i2.2215</w:t>
      </w:r>
    </w:p>
    <w:p>
      <w:pPr/>
      <w:r>
        <w:rPr>
          <w:b/>
        </w:rPr>
        <w:t>Shared claim-specific concepts:</w:t>
      </w:r>
      <w:r>
        <w:t xml:space="preserve"> qualitative, tool, strategic, decision, used, different; EU scope visible. This is a provisional connection, not an outcome finding.</w:t>
      </w:r>
    </w:p>
    <w:p>
      <w:pPr>
        <w:pStyle w:val="SourceNote"/>
      </w:pPr>
      <w:r>
        <w:rPr>
          <w:b/>
        </w:rPr>
        <w:t>Available abstract (not full text):</w:t>
      </w:r>
      <w:r>
        <w:t xml:space="preserve">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pPr/>
      <w:r>
        <w:rPr>
          <w:b/>
        </w:rPr>
        <w:t>POSSIBLE 2026:</w:t>
      </w:r>
      <w:r>
        <w:t xml:space="preserve"> Economic Diplomacy as a Strategic Tool in Economic Warfare: A Qualitative Analysis of Global Resilience Strategies — https://doi.org/10.2478/picbe-2026-0004</w:t>
      </w:r>
    </w:p>
    <w:p>
      <w:pPr/>
      <w:r>
        <w:rPr>
          <w:b/>
        </w:rPr>
        <w:t>Shared claim-specific concepts:</w:t>
      </w:r>
      <w:r>
        <w:t xml:space="preserve"> qualitative, tool, strategic, used, comparison; EU scope not established. This is a provisional connection, not an outcome finding.</w:t>
      </w:r>
    </w:p>
    <w:p>
      <w:pPr>
        <w:pStyle w:val="SourceNote"/>
      </w:pPr>
      <w:r>
        <w:rPr>
          <w:b/>
        </w:rPr>
        <w:t>Available abstract (not full text):</w:t>
      </w:r>
      <w:r>
        <w:t xml:space="preserve">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pPr/>
      <w:r>
        <w:rPr>
          <w:b/>
        </w:rPr>
        <w:t>POSSIBLE 2026:</w:t>
      </w:r>
      <w:r>
        <w:t xml:space="preserve"> Strategic Narratives of Foreign Policy Identity: Russia vs European Union — https://doi.org/10.20542/0131-2227-2026-70-9-66-77</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pPr/>
      <w:r>
        <w:rPr>
          <w:b/>
        </w:rPr>
        <w:t>POSSIBLE 2026:</w:t>
      </w:r>
      <w:r>
        <w:t xml:space="preserve"> Artificial Intelligence Tools in Qualitative Research II — https://doi.org/10.59537/saupress.2577</w:t>
      </w:r>
    </w:p>
    <w:p>
      <w:pPr/>
      <w:r>
        <w:rPr>
          <w:b/>
        </w:rPr>
        <w:t>Shared claim-specific concepts:</w:t>
      </w:r>
      <w:r>
        <w:t xml:space="preserve"> qualitative, researchers, identify; EU scope not established. This is a provisional connection, not an outcome finding.</w:t>
      </w:r>
    </w:p>
    <w:p>
      <w:pPr>
        <w:pStyle w:val="SourceNote"/>
      </w:pPr>
      <w:r>
        <w:rPr>
          <w:b/>
        </w:rPr>
        <w:t>Available abstract (not full text):</w:t>
      </w:r>
      <w:r>
        <w:t xml:space="preserve">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pPr/>
      <w:r>
        <w:rPr>
          <w:b/>
        </w:rPr>
        <w:t>POSSIBLE 2026:</w:t>
      </w:r>
      <w:r>
        <w:t xml:space="preserve"> Strategic International Investments and Economic Resilience: The Three Seas Initiative as a Regional Development Tool — https://doi.org/10.2478/picbe-2026-0108</w:t>
      </w:r>
    </w:p>
    <w:p>
      <w:pPr/>
      <w:r>
        <w:rPr>
          <w:b/>
        </w:rPr>
        <w:t>Shared claim-specific concepts:</w:t>
      </w:r>
      <w:r>
        <w:t xml:space="preserve"> qualitative, tool, strategic, support, main; EU scope visible. This is a provisional connection, not an outcome finding.</w:t>
      </w:r>
    </w:p>
    <w:p>
      <w:pPr>
        <w:pStyle w:val="SourceNote"/>
      </w:pPr>
      <w:r>
        <w:rPr>
          <w:b/>
        </w:rPr>
        <w:t>Available abstract (not full text):</w:t>
      </w:r>
      <w:r>
        <w:t xml:space="preserve"> Abstract The paper analyses the role of strategic international investments in strengthening economic resilience in Central and Eastern Europe, with a focus on the Three Seas Initiative as a regional development tool. In the context of geopolitical uncertainties, supply chain disruptions and uneven economic development within the European Union, the paper highlights the importance of a coordinated regional framework capable of boosting connectivity, competitiveness and long-term stability. The existing literature emphasizes economic resilience as a multidimensional concept, closely linked to infrastructure development, investment diversification and regional cooperation. While previous research has addressed the political and strategic dimensions of the Three Seas Initiative, there is a lack of studies on its economic impact and capacity to attract international investments as a mechanism for strengthening resilience of the area. The paper contributes to closing this gap by framing the initiative within broader debates on regional development in domains like energy, transport and digitalization and international political economy. The study uses a qualitative methodology, based on document analysis, comparative assessment and public policy analysis. The main research questions concern how the Three Seas Initiative facilitates strategic international investments, the most influe</w:t>
      </w:r>
    </w:p>
    <w:p>
      <w:pPr/>
      <w:r>
        <w:rPr>
          <w:b/>
        </w:rPr>
        <w:t>POSSIBLE 2026:</w:t>
      </w:r>
      <w:r>
        <w:t xml:space="preserve"> From Economic Openness to Strategic Capacity: The European Union as a Hybrid Geoeconomic Actor — https://doi.org/10.3390/world7090149</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European Union now routinely leverages economic governance to tackle strategic vulnerabilities caused by geopolitical rivalry, foreign dependencies, and supply chain shocks. This article analyses this shift, exploring how the EU adapts its economic toolkit and what restricts its capacity to act as a geoeconomic power. It builds an analytical framework connecting external pressures, strategic vulnerabilities, policy choices, and institutional barriers. Methodologically, the study combines qualitative document analysis of EU policy frameworks with trade metrics and evidence from the Geoeconomic Interconnectivity Index. The findings show a clear expansion in investment screening, anti-coercion tools, targeted industrial policy, and supply-chain diversification—all aimed at safeguarding core sectors and curbing asymmetric exposure. These steps mark a departure from purely regulatory-market logic towards a hybrid model blending market openness, defensive controls, and capacity-building. Persistent institutional splits, conflicting national priorities, technological gaps, and reliance on foreign markets limit the effectiveness of this transition. Ultimately, the EU’s evolving geoeconomic stance aims not for total self-sufficiency, but for the deliberate, strategic management of interdependence.</w:t>
      </w:r>
    </w:p>
    <w:p>
      <w:pPr/>
      <w:r>
        <w:rPr>
          <w:b/>
        </w:rPr>
        <w:t>POSSIBLE 2026:</w:t>
      </w:r>
      <w:r>
        <w:t xml:space="preserve"> From Administrative Tool to Strategic Decision Support: A Qualitative Study of Digital Training Needs Analysis — https://doi.org/10.69965/danadyaksa.v4i1.498</w:t>
      </w:r>
    </w:p>
    <w:p>
      <w:pPr/>
      <w:r>
        <w:rPr>
          <w:b/>
        </w:rPr>
        <w:t>Shared claim-specific concepts:</w:t>
      </w:r>
      <w:r>
        <w:t xml:space="preserve"> qualitative, tool, strategic, support, decision, findings; EU scope not established. This is a provisional connection, not an outcome finding.</w:t>
      </w:r>
    </w:p>
    <w:p>
      <w:pPr>
        <w:pStyle w:val="SourceNote"/>
      </w:pPr>
      <w:r>
        <w:rPr>
          <w:b/>
        </w:rPr>
        <w:t>Available abstract (not full text):</w:t>
      </w:r>
      <w:r>
        <w:t xml:space="preserve"> This study examines how the Dashboard Executive Information System for Training Needs Analysis (DEIS AKD) supports digital training needs analysis at PPSDM Migas and identifies the conditions required for its transformation from an administrative tool into a strategic decision-support system. A descriptive qualitative approach was employed, with data collected through in-depth interviews and documentation studies. The informants consisted of four PPSDM Migas employees directly involved in training planning, implementation, standardization, and evaluation. Data were analyzed through data condensation, data display, and conclusion drawing or verification. The findings show that DEIS AKD has improved administrative efficiency through centralized employee data management, training history monitoring, scheduling, and participation tracking. However, the system has not yet fully supported competency-based analysis because training recommendations remain influenced by managerial judgment, job-based classifications, limited analytical features, and insufficient integration of competency, performance, and post-training evaluation data. Its effectiveness is also influenced by data quality, system limitations, and users’ analytical capabilities. The study concludes that DEIS AKD currently functions primarily as an administrative tool rather than as a strategic decision-support system. Its</w:t>
      </w:r>
    </w:p>
    <w:p>
      <w:pPr/>
      <w:r>
        <w:rPr>
          <w:b/>
        </w:rPr>
        <w:t>POSSIBLE 2026:</w:t>
      </w:r>
      <w:r>
        <w:t xml:space="preserve"> Sustainable artificial intelligence as a tool of strategic communication in organizational contexts : a critical discourse analysis — https://openalex.org/W7164619943</w:t>
      </w:r>
    </w:p>
    <w:p>
      <w:pPr/>
      <w:r>
        <w:rPr>
          <w:b/>
        </w:rPr>
        <w:t>Shared claim-specific concepts:</w:t>
      </w:r>
      <w:r>
        <w:t xml:space="preserve"> qualitative, tool, strategic, used, findings; EU scope visible. This is a provisional connection, not an outcome finding.</w:t>
      </w:r>
    </w:p>
    <w:p>
      <w:pPr>
        <w:pStyle w:val="SourceNote"/>
      </w:pPr>
      <w:r>
        <w:rPr>
          <w:b/>
        </w:rPr>
        <w:t>Available abstract (not full text):</w:t>
      </w:r>
      <w:r>
        <w:t xml:space="preserve"> This thesis examines how sustainable artificial intelligence (AI) is constructed and communicated in corporate discourse, and how it functions as a tool of strategic communication in organizational contexts. The study is grounded in an interdisciplinary theoretical framework that combines research on AI and sustainability, organizational identity, and strategic communication. Sustainable AI is conceptualized as a multidimensional phenomenon that encompasses the environmental, social, and economic dimensions of sustainability, while also being shaped by socio-technical and regulatory dynamics within the European context. The aim of the study is to develop an understanding of how AI-related sustainability is addressed in the corporate communication of European companies participating in the EU Artificial Intelligence Pact (EU AI Pact). This aim is guided by three distinct research questions that consider how AI-related sustainability is constructed in corporate discourse, how sustainable AI is used as a tool of strategic communication, and how organizational identity is constructed through these discourses. The research adopts a qualitative approach in the form of critical discourse analysis. The empirical material consists of publicly available organizational publications, including sustainability reports, annual reports, blog posts, and social media content from eleven European</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qualitative, strategic, support, network, different, comparison;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The European Union's policy toward Latin America in the context of renewed strategic competition — https://doi.org/10.5281/zenodo.19131164</w:t>
      </w:r>
    </w:p>
    <w:p>
      <w:pPr/>
      <w:r>
        <w:rPr>
          <w:b/>
        </w:rPr>
        <w:t>Shared claim-specific concepts:</w:t>
      </w:r>
      <w:r>
        <w:t xml:space="preserve"> qualitative, strategic, main; EU scope visible. This is a provisional connection, not an outcome finding.</w:t>
      </w:r>
    </w:p>
    <w:p>
      <w:pPr>
        <w:pStyle w:val="SourceNote"/>
      </w:pPr>
      <w:r>
        <w:rPr>
          <w:b/>
        </w:rPr>
        <w:t>Available abstract (not full text):</w:t>
      </w:r>
      <w:r>
        <w:t xml:space="preserve"> In the context of intensifying global strategic competition, Latin America is emerging as a geopolitical and geoeconomic space of growing importance. This paper explores the transformation of the European Union’s (EU) approach toward the region, highlighting a shift from a development aid-oriented model toward a more strategic and interest-driven engagement focused on supply chain security, access to critical resources, and the promotion of green and digital transitions. Grounded in international political economy frameworks, the analysis examines the EU’s main policy tools, including the modernization of free trade agreements, the Global Gateway initiative, development partnerships, and multilateral engagement. The paper indicates that the EU’s policy adjustment creates opportunities as well as challenges for Latin American countries amid intensifying competition among major powers, particularly between the United States and China. It argues that the benefits derived from this policy shift will depend on institutional capacity, long-term development strategies, and the ability to balance economic objectives, policy autonomy, and sustainability within a changing global order. This study has certain limitations related to its qualitative approach and reliance on secondary sources, which may not fully capture the diversity of national responses across Latin America.</w:t>
      </w:r>
    </w:p>
    <w:p>
      <w:pPr/>
      <w:r>
        <w:rPr>
          <w:b/>
        </w:rPr>
        <w:t>POSSIBLE 2026:</w:t>
      </w:r>
      <w:r>
        <w:t xml:space="preserve"> Strategic Storytelling in Sustainable Fashion Branding : A Study of European Fashion SMEs — https://openalex.org/W7164775337</w:t>
      </w:r>
    </w:p>
    <w:p>
      <w:pPr/>
      <w:r>
        <w:rPr>
          <w:b/>
        </w:rPr>
        <w:t>Shared claim-specific concepts:</w:t>
      </w:r>
      <w:r>
        <w:t xml:space="preserve"> qualitative, tool, strategic, main, used, identify; EU scope visible. This is a provisional connection, not an outcome finding.</w:t>
      </w:r>
    </w:p>
    <w:p>
      <w:pPr>
        <w:pStyle w:val="SourceNote"/>
      </w:pPr>
      <w:r>
        <w:rPr>
          <w:b/>
        </w:rPr>
        <w:t>Available abstract (not full text):</w:t>
      </w:r>
      <w:r>
        <w:t xml:space="preserve"> Sustainability has become an increasingly significant topic in the fashion industry due to its environmental and social impacts, as well as the growing expectations brands face to tackle them. Alongside adopting more responsible practices, fashion brands are expected to communicate their sustainability efforts in a credible and meaningful way. This is a particular challenge for European fashion small and medium-sized enterprises (SMEs), who have limited resources and must navigate increasing demands for transparency and differentiation. In this context, storytelling has emerged as a potential strategic communication tool. This thesis aims to examine how European fashion SMEs use storytelling as part of their brand management to communicate sustainability. The main research question is: How do European fashion SMEs use storytelling as part of their brand management to communicate sustainability? This is supported by two sub-questions addressing how storytelling is integrated into brand management practices and how brand managers perceive its role in communicating sustainability and shaping brand identity. First, it draws on brand management theory and the literature on strategic storytelling, which positions storytelling as a purpose-driven mechanism for building brand identity and communicating values. Second, it addresses sustainable branding and authenticity, where tensions b</w:t>
      </w:r>
    </w:p>
    <w:p>
      <w:pPr>
        <w:pStyle w:val="Heading2"/>
      </w:pPr>
      <w:r>
        <w:t>1002. Suitability of European climate for the Asian tiger mosquito Aedes albopictus : recent trends and future scenarios</w:t>
      </w:r>
    </w:p>
    <w:p>
      <w:pPr>
        <w:pStyle w:val="SourceNote"/>
      </w:pPr>
      <w:r>
        <w:rPr>
          <w:b/>
        </w:rPr>
        <w:t>Original source (2012):</w:t>
      </w:r>
      <w:r>
        <w:t xml:space="preserve"> https://doi.org/10.1098/rsif.2012.0138</w:t>
      </w:r>
    </w:p>
    <w:p>
      <w:pPr/>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POSSIBLE 2026:</w:t>
      </w:r>
      <w:r>
        <w:t xml:space="preserve"> Partisan Differences in Risk‐Taking in a Simulated Pandemic — https://doi.org/10.1002/bdm.70066</w:t>
      </w:r>
    </w:p>
    <w:p>
      <w:pPr/>
      <w:r>
        <w:rPr>
          <w:b/>
        </w:rPr>
        <w:t>Shared claim-specific concepts:</w:t>
      </w:r>
      <w:r>
        <w:t xml:space="preserve"> likely, simulated, conditions; EU scope not established. This is a provisional connection, not an outcome finding.</w:t>
      </w:r>
    </w:p>
    <w:p>
      <w:pPr>
        <w:pStyle w:val="SourceNote"/>
      </w:pPr>
      <w:r>
        <w:rPr>
          <w:b/>
        </w:rPr>
        <w:t>Available abstract (not full text):</w:t>
      </w:r>
      <w:r>
        <w:t xml:space="preserve"> ABSTRACT Responses to COVID‐19 in the United States were split along partisan political lines throughout the pandemic. People on the political left tended to take the medical threat more seriously and were more likely to adopt preventive health behaviors than those on the political right, resulting in clear differences in state‐level policies and health consequences. Here, we examine the origins of these differences, investigating whether they are based on interindividual differences or in party dynamics. Two groups of participants (), who had voted either for Donald Trump or Hillary Clinton in 2016, played the Transmission Game. Players made repeated decisions in a simulated pandemic that involved a trade‐off between increasing their expected personal payoff and reducing the chance of a total payoff‐loss for themselves and others. In four experimental conditions, the study framing (neutral or pandemic) was crossed with the presence (or absence) of a normative intervention aimed at reducing risk‐taking. We observed systematic partisan differences in all conditions, with Republicans taking more risk than Democrats, even in neutrally framed conditions—supporting the idea of interindividual differences between voter groups beyond party dynamics. At the same time, both normative interventions and the pandemic framing reduced risk‐taking and expected infection rates in both voter gr</w:t>
      </w:r>
    </w:p>
    <w:p>
      <w:pPr/>
      <w:r>
        <w:rPr>
          <w:b/>
        </w:rPr>
        <w:t>POSSIBLE 2026:</w:t>
      </w:r>
      <w:r>
        <w:t xml:space="preserve"> Severe Convective Storms in a Changing Climate: Uncertainties in risk views across North America and Europe — https://doi.org/10.63024/dkee-9w5q</w:t>
      </w:r>
    </w:p>
    <w:p>
      <w:pPr/>
      <w:r>
        <w:rPr>
          <w:b/>
        </w:rPr>
        <w:t>Shared claim-specific concepts:</w:t>
      </w:r>
      <w:r>
        <w:t xml:space="preserve"> trends, likely, distribution, north; EU scope visible. This is a provisional connection, not an outcome finding.</w:t>
      </w:r>
    </w:p>
    <w:p>
      <w:pPr>
        <w:pStyle w:val="SourceNote"/>
      </w:pPr>
      <w:r>
        <w:rPr>
          <w:b/>
        </w:rPr>
        <w:t>Available abstract (not full text):</w:t>
      </w:r>
      <w:r>
        <w:t xml:space="preserve"> Severe convective storms (SCS) have become a major, recurrent source of insured catastrophe loss, particularly in North America and, increasingly, Europe. Observed loss growth is driven primarily by socio-economic trends, including growth and concentration of insured exposure, changes in vulnerability and loss-cost inflation; a distinct climate-change signal has not yet been robustly isolated in historical insured-loss records. At the same time, anthropogenic warming is altering the physical ingredients that support SCS, including atmospheric moisture, instability, heavy precipitation intensity and, in some regions, environments favourable to organised convection. Robust assessment remains constrained by short and inhomogeneous hazard records, reporting and detection biases, changes in observing systems and claims practices, and limited event-level observations of hail, tornadoes and damaging convective winds. We synthesise current evidence on historical trends and future changes in the principal SCS sub-perils relevant for catastrophe modelling: hail, tornadoes, damaging straight-line winds including derechos, and SCS-related extreme precipitation. In addition to observed hazard and loss records, we evaluate reanalysis-derived environmental proxies and convection-permitting simulations commonly used to infer climate-conditioned SCS risk. Proxy metrics are useful for identifyin</w:t>
      </w:r>
    </w:p>
    <w:p>
      <w:pPr/>
      <w:r>
        <w:rPr>
          <w:b/>
        </w:rPr>
        <w:t>POSSIBLE 2025:</w:t>
      </w:r>
      <w:r>
        <w:t xml:space="preserve"> #148 Impact of targeted screening in high-risk individuals and guideline-directed medical therapy on CKD burden in Europe: projections from IMPACT CKD — https://doi.org/10.1093/ndt/gfaf116.047</w:t>
      </w:r>
    </w:p>
    <w:p>
      <w:pPr/>
      <w:r>
        <w:rPr>
          <w:b/>
        </w:rPr>
        <w:t>Shared claim-specific concepts:</w:t>
      </w:r>
      <w:r>
        <w:t xml:space="preserve"> similar, trends, increased, simulated, over, slightly; EU scope visible. This is a provisional connection, not an outcome finding.</w:t>
      </w:r>
    </w:p>
    <w:p>
      <w:pPr>
        <w:pStyle w:val="SourceNote"/>
      </w:pPr>
      <w:r>
        <w:rPr>
          <w:b/>
        </w:rPr>
        <w:t>Available abstract (not full text):</w:t>
      </w:r>
      <w:r>
        <w:t xml:space="preserve">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pPr/>
      <w:r>
        <w:rPr>
          <w:b/>
        </w:rPr>
        <w:t>POSSIBLE 2025:</w:t>
      </w:r>
      <w:r>
        <w:t xml:space="preserve"> Trends in relative and absolute mobility of homeownership in Europe — https://doi.org/10.31219/osf.io/zdu2n_v1</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2025:</w:t>
      </w:r>
      <w:r>
        <w:t xml:space="preserve"> Trends in relative and absolute mobility of homeownership in Europe — https://doi.org/10.31219/osf.io/zdu2n_v2</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similar, trends, increased;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Diverging trends in large floods across Europe in a warming climate — https://doi.org/10.1038/s43247-025-02734-y</w:t>
      </w:r>
    </w:p>
    <w:p>
      <w:pPr/>
      <w:r>
        <w:rPr>
          <w:b/>
        </w:rPr>
        <w:t>Shared claim-specific concepts:</w:t>
      </w:r>
      <w:r>
        <w:t xml:space="preserve"> trends, increased, northern, shifts, warmer;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Regional variations and trends in liver transplantation practices across Europe — https://doi.org/10.1016/j.jhepr.2025.101424</w:t>
      </w:r>
    </w:p>
    <w:p>
      <w:pPr/>
      <w:r>
        <w:rPr>
          <w:b/>
        </w:rPr>
        <w:t>Shared claim-specific concepts:</w:t>
      </w:r>
      <w:r>
        <w:t xml:space="preserve"> trends, increased, northern, decreased; EU scope visible. This is a provisional connection, not an outcome finding.</w:t>
      </w:r>
    </w:p>
    <w:p>
      <w:pPr>
        <w:pStyle w:val="SourceNote"/>
      </w:pPr>
      <w:r>
        <w:rPr>
          <w:b/>
        </w:rPr>
        <w:t>Available abstract (not full text):</w:t>
      </w:r>
      <w:r>
        <w:t xml:space="preserve"> Background &amp; Aims Liver transplantation (LT) is a live-saving therapy for patients with end-stage liver disease, but demand exceeds supply, leading to waiting list (WL) mortality. This study reviews LT practices and trends in Europe to identify potential policies for improving outcomes. Methods Data were extracted from the European Liver Transplant Registry and the Global Observatory on Donation and Transplantation. Countries were categorized into Eastern (EEC), Mediterranean (MEC), and Northern European (NEC). We analyzed LT indications, recipient and donor age, transplant type, and WL outcomes from 2012 to 2022. Results Etiology of LT differed across regions: HBV cirrhosis predominated in EEC (37.3%), whereas alcohol-related liver disease was more frequent in NEC (41.8%) and MEC (49.1%). Metabolic-dysfunction associated steatotic liver disease increased across Europe, particularly in NEC. Recipient age has risen, with 40% aged ≥60 years in MEC vs. 20% in EEC. Donor age and type also varied: EEC relies on younger donors (&lt;50 years, 70%), whereas MEC expanded criteria to include donors ≥60 years (50%). Donation after circulatory determination of death increased by 30%, particularly in NEC and MEC, but remains rare in EEC. Model for end-stage liver disease scores at LT decreased, with 30% scoring &gt;21 in 2021 vs. 50% in 2012. WL mortality declined by 10% since 2015, although larg</w:t>
      </w:r>
    </w:p>
    <w:p>
      <w:pPr/>
      <w:r>
        <w:rPr>
          <w:b/>
        </w:rPr>
        <w:t>POSSIBLE 2025:</w:t>
      </w:r>
      <w:r>
        <w:t xml:space="preserve"> Spatiotemporal analysis of the FWI over Europe and North Africa: Historical trends and climate projections under RCP4.5 and RCP8.5 — https://doi.org/10.1016/j.gsf.2025.102178</w:t>
      </w:r>
    </w:p>
    <w:p>
      <w:pPr/>
      <w:r>
        <w:rPr>
          <w:b/>
        </w:rPr>
        <w:t>Shared claim-specific concepts:</w:t>
      </w:r>
      <w:r>
        <w:t xml:space="preserve"> trends, over, northern, southern, shifts, conditions; EU scope visible. This is a provisional connection, not an outcome finding.</w:t>
      </w:r>
    </w:p>
    <w:p>
      <w:pPr>
        <w:pStyle w:val="SourceNote"/>
      </w:pPr>
      <w:r>
        <w:rPr>
          <w:b/>
        </w:rPr>
        <w:t>Available abstract (not full text):</w:t>
      </w:r>
      <w:r>
        <w:t xml:space="preserve"> • FWI trends analyzed over Europe &amp; N. Africa from 1979 to 2098. • Extreme fire danger increases under both RCP4.5 and RCP8.5 scenarios. • Strong agreement (r &gt; 0.8) between reanalysis and GCMs in fire-prone areas. • Southern regions show significant increasing trends in FWI. Wildfires represent an escalating environmental threat across Europe and North Africa, increasingly exacerbated by climate-driven shifts in temperature, precipitation, and drought patterns. However, there is still limited large-scale, methodologically consistent research that simultaneously assesses historical patterns and future projections of fire danger across these regions, particularly in terms of both frequency and duration of risk under different climate scenarios. This study addresses this gap by providing a high-resolution, spatiotemporal assessment of fire weather conditions, with the aim of offering critical insights to support climate-adaptive fire management strategies, extended preparedness frameworks, and the integration of future fire weather projections into land-use and risk governance policies. To achieve this, we investigate historical (1979–2021) and projected (2000–2098) trends in fire danger using the Canadian Fire Weather Index (FWI), based on ERA5 reanalysis data and outputs from five Global Climate Models (GCMs) under RCP4.5 and RCP8.5 scenarios. Over 50,000 land grid cells were a</w:t>
      </w:r>
    </w:p>
    <w:p>
      <w:pPr/>
      <w:r>
        <w:rPr>
          <w:b/>
        </w:rPr>
        <w:t>POSSIBLE 2025:</w:t>
      </w:r>
      <w:r>
        <w:t xml:space="preserve"> Cancer mortality in Europe in 2020, and an overview of trends since 1990 — https://doi.org/10.1097/cej.0000000000000981</w:t>
      </w:r>
    </w:p>
    <w:p>
      <w:pPr/>
      <w:r>
        <w:rPr>
          <w:b/>
        </w:rPr>
        <w:t>Shared claim-specific concepts:</w:t>
      </w:r>
      <w:r>
        <w:t xml:space="preserve"> trends, increased, over; EU scope visible. This is a provisional connection, not an outcome finding.</w:t>
      </w:r>
    </w:p>
    <w:p>
      <w:pPr>
        <w:pStyle w:val="SourceNote"/>
      </w:pPr>
      <w:r>
        <w:rPr>
          <w:b/>
        </w:rPr>
        <w:t>Available abstract (not full text):</w:t>
      </w:r>
      <w:r>
        <w:t xml:space="preserve"> INTRODUCTION: Cancer remains a leading cause of death in Europe, with over 1.2 million deaths recorded in the EU-27 in 2020. METHODS: Using WHO death certification data for 33 European countries from 1990 to 2020, we analyzed mortality trends for all neoplasms and 24 cancer sites, stratified by sex and age. We computed age-standardized mortality rates (ASMR) and applied joinpoint regression models to evaluate temporal trends. RESULTS: In 2020, the leading causes of cancer death in the EU-27 were lung (ASMR: 30.1/100 000), colorectal (14.6/100 000), and prostate (9.8/100 000) cancer in males and breast (13.8/100 000), lung (13.2/100 000), and colorectal (8.6/100 000) cancer in females. Pancreatic cancer was the fourth most common cause of cancer death in both sexes (ASMR: 8.2/100 000 males and 5.8/100 000 females). Most Central and Eastern European countries reported rates over two-fold higher compared to Western Europe. While overall cancer mortality declined since 1990 (average annual percent change: -1.3% in males and -0.8% in females in the EU-27), mortality from pancreatic (+0.2% in males and +0.8% in females) and female lung cancer (+1.9%) increased. CONCLUSION: Declines in cancer mortality are attributable to reduced tobacco use, and improvements in organized screening programs and treatment. Pancreatic cancer mortality remains stable, while female lung cancer mortality c</w:t>
      </w:r>
    </w:p>
    <w:p>
      <w:pPr/>
      <w:r>
        <w:rPr>
          <w:b/>
        </w:rPr>
        <w:t>POSSIBLE 2025:</w:t>
      </w:r>
      <w:r>
        <w:t xml:space="preserve"> Divergent Trends in Insect Disturbance Across Europe's Temperate and Boreal Forests — https://doi.org/10.1111/gcb.70580</w:t>
      </w:r>
    </w:p>
    <w:p>
      <w:pPr/>
      <w:r>
        <w:rPr>
          <w:b/>
        </w:rPr>
        <w:t>Shared claim-specific concepts:</w:t>
      </w:r>
      <w:r>
        <w:t xml:space="preserve"> trends, increased, decreased, shifts, warmer, conditions; EU scope visible. This is a provisional connection, not an outcome finding.</w:t>
      </w:r>
    </w:p>
    <w:p>
      <w:pPr>
        <w:pStyle w:val="SourceNote"/>
      </w:pPr>
      <w:r>
        <w:rPr>
          <w:b/>
        </w:rPr>
        <w:t>Available abstract (not full text):</w:t>
      </w:r>
      <w:r>
        <w:t xml:space="preserve"> Ongoing shifts in climate and land use have altered interactions between trees and insect herbivores, changing biotic disturbance regimes. However, as these changes are complex and vary across host species, insect taxa, and feeding guilds, they remain poorly understood. We compiled annual records of forest insect disturbance from 15 countries in temperate and boreal Europe, spanning the period from 2000 to 2022. The dataset comprises 1361 time series characterizing the dynamics of 50 herbivorous insects. We used this dataset to test whether insect disturbance has systematically changed during the 23-year period across host trees and feeding guilds, whether it varies along latitudinal and climatic gradients, and whether synchrony exists among species in the same guild or among species sharing the same host. Since 2000, borer disturbance was predominantly concentrated on gymnosperms, while defoliators impacted gymnosperms and angiosperms more evenly. While 85.8% of gymnosperm disturbance was inflicted by a single species, Ips typographus, the majority of disturbances to angiosperms were caused by six different species. Borer impact on gymnosperms has increased in the 21st century, while defoliator impact has decreased across both clades. In contrast to diverging temporal trends, disturbance was consistently greater in warmer and drier conditions across feeding guilds and host typ</w:t>
      </w:r>
    </w:p>
    <w:p>
      <w:pPr/>
      <w:r>
        <w:rPr>
          <w:b/>
        </w:rPr>
        <w:t>POSSIBLE 2025:</w:t>
      </w:r>
      <w:r>
        <w:t xml:space="preserve"> Trends in stroke prevalence caused by an elevated BMI in the European population — https://doi.org/10.5114/aoms/199362</w:t>
      </w:r>
    </w:p>
    <w:p>
      <w:pPr/>
      <w:r>
        <w:rPr>
          <w:b/>
        </w:rPr>
        <w:t>Shared claim-specific concepts:</w:t>
      </w:r>
      <w:r>
        <w:t xml:space="preserve"> trends, increased, over, decreased, related; EU scope visible. This is a provisional connection, not an outcome finding.</w:t>
      </w:r>
    </w:p>
    <w:p>
      <w:pPr>
        <w:pStyle w:val="SourceNote"/>
      </w:pPr>
      <w:r>
        <w:rPr>
          <w:b/>
        </w:rPr>
        <w:t>Available abstract (not full text):</w:t>
      </w:r>
      <w:r>
        <w:t xml:space="preserve"> Introduction: This study investigated the complex relationship between an elevated body mass index (BMI) and stroke risk in Europe amidst rising obesity rates and an aging population. Material and methods: A joinpoint regression model was used to fit the data on stroke mortality rates attributed to an elevated BMI. The age period cohort model was used to analyze the effects of age, period, and birth cohort on trends in stroke prevalence related to an elevated BMI from 1990-2019 in the European context. A Bayesian age-period-cohort model was used to project age-standardized stroke mortality attributed to elevated BMI in Europe from 2020 to 2044. Results: &lt; 0.001). Male mortality rates decreased from 21.48/100,000 in 1990 to 15.45/100,000 in 2019, while female rates declined more significantly from 21.40/100,000 in 1990 to 12.48/100,000 in 2019. Age-standardized stroke mortality due to elevated BMI is projected to decline in Europe over the next 25 years. Age-standardized stroke mortality due to increased BMI is expected to continue declining in Europe over the next 25 years, with projected reductions of 12.99% in males and 13.01% in females by 2044. Conclusions: From 1990 to 2019, stroke mortality rates associated with elevated BMI in Europe steadily increased. However, projections suggest a slight decline in the near future. Given these trends, there is an urgent need to enhanc</w:t>
      </w:r>
    </w:p>
    <w:p>
      <w:pPr>
        <w:pStyle w:val="Heading2"/>
      </w:pPr>
      <w:r>
        <w:t>1003. Ten years of health workforce planning in the Netherlands: a tentative evaluation of GP planning as an example</w:t>
      </w:r>
    </w:p>
    <w:p>
      <w:pPr>
        <w:pStyle w:val="SourceNote"/>
      </w:pPr>
      <w:r>
        <w:rPr>
          <w:b/>
        </w:rPr>
        <w:t>Original source (2012):</w:t>
      </w:r>
      <w:r>
        <w:t xml:space="preserve"> https://doi.org/10.1186/1478-4491-10-21</w:t>
      </w:r>
    </w:p>
    <w:p>
      <w:pPr/>
      <w:r>
        <w:t>Original wording (abstract; indexed_source_text_not_full_document_verified): A comparison is made of the results of different scenarios for different years.</w:t>
      </w:r>
    </w:p>
    <w:p>
      <w:pPr/>
      <w:r>
        <w:rPr>
          <w:b/>
        </w:rPr>
        <w:t>POSSIBLE 2026:</w:t>
      </w:r>
      <w:r>
        <w:t xml:space="preserve"> A comparison of methods for thermodynamic calculation of explosives used in Europe — https://doi.org/10.1201/9781003762010-4</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pPr/>
      <w:r>
        <w:rPr>
          <w:b/>
        </w:rPr>
        <w:t>POSSIBLE 2025:</w:t>
      </w:r>
      <w:r>
        <w:t xml:space="preserve"> Revisiting the Role of Health Financing and Workforce on Public Health Outcomes in Low-, Middle- and High-Income Countries — https://doi.org/10.37075/ea.2025.1.10</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The role of health financing and healthcare workforce on public health outcomes is undeniable. The present study examines the role of domestic government health expenditure, private out-of-pocket health expenditure, physicians, pharmaceutical and nursing staff on life expectancy and under-five infant mortality rate. The comparison is made across three income groups i.e., high, middle-, and low- income countries. For estimation, panel data econometric techniques are applied using macro-level data based on 10 years (2010-2019). The Driscoll-Kraay and Prais-Winsten estimations are robust to heteroscedasticity and serial correlation. The empirical results show that health financing and healthcare workforce are positively related to life expectancy and negative with infant mortality rate. Furthermore, the marginal impact of health financing and workforce differ across countries by different income groups. The impact of pharmacists is higher in middle income countries. In high-income countries the impact of physicians is greater as compared to nurses. Lastly, the marginal impact of nurses among low-income countries is higher in reducing the under-5 mortality rate than increasing the life expectancy.</w:t>
      </w:r>
    </w:p>
    <w:p>
      <w:pPr/>
      <w:r>
        <w:rPr>
          <w:b/>
        </w:rPr>
        <w:t>POSSIBLE 2023:</w:t>
      </w:r>
      <w:r>
        <w:t xml:space="preserve"> Science with the Einstein Telescope: a comparison of different designs — https://doi.org/10.1088/1475-7516/2023/07/068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pPr/>
      <w:r>
        <w:rPr>
          <w:b/>
        </w:rPr>
        <w:t>POSSIBLE 2021:</w:t>
      </w:r>
      <w:r>
        <w:t xml:space="preserve"> A Comparison of Land Use Classifications in Urbanized Areas in Selected European Countries — https://doi.org/10.7494/geom.2021.15.2.59</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real estate cadastre is the primary source of information on land use. It records information related to the division of land into types based on the actual way of land use or development. The distinguished types of land use depend on many geographical factors, as well as historical and economic conditions. The study presents a comparison of the detail of land use classification registered in the real estate cadastre in areas functionally related to the urban areas of 9 European countries: Austria, Bulgaria, the Czech Republic, Estonia, Spain, Lithuania, Luxembourg, Germany and Poland. The research concerned the determination of the degree to which the classification of land use in urbanized areas is detailed, whether the studied European countries are characterized by the same number of distinguished classes of objects at different levels of detail, and what percentage are the distinguished classes of land use objects in urbanized areas in relation to all of the distinguished classes of objects land use at different levels of detail of classification. The study used legal acts regulating land use issues which have been made available in national languages by government institutions.</w:t>
      </w:r>
    </w:p>
    <w:p>
      <w:pPr/>
      <w:r>
        <w:rPr>
          <w:b/>
        </w:rPr>
        <w:t>POSSIBLE 2020:</w:t>
      </w:r>
      <w:r>
        <w:t xml:space="preserve"> Strength Comparison of FDM 3D Printed PLA Made by Different Manufacturers — https://doi.org/10.18421/tem93-18</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Widely used additive manufacturing technique for plastic materials is Fused Deposition Modelling (FDM). The FDM technology has gained interest in industry for a wide range of applications, especially today when large number of different materials on the market are available. There are many different manufacturers for the same FDM material where the difference in price goes up to 50%. This experimental study investigates possible difference in strength of the 3D printed PLA material of five different manufacturers. All specimens are 3D printed on Ultimaker S5 printer with the same printing parameters, and they are all the same colour.</w:t>
      </w:r>
    </w:p>
    <w:p>
      <w:pPr/>
      <w:r>
        <w:rPr>
          <w:b/>
        </w:rPr>
        <w:t>POSSIBLE 2019:</w:t>
      </w:r>
      <w:r>
        <w:t xml:space="preserve"> The five different types of European welfare model — https://doi.org/10.4337/9781789905564.00012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chapter outlines the existing welfare models in Europe. Welfare states are national projects and each has emerged and developed according to the conditions in its own society. This explains the diversity of the established welfare systems in the EU. National conditions with regard to political culture, social and class structures and the balance of power between social groups can also explain the design of welfare institutions in the clusters of welfare state regimes identified. These differences also explain why levels of social spending differ so much and why welfare services are provided in different ways. A comparison is made between the major characteristics of the systems to obtain a clearer view of different welfare regimes in Europe. This provides the context for when recent developments in the welfare arrangements of EU member states are examined in subsequent chapters.</w:t>
      </w:r>
    </w:p>
    <w:p>
      <w:pPr/>
      <w:r>
        <w:rPr>
          <w:b/>
        </w:rPr>
        <w:t>POSSIBLE 2018:</w:t>
      </w:r>
      <w:r>
        <w:t xml:space="preserve"> Comparison of LSG‐design according to German and European Standards — https://doi.org/10.1002/cepa.913</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Recently the German standard for design of glass structures DIN 18008 [1] was revised; an updated version [2] was published as draft version by May 2018. On European level, the two codes EN16612 [3] and EN16613 [4] for design of “infill‐panels” have been published after long period of working on it. The work on Eurocode for Glass is not finished yet, but first ideas do exist. In this paper, the design of Laminated Safety Glass (LSG) according to German design standard DIN 18008 (2010 and 2018) and the European EN16612 with EN16613 (2017) will be compared. As German design standard does not allow using the effect of shear transfer, the application of National Technical Approvals (“allgemeine bauaufsichtliche Zulassung”) together with DIN 18008 for taking shear transfer of interlayer into consideration will be looked at. In the first part, design equations are reviewed, including different values of used material parameters, simplified formulas and safety factors. As the different approaches and assumptions do not make a comparison easy, several examples are calculated to be able to illustrate the differences showing calculation results. In addition, restrictions of different codes are explained. Finally, a link to actual research work on the field of characterizing interlayer materials is made.</w:t>
      </w:r>
    </w:p>
    <w:p>
      <w:pPr/>
      <w:r>
        <w:rPr>
          <w:b/>
        </w:rPr>
        <w:t>POSSIBLE 2017:</w:t>
      </w:r>
      <w:r>
        <w:t xml:space="preserve"> A European-wide 222Radon and 222Radon progeny comparison study [Dataset] — https://doi.org/10.11588/data/10098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Although atmospheric 222Radon (222Rn) activity concentration measurements are currently performed world-wide, they are being made by many different laboratories and with fundamentally different measurement principles, so compatibility issues can limit their utility for regional-to-global applications. Consequently, we conducted a European‐wide 222Rn/222Rn progeny comparison study in order to evaluate the different measurement systems in use, determine potential systematic biases between them, and estimate correction factors that could be applied to harmonize data for their use as a tracer in atmospheric applications. Two compact portable Heidelberg Radon Monitors (HRM) were moved around to run for at least one month at each of the nine European measurement stations included in this comparison. Linear regressions between parallel data sets were calculated, yielding correction factors rela tive to the HRM ranging from 0.68 to 1.45. A calibration bias between ANSTO (Australian Nuclear Science and Technology Organisation) two‐filter radon monitors and the HRM of ANSTO/HRM = 1.11±0.05 was found. Moreover, for the continental stations using one‐filter systems that derive atmospheric 222Rn activity concentrations from measured atmospheric progeny activity concentrations, preliminary 214Po/222Rn disequilibrium values were also estimated. Mean station-specific disequilibrium values betw</w:t>
      </w:r>
    </w:p>
    <w:p>
      <w:pPr/>
      <w:r>
        <w:rPr>
          <w:b/>
        </w:rPr>
        <w:t>POSSIBLE 2015:</w:t>
      </w:r>
      <w:r>
        <w:t xml:space="preserve"> Comparison of actions and resistances in different building design codes — https://doi.org/10.1016/j.jare.2015.11.001</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Structural design codes of different countries provide engineers with data and procedures for design of the various structural components. Building design codes from USA, Europe, and Egypt are considered. Comparisons of the provisions for actions (loads), and for the resistance (strength) of sections in flexural and compressive axial loading are carried out. Several parameters are considered including variable actions for occupancy and different material strengths. The comparison is made considering both concrete and steel structures. Issues and consequences of mixing actions from one code and resistance from another code are also discussed.</w:t>
      </w:r>
    </w:p>
    <w:p>
      <w:pPr/>
      <w:r>
        <w:rPr>
          <w:b/>
        </w:rPr>
        <w:t>POSSIBLE 2015:</w:t>
      </w:r>
      <w:r>
        <w:t xml:space="preserve"> Comparisons on Standards of Test Methods for Bamboo Flooring at Home and Abroad — https://openalex.org/W2393266877</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Standards for test methods of bamboo flooring in China and imported countries and regions such as USA, Europe and Australia were introduced and researched. Test was conducted on the same bamboo flooring samples made from the same factory with different methods for comparison. The result showed that different performance and evaluations with different test demands, conditions with each method.</w:t>
      </w:r>
    </w:p>
    <w:p>
      <w:pPr/>
      <w:r>
        <w:rPr>
          <w:b/>
        </w:rPr>
        <w:t>POSSIBLE 2014:</w:t>
      </w:r>
      <w:r>
        <w:t xml:space="preserve"> Literature survey and comparison of consumer interruption costs in North America and Europe — https://doi.org/10.1109/ccece.2014.6901156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survey on the assessment of electricity consumer interruption costs (CIC) from published literature in North America and Europe was conducted to identify the different approaches adopted by various countries and to make key observations including whether there is any international norm in such CIC assessment. As customer survey was found out to be the de facto approach adopted by utilities in USA and Canada to assess CIC, a further literature search was conducted to ascertain the past practices of CIC customer surveys conducted in these two countries. Finally an attempt was made to compare the CIC in different countries and the results are presented with discussions.</w:t>
      </w:r>
    </w:p>
    <w:p>
      <w:pPr/>
      <w:r>
        <w:rPr>
          <w:b/>
        </w:rPr>
        <w:t>POSSIBLE 2014:</w:t>
      </w:r>
      <w:r>
        <w:t xml:space="preserve"> Family and Welfare in Early Modern Europe: a North–South Comparison — https://doi.org/10.1017/9781782043935.005</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relationship between family and welfare in Europe has long been and continues to be a central theme for historians, anthropologists, sociologists and demographers. Its importance has been given added weight in recent decades by policy debates on the future of welfare provision in many European countries, including Britain. Both current debates and the historiography of the last two decades or so have tended to characterise family forms and welfare regimes in Europe in terms of a north–south (perhaps more accurately a north-west/south-east) divide. Put simply, northern Europe tends to be associated with nuclear family forms, ‘weaker’ family ties, and relatively generous provision of poor relief, both overall but also, and particularly in the case of England, in rural areas. By contrast, southern Europe, and also often eastern Europe, are associated with extended family forms, ‘stronger’ family ties and less generous poor relief provision, restricted in the main to urban areas. The relationships between these variables are complex, yet have serious implications both for our understanding of economic development in Europe and for social policy, both past and present. This chapter aims to offer a critical reflection on the current state of historiography and some of the claims made for different welfare regimes across Europe. It addresses the interrelationship between welfare r</w:t>
      </w:r>
    </w:p>
    <w:p>
      <w:pPr>
        <w:pStyle w:val="Heading2"/>
      </w:pPr>
      <w:r>
        <w:t>1004. The CIRCE Simulations: Regional Climate Change Projections with Realistic Representation of the Mediterranean Sea</w:t>
      </w:r>
    </w:p>
    <w:p>
      <w:pPr>
        <w:pStyle w:val="SourceNote"/>
      </w:pPr>
      <w:r>
        <w:rPr>
          <w:b/>
        </w:rPr>
        <w:t>Original source (2012):</w:t>
      </w:r>
      <w:r>
        <w:t xml:space="preserve"> https://doi.org/10.1175/bams-d-11-00136.1</w:t>
      </w:r>
    </w:p>
    <w:p>
      <w:pPr/>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POSSIBLE 2026:</w:t>
      </w:r>
      <w:r>
        <w:t xml:space="preserve"> Development and Validation of a Novel Contact Force‐Integrated Pulsed Field Quantization Index for Pulmonary Vein Isolation in a Porcine Model — https://doi.org/10.1111/jce.70527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ABSTRACT Introduction There is no bipolar‐specific quantitative ablation index currently available to guide pulsed field ablation (PFA). We aimed to develop and validate a novel contact force (CF)‐integrated pulsed field quantization index (PFQI) for real‐time lesion depth prediction during bipolar PFA. Methods and Results In total, 27 healthy Yorkshire swine were included in a two‐phase preclinical study. In Phase I, a nonlinear multivariable model was developed to derive a novel PFQI incorporating real‐time CF, pulse train number, delivery voltage, and impedance variation. In Phase II, the PFQI was prospectively validated by comparing predicted with actual lesion depth, followed by PFQI‐guided circumferential pulmonary vein isolation (PVI). Acute procedural success, 30‐day PVI durability, and extracardiac safety were evaluated using serial electroanatomic mapping and blinded histopathological examination. Lesion depth was strongly associated with CF, pulse train number, voltage, and impedance change. The PFQI predicted actual depth with high accuracy ( R = 0.94, R 2 = 0.88; validation R 2 = 0.82, slope = 1.014). In the validation cohort, 92% of predicted depths fell within ±0.75 mm of measured values. PFQI‐guided PVI achieved 100% (6/6) acute isolation and 100% 30‐day durable electrical isolation, with contiguous transmural fibrosis on histology. No collateral phrenic nerve, </w:t>
      </w:r>
    </w:p>
    <w:p>
      <w:pPr/>
      <w:r>
        <w:rPr>
          <w:b/>
        </w:rPr>
        <w:t>POSSIBLE 2026:</w:t>
      </w:r>
      <w:r>
        <w:t xml:space="preserve"> Design and Performance Research of a Spindle-Integrated Rotational Piezoelectric Testing System for Upset Force Measurement During Welding Processes — https://doi.org/10.1109/jsen.2026.3671729</w:t>
      </w:r>
    </w:p>
    <w:p>
      <w:pPr/>
      <w:r>
        <w:rPr>
          <w:b/>
        </w:rPr>
        <w:t>Shared claim-specific concepts:</w:t>
      </w:r>
      <w:r>
        <w:t xml:space="preserve"> during, first, simulation; EU scope not established. This is a provisional connection, not an outcome finding.</w:t>
      </w:r>
    </w:p>
    <w:p>
      <w:pPr>
        <w:pStyle w:val="SourceNote"/>
      </w:pPr>
      <w:r>
        <w:rPr>
          <w:b/>
        </w:rPr>
        <w:t>Available abstract (not full text):</w:t>
      </w:r>
      <w:r>
        <w:t xml:space="preserve"> Accurate monitoring of high-frequency upset force during friction stir welding (FSW) is a critical step for optimizing welding process parameters and ensuring joint quality. However, traditional platform-type force gauges cannot measure the upset force in the bobbin tool friction stir welding (BT-FSW) process, which poses a technical challenge. To resolve this issue, a high-frequency spindle-integrated rotational piezoelectric testing system (SIR-PTS) mounted on the equipment spindle was designed. This system uses piezoelectric sensors as measuring elements and comprises a force gauge, a built-in signal conditioning circuit, and monitoring software. First, a theoretical mechanical model under rotational conditions was established to determine the dimensional parameters of the piezoelectric quartz wafers. Subsequently, ANSYS finite element simulation was utilized to analyze the static structural characteristics and dynamic response of the testing system. Meanwhile, a modular hardware circuit integrating charge conversion, filtering, and wireless transmission functions was developed. A series of verification experiments were conducted to evaluate the system performance. The experimental results demonstrate that the system exhibits a static linearity error of 0.64% and a repeatability error of 0.34%. Its main-direction natural frequency is 2082.52 Hz, which meets the requirements </w:t>
      </w:r>
    </w:p>
    <w:p>
      <w:pPr/>
      <w:r>
        <w:rPr>
          <w:b/>
        </w:rPr>
        <w:t>POSSIBLE 2026:</w:t>
      </w:r>
      <w:r>
        <w:t xml:space="preserve"> Development of an integrated computational-experimental framework for predicting grinding force and safety in ultrasonic bone scalpels operations — https://doi.org/10.1038/s41598-026-39710-1</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This study aims to develop a high-precision predictive model for grinding forces generated by ultrasonic bone scalpels during spinal surgery, to enhance safety by establishing quantitative operational boundaries. Existing predictive models often rely on simplified 2D simulations or theoretical decompositions, which may limit accuracy in capturing the complex three-dimensional kinematics and tool–bone interactions. To address this, an integrated framework combining three-dimensional explicit dynamic finite element analysis (FEA) with a Box-Behnken experimental design and response surface methodology was developed. The FEA model realistically simulates tool–bone interaction, while the RSM systematically investigates the coupling effects of bone density (480–800–1640 kg/m 3 ), ultrasonic amplitude (60–100 μm), and feed rate (1–4 mm/s). A second-order polynomial model was derived, revealing that the grinding force increased with bone density (coefficient: + 3.10) and feed rate (coefficient: + 2.55), but decreased with ultrasonic amplitude (coefficient: − 2.52). Rigorous validation via analysis of variance residual diagnostics, and robotic-assisted physical experiments confirmed a maximum prediction error of 7.10%, demonstrating higher accuracy than existing models. Based on a 20 N safety threshold, clinically actionable safety boundaries were visualized as heatmaps, offering clear </w:t>
      </w:r>
    </w:p>
    <w:p>
      <w:pPr/>
      <w:r>
        <w:rPr>
          <w:b/>
        </w:rPr>
        <w:t>POSSIBLE 2025:</w:t>
      </w:r>
      <w:r>
        <w:t xml:space="preserve"> Quantifying PM2.5 Pollution and its Mortality Impacts in Islamabad: An Integrated Approach with Observed and Remote Sensing Data Along with HYSPLIT and AirQ+ Models — https://doi.org/10.18502/jett.v13i2.18539</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pPr/>
      <w:r>
        <w:rPr>
          <w:b/>
        </w:rPr>
        <w:t>POSSIBLE 2025:</w:t>
      </w:r>
      <w:r>
        <w:t xml:space="preserve"> Rolling force modeling based on neural network and mechanism model — https://doi.org/10.1007/s12206-025-0118-4</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pPr/>
      <w:r>
        <w:rPr>
          <w:b/>
        </w:rPr>
        <w:t>POSSIBLE 2025:</w:t>
      </w:r>
      <w:r>
        <w:t xml:space="preserve"> Quadriceps force and medio-laterally directed joint force during knee flexion in a personalized patellofemoral joint model — https://doi.org/10.1186/s12891-025-09397-y</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BACKGROUND: Patellofemoral instability (PFI) is a multifactorial condition influenced by complex interactions between anatomical structures and dynamic stabilizers. Accurate assessment of mediolateral patellofemoral joint loading remains challenging, particularly during physiologically relevant joint angles simulated under controlled kinematic conditions. Anatomy-based individualized musculoskeletal models provide an in-silico approach to investigate these biomechanical parameters, such as the loading patterns. The purpose of this study was to develop individualized musculoskeletal knee models based on MRI-derived anatomical data from cadaveric specimens and to quantify the mediolateral component of the patellofemoral joint reaction force during a standardized, computer-driven squat simulation. Quadriceps muscle forces were estimated to assess the demand on dynamic stabilizers. METHOD AND MATERIAL: : MRI scans from four cadaveric lower limbs were segmented to reconstruct the distal femur, proximal tibia, and patella. The resulting STL bone models of the femur, tibia, and patella were aligned to TLEM2 templates using anatomical landmarks in CATIA V5 and integrated into the AnyBody Modeling System via custom AnyScript routines. A predefined, computer generated squat motion consisting of asymmetric flexion–extension cycle between 0° and 90° at a constant, scripted angular velocity</w:t>
      </w:r>
    </w:p>
    <w:p>
      <w:pPr/>
      <w:r>
        <w:rPr>
          <w:b/>
        </w:rPr>
        <w:t>POSSIBLE 2025:</w:t>
      </w:r>
      <w:r>
        <w:t xml:space="preserve"> Enhanced CNN-BiLSTM-Attention Model for High-Precision Integrated Navigation During GNSS Outages — https://doi.org/10.3390/rs17091542</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The Global Navigation Satellite System (GNSS)/Inertial Navigation System (INS) integrated navigation technology is widely utilized in vehicle positioning. However, in complex environments such as urban canyons or tunnels, GNSS signal outages due to obstructions lead to rapid error accumulation in INS-only operation, with error growth rates reaching 10–50 m per min. To enhance positioning accuracy during GNSS outages, this paper proposes an error compensation method based on CNN-BiLSTM-Attention. When GNSS signals are available, a mapping model is established between specific force, angular velocity, speed, heading angle, and GNSS position increments. During outages, this model, combined with an improved Kalman filter, predicts pseudo-GNSS positions and their covariances in real-time to compute an aided navigation solution. The improved Kalman filter integrates Sage–Husa adaptive filtering and strong tracking Kalman filtering, dynamically estimating noise covariances to enhance robustness and address the challenge of unknown pseudo-GNSS covariances. Real-vehicle experiments conducted in a city in Jiangsu Province simulated a 120 s GNSS outage, demonstrating that the proposed method delivers a stable navigation solution with a post-convergence positioning accuracy of 0.7275 m root mean square error (RMSE), representing a 93.66% improvement over pure INS. Moreover, compared to oth</w:t>
      </w:r>
    </w:p>
    <w:p>
      <w:pPr/>
      <w:r>
        <w:rPr>
          <w:b/>
        </w:rPr>
        <w:t>POSSIBLE 2025:</w:t>
      </w:r>
      <w:r>
        <w:t xml:space="preserve"> Electromigration Failures in Integrated Circuits: A Review of Physics-Based Models and Analytical Methods — https://doi.org/10.3390/electronics14153151</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Electromigration (EM), current-driven atomic diffusion in interconnect metals, critically threatens integrated circuit (IC) reliability via void-induced open circuits and hillock-induced short circuits. This review examines EM’s physical mechanisms, influencing factors, and advanced models, synthesizing seven primary determinants: current density, temperature, material properties, microstructure, geometry, pulsed current, and mechanical stress. It dissects the coupled contributions of electron wind force (dominant EM driver), thermomigration (TM), and stress migration (SM). The review assesses four foundational modeling frameworks: Black’s model, Blech’s criterion, atomic flux divergence (AFD), and Korhonen’s theory. Despite advances in multi-physics simulation and statistical EM analysis, achieving predictive full-chip assessment remains computationally challenging. Emerging research prioritizes the following: (i) model order reduction methods and machine-learning solvers for verification of EM in billion-scale interconnect networks; and (ii) physics-informed routing optimization to inherently eliminate EM violations during physical design. Both are crucial for addressing reliability barriers in IC technologies and 3D heterogeneous integration.</w:t>
      </w:r>
    </w:p>
    <w:p>
      <w:pPr/>
      <w:r>
        <w:rPr>
          <w:b/>
        </w:rPr>
        <w:t>POSSIBLE 2025:</w:t>
      </w:r>
      <w:r>
        <w:t xml:space="preserve"> Improved Social Force Emergency Evacuation Model Considering Emotional Infection — https://doi.org/10.23919/ccc64809.2025.11178660</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To address the behavioral characteristics of personnel evacuation during emergencies and to quantify the influence of emotional contagion on evacuation efficiency, this study integrates emotional contagion with the social force model to develop an enhanced social force emergency evacuation model. Initially, the principle of emotional contagion is investigated through the lenses of heat dissipation and infectious disease principles, with its intensity quantified by incorporating the OCEAN personality model while combining the SIR and SIS models. Subsequently, the quantified intensity of emotional contagion is integrated into the social force model, resulting in two enhanced models: one based on the heat dissipation principle and the other on the infectious disease principle. Finally, simulation rules and an environment for crowd evacuation are established to assess the impact of emotional contagion on evacuation efficiency. The results indicate that the improved social force emergency evacuation model, which incorporates the principles of heat dissipation and infectious disease, aligns with individual movement characteristics during evacuation. In terms of evacuation time and the number of stranded pedestrians at different time steps, the emergency evacuation model of emotional infection social force based on heat dissipation principle is closer to the real experimental data.</w:t>
      </w:r>
    </w:p>
    <w:p>
      <w:pPr/>
      <w:r>
        <w:rPr>
          <w:b/>
        </w:rPr>
        <w:t>POSSIBLE 2025:</w:t>
      </w:r>
      <w:r>
        <w:t xml:space="preserve"> New Insolation Forcing for Paleoclimate Models — https://doi.org/10.5194/egusphere-egu25-14317</w:t>
      </w:r>
    </w:p>
    <w:p>
      <w:pPr/>
      <w:r>
        <w:rPr>
          <w:b/>
        </w:rPr>
        <w:t>Shared claim-specific concepts:</w:t>
      </w:r>
      <w:r>
        <w:t xml:space="preserve"> during, period, climate, show; EU scope not established. This is a provisional connection, not an outcome finding.</w:t>
      </w:r>
    </w:p>
    <w:p>
      <w:pPr>
        <w:pStyle w:val="SourceNote"/>
      </w:pPr>
      <w:r>
        <w:rPr>
          <w:b/>
        </w:rPr>
        <w:t>Available abstract (not full text):</w:t>
      </w:r>
      <w:r>
        <w:t xml:space="preserve"> In paleoclimate simulations, the insolation forcing at the top of the atmosphere needs to be altered to reflect Earth's orbital history during the time interval of interest. General Circulation Models (GCMs) often rely on either a modern orbital configuration to allow for direct comparison to modern and near-future climate simulations—sometimes with snapshot sensitivity experiments (DeepMIP, PlioMIP, etc.)—or they use the Berger (1978) (Ber78) routines to compute the orbital parameters. For snapshot simulations targeting older time periods such as the Eocene, using the modern orbital configuration is inappropriate, because the obliquity amplitude, for example, was much smaller than in the recent past. Our astronomical solutions ZB18a and ZB20a have been shown to produce the best match with geologic data to 58 Ma and 71 Ma, respectively (Zeebe &amp; Lourens 2019, Kocken &amp; Zeebe 2024). The eccentricity of the Ber78 solution diverges from these astronomical solutions already at ~33 ka, shows a different amplitude throughout, and drifts out of phase at ~1.6 Ma. It has been noted in the literature as well as code that the Ber78 routines are not appropriate for an analysis of time periods older than ~1 Myr. However, even recent transient simulations of the past 3 Myr sometimes fall back to using these outdated routines for the full time period. This is likely because of their ease of use</w:t>
      </w:r>
    </w:p>
    <w:p>
      <w:pPr/>
      <w:r>
        <w:rPr>
          <w:b/>
        </w:rPr>
        <w:t>POSSIBLE 2025:</w:t>
      </w:r>
      <w:r>
        <w:t xml:space="preserve"> Guidelines for producing integrated 210Pb and 14C age-models — https://doi.org/10.1016/j.earscirev.2025.105301</w:t>
      </w:r>
    </w:p>
    <w:p>
      <w:pPr/>
      <w:r>
        <w:rPr>
          <w:b/>
        </w:rPr>
        <w:t>Shared claim-specific concepts:</w:t>
      </w:r>
      <w:r>
        <w:t xml:space="preserve"> integrated, forcings, during, climate, special; EU scope not established. This is a provisional connection, not an outcome finding.</w:t>
      </w:r>
    </w:p>
    <w:p>
      <w:pPr>
        <w:pStyle w:val="SourceNote"/>
      </w:pPr>
      <w:r>
        <w:rPr>
          <w:b/>
        </w:rPr>
        <w:t>Available abstract (not full text):</w:t>
      </w:r>
      <w:r>
        <w:t xml:space="preserve"> Accurate reconstructions of past environmental changes are crucial in paleoecological research and require reliable chronologies of sedimentary archives. Establishing robust age-models and obtaining the most appropriate proxies for analysis is a complex scientific endeavor, requiring extensive resources and collaboration among specialists, including radiochronologists. Radiometric dating methods, such as 210 Pb and radiocarbon ( 14 C), are frequently employed to establish chronologies in aquatic sedimentary deposits and peat bogs. In this study, we review key aspects of sampling, analysis, and the principles underlying 210 Pb and 14 C age-models, focusing on methods for developing robust joint chronologies for paleoenvironmental research. Drawing largely from the authors' experiences and group discussions during and after a scientific workshop in 2022, we discuss important considerations for site selection, sampling strategies, and radiometric dating to construct integrated 210 Pb − 14 C age-models. Using expert consensus, this group – called Paleostats – aims to provide a set of best practices for other geochronologists with this methods paper. Among our conclusions, we emphasize the importance of accounting for site-specific factors such as prior information on sedimentation rates to establish appropriate sampling and analytical strategies. The use of appropriate coring devic</w:t>
      </w:r>
    </w:p>
    <w:p>
      <w:pPr/>
      <w:r>
        <w:rPr>
          <w:b/>
        </w:rPr>
        <w:t>POSSIBLE 2025:</w:t>
      </w:r>
      <w:r>
        <w:t xml:space="preserve"> Integrated Population Pharmacokinetic Model of Bemnifosbuvir and Metabolites — https://doi.org/10.70534/shuv4538</w:t>
      </w:r>
    </w:p>
    <w:p>
      <w:pPr/>
      <w:r>
        <w:rPr>
          <w:b/>
        </w:rPr>
        <w:t>Shared claim-specific concepts:</w:t>
      </w:r>
      <w:r>
        <w:t xml:space="preserve"> integrated, observed, first; EU scope not established. This is a provisional connection, not an outcome finding.</w:t>
      </w:r>
    </w:p>
    <w:p>
      <w:pPr>
        <w:pStyle w:val="SourceNote"/>
      </w:pPr>
      <w:r>
        <w:rPr>
          <w:b/>
        </w:rPr>
        <w:t>Available abstract (not full text):</w:t>
      </w:r>
      <w:r>
        <w:t xml:space="preserve"> Objectives: Bemnifosbuvir (BEM: hemisulfate salt, AT-527; free base, AT-511) is an orally administered guanosine nucleotide prodrug under clinical development for the treatment of coronavirus disease 2019 (COVID-19) and chronic hepatitis C virus (HCV). An integrated population PK model was developed to simultaneously characterize the PK of BEM free base AT-511 and its metabolites: the L-alanyl intermediate AT-551, N6-modified nucleoside metabolite AT-229, and the guanosine nucleoside metabolite AT-273 considered the plasma surrogate of the active intracellular triphosphate metabolite.Methods: Models for each analyte were first developed sequentially using rich data from healthy volunteers, starting with AT-511 and adding on the metabolites incrementally. Estimates of the fraction of the dose that reaches the systemic circulation as AT-511, AT-551, AT-229 and AT-273 due to first-pass metabolism were estimated. Food and formulation effects on the relative bioavailability and absorption of AT-511 were incorporated into the structural model. After the individual structural models were established, the models were combined into a single integrated model that simultaneously estimated model parameters for all analytes with data from COVID-19 and HCV patients added. In the integrated model, the first-pass metabolism estimates were fixed to avoid unidentifiability. Model development uti</w:t>
      </w:r>
    </w:p>
    <w:p>
      <w:pPr>
        <w:pStyle w:val="Heading2"/>
      </w:pPr>
      <w:r>
        <w:t>1005. The Great Future Debate and the Struggle for the World</w:t>
      </w:r>
    </w:p>
    <w:p>
      <w:pPr>
        <w:pStyle w:val="SourceNote"/>
      </w:pPr>
      <w:r>
        <w:rPr>
          <w:b/>
        </w:rPr>
        <w:t>Original source (2012):</w:t>
      </w:r>
      <w:r>
        <w:t xml:space="preserve"> https://doi.org/10.1093/ahr/117.5.1411</w:t>
      </w:r>
    </w:p>
    <w:p>
      <w:pPr/>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POSSIBLE 2026:</w:t>
      </w:r>
      <w:r>
        <w:t xml:space="preserve"> “The Ultimate Hustlers”: Markets, Single Mothers, and Radical Care Praxis in Kampala, Uganda — https://doi.org/10.1080/24694452.2026.2659159</w:t>
      </w:r>
    </w:p>
    <w:p>
      <w:pPr/>
      <w:r>
        <w:rPr>
          <w:b/>
        </w:rPr>
        <w:t>Shared claim-specific concepts:</w:t>
      </w:r>
      <w:r>
        <w:t xml:space="preserve"> not, only, but, also, ways; EU scope not established. This is a provisional connection, not an outcome finding.</w:t>
      </w:r>
    </w:p>
    <w:p>
      <w:pPr>
        <w:pStyle w:val="SourceNote"/>
      </w:pPr>
      <w:r>
        <w:rPr>
          <w:b/>
        </w:rPr>
        <w:t>Available abstract (not full text):</w:t>
      </w:r>
      <w:r>
        <w:t xml:space="preserve"> In this article, we examine precarious labor geographies via a feminist analysis of care and social reproduction. To do so, we center the lives of women traders working in the busy downtown market spaces of Kampala, Uganda. We examine their creative and collective business strategies, and the broader networks of family, friends, and other dependents they support. Through their testimonies, we trace the legacies of colonial capitalist histories and the more recent but connected impacts of neoliberal disenfranchisement. We argue that their hustle, grounded in and made possible via structures of care, not only makes life livable for low-income residents but is foundational to the national economy and the financing of city futures. We view hustle and care as connected practices of social reproduction in postcolonial African economies. In doing so, we aim to build on long-standing feminist Marxist economic geographies via Black and African feminist futurist scholarship. Doing so recognizes how women traders bear the burdens of aggressive neoliberal austerities as racialized women in the global economy. Yet it also traces the complex ways they manage, make do, navigate, and dream within and beyond its violences. Pairing the work on hustling with African and Black feminist theorizations of radical care, we foreground how women, their labor, and their sustained investments in the city </w:t>
      </w:r>
    </w:p>
    <w:p>
      <w:pPr/>
      <w:r>
        <w:rPr>
          <w:b/>
        </w:rPr>
        <w:t>POSSIBLE 2026:</w:t>
      </w:r>
      <w:r>
        <w:t xml:space="preserve"> The Revolution Inside Wells’s War — https://doi.org/10.1093/9780191993800.003.0015</w:t>
      </w:r>
    </w:p>
    <w:p>
      <w:pPr/>
      <w:r>
        <w:rPr>
          <w:b/>
        </w:rPr>
        <w:t>Shared claim-specific concepts:</w:t>
      </w:r>
      <w:r>
        <w:t xml:space="preserve"> radically, different, understandings, but, also; EU scope not established. This is a provisional connection, not an outcome finding.</w:t>
      </w:r>
    </w:p>
    <w:p>
      <w:pPr>
        <w:pStyle w:val="SourceNote"/>
      </w:pPr>
      <w:r>
        <w:rPr>
          <w:b/>
        </w:rPr>
        <w:t>Available abstract (not full text):</w:t>
      </w:r>
      <w:r>
        <w:t xml:space="preserve"> Abstract This chapter examines three of the major texts Wells produced around the time of the First World War—The World Set Free, The War That Will End War, and Mr. Britling Sees It Through—and discovers fresh understandings of what the war meant for Wells. Using the critical idea of the historical novel sequence, this chapter joins writings ostensibly and even radically different—a fantastical futurist vision, a polemical set of editorials, and an historical novel on the war already underway—and connects them under an idea graspable in fragments in each but as a totality in the threesome. This is the idea of a revolution that the war originally configured and, in longer course for many authors, already in shorter course for Wells, also radically disappointed. Wells reveals his singularity in this regard.</w:t>
      </w:r>
    </w:p>
    <w:p>
      <w:pPr/>
      <w:r>
        <w:rPr>
          <w:b/>
        </w:rPr>
        <w:t>POSSIBLE 2026:</w:t>
      </w:r>
      <w:r>
        <w:t xml:space="preserve"> Is all decolonialism metaphorical? On the aesthetics of decolonizing humanitarian futures — https://doi.org/10.1017/s0260210526102113</w:t>
      </w:r>
    </w:p>
    <w:p>
      <w:pPr/>
      <w:r>
        <w:rPr>
          <w:b/>
        </w:rPr>
        <w:t>Shared claim-specific concepts:</w:t>
      </w:r>
      <w:r>
        <w:t xml:space="preserve"> radically, different, ways, political; EU scope not established. This is a provisional connection, not an outcome finding.</w:t>
      </w:r>
    </w:p>
    <w:p>
      <w:pPr>
        <w:pStyle w:val="SourceNote"/>
      </w:pPr>
      <w:r>
        <w:rPr>
          <w:b/>
        </w:rPr>
        <w:t>Available abstract (not full text):</w:t>
      </w:r>
      <w:r>
        <w:t xml:space="preserve"> Abstract Decolonialism generates a different kind of expertise. Against disembodied, technocratic, and purportedly neutral notions of objectivity as producing expertise, decolonial theory, practice, and politics instead situates expertise as a matter of contextual embeddedness, autonomous agency outside Eurocentric systems of thought, and a futurist imaginary that promises radical global change. Increasingly – moreover – this idea of decolonial expertise is being promoted at the heart of global governance institutions, and particularly humanitarian organizations. In this article, I explore how this has occurred, and its political tensions, in three main ways. First, I tease out how this decolonial challenge to expertise is an aesthetic one – grounded in critiques of how traditional and power-inflected notions of objectivity are themselves aesthetically produced. Second, and drawing on the analysis of the rise of decolonial discourse in humanitarianism, I unpack how decolonialism has mobilized a counter-aesthetic that challenges the appropriateness of that purportedly neutral aesthetic. Finally, I explore the implications of this aesthetic generation of (decolonial) expertise for decolonial politics more broadly, suggesting that – pace critics of ‘metaphorical’ forms of decolonialism – the aesthetic generation of expertise has the potential to radically advance decolonial object</w:t>
      </w:r>
    </w:p>
    <w:p>
      <w:pPr/>
      <w:r>
        <w:rPr>
          <w:b/>
        </w:rPr>
        <w:t>POSSIBLE 2025:</w:t>
      </w:r>
      <w:r>
        <w:t xml:space="preserve"> THE ANTI-THEATER OF FUTURISTS AND DADAISTS AS A REFUTATION OF ARISTOTLE’S CONCEPT OF MIMETIC THEATER — https://doi.org/10.30970/vas.26.2025.206-216</w:t>
      </w:r>
    </w:p>
    <w:p>
      <w:pPr/>
      <w:r>
        <w:rPr>
          <w:b/>
        </w:rPr>
        <w:t>Shared claim-specific concepts:</w:t>
      </w:r>
      <w:r>
        <w:t xml:space="preserve"> futurists, not, only, way, but, also; EU scope not established. This is a provisional connection, not an outcome finding.</w:t>
      </w:r>
    </w:p>
    <w:p>
      <w:pPr>
        <w:pStyle w:val="SourceNote"/>
      </w:pPr>
      <w:r>
        <w:rPr>
          <w:b/>
        </w:rPr>
        <w:t>Available abstract (not full text):</w:t>
      </w:r>
      <w:r>
        <w:t xml:space="preserve">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pPr/>
      <w:r>
        <w:rPr>
          <w:b/>
        </w:rPr>
        <w:t>POSSIBLE 2025:</w:t>
      </w:r>
      <w:r>
        <w:t xml:space="preserve"> A MASS EFFECT CASE STUDY OF MORPHED HUMANITY, FROM INDIVIDUALS TO POPULATIONS IN A BIOTECHNOLOGICAL FUTURIST SOCIETY — https://openalex.org/W7112949524</w:t>
      </w:r>
    </w:p>
    <w:p>
      <w:pPr/>
      <w:r>
        <w:rPr>
          <w:b/>
        </w:rPr>
        <w:t>Shared claim-specific concepts:</w:t>
      </w:r>
      <w:r>
        <w:t xml:space="preserve"> way, but, political; EU scope not established. This is a provisional connection, not an outcome finding.</w:t>
      </w:r>
    </w:p>
    <w:p>
      <w:pPr>
        <w:pStyle w:val="SourceNote"/>
      </w:pPr>
      <w:r>
        <w:rPr>
          <w:b/>
        </w:rPr>
        <w:t>Available abstract (not full text):</w:t>
      </w:r>
      <w:r>
        <w:t xml:space="preserve"> The monster is an icon of literary discussion and criticism, cemented by Cohen’s ‘monster theory’ (1996), with his conceptualisations vital for “understanding [the] cultural creation of monsters” (Gloyn, 2020). Gothic scholar Halberstam argued that “...the emergence of the monster within Gothic fiction marks a peculiarly modern emphasis upon the horror of particular kinds of bodies” (1995, p.3). It is the postmodern monster that will become the subject of this thesis. This thesis re-engages with the monster, arguing that the rise of biotechnology and audience relations to this technology, provides a new lens for examining monsters that are created, reflected in the growth of the subgenre Lars Schmeink terms ‘biopunk’ (2016). Brodwin asserts that the uncertainties emerging from biotechnological developments change how the body is conceptualised and categorised as the body is an arbiter of political relations (2000, p.7). The thesis proposes that biotechnology has morphed humanity but, despite this, there are instances of biotechnological interventions (or disruptions) that are treated with suspicion, and their recipients, the icons known as mutants, face othering. This thesis therefore proposes a subspecies of the monster: the mutant, a literary icon representing the monsterisation of those altered by new forms of intervention and this is utilised through a case study of the pop</w:t>
      </w:r>
    </w:p>
    <w:p>
      <w:pPr/>
      <w:r>
        <w:rPr>
          <w:b/>
        </w:rPr>
        <w:t>POSSIBLE 2025:</w:t>
      </w:r>
      <w:r>
        <w:t xml:space="preserve"> Russian Formalism and Modernist Formalesque: Radical Linguistic Aesthetics of Kazimir Malevich and Velimir Khlebnikov — https://doi.org/10.1215/03335372-11928069</w:t>
      </w:r>
    </w:p>
    <w:p>
      <w:pPr/>
      <w:r>
        <w:rPr>
          <w:b/>
        </w:rPr>
        <w:t>Shared claim-specific concepts:</w:t>
      </w:r>
      <w:r>
        <w:t xml:space="preserve"> not, only, but, also; EU scope not established. This is a provisional connection, not an outcome finding.</w:t>
      </w:r>
    </w:p>
    <w:p>
      <w:pPr>
        <w:pStyle w:val="SourceNote"/>
      </w:pPr>
      <w:r>
        <w:rPr>
          <w:b/>
        </w:rPr>
        <w:t>Available abstract (not full text):</w:t>
      </w:r>
      <w:r>
        <w:t xml:space="preserve"> Abstract The semiotic, particularly linguistic, essence of Futurism arguably laid the foundation for the early theories of Russian Formalism. Viktor Shklovsky, drawing inspiration from Futurist works, introduced the intriguing concept of the resurrection of the word to establish the theory of creative estrangement. Within Russian Modernism and Avant-Garde, exemplified by Symbolism and Futurism, a noteworthy development was establishing a dynamic interaction between verbal and visual elements. Avant-gardist visionaries, not only artists but also literary innovators, seamlessly integrated advancements from visual art, giving rise to a novel form of symbiotic semiosis. Consequently, the conventional boundaries between diverse art forms blurred, marking a distinctive Formalist feature that aligns with international Modernist aesthetics. This essay discusses this aesthetic through the prism of linguistic innovation and pragmatically oriented semiotics.</w:t>
      </w:r>
    </w:p>
    <w:p>
      <w:pPr/>
      <w:r>
        <w:rPr>
          <w:b/>
        </w:rPr>
        <w:t>POSSIBLE 2025:</w:t>
      </w:r>
      <w:r>
        <w:t xml:space="preserve"> The roots of reactionary tech oligarchy and the need for radical democratic alternatives — https://doi.org/10.1093/ccc/tcaf011</w:t>
      </w:r>
    </w:p>
    <w:p>
      <w:pPr/>
      <w:r>
        <w:rPr>
          <w:b/>
        </w:rPr>
        <w:t>Shared claim-specific concepts:</w:t>
      </w:r>
      <w:r>
        <w:t xml:space="preserve"> not, only, but, also, political; EU scope not established. This is a provisional connection, not an outcome finding.</w:t>
      </w:r>
    </w:p>
    <w:p>
      <w:pPr>
        <w:pStyle w:val="SourceNote"/>
      </w:pPr>
      <w:r>
        <w:rPr>
          <w:b/>
        </w:rPr>
        <w:t>Available abstract (not full text):</w:t>
      </w:r>
      <w:r>
        <w:t xml:space="preserve"> Abstract The aim for this commentary is two-fold: first, we seek to outline how decades of liberal “post-democratic” hegemony—prevalent across liberal democratic parliaments, journalism, and academia—have enabled the rise of reactionary tech oligarchy. Second, we call for cross-disciplinary and cross-societal alliances that not only reject depoliticized euphemisms such as “polarization,” “populism,” and “post-truth,” but also actively commit to building radical democratic alternatives to both the failed liberal democratic status quo and its authoritarian outgrowth. Departing from the growing overt involvements of tech billionaires in authoritarian movements—financially, politically, discursively—we build on emergent scholarship to highlight failures in understanding the rise of reactionary tech, through its historical roots, financial and political power, and discursive reach.</w:t>
      </w:r>
    </w:p>
    <w:p>
      <w:pPr/>
      <w:r>
        <w:rPr>
          <w:b/>
        </w:rPr>
        <w:t>POSSIBLE 2024:</w:t>
      </w:r>
      <w:r>
        <w:t xml:space="preserve"> A pluriversal definition of Futures Studies: critical futures studies from margin to centre — https://doi.org/10.4337/9781035301607.00013</w:t>
      </w:r>
    </w:p>
    <w:p>
      <w:pPr/>
      <w:r>
        <w:rPr>
          <w:b/>
        </w:rPr>
        <w:t>Shared claim-specific concepts:</w:t>
      </w:r>
      <w:r>
        <w:t xml:space="preserve"> futurists, different, but, also, ways; EU scope not established. This is a provisional connection, not an outcome finding.</w:t>
      </w:r>
    </w:p>
    <w:p>
      <w:pPr>
        <w:pStyle w:val="SourceNote"/>
      </w:pPr>
      <w:r>
        <w:rPr>
          <w:b/>
        </w:rPr>
        <w:t>Available abstract (not full text):</w:t>
      </w:r>
      <w:r>
        <w:t xml:space="preserve"> Decolonial futures, African futurity, Afrofuturism, and feminist futures are currently framed in futures studies, at best as important ‘critical’ or alternative add-ons, at worst, marginal futures pursued by particular voices. I aspire to demonstrate why these ‘critical’ or ‘radical futures’ approaches should be read as essential in a pluriversal approach to futures studies. If our field is truly interdisciplinary, its centre(s) should reflect the pluriversality of its past, present, and future. By doing so, I claim that the aforementioned approaches, also known as critical futures, are the ones helping futurists today articulate the most fundamental questions for the definition of futures studies. They are therefore everything but peripheral. These key questions are structured around the importance of agency in a broader understanding of futures studies. They articulate imagination, rest, empathy, engaged participation, and the admission of ignorance as central pillars of the work of futurists. First describing the central questions from these four ‘schools of thought’ and their centrality for futures studies, the chapter finds in their misclassification one of the explanations for their erasure and proposes five ways to prevent its perpetuation. A pluriversal definition of futures studies as the documentation, implementation, and assessment of the instrumentalisation of the f</w:t>
      </w:r>
    </w:p>
    <w:p>
      <w:pPr/>
      <w:r>
        <w:rPr>
          <w:b/>
        </w:rPr>
        <w:t>POSSIBLE 2024:</w:t>
      </w:r>
      <w:r>
        <w:t xml:space="preserve"> THE IMPORTANCE OF FUTURISM FOR THE NEW AESTHETICS OF FASHION — https://doi.org/10.22405/2304-4772-2024-1-2-46-55</w:t>
      </w:r>
    </w:p>
    <w:p>
      <w:pPr/>
      <w:r>
        <w:rPr>
          <w:b/>
        </w:rPr>
        <w:t>Shared claim-specific concepts:</w:t>
      </w:r>
      <w:r>
        <w:t xml:space="preserve"> futurists, different, not, only, but, also; EU scope not established. This is a provisional connection, not an outcome finding.</w:t>
      </w:r>
    </w:p>
    <w:p>
      <w:pPr>
        <w:pStyle w:val="SourceNote"/>
      </w:pPr>
      <w:r>
        <w:rPr>
          <w:b/>
        </w:rPr>
        <w:t>Available abstract (not full text):</w:t>
      </w:r>
      <w:r>
        <w:t xml:space="preserve"> The purpose of the article is to identify the significance of futurism for the developmentof a new aesthetic view on contemporary fashion. Futurism, originating within the avant-garde artof the twentieth century, appeared as an integral artistic and aesthetic movement that left a tracenot only in art, but also influenced the aesthetics of fashion.Scientific novelty. The theory and practice of avant-garde movements are analyzed bymost researchers within the framework of literary and pictorial creativity, while the sphere ofcostume creation as an object of fashion remains third-rate for the researchers of futurism.Understanding the origins of the costume transformation initiated by the Futurists is not given dueattention, while the idea of destroying the boundaries between separate types of art has been mostembodied in this movement in the innovative artistic and aesthetic trend of vestimentary fashion.Thanks to the search for a new aesthetic image of a person, developed methods of working withartistic and expressive means, the Futurists gave a powerful impetus to changes in fashion ideals,which further affected the development of fashion aesthetics. The results of the study. The futuristic trend is relevant in our time, having resumed itsdevelopment in the 1960s on the basis of utopian images of the future, marking the beginning ofthe space age, the artistic and aesthetic phenom</w:t>
      </w:r>
    </w:p>
    <w:p>
      <w:pPr/>
      <w:r>
        <w:rPr>
          <w:b/>
        </w:rPr>
        <w:t>POSSIBLE 2024:</w:t>
      </w:r>
      <w:r>
        <w:t xml:space="preserve"> Radical Left Culture and Heritage, the Politics of Preservation and Memorialisation, and the Promise of the Metaverse — https://doi.org/10.3390/heritage7020026</w:t>
      </w:r>
    </w:p>
    <w:p>
      <w:pPr/>
      <w:r>
        <w:rPr>
          <w:b/>
        </w:rPr>
        <w:t>Shared claim-specific concepts:</w:t>
      </w:r>
      <w:r>
        <w:t xml:space="preserve"> but, project, political; EU scope not established. This is a provisional connection, not an outcome finding.</w:t>
      </w:r>
    </w:p>
    <w:p>
      <w:pPr>
        <w:pStyle w:val="SourceNote"/>
      </w:pPr>
      <w:r>
        <w:rPr>
          <w:b/>
        </w:rPr>
        <w:t>Available abstract (not full text):</w:t>
      </w:r>
      <w:r>
        <w:t xml:space="preserve"> Radical left culture and heritage—understood as incarnations of leftist artefacts and praxis both past and present—have taken risks in challenging hegemonic machinations often when it is unpopular to do so. To the ire of hegemons, leftist projects across the globe have marshalled places, spaces, and technologies into sites of empowerment and struggle utilising ‘small’ and ‘big’ acts of resistance and critical interventions to champion social justice—sometimes successfully, and at other times, less so. However, the preservation of projects’ artefacts, praxis, and memory work has been anything but straightforward, owing primarily to institutional politics and infrastructural and resourcing issues. Taking The Freedom Archives (FA) as a case study, this article explores how FA is preserving the distinctive political education programme that underpinned the iconic liberation struggle in Guinea-Bissau that kickstarted the seismic, global decolonisation project in the late 1950s. The article argues that FA could substantially enhance the preservation and memorialisation of that programme in the Metaverse—if this materialises as a fully open, interoperable, and highly immersive space (1) unfettered by hegemonic regulation, and (2) characterised by ‘strategic witnessing’, ‘radical recordkeeping’, and user agency. In doing so, FA would serve as an exemplar for leftist projects globally.</w:t>
      </w:r>
    </w:p>
    <w:p>
      <w:pPr/>
      <w:r>
        <w:rPr>
          <w:b/>
        </w:rPr>
        <w:t>POSSIBLE 2023:</w:t>
      </w:r>
      <w:r>
        <w:t xml:space="preserve"> Rhetorical Strategies and Gender in Marinetti's Futurist Manifesto — https://doi.org/10.5406/23256672.100.5.13</w:t>
      </w:r>
    </w:p>
    <w:p>
      <w:pPr/>
      <w:r>
        <w:rPr>
          <w:b/>
        </w:rPr>
        <w:t>Shared claim-specific concepts:</w:t>
      </w:r>
      <w:r>
        <w:t xml:space="preserve"> different, only, but, also, ways, control; EU scope not established. This is a provisional connection, not an outcome finding.</w:t>
      </w:r>
    </w:p>
    <w:p>
      <w:pPr>
        <w:pStyle w:val="SourceNote"/>
      </w:pPr>
      <w:r>
        <w:rPr>
          <w:b/>
        </w:rPr>
        <w:t>Available abstract (not full text):</w:t>
      </w:r>
      <w:r>
        <w:t xml:space="preserve">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pPr/>
      <w:r>
        <w:rPr>
          <w:b/>
        </w:rPr>
        <w:t>POSSIBLE 2023:</w:t>
      </w:r>
      <w:r>
        <w:t xml:space="preserve"> The Digital Divide and Futurist Imaginings of Zelle‐ous Resistors — https://doi.org/10.17645/si.v11i3.6867</w:t>
      </w:r>
    </w:p>
    <w:p>
      <w:pPr/>
      <w:r>
        <w:rPr>
          <w:b/>
        </w:rPr>
        <w:t>Shared claim-specific concepts:</w:t>
      </w:r>
      <w:r>
        <w:t xml:space="preserve"> understandings, not, but, ways; EU scope not established. This is a provisional connection, not an outcome finding.</w:t>
      </w:r>
    </w:p>
    <w:p>
      <w:pPr>
        <w:pStyle w:val="SourceNote"/>
      </w:pPr>
      <w:r>
        <w:rPr>
          <w:b/>
        </w:rPr>
        <w:t>Available abstract (not full text):</w:t>
      </w:r>
      <w:r>
        <w:t xml:space="preserve">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pPr>
        <w:pStyle w:val="Heading2"/>
      </w:pPr>
      <w:r>
        <w:t>1006. The future of direct payments system in the EU agriculture; European Commission scenarios</w:t>
      </w:r>
    </w:p>
    <w:p>
      <w:pPr>
        <w:pStyle w:val="SourceNote"/>
      </w:pPr>
      <w:r>
        <w:rPr>
          <w:b/>
        </w:rPr>
        <w:t>Original source (2012):</w:t>
      </w:r>
      <w:r>
        <w:t xml:space="preserve"> https://doi.org/10.22630/prs.2012.12.3.38</w:t>
      </w:r>
    </w:p>
    <w:p>
      <w:pPr/>
      <w:r>
        <w:t>Original wording (abstract; indexed_source_text_not_full_document_verified): Different scenarios of the current system adjustments, as proposed by the European Commission, are presented.</w:t>
      </w:r>
    </w:p>
    <w:p>
      <w:pPr/>
      <w:r>
        <w:rPr>
          <w:b/>
        </w:rPr>
        <w:t>POSSIBLE 2025:</w:t>
      </w:r>
      <w:r>
        <w:t xml:space="preserve"> Recommendations of the European Commission on the efficiency of justice and their impact on improving enforcement proceedings in Ukraine — https://doi.org/10.24144/2788-6018.2025.04.3.65</w:t>
      </w:r>
    </w:p>
    <w:p>
      <w:pPr/>
      <w:r>
        <w:rPr>
          <w:b/>
        </w:rPr>
        <w:t>Shared claim-specific concepts:</w:t>
      </w:r>
      <w:r>
        <w:t xml:space="preserve"> different, current, system, proposed, commission; EU scope visible. This is a provisional connection, not an outcome finding.</w:t>
      </w:r>
    </w:p>
    <w:p>
      <w:pPr>
        <w:pStyle w:val="SourceNote"/>
      </w:pPr>
      <w:r>
        <w:rPr>
          <w:b/>
        </w:rPr>
        <w:t>Available abstract (not full text):</w:t>
      </w:r>
      <w:r>
        <w:t xml:space="preserve"> This article reveals the role of the European Commission for the Efficiency of Justice (CEPEJ) in improving the state of enforcement of court decisions and other bodies in Ukraine. The activities of this Commission are aimed at reducing the burden on the European Court of Human Rights (hereinafter referred to as the ECHR) by improving the efficiency and quality of the judicial system in the member states. Since Ukraine is a member of the Council of Europe, it should take into account the CEPEJ Recommendations on improving the state of enforcement of court decisions, in particular, whenimproving the legislation on enforcement proceedings in Ukraine. The Guidelines for the implementation of the relevant Council of Europe recommendations on the enforcement of court decisions, developed by the CEPEJ, are analyzed. The need for such CEPEJ Recommendations is also due to the fact that Ukraine ranks third in the number of applications to the European Court of Human Rights, which indicates problems with the enforcement of decisions of national courts as well as decisions of the ECHR. It is proposed to develop a Program for the Implementation of the CEPEJ Guidelines into the legislation of Ukraine on enforcement proceedings and to take them into account in the draft amendments to the Law of Ukraine “On Enforcement Proceedings”. The following CEPEJ Guidelines have been analyzed: the princ</w:t>
      </w:r>
    </w:p>
    <w:p>
      <w:pPr/>
      <w:r>
        <w:rPr>
          <w:b/>
        </w:rPr>
        <w:t>POSSIBLE 2024:</w:t>
      </w:r>
      <w:r>
        <w:t xml:space="preserve"> Tax Challenges Arising from Digitalization: Evaluating the Taxation Models Proposed by the European Commission and the OECD — https://doi.org/10.31743/recl.17376</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The world has entered a period of deep transition with rapid and phenomenal development of innovations. The rise of the digital economy has dramatically changed the global business environment, creating new challenges for the tax system. Newspapers and magazines are being replaced by the Internet, and trade in material goods – by digital services. The digital economy eliminates the barriers of time, space and distance. The server where the transaction is processed, the location from which the goods or services are supplied and the place of supply of such goods or services are in different jurisdictions, therefore, the question “Where should the transaction be taxed?” is raised. Meanwhile, the digital economy opens up unprecedented opportunities to avoid taxes with the international tax rules which are still “stuck” in 20th-century business concepts, because the companies operating in the digital space do not need factories, stores or other permanent residences to develop their activities. This article aims to evaluate the efforts of the European Union and international standard-setting entities to find a solution for fair taxation of the digital economy. The first part of the article delves into the concept of the digital economy and its essential features with a special emphasis on the role of the digital service user which is unique and more complex than the role usually play</w:t>
      </w:r>
    </w:p>
    <w:p>
      <w:pPr/>
      <w:r>
        <w:rPr>
          <w:b/>
        </w:rPr>
        <w:t>POSSIBLE 2024:</w:t>
      </w:r>
      <w:r>
        <w:t xml:space="preserve"> Novelties Proposed by the European Commission on Victims’ Rights Protection and its Relevance for Serbian Authorities — https://doi.org/10.47152/palic2024.2</w:t>
      </w:r>
    </w:p>
    <w:p>
      <w:pPr/>
      <w:r>
        <w:rPr>
          <w:b/>
        </w:rPr>
        <w:t>Shared claim-specific concepts:</w:t>
      </w:r>
      <w:r>
        <w:t xml:space="preserve"> system, proposed, commission; EU scope visible. This is a provisional connection, not an outcome finding.</w:t>
      </w:r>
    </w:p>
    <w:p>
      <w:pPr>
        <w:pStyle w:val="SourceNote"/>
      </w:pPr>
      <w:r>
        <w:rPr>
          <w:b/>
        </w:rPr>
        <w:t>Available abstract (not full text):</w:t>
      </w:r>
      <w:r>
        <w:t xml:space="preserve"> An estimated 75 million people in the European Union fall victim to crime every year reflects the significant impact of criminal activities on considerable portion of the population. Crime victims may experience a range of physical, emotional, and financial consequences, underscoring the importance of effective legal frameworks, support services, and policies to address their needs. The protection of victims’ rights is a crucial aspect of the criminal justice system in the EU. The EU has taken steps to enhance the right and protection of victims through initiatives such as the Victims’ Rights Directive and the EU Strategy on Victims’ Rights. The Victims’ Rights Directive, adopted in 2012, establishes minimum standards for the rights, support, and protection of victims of crime across the EU. The Directive aims to ensure that victims are recognized, treated with respect, and have access to information, support services, and fair treatment throughout the criminal justice process. In June 2022, the European Commission conducted and evaluation of the Victims’ Rights Directive as part of its commitment outlined in the EU Strategy on Victims’ Rights 2020-2025. The Strategy focuses on enhancing victims’ rights, ensuring their effective implementation, and addressing emerging challenges in this area. Following the evaluation, on July 12, 2023, the European Commission proposed amendment</w:t>
      </w:r>
    </w:p>
    <w:p>
      <w:pPr/>
      <w:r>
        <w:rPr>
          <w:b/>
        </w:rPr>
        <w:t>POSSIBLE 2024:</w:t>
      </w:r>
      <w:r>
        <w:t xml:space="preserve"> The Effect of Different Point Systems on European League Positions — https://doi.org/10.18178/ijssh.2024.14.1.1189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The introduction of three points for a win in European football during the 1980s and 90s was intended to promote a more attacking style of play and thus more goal scoring and entertainment for viewers. However, subsequent studies showed that the change did not have the desired effect and led to unexpected outcomes such as a rise in foul play, as measured by the number of red cards. In this paper, we investigate the outcome of assigning points in alternate ways. We consider several modifications of both the current system (with 3 points awarded for a win and 1 point for a draw) and the original system (with 2 points awarded for a win and 1 point for a draw), including the effect of awarding bonus points for large margin victories and a deduction of points for large margin defeats. Combinations of these modifications led to 175 different systems being analyzed. Based on data from the top five European leagues, we conclude that solely modifying the point system does not have a significant impact on the standings, with the average change in the ordinal rankings ranging from 0.44 to 0.95 placings per season, and that the final ranking of the teams at the end of the season is largely independent of the point system and based on the relative playing strength of the teams. However, a much greater variation is seen once bonus and penalty points are added for large margin victories and d</w:t>
      </w:r>
    </w:p>
    <w:p>
      <w:pPr/>
      <w:r>
        <w:rPr>
          <w:b/>
        </w:rPr>
        <w:t>POSSIBLE 2023:</w:t>
      </w:r>
      <w:r>
        <w:t xml:space="preserve"> Agroecology research in Europe funded by European and transnational programmes: current status and perspectives — https://doi.org/10.12688/openreseurope.15264.2</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Background: Redesigning the agri-food system through agroecology represents a common ambition among practitioners, activists and scholars to achieve environmental and socio-economic sustainability. Research can have a main role to support this path. Although it seems that there is a gradual increasing body of agroecology research, it clearly lacks good knowledge about this. The main objective of this study was therefore to map research projects related to agroecology in Europe with the aim to characterize European research in terms of implementation of agroecology elements, identify needs for future cross collaboration between countries and networks, and support the setting up of appropriate research agendas fostering agroecology research in Europe. Methods: A desktop research with different databases related to European and transnational funding programmes was carried out to identify funded research projects involved in agroecology. The obtained projects were used to perform a social network analysis. Furthermore, two surveys were conducted, one with coordinators of identified projects and a second one for researchers engaged in agroecology. Results: Our study highlighted a predominant trajectory of agroecology research prone to the transformation of the agri-food system. France, Germany, Italy, Netherlands, Portugal, Spain, and United Kingdom were the most active countries en</w:t>
      </w:r>
    </w:p>
    <w:p>
      <w:pPr/>
      <w:r>
        <w:rPr>
          <w:b/>
        </w:rPr>
        <w:t>POSSIBLE 2022:</w:t>
      </w:r>
      <w:r>
        <w:t xml:space="preserve"> Judicial coherence in the current European patent system — https://doi.org/10.4337/9781800880078.00009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pPr/>
      <w:r>
        <w:rPr>
          <w:b/>
        </w:rPr>
        <w:t>POSSIBLE 2022:</w:t>
      </w:r>
      <w:r>
        <w:t xml:space="preserve"> Disinformation regarding COVID-19 in light of the priorities of the European Commission and the legal regulations binding and currently drafted in Poland — https://doi.org/10.31743/recl.13539</w:t>
      </w:r>
    </w:p>
    <w:p>
      <w:pPr/>
      <w:r>
        <w:rPr>
          <w:b/>
        </w:rPr>
        <w:t>Shared claim-specific concepts:</w:t>
      </w:r>
      <w:r>
        <w:t xml:space="preserve"> different, proposed, commission; EU scope visible. This is a provisional connection, not an outcome finding.</w:t>
      </w:r>
    </w:p>
    <w:p>
      <w:pPr>
        <w:pStyle w:val="SourceNote"/>
      </w:pPr>
      <w:r>
        <w:rPr>
          <w:b/>
        </w:rPr>
        <w:t>Available abstract (not full text):</w:t>
      </w:r>
      <w:r>
        <w:t xml:space="preserve">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pPr/>
      <w:r>
        <w:rPr>
          <w:b/>
        </w:rPr>
        <w:t>POSSIBLE 2022:</w:t>
      </w:r>
      <w:r>
        <w:t xml:space="preserve"> Evaluation of the Proposed European Commission Directive on Critical Entities Resilience and Its Potential to Consolidate the Resilience Terminology — https://doi.org/10.3850/978-981-18-5183-4_s21-02-213</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pPr/>
      <w:r>
        <w:rPr>
          <w:b/>
        </w:rPr>
        <w:t>POSSIBLE 2022:</w:t>
      </w:r>
      <w:r>
        <w:t xml:space="preserve"> Evaluation of the Proposed European Commission Directive on Critical Entities Resilience and Its Potential to Consolidate the Resilience Terminology — https://doi.org/10.3850/978-981-18-5183-4_s21-02-213-cd</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pPr/>
      <w:r>
        <w:rPr>
          <w:b/>
        </w:rPr>
        <w:t>POSSIBLE 2022:</w:t>
      </w:r>
      <w:r>
        <w:t xml:space="preserve"> Assigning Obligations in AI Regulation: A Discussion of Two Frameworks Proposed By the European Commission — https://doi.org/10.1007/s44206-022-00009-z</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pPr/>
      <w:r>
        <w:rPr>
          <w:b/>
        </w:rPr>
        <w:t>POSSIBLE 2022:</w:t>
      </w:r>
      <w:r>
        <w:t xml:space="preserve"> The European Commission and minority rights — https://doi.org/10.4337/9781800375932.00016</w:t>
      </w:r>
    </w:p>
    <w:p>
      <w:pPr/>
      <w:r>
        <w:rPr>
          <w:b/>
        </w:rPr>
        <w:t>Shared claim-specific concepts:</w:t>
      </w:r>
      <w:r>
        <w:t xml:space="preserve"> current, commission, presented; EU scope visible. This is a provisional connection, not an outcome finding.</w:t>
      </w:r>
    </w:p>
    <w:p>
      <w:pPr>
        <w:pStyle w:val="SourceNote"/>
      </w:pPr>
      <w:r>
        <w:rPr>
          <w:b/>
        </w:rPr>
        <w:t>Available abstract (not full text):</w:t>
      </w:r>
      <w:r>
        <w:t xml:space="preserve">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pPr/>
      <w:r>
        <w:rPr>
          <w:b/>
        </w:rPr>
        <w:t>POSSIBLE 2022:</w:t>
      </w:r>
      <w:r>
        <w:t xml:space="preserve"> Emergence of current European thinking and policies on doctoral education — https://doi.org/10.1111/ejed.12515</w:t>
      </w:r>
    </w:p>
    <w:p>
      <w:pPr/>
      <w:r>
        <w:rPr>
          <w:b/>
        </w:rPr>
        <w:t>Shared claim-specific concepts:</w:t>
      </w:r>
      <w:r>
        <w:t xml:space="preserve"> different, current, system, presented; EU scope visible. This is a provisional connection, not an outcome finding.</w:t>
      </w:r>
    </w:p>
    <w:p>
      <w:pPr>
        <w:pStyle w:val="SourceNote"/>
      </w:pPr>
      <w:r>
        <w:rPr>
          <w:b/>
        </w:rPr>
        <w:t>Available abstract (not full text):</w:t>
      </w:r>
      <w:r>
        <w:t xml:space="preserve"> Abstract In today's age of knowledge and technology, societies are changing fast, on both macro and micro levels. Hardly anyone could have predicted several years ago such an acceleration of change and its impact on society, and in particular, on higher education. In Europe as well as globally, higher education has been undergoing many changes for more than two decades. In many countries, the number of higher education institutions has increased, mass education has replaced more elite systems, universities have adopted different agenda, and research has become more competitive. In this new context, doctoral education has also needed to be redefined in order to better respond to societal and academic challenges. Doctoral education—a crucial segment of higher education and the main link between the European Higher Education Area and the European Research Area—has been receiving continuous attention for more than 15 years. This paper provides an overall view on changes in doctoral education in Europe, the background of this change process, and the context that led to these major changes. The main analysis will be presented from a European academic context perspective, but it will also reflect a global perspective. It will provide an analysis of all the milestones and consider the relevant policies and recommendations on the supranational level and their reflection on the national </w:t>
      </w:r>
    </w:p>
    <w:p>
      <w:pPr>
        <w:pStyle w:val="Heading2"/>
      </w:pPr>
      <w:r>
        <w:t>1007. The use of probabilistic weather generator information for climate change adaptation in the UK water sector</w:t>
      </w:r>
    </w:p>
    <w:p>
      <w:pPr>
        <w:pStyle w:val="SourceNote"/>
      </w:pPr>
      <w:r>
        <w:rPr>
          <w:b/>
        </w:rPr>
        <w:t>Original source (2012):</w:t>
      </w:r>
      <w:r>
        <w:t xml:space="preserve"> https://doi.org/10.1002/met.1335</w:t>
      </w:r>
    </w:p>
    <w:p>
      <w:pPr/>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POSSIBLE 2026:</w:t>
      </w:r>
      <w:r>
        <w:t xml:space="preserve"> Potential effect of replacing sedentary behavior with physical activity on the risk of atrial fibrillation: results from the UK Biobank and REGARDS study — https://doi.org/10.64898/2026.10.02.26364589</w:t>
      </w:r>
    </w:p>
    <w:p>
      <w:pPr/>
      <w:r>
        <w:rPr>
          <w:b/>
        </w:rPr>
        <w:t>Shared claim-specific concepts:</w:t>
      </w:r>
      <w:r>
        <w:t xml:space="preserve"> regards, activity, those, potential; EU scope not established. This is a provisional connection, not an outcome finding.</w:t>
      </w:r>
    </w:p>
    <w:p>
      <w:pPr>
        <w:pStyle w:val="SourceNote"/>
      </w:pPr>
      <w:r>
        <w:rPr>
          <w:b/>
        </w:rPr>
        <w:t>Available abstract (not full text):</w:t>
      </w:r>
      <w:r>
        <w:t xml:space="preserve"> Background Sedentary behavior (SB) has been associated with cardiovascular disease risk, independent of physical activity (PA) and sleep. However, the effect of replacing SB with PA or sleep on atrial fibrillation (AF) risk remains unclear. Methods We studied 86,096 participants from the United Kingdom Biobank (UKB) and 5,777 from the United States (US) REasons for Geographic And Racial Differences in Stroke (REGARDS) prospective cohort studies who were free of AF at baseline and had valid accelerometry data. The two cohorts were included to evaluate the consistency of associations across distinct populations in the UK and the US, two regions with a high burden of AF. Daily time spent in light PA (LPA), moderate to vigorous PA (MVPA), and SB were derived from accelerometer recordings; sleep was accelerometer-derived in UKB and self-reported in REGARDS. Incident AF was identified using ICD-10 codes (I48.x) listed as either a primary diagnosis, secondary diagnosis, or cause of death through hospital and death registry data linkage in UKB and in a follow-up visit through electrocardiogram and self-reported medical history in REGARDS. Isotemporal substitution models were used to examine replacing 30 minutes of SB with LPA or MVPA in both cohorts and with sleep in UKB on the outcome of incident AF. Results Among the UKB participants [57% female, mean age 56.0 (SD 7.8) years, 98% Whi</w:t>
      </w:r>
    </w:p>
    <w:p>
      <w:pPr/>
      <w:r>
        <w:rPr>
          <w:b/>
        </w:rPr>
        <w:t>POSSIBLE 2026:</w:t>
      </w:r>
      <w:r>
        <w:t xml:space="preserve"> Association between depressive symptoms and physical function among participants with heart disease in the Reasons for Geographic And Racial Differences in Stroke (REGARDS) study — https://doi.org/10.64898/2026.06.09.26355319</w:t>
      </w:r>
    </w:p>
    <w:p>
      <w:pPr/>
      <w:r>
        <w:rPr>
          <w:b/>
        </w:rPr>
        <w:t>Shared claim-specific concepts:</w:t>
      </w:r>
      <w:r>
        <w:t xml:space="preserve"> regards, second, identify; EU scope not established. This is a provisional connection, not an outcome finding.</w:t>
      </w:r>
    </w:p>
    <w:p>
      <w:pPr>
        <w:pStyle w:val="SourceNote"/>
      </w:pPr>
      <w:r>
        <w:rPr>
          <w:b/>
        </w:rPr>
        <w:t>Available abstract (not full text):</w:t>
      </w:r>
      <w:r>
        <w:t xml:space="preserve"> Background: Depression and heart disease frequently co-occur in the aging population and are associated with functional decline and poor health outcomes. Understanding how depressive symptoms relate to different aspects of physical function among adults with heart disease may help identify high-risk subgroups. Objective: To examine the association of depressive symptoms with self-reported and observed physical function measures among participants with heart disease in the Reasons for Geographic and Racial Differences in Stroke (REGARDS) study and assess whether associations differ by sex and race-sex groups. Methods: We conducted a cross-sectional analysis using data from REGARDS study second in-home visit (2013-2016). Depressive symptoms were measured with the 10-item Center for Epidemiologic Studies Depression scale (CES-D-10), considering scores ≥10 as clinically significant. Physical function measures were instrumental activities of daily living (IADL), activities of daily living (ADL), chair stand time (5 repetitions), and gait speed. Linear regression models estimated associations of depressive symptoms with function, adjusting for sociodemographic, health behavior, antidepressant medications, body mass index, and social support. Effect modification by sex and race-sex group was evaluated. Results: Among 3,055 participants, 11.7% had CES-D-10 ≥10. Compared to CES-D-10 sco</w:t>
      </w:r>
    </w:p>
    <w:p>
      <w:pPr/>
      <w:r>
        <w:rPr>
          <w:b/>
        </w:rPr>
        <w:t>POSSIBLE 2025:</w:t>
      </w:r>
      <w:r>
        <w:t xml:space="preserve"> Response to Comment on “Soluble Receptor for Advanced Glycation End Products and Incident Hypertension in REGARDS” — https://doi.org/10.1093/ajh/hpaf229</w:t>
      </w:r>
    </w:p>
    <w:p>
      <w:pPr/>
      <w:r>
        <w:rPr>
          <w:b/>
        </w:rPr>
        <w:t>Shared claim-specific concepts:</w:t>
      </w:r>
      <w:r>
        <w:t xml:space="preserve"> regards, second, activity, potential; EU scope not established. This is a provisional connection, not an outcome finding.</w:t>
      </w:r>
    </w:p>
    <w:p>
      <w:pPr>
        <w:pStyle w:val="SourceNote"/>
      </w:pPr>
      <w:r>
        <w:rPr>
          <w:b/>
        </w:rPr>
        <w:t>Available abstract (not full text):</w:t>
      </w:r>
      <w:r>
        <w:t xml:space="preserve">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pPr/>
      <w:r>
        <w:rPr>
          <w:b/>
        </w:rPr>
        <w:t>POSSIBLE 2025:</w:t>
      </w:r>
      <w:r>
        <w:t xml:space="preserve"> Synthesizing activity locations in the context of integrated activity-based models — https://doi.org/10.5198/jtlu.2025.2291</w:t>
      </w:r>
    </w:p>
    <w:p>
      <w:pPr/>
      <w:r>
        <w:rPr>
          <w:b/>
        </w:rPr>
        <w:t>Shared claim-specific concepts:</w:t>
      </w:r>
      <w:r>
        <w:t xml:space="preserve"> activity, probabilities, techniques; EU scope not established. This is a provisional connection, not an outcome finding.</w:t>
      </w:r>
    </w:p>
    <w:p>
      <w:pPr>
        <w:pStyle w:val="SourceNote"/>
      </w:pPr>
      <w:r>
        <w:rPr>
          <w:b/>
        </w:rPr>
        <w:t>Available abstract (not full text):</w:t>
      </w:r>
      <w:r>
        <w:t xml:space="preserve"> Activity-based models are a powerful tool for transportation analysis and represent the future of the industry in terms of modeling techniques. However, the data-hungry aspect of these models makes them difficult and slow to build. This paper presents a set of methodologies to synthesize activity locations for U.S. cities, providing estimates of locations by land-use type in areas with limited available data. The methodology includes a regression method to estimate the number of locations by land-use type complemented by selective use of open data. Detailed information from the entire Southern California Association of Governments (SCAG) area, comprising more than 100,000 km2, is used to calibrate the model. A zero-inflated negative binomial (ZINB) regression is proposed to tackle the excess of zeros in the dataset. The model is estimated using a Bayesian approach that quantifies the coefficients’ variability, uses information regarding prior beliefs, and estimates zero-inflated probabilities by zone. The main results suggest that the proposed methodological framework can be used to estimate locations in a fast and efficient way without the need for detailed land-use information. Transportation planners and policymakers can use the results and methods provided in this research to approximate activity location distributions in activity-based models.</w:t>
      </w:r>
    </w:p>
    <w:p>
      <w:pPr/>
      <w:r>
        <w:rPr>
          <w:b/>
        </w:rPr>
        <w:t>POSSIBLE 2025:</w:t>
      </w:r>
      <w:r>
        <w:t xml:space="preserve"> Econometric Modelling of the Impact of Metrology on the Economy in Poland — https://doi.org/10.2478/foli-2025-0005</w:t>
      </w:r>
    </w:p>
    <w:p>
      <w:pPr/>
      <w:r>
        <w:rPr>
          <w:b/>
        </w:rPr>
        <w:t>Shared claim-specific concepts:</w:t>
      </w:r>
      <w:r>
        <w:t xml:space="preserve"> regards, second, modelling, activity; EU scope visible. This is a provisional connection, not an outcome finding.</w:t>
      </w:r>
    </w:p>
    <w:p>
      <w:pPr>
        <w:pStyle w:val="SourceNote"/>
      </w:pPr>
      <w:r>
        <w:rPr>
          <w:b/>
        </w:rPr>
        <w:t>Available abstract (not full text):</w:t>
      </w:r>
      <w:r>
        <w:t xml:space="preserve"> Abstract Research background Studying the impact of metrology on the economy is a complicated matter. This is due to the specific nature of both metrology and the economy. There is no established method for determining the impact of metrology on the economy. Purpose The paper attempts to build an econometric model to determine the impact of metrological activity on the economy of Poland. Research methodology In the first part of the study, a proxy variable measuring metrological activity was proposed. Then a multiple-equation nonlinear econometric model was built. This is a dynamic model, estimated by the 2SLS method. Results Based on simulations, the impact of metrological activity on variables such as GDP and R&amp;D spending was determined. The results of simulations using the obtained model show that the average annual share of metrology in global labor productivity in Poland from 2002 to 2020 was at 9.4%. As regards the second variable (the share of R&amp;D spending in GDP), the average annual share of metrology is 7.4%. Novelty In the paper an econometric estimation of metrology impact on the economy based on a multiple-equation nonlinear econometric model was proposed.</w:t>
      </w:r>
    </w:p>
    <w:p>
      <w:pPr/>
      <w:r>
        <w:rPr>
          <w:b/>
        </w:rPr>
        <w:t>POSSIBLE 2025:</w:t>
      </w:r>
      <w:r>
        <w:t xml:space="preserve"> Cognitive Foundations and Cultural Models — https://doi.org/10.1017/9781009026246.002</w:t>
      </w:r>
    </w:p>
    <w:p>
      <w:pPr/>
      <w:r>
        <w:rPr>
          <w:b/>
        </w:rPr>
        <w:t>Shared claim-specific concepts:</w:t>
      </w:r>
      <w:r>
        <w:t xml:space="preserve"> regards, second, plausible; EU scope not established. This is a provisional connection, not an outcome finding.</w:t>
      </w:r>
    </w:p>
    <w:p>
      <w:pPr>
        <w:pStyle w:val="SourceNote"/>
      </w:pPr>
      <w:r>
        <w:rPr>
          <w:b/>
        </w:rPr>
        <w:t>Available abstract (not full text):</w:t>
      </w:r>
      <w:r>
        <w:t xml:space="preserve"> This chapter presents a coherent picture of culture as emerging from a distinctive human mind architecture. I consider the mental processes that characterize the components of mind, and the inherently constituting and structured knowledge that represents its content. Grounded in a necessary and eclectic theory of cognition, I propose that culture consists of mental models shared within a community, or cultural models. Both the undeniably universal nature of numerous mental activities and the significantly idiosyncratic contents of an individual cultural mind find a plausible account within this theoretical approach. I explore three fundamental issues related to the investigation of culture as a mental phenomenon. The first regards a brief survey of theories about human cognition – both architecture and processes – that are of value and consequence to the anthropological enterprise. The second concerns the theorizing about the mental organization of knowledge. The thirdcovers the nature and value of cultural model theory in the contemporary anthropological landscape. I close by suggesting the concept of cultural model as a salient and necessary unit of analysis for anthropology.</w:t>
      </w:r>
    </w:p>
    <w:p>
      <w:pPr/>
      <w:r>
        <w:rPr>
          <w:b/>
        </w:rPr>
        <w:t>POSSIBLE 2024:</w:t>
      </w:r>
      <w:r>
        <w:t xml:space="preserve"> Interpretation of Second Law of Thermodynamics in Extended Procedures for the Exploitation of the Entropy Inequality: Korteweg Fluids and Strain-Gradient Elasticity as Examples — https://doi.org/10.3390/e26040293</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pPr/>
      <w:r>
        <w:rPr>
          <w:b/>
        </w:rPr>
        <w:t>POSSIBLE 2024:</w:t>
      </w:r>
      <w:r>
        <w:t xml:space="preserve"> Endothelial Dysfunction Biomarkers and CKD Incidence in the REGARDS Cohort — https://doi.org/10.1016/j.ekir.2024.04.056</w:t>
      </w:r>
    </w:p>
    <w:p>
      <w:pPr/>
      <w:r>
        <w:rPr>
          <w:b/>
        </w:rPr>
        <w:t>Shared claim-specific concepts:</w:t>
      </w:r>
      <w:r>
        <w:t xml:space="preserve"> regards, second; EU scope not established. This is a provisional connection, not an outcome finding.</w:t>
      </w:r>
    </w:p>
    <w:p>
      <w:pPr>
        <w:pStyle w:val="SourceNote"/>
      </w:pPr>
      <w:r>
        <w:rPr>
          <w:b/>
        </w:rPr>
        <w:t>Available abstract (not full text):</w:t>
      </w:r>
      <w:r>
        <w:t xml:space="preserve"> Introduction Chronic kidney disease (CKD) is only partly caused by traditional risk factors. Endothelial dysfunction is common in CKD and may contribute to CKD incidence. We studied the association of circulating biomarkers reflecting endothelial dysfunction with incident CKD. Methods REGARDS is a prospective cohort of 30,239 Black or White adults aged ≥45 years. Baseline levels of ICAM-1, VCAM-1, factor VIII, and E-selectin were measured in 3,300 participants without baseline CKD or albuminuria who attended a second visit 9.4 years later. Kidney outcomes were incident CKD (eGFR &lt;60 mL/min/1.73m 2 and ≥40% decline or onset of new end stage kidney disease), incident ≥30% eGFR decline, and incident albuminuria (albumin-to-creatinine ratio (ACR) ≥30 mg/g). Sequentially adjusted logistic regression models assessed the association of biomarkers with kidney outcomes. Results Median age of participants was 62, 49% were women, and 46% identified as Black. 228 (6.9%) developed CKD, 613 (18.9%) experienced ≥30% decline in eGFR, and 356 (11.4%) developed albuminuria. The adjusted odds ratios for incident CKD per 1 standard deviation increment biomarker was 1.12 for ICAM-1 (95% CI 1.02-1.22), 1.10 for VCAM-1 (95% CI 1.01-1.20), 1.15 for factor VIII (95% CI 1.06-1.24), and 1.10 for E-selectin (95% CI 1.01-1.20). Results were similar for incident ≥30% eGFR decline but not albuminuria, where </w:t>
      </w:r>
    </w:p>
    <w:p>
      <w:pPr/>
      <w:r>
        <w:rPr>
          <w:b/>
        </w:rPr>
        <w:t>POSSIBLE 2024:</w:t>
      </w:r>
      <w:r>
        <w:t xml:space="preserve"> A Critical View on the Quantification of Model Catalyst Activity — https://doi.org/10.1007/s11244-024-01920-0</w:t>
      </w:r>
    </w:p>
    <w:p>
      <w:pPr/>
      <w:r>
        <w:rPr>
          <w:b/>
        </w:rPr>
        <w:t>Shared claim-specific concepts:</w:t>
      </w:r>
      <w:r>
        <w:t xml:space="preserve"> activity, identify, range; EU scope not established. This is a provisional connection, not an outcome finding.</w:t>
      </w:r>
    </w:p>
    <w:p>
      <w:pPr>
        <w:pStyle w:val="SourceNote"/>
      </w:pPr>
      <w:r>
        <w:rPr>
          <w:b/>
        </w:rPr>
        <w:t>Available abstract (not full text):</w:t>
      </w:r>
      <w:r>
        <w:t xml:space="preserve"> Abstract The conversion of reactants, reaction rate referred to catalyst mass, and turnover frequency (TOF) are values typically employed to compare the activity of different catalysts. However, experimental parameters have to be chosen carefully when systems of different complexity are compared. In order to characterize UHV-based model systems, we use a highly sensitive sniffer setup which allows us to investigate the catalytic activity by combining three different measurement modes: temperature-programmed desorption, continuous flow, and pulsed-reactivity experiments. In this article, we explore the caveats of quantifying catalytic activity in UHV on the well-studied and highly defined reference system of CO oxidation on Pt(111), which we later compare to the same reaction on Pt19 clusters deposited on Fe3O4(001). We demonstrate that we can apply fast heating ramps for TOF quantification, thus inducing as little sintering as possible in the metastable clusters. By changing the reactant ratio, we find transient reactivity effects that influence the TOF, which should be kept in mind when comparing catalysts. In addition, the TOF also depends on the surface coverage that itself is a function of temperature and pressure. At a constant reactant ratio, in the absence of transient effects, however, the TOF scales linearly with total pressure over the entire measured temperature rang</w:t>
      </w:r>
    </w:p>
    <w:p>
      <w:pPr/>
      <w:r>
        <w:rPr>
          <w:b/>
        </w:rPr>
        <w:t>POSSIBLE 2024:</w:t>
      </w:r>
      <w:r>
        <w:t xml:space="preserve"> “With Kind Regards?”: The Relationship Between Digital Work Communication and Mental Health — https://doi.org/10.5771/0935-9915-2024-2-194</w:t>
      </w:r>
    </w:p>
    <w:p>
      <w:pPr/>
      <w:r>
        <w:rPr>
          <w:b/>
        </w:rPr>
        <w:t>Shared claim-specific concepts:</w:t>
      </w:r>
      <w:r>
        <w:t xml:space="preserve"> regards, modelling, potential; EU scope not established. This is a provisional connection, not an outcome finding.</w:t>
      </w:r>
    </w:p>
    <w:p>
      <w:pPr>
        <w:pStyle w:val="SourceNote"/>
      </w:pPr>
      <w:r>
        <w:rPr>
          <w:b/>
        </w:rPr>
        <w:t>Available abstract (not full text):</w:t>
      </w:r>
      <w:r>
        <w:t xml:space="preserve"> There is a growing interest in exploring the potential benefits and risks of digital work communication (DWC) for employers and employees. While some studies view the use of DWC as a demand that threatens employees’ mental health, others regard it as a resource that provides health benefits. The empirical evidence has been ambiguous, offering support for both assumptions but with limited explanations. Our study contributes to the ongoing discourse by examining the extent of DWC and the advantages and disadvantages associated with its use, including positive (increased flexibility) and negative (a lack of flexibility, the need to be constantly available, overload, and loss of personal contact) perceptions. Using a sample of 4,422 employees in 160 German work organisations, we conducted moderation and mediation analyses in structural equation modelling and found that more DWC was associated with poorer mental health. Although both negative and positive perceptions were directly related to mental health, they also moderated and mediated the relationship between the DWC and mental health. In conclusion, our research demonstrated that it is not the use of DWC alone that is harmful to mental health, but rather its intensity and the circumstances in which it is used.</w:t>
      </w:r>
    </w:p>
    <w:p>
      <w:pPr/>
      <w:r>
        <w:rPr>
          <w:b/>
        </w:rPr>
        <w:t>POSSIBLE 2024:</w:t>
      </w:r>
      <w:r>
        <w:t xml:space="preserve"> Abstract P320: Soluble Receptor for Advanced Glycation End Products and Incident Hypertension: REasons for Geographic And Racial Differences in Stroke (REGARDS) — https://doi.org/10.1161/circ.149.suppl_1.p320</w:t>
      </w:r>
    </w:p>
    <w:p>
      <w:pPr/>
      <w:r>
        <w:rPr>
          <w:b/>
        </w:rPr>
        <w:t>Shared claim-specific concepts:</w:t>
      </w:r>
      <w:r>
        <w:t xml:space="preserve"> regards, second, activity; EU scope not established. This is a provisional connection, not an outcome finding.</w:t>
      </w:r>
    </w:p>
    <w:p>
      <w:pPr>
        <w:pStyle w:val="SourceNote"/>
      </w:pPr>
      <w:r>
        <w:rPr>
          <w:b/>
        </w:rPr>
        <w:t>Available abstract (not full text):</w:t>
      </w:r>
      <w:r>
        <w:t xml:space="preserve"> Background: Black US adults experience greater hypertension burden than other groups and have lower levels of serum soluble receptor for advanced glycation end products (sRAGE). Higher sRAGE may dampen inflammation pathway activity. Inflammation is a hypertension risk factor. It is unclear if lower sRAGE is associated with greater risk of incident hypertension overall and among Black adults. Objective: To estimate the risk of incident hypertension by sRAGE level. Methods: REGARDS enrolled 30,239 Black and White adults in the 48 contiguous United States in 2003-07; a second visit occurred 2013-16. ELISAs measured sRAGE in 4,400 REGARDS participants who attended both visits. This analysis included participants with sRAGE levels and no prevalent hypertension. Hypertension was defined as BP ≥140/90 mm Hg or use of antihypertensive medications. Poisson regression estimated relative risk (RR) of incident hypertension by serum sRAGE quartiles in models adjusting for known confounders. Results: Among the 1803 participants (mean (SD] age 62 [8] years, 55% Women, 25% Black race) incident hypertension occurred in 35% (46% Black and 32% White participants). Median (IQR) sRAGE was 1114 pg/ml (206 to 4256) in Black and 1600 pg/ml (380 to 5500) in White adults. Models were stratified by race because of an sRAGE*race interaction on incident hypertension. Higher sRAGE was associated with lower </w:t>
      </w:r>
    </w:p>
    <w:p>
      <w:pPr/>
      <w:r>
        <w:rPr>
          <w:b/>
        </w:rPr>
        <w:t>POSSIBLE 2024:</w:t>
      </w:r>
      <w:r>
        <w:t xml:space="preserve"> Warm regards: Influence of thermal haptic feedback during social interactions in VR — https://doi.org/10.1109/ismar62088.2024.00138</w:t>
      </w:r>
    </w:p>
    <w:p>
      <w:pPr/>
      <w:r>
        <w:rPr>
          <w:b/>
        </w:rPr>
        <w:t>Shared claim-specific concepts:</w:t>
      </w:r>
      <w:r>
        <w:t xml:space="preserve"> regards, second, potential; EU scope not established. This is a provisional connection, not an outcome finding.</w:t>
      </w:r>
    </w:p>
    <w:p>
      <w:pPr>
        <w:pStyle w:val="SourceNote"/>
      </w:pPr>
      <w:r>
        <w:rPr>
          <w:b/>
        </w:rPr>
        <w:t>Available abstract (not full text):</w:t>
      </w:r>
      <w:r>
        <w:t xml:space="preserve"> In this paper, we study how thermal haptic feedback can influence social interactions in virtual environments, with an emphasis on persuasion, focus, co-presence, and friendliness. Physical and social warmth have been repeatedly linked in psychological literature, which allows for speculations on the effect of thermal haptics on virtual social interactions. To that effect, we conducted a study on thermal feedback during simulated social interactions with a virtual agent. We tested three conditions: warm, cool, and neutral. Results showed that warm feedback positively influenced users’ perception of the agent and significantly enhanced persuasion and thermal comfort. Multiple users reported the agent feeling less ‘robotic’ and more ‘human’ during the warm condition. Moreover, multiple studies have previously shown the potential of vibrotactile feedback for social interactions. A second study thus evaluated the combination of warmth and vibrations for social interactions. The study included the same protocol and three similar conditions: warmth, vibrations, and warm vibrations. Warmth was perceived as more friendly, while warm vibrations heightened the agent’s virtual presence and persuasion. These results encourage the study of thermal haptics to support positive social interactions. Moreover, they suggest that some haptic feedback are more suited to certain types of social inte</w:t>
      </w:r>
    </w:p>
    <w:p>
      <w:pPr>
        <w:pStyle w:val="Heading2"/>
      </w:pPr>
      <w:r>
        <w:t>1008. Using scenarios to assess the future supply of NHS nursing staff in England</w:t>
      </w:r>
    </w:p>
    <w:p>
      <w:pPr>
        <w:pStyle w:val="SourceNote"/>
      </w:pPr>
      <w:r>
        <w:rPr>
          <w:b/>
        </w:rPr>
        <w:t>Original source (2012):</w:t>
      </w:r>
      <w:r>
        <w:t xml:space="preserve"> https://doi.org/10.1186/1478-4491-10-16</w:t>
      </w:r>
    </w:p>
    <w:p>
      <w:pPr/>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POSSIBLE 2026:</w:t>
      </w:r>
      <w:r>
        <w:t xml:space="preserve"> Isolation of Biotechnologically Important Exopolysaccharide Producing Bacteria from Different Environments — https://doi.org/10.3329/ptcb.v35i2.86592</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Exopolysaccharides (EPSs) are carbohydrate polymers that occur naturally and are excreted by some microorganisms. The microbial EPS has a number of biotechnological uses in paints, textiles, cosmetics, medicine, etc. Interest in searching for novel EPS has increased due to the broad range of applications of EPS. Therefore, this study focused on isolating, screening, and identifying the most potent EPS-producing bacteria from different habitats. A total of 10 different samples were collected from in and around Dhaka University Campus. After initial screening, 88 distinct bacterial colonies were considered to be producing exopolysaccharides on the basis of thick mucoid colonies on nutrient agar medium. The findings showed that EPS-producing bacteria are widely dispersed throughout various habitats. Out of 88 isolates, 20 better isolates were finally selected for extensive study. The isolated Gram-positive bacteria belonged to the genera Micrococcus, Streptococcus, and Bacillus. While Gram-negative bacteria were identified as Proteus myxofaciens, Chryseobacterium sp., Klebsiella pneumoniae subsp. Ozaenae, Edwardsiellaictaluri and Acinetobacter sp. The EPS production ranged between 0.55 ± 0.04 and 2.21 ± 0.06 g/l. Bacillus subtilis (P11) was identified as the most promising isolate for EPS production, yielding the highest amount at 2.21 ± 0.06 g/l. The current study's findings show</w:t>
      </w:r>
    </w:p>
    <w:p>
      <w:pPr/>
      <w:r>
        <w:rPr>
          <w:b/>
        </w:rPr>
        <w:t>POSSIBLE 2024:</w:t>
      </w:r>
      <w:r>
        <w:t xml:space="preserve"> Of Important — https://doi.org/10.67224/ioasdjbms.2024.v01i02.001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Of Important — https://doi.org/10.5281/zenodo.19677536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LIBS diagnostics of Be-based samples with different gas impurities — https://doi.org/10.1063/5.0205561</w:t>
      </w:r>
    </w:p>
    <w:p>
      <w:pPr/>
      <w:r>
        <w:rPr>
          <w:b/>
        </w:rPr>
        <w:t>Shared claim-specific concepts:</w:t>
      </w:r>
      <w:r>
        <w:t xml:space="preserve"> important, different, possible, data; EU scope visible. This is a provisional connection, not an outcome finding.</w:t>
      </w:r>
    </w:p>
    <w:p>
      <w:pPr>
        <w:pStyle w:val="SourceNote"/>
      </w:pPr>
      <w:r>
        <w:rPr>
          <w:b/>
        </w:rPr>
        <w:t>Available abstract (not full text):</w:t>
      </w:r>
      <w:r>
        <w:t xml:space="preserve">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pPr/>
      <w:r>
        <w:rPr>
          <w:b/>
        </w:rPr>
        <w:t>POSSIBLE 2024:</w:t>
      </w:r>
      <w:r>
        <w:t xml:space="preserve"> Cladodes of Opuntia ficus-indica (L.) Mill. Possess Important Beneficial Properties Dependent on Their Different Stages of Maturity — https://doi.org/10.3390/plants13101365</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Opuntia ficus-indica (L.) Mill. belongs to the Cactaceae family and the genus Opuntia; it is a succulent plant that adapts to extreme climatic conditions. The aerial part of the plant consists of the cladodes, morphological changes of branches that appear green, are covered with thorns, and are essential to reduce excessive perspiration of water. The composition of cladodes is very varied, and the main constituents are water, fibers, polysaccharides, proteins, fatty acids, vitamins, sterols, minerals, and polyphenols. Polyphenols are responsible for many beneficial activities for human health, such as antioxidant, anti-inflammatory, antitumor, and nutritional properties. The purpose of this manuscript was to compare the properties of cladodes belonging to the same plant but with different stages of maturity. Relative extracts were tested both in vitro and on a cell line and antioxidant and anti-apoptotic properties were found. The antioxidant activity was tested by the ORAC test, the DPPH test, and the measurement of cellular accumulation of ROS. Anti-apoptotic activity was evaluated by the annexin/PI assay and measurement of caspases 9 and 3 expression. The results obtained have shown that the extracts considered possess antioxidant and anti-apoptotic properties. However, the different stages of maturity of cladodes are essential for the performance of both functions. In addit</w:t>
      </w:r>
    </w:p>
    <w:p>
      <w:pPr/>
      <w:r>
        <w:rPr>
          <w:b/>
        </w:rPr>
        <w:t>POSSIBLE 2024:</w:t>
      </w:r>
      <w:r>
        <w:t xml:space="preserve"> Different drying methods alter the quality parameters of ethnobotanically important Curcuma caesia Roxb. rhizomes — https://doi.org/10.14719/pst.3635</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Curcuma caesia Roxb. of the Zingiberaceae family, is an ethnobotanically important rhizomatous perennial herb and is commonly known as “Black turmeric”. Like in other species of Curcuma, the pharmacologically important polyphenol curcumin is also found in C. caesia. In traditional medicine, C. caesia has been used to treat piles, leprosy, asthma, cancer, diabetes, fertility, toothache, vomiting, allergies, etc. Drying is considered the simplest and most cost-effective means of preserving raw plant materials, safeguarding the integrity of nearly all biologically active substances. Medicinal plant materials are primarily utilized in their dried forms in pharmaceutical industries. However, it has been observed that there is a lack of comprehensive information on the effects of different drying methods on quality parameters, and other pharmaceutically important aspects of C. caesia. Hence, here, we investigated the impact of various drying methods, such as direct sunlight exposure, solar drying, shade drying, and conventional oven drying with or without previous boiling, on the quality parameters of C. caesia rhizome, such as moisture, ash, and curcumin content. The results suggest that oven drying at 100 ?C, despite possessing favorable criteria for drug designing like the smallest particle sizes and the lowest moisture content, did not restore the maximum level of ash, curcumin, </w:t>
      </w:r>
    </w:p>
    <w:p>
      <w:pPr/>
      <w:r>
        <w:rPr>
          <w:b/>
        </w:rPr>
        <w:t>POSSIBLE 2024:</w:t>
      </w:r>
      <w:r>
        <w:t xml:space="preserve"> Gels/Hydrogels in Different Devices/Instruments—A Review — https://doi.org/10.3390/gels10090548</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Owing to their physical and chemical properties and stimuli-responsive nature, gels and hydrogels play vital roles in diverse application fields. The three-dimensional polymeric network structure of hydrogels is considered an alternative to many materials, such as conductors, ordinary films, constituent components of machines and robots, etc. The most recent applications of gels are in different devices like sensors, actuators, flexible screens, touch panels, flexible storage, solar cells, batteries, and electronic skin. This review article addresses the devices where gels are used, the progress of research, the working mechanisms of hydrogels in those devices, and future prospects. Preparation methods are also important for obtaining a suitable hydrogel. This review discusses different methods of hydrogel preparation from the respective raw materials. Moreover, the mechanism by which gels act as a part of electronic devices is described.</w:t>
      </w:r>
    </w:p>
    <w:p>
      <w:pPr/>
      <w:r>
        <w:rPr>
          <w:b/>
        </w:rPr>
        <w:t>POSSIBLE 2023:</w:t>
      </w:r>
      <w:r>
        <w:t xml:space="preserve"> Ground Based-cloud Classification Based on Comparing Different Classification Models — https://doi.org/10.54254/2755-2721/2/20220541</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pPr/>
      <w:r>
        <w:rPr>
          <w:b/>
        </w:rPr>
        <w:t>POSSIBLE 2023:</w:t>
      </w:r>
      <w:r>
        <w:t xml:space="preserve"> Visual and thermal camouflage on different terrestrial environments based on electrochromism — https://doi.org/10.1515/nanoph-2023-0244</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pPr/>
      <w:r>
        <w:rPr>
          <w:b/>
        </w:rPr>
        <w:t>POSSIBLE 2023:</w:t>
      </w:r>
      <w:r>
        <w:t xml:space="preserve"> A comparison of different methods to adjust survival curves for confounders — https://doi.org/10.1002/sim.9681</w:t>
      </w:r>
    </w:p>
    <w:p>
      <w:pPr/>
      <w:r>
        <w:rPr>
          <w:b/>
        </w:rPr>
        <w:t>Shared claim-specific concepts:</w:t>
      </w:r>
      <w:r>
        <w:t xml:space="preserve"> important, different, considered, based, data; EU scope not established. This is a provisional connection, not an outcome finding.</w:t>
      </w:r>
    </w:p>
    <w:p>
      <w:pPr>
        <w:pStyle w:val="SourceNote"/>
      </w:pPr>
      <w:r>
        <w:rPr>
          <w:b/>
        </w:rPr>
        <w:t>Available abstract (not full text):</w:t>
      </w:r>
      <w:r>
        <w:t xml:space="preserve"> Treatment specific survival curves are an important tool to illustrate the treatment effect in studies with time-to-event outcomes. In non-randomized studies, unadjusted estimates can lead to biased depictions due to confounding. Multiple methods to adjust survival curves for confounders exist. However, it is currently unclear which method is the most appropriate in which situation. Our goal is to compare forms of inverse probability of treatment weighting, the G-Formula, propensity score matching, empirical likelihood estimation and augmented estimators as well as their pseudo-values based counterparts in different scenarios with a focus on their bias and goodness-of-fit. We provide a short review of all methods and illustrate their usage by contrasting the survival of smokers and non-smokers, using data from the German Epidemiological Trial on Ankle-Brachial-Index. Subsequently, we compare the methods using a Monte-Carlo simulation. We consider scenarios in which correctly or incorrectly specified models for describing the treatment assignment and the time-to-event outcome are used with varying sample sizes. The bias and goodness-of-fit is determined by taking the entire survival curve into account. When used properly, all methods showed no systematic bias in medium to large samples. Cox regression based methods, however, showed systematic bias in small samples. The goodness-</w:t>
      </w:r>
    </w:p>
    <w:p>
      <w:pPr/>
      <w:r>
        <w:rPr>
          <w:b/>
        </w:rPr>
        <w:t>POSSIBLE 2023:</w:t>
      </w:r>
      <w:r>
        <w:t xml:space="preserve"> Comparative Analysis of Metabolic Variation in Eggplant Fruit of Different Varieties Reveals Metabolites Important for Quality Traits — https://doi.org/10.3390/foods12244383</w:t>
      </w:r>
    </w:p>
    <w:p>
      <w:pPr/>
      <w:r>
        <w:rPr>
          <w:b/>
        </w:rPr>
        <w:t>Shared claim-specific concepts:</w:t>
      </w:r>
      <w:r>
        <w:t xml:space="preserve"> important, different, considered, available; EU scope not established. This is a provisional connection, not an outcome finding.</w:t>
      </w:r>
    </w:p>
    <w:p>
      <w:pPr>
        <w:pStyle w:val="SourceNote"/>
      </w:pPr>
      <w:r>
        <w:rPr>
          <w:b/>
        </w:rPr>
        <w:t>Available abstract (not full text):</w:t>
      </w:r>
      <w:r>
        <w:t xml:space="preserve"> Eggplant is one of the most important vegetable crops worldwide and has been considered to have great antioxidant activity. However, little information is available about the primary metabolic composition of the nutritional values of eggplant. Using a widely targeted metabolome approach, the current study investigated primary metabolic variation in 13 eggplant varieties with different morphologies. A total of 503 primary metabolites (amino acids, lipids, nucleotides, organic acids, vitamin, saccharides, and alcohols) and 170 phenolic acids were detected, among which 211 metabolites were differently accumulated. Metabolic pathway analysis of the differential metabolites revealed the significant enrichment of phenylpropanoid biosynthesis, arginine biosynthesis, alpha-linolenic acid metabolism, and linoleic acid metabolism. The higher levels of amino acids and lipids were related to the umami, soft, and waxy taste of eggplant fruit. The present work substantially contributes to the knowledge of primary metabolite compositions regarding fruit-eating quality and provides useful information for the future breeding of eggplant.</w:t>
      </w:r>
    </w:p>
    <w:p>
      <w:pPr/>
      <w:r>
        <w:rPr>
          <w:b/>
        </w:rPr>
        <w:t>POSSIBLE 2023:</w:t>
      </w:r>
      <w:r>
        <w:t xml:space="preserve"> Different Natures of Reality Inform Different Realities of Nature — https://doi.org/10.4103/cs.cs_83_21</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Karen people's interactions with the forest are informed by their ontologies. Important aspects of these ontologies are the influence of spirits, the cycle of the moon and communication with nonhumans. We foreground that Karen ontologies and knowledge systems are heterogeneous yet different from other ontologies and knowledge systems informing forest conservation in Myanmar (Burma). We recognise that interaction between Karen people and other conservation actors needs to be understood in the context of socio-economic and transformative political factors and is affected by spirits and other nonhumans. Based on empirical research, we argue that Indigenous people and conservationists can better support each other if they are each understood concerning their own ontology. This way, spirits and other nonhumans can be recognised as having agency in forest management and governance. We demonstrate how spirits, nonhumans and religious beliefs affect Indigenous ontologies and prompt us to think of ontologies as heterogeneous and overlapping. We conclude that moving past Eurocentric dualisms opens up new ways to think about how different ontologies inform our ideas about what is considered important in making forest conservation in Myanmar more sustainable and socially equitable.</w:t>
      </w:r>
    </w:p>
    <w:p>
      <w:pPr>
        <w:pStyle w:val="Heading2"/>
      </w:pPr>
      <w:r>
        <w:t>1009. What We Hope, What We Fear, What We Expect: Possible Scenarios for the Future of the Eurozone</w:t>
      </w:r>
    </w:p>
    <w:p>
      <w:pPr>
        <w:pStyle w:val="SourceNote"/>
      </w:pPr>
      <w:r>
        <w:rPr>
          <w:b/>
        </w:rPr>
        <w:t>Original source (2012):</w:t>
      </w:r>
      <w:r>
        <w:t xml:space="preserve"> https://doi.org/10.1007/s12290-012-0210-x</w:t>
      </w:r>
    </w:p>
    <w:p>
      <w:pPr/>
      <w:r>
        <w:t>Original wording (abstract; indexed_source_text_not_full_document_verified): Starting with the reforms of European economic governance hitherto agreed, this article develops three scenarios for the eurozone and explores their possible impact on the EU in general.</w:t>
      </w:r>
    </w:p>
    <w:p>
      <w:pPr/>
      <w:r>
        <w:rPr>
          <w:b/>
        </w:rPr>
        <w:t>POSSIBLE 2026:</w:t>
      </w:r>
      <w:r>
        <w:t xml:space="preserve"> EUROPE'S DILEMMA: CONTINUE THE PROXY WAR IN UKRAINE OR START EU REFORM — https://doi.org/10.5281/zenodo.18899368</w:t>
      </w:r>
    </w:p>
    <w:p>
      <w:pPr/>
      <w:r>
        <w:rPr>
          <w:b/>
        </w:rPr>
        <w:t>Shared claim-specific concepts:</w:t>
      </w:r>
      <w:r>
        <w:t xml:space="preserve"> reforms, article, possible; EU scope visible. This is a provisional connection, not an outcome finding.</w:t>
      </w:r>
    </w:p>
    <w:p>
      <w:pPr>
        <w:pStyle w:val="SourceNote"/>
      </w:pPr>
      <w:r>
        <w:rPr>
          <w:b/>
        </w:rPr>
        <w:t>Available abstract (not full text):</w:t>
      </w:r>
      <w:r>
        <w:t xml:space="preserve"> Abstract: This research article aims to present the European Union's declining position in the world economy and geopolitics and to examine its development options in light of the new American national security strategy and the Russo-Ukrainian war. As for the latter, the author, after presenting the changes in the geopolitical situation, examines the development of the Russo-Ukrainian war, presenting little-known justifications for it, and widely unknown facts about characteristics of the special military operation (SMO), the reasons for its initial failure, its transformation (into a war of attrition and proxy warfare), the results achieved, and possible escalation. Then, he analyzes one of the most important elements of the peace treaty under preparation - security guarantees - with special attention to the planned deployment of European deterrent forces in Ukraine, presenting arguments that this deployment does not serve to establish peace. The author concludes that the decline of the United States' role in Europe should convince the EU that if it wants to remain an influential player in the world, it must urgently introduce reforms to increase organizational and operational efficiency and competitiveness and to build a European military force without US participation. The resources needed for this can be secured, in significant part, by promoting the closure of the Russo-Uk</w:t>
      </w:r>
    </w:p>
    <w:p>
      <w:pPr/>
      <w:r>
        <w:rPr>
          <w:b/>
        </w:rPr>
        <w:t>POSSIBLE 2026:</w:t>
      </w:r>
      <w:r>
        <w:t xml:space="preserve"> 25. The Reformed Mode of Spelling — https://doi.org/10.11647/obp.0537.25</w:t>
      </w:r>
    </w:p>
    <w:p>
      <w:pPr/>
      <w:r>
        <w:rPr>
          <w:b/>
        </w:rPr>
        <w:t>Shared claim-specific concepts:</w:t>
      </w:r>
      <w:r>
        <w:t xml:space="preserve"> article, three; EU scope not established. This is a provisional connection, not an outcome finding.</w:t>
      </w:r>
    </w:p>
    <w:p>
      <w:pPr>
        <w:pStyle w:val="SourceNote"/>
      </w:pPr>
      <w:r>
        <w:rPr>
          <w:b/>
        </w:rPr>
        <w:t>Available abstract (not full text):</w:t>
      </w:r>
      <w:r>
        <w:t xml:space="preserve"> The objective of Chapter 25 is to provide contextualization for Franklin’s Reformed Mode of Spelling. The chapter is divided into three main sections. The first section provides background on Franklin’s editor, friend, and fellow Whig, Benjamin Vaughan (1751–1835), as well as his motivations for compiling and publishing Franklin’s writings under the title Political, Miscellaneous, and Philosophical Pieces written by Benjamin Franklin. The RMS composes the final chapter of this volume.While Franklin’s many other accomplishments far outweigh his contributions to orthography, both he and Vaughan evidently regarded the RMS as sufficiently important to include in the publication, and this despite the fact that it never went beyond a draft proposal. The second section reviews all previous linguistic studies dedicated to Franklin’s RMS. These extend from the eighteenth century to 2025. That being said, Charles Wise’s 1948 article was the single most significant contribution of the 20th century. Here, I outline the input these scholars have made to our understanding of Franklin’s alphabet and the phonological system it reflects. However, virtually all prior scholars have assumed that Franklin’s RMS reflected his native colonial accent. From this assumption, many concluded that Franklin’s English—and, by extension, colonial American English—was close to educated 18th century London Engl</w:t>
      </w:r>
    </w:p>
    <w:p>
      <w:pPr/>
      <w:r>
        <w:rPr>
          <w:b/>
        </w:rPr>
        <w:t>POSSIBLE 2023:</w:t>
      </w:r>
      <w:r>
        <w:t xml:space="preserve"> Which managerial reforms facilitate public sector innovation? — https://doi.org/10.1111/padm.12951</w:t>
      </w:r>
    </w:p>
    <w:p>
      <w:pPr/>
      <w:r>
        <w:rPr>
          <w:b/>
        </w:rPr>
        <w:t>Shared claim-specific concepts:</w:t>
      </w:r>
      <w:r>
        <w:t xml:space="preserve"> reforms, governance; EU scope visible. This is a provisional connection, not an outcome finding.</w:t>
      </w:r>
    </w:p>
    <w:p>
      <w:pPr>
        <w:pStyle w:val="SourceNote"/>
      </w:pPr>
      <w:r>
        <w:rPr>
          <w:b/>
        </w:rPr>
        <w:t>Available abstract (not full text):</w:t>
      </w:r>
      <w:r>
        <w:t xml:space="preserve"> Abstract A key question of public sector innovation (PSI) scholarship is: which factors influence innovation? This paper focuses on managerial practices as drivers of PSI and addresses two research questions. First, how have the main types of managerial reforms—pertaining to marketization, results‐orientation, and collaboration—influenced PSI? Second, how have different features of public sector reform strategies influenced PSI? Using survey data from 19 European countries, we show that reforms focusing on collaboration and results‐orientation facilitate PSI, while marketization‐type reforms have no significant impact. Our study indicates that reforms initiated by public administration (rather than politicians) are more conducive to PSI. We also show that reforms that are crisis‐driven and reforms oriented toward cost cutting have negative impacts on PSI. Overall, our findings demonstrate that New Public Governance‐type reforms exert more positive influence on PSI than NPM‐type reforms.</w:t>
      </w:r>
    </w:p>
    <w:p>
      <w:pPr/>
      <w:r>
        <w:rPr>
          <w:b/>
        </w:rPr>
        <w:t>POSSIBLE 2022:</w:t>
      </w:r>
      <w:r>
        <w:t xml:space="preserve"> The Partisan Politics of Family and Labor Market Policy Reforms in Southern Europe — https://doi.org/10.1093/oso/9780197601457.003.0004</w:t>
      </w:r>
    </w:p>
    <w:p>
      <w:pPr/>
      <w:r>
        <w:rPr>
          <w:b/>
        </w:rPr>
        <w:t>Shared claim-specific concepts:</w:t>
      </w:r>
      <w:r>
        <w:t xml:space="preserve"> reforms, three, eurozone; EU scope visible. This is a provisional connection, not an outcome finding.</w:t>
      </w:r>
    </w:p>
    <w:p>
      <w:pPr>
        <w:pStyle w:val="SourceNote"/>
      </w:pPr>
      <w:r>
        <w:rPr>
          <w:b/>
        </w:rPr>
        <w:t>Available abstract (not full text):</w:t>
      </w:r>
      <w:r>
        <w:t xml:space="preserve"> Abstract This chapter sheds light on the role of political parties as social investment protagonists, consenters, or antagonists in the reform of labor market and family policies in Greece, Italy, Portugal, and Spain. Drawing on original, hand-coded data of three decades of labor market and family policy reforms in Southern Europe, the findings show divergent social investment trajectories. While Spain and Portugal have started to develop contours of a social investment agenda, little progress has been made in Italy and Greece. Programmatic political competition and government partisanship play a role in accounting for these divergent trajectories. Center-left parties have acted as the primary social investment protagonists in Spain, Portugal, and Italy. However, the Italian center-left remains fragmented and has rarely been in government. In stark contrast, both center-right and center-left parties in Greece have acted as social investment antagonists. Political and economic turmoil in the wake of the Eurozone crisis paints a bleak picture for the further development of social investment in Southern Europe. Once fiscal constraints can eventually be overcome, a core question remains as to what extent an inclusive social investment coalition can be formed in an ever more fragmented political landscape.</w:t>
      </w:r>
    </w:p>
    <w:p>
      <w:pPr/>
      <w:r>
        <w:rPr>
          <w:b/>
        </w:rPr>
        <w:t>POSSIBLE 2022:</w:t>
      </w:r>
      <w:r>
        <w:t xml:space="preserve"> The Pharmaceutical Policy Reforms in Greece during the Economic Crisis, 2010-2015 — https://doi.org/10.9734/jpri/2022/v34i22b35859</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In the decade 2000-2009 Greece had the higher rate of public pharmaceutical expenditures as a percentage out of the total public health expenditure and the bigger per capita consumption of public pharmaceutical expenditure among the EU countries. At the end of this decade, Greek governments confronted with this “paradox” and tried to reduce it unsuccessfully. In order to finance its debt, Greece took a financial package of 110 billion € from Troika of the European Commission (EC), European Central Bank (ECB), and International Monetary Fund (IMF) under strict conditions and adopted austere policies designed by Troika all over the public finance sector in order to reduce its debts. Our aim is to provide an overview of new legislation starting from the first memorandum until the first quarter of 2014 and to record the impact of pharmaceutical reforms in all over the pharmaceutical chain. The legislation of this period had the reduction in public pharmaceutical expenditures as a primary endpoint. The new laws focus on new drug pricing policies, profit control regulations, and demand regulations. The economic targets in order to decrease public pharmaceutical expenditures were achieved but not without cost, all the parts in the pharmaceutical chain were affected, especially the last link the patients.</w:t>
      </w:r>
    </w:p>
    <w:p>
      <w:pPr/>
      <w:r>
        <w:rPr>
          <w:b/>
        </w:rPr>
        <w:t>POSSIBLE 2020:</w:t>
      </w:r>
      <w:r>
        <w:t xml:space="preserve"> European Reform Movements and the Making of the International Congress, 1840–1860 — https://doi.org/10.1080/07075332.2020.1808506</w:t>
      </w:r>
    </w:p>
    <w:p>
      <w:pPr/>
      <w:r>
        <w:rPr>
          <w:b/>
        </w:rPr>
        <w:t>Shared claim-specific concepts:</w:t>
      </w:r>
      <w:r>
        <w:t xml:space="preserve"> article, three, general; EU scope visible. This is a provisional connection, not an outcome finding.</w:t>
      </w:r>
    </w:p>
    <w:p>
      <w:pPr>
        <w:pStyle w:val="SourceNote"/>
      </w:pPr>
      <w:r>
        <w:rPr>
          <w:b/>
        </w:rPr>
        <w:t>Available abstract (not full text):</w:t>
      </w:r>
      <w:r>
        <w:t xml:space="preserve">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pPr/>
      <w:r>
        <w:rPr>
          <w:b/>
        </w:rPr>
        <w:t>POSSIBLE 2020:</w:t>
      </w:r>
      <w:r>
        <w:t xml:space="preserve"> The reform of the European Stability Mechanism — https://doi.org/10.1093/cmlj/kmaa001</w:t>
      </w:r>
    </w:p>
    <w:p>
      <w:pPr/>
      <w:r>
        <w:rPr>
          <w:b/>
        </w:rPr>
        <w:t>Shared claim-specific concepts:</w:t>
      </w:r>
      <w:r>
        <w:t xml:space="preserve"> reforms, agreed, article; EU scope visible. This is a provisional connection, not an outcome finding.</w:t>
      </w:r>
    </w:p>
    <w:p>
      <w:pPr>
        <w:pStyle w:val="SourceNote"/>
      </w:pPr>
      <w:r>
        <w:rPr>
          <w:b/>
        </w:rPr>
        <w:t>Available abstract (not full text):</w:t>
      </w:r>
      <w:r>
        <w:t xml:space="preserve"> This article seeks to explain the main aspects of the reform of the European Stability Mechanism (ESM), as agreed in principle by the leaders of the euro area Member States. The article focuses particularly on the ESM’s new mandate to act as the common backstop to the Single Resolution Fund, the reform of its precautionary lending instrument, the expansion of its role in country monitoring both in and outside of programmes, and the future treatment of debt sustainability issues, including the adoption of a revised euro area model collective action clause. By shedding light on the nature and context of these developments, the authors hope to dispel some misunderstandings about the content of this reform and contribute to a clearer understanding of what is at stake. A little over a year ago, the leaders of the countries of the euro area formally pledged to reform the European Stability Mechanism (the ‘ESM’). At the Euro Summit of 14 December 2018, the Heads of State or Government of the euro area Member States endorsed the ‘Term Sheet on the reform of the European Stability Mechanism’, including the anticipated changes to its founding treaty.1 In December 2019, both the Eurogroup in inclusive format2 and the subsequent Euro Summit reached an agreement in principle on this reform package, subject to the conclusion of national procedures.3 The anticipated reform of the ESM follows </w:t>
      </w:r>
    </w:p>
    <w:p>
      <w:pPr/>
      <w:r>
        <w:rPr>
          <w:b/>
        </w:rPr>
        <w:t>POSSIBLE 2020:</w:t>
      </w:r>
      <w:r>
        <w:t xml:space="preserve"> Driving informal institutional change: the European Parliament and the reform of the Economic and Monetary Union — https://doi.org/10.4324/9781003030454-2</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2020:</w:t>
      </w:r>
      <w:r>
        <w:t xml:space="preserve"> Improving Economic Security through European Integration Reforms in Ukraine’s Social Sector — https://doi.org/10.12958/1817-3772-2020-4(62)-180-189</w:t>
      </w:r>
    </w:p>
    <w:p>
      <w:pPr/>
      <w:r>
        <w:rPr>
          <w:b/>
        </w:rPr>
        <w:t>Shared claim-specific concepts:</w:t>
      </w:r>
      <w:r>
        <w:t xml:space="preserve"> reforms, article; EU scope visible. This is a provisional connection, not an outcome finding.</w:t>
      </w:r>
    </w:p>
    <w:p>
      <w:pPr>
        <w:pStyle w:val="SourceNote"/>
      </w:pPr>
      <w:r>
        <w:rPr>
          <w:b/>
        </w:rPr>
        <w:t>Available abstract (not full text):</w:t>
      </w:r>
      <w:r>
        <w:t xml:space="preserve"> According to the Constitution of Ukraine (Article 1), Ukraine is a democratic, social and rule of law state. Developing a highly developed welfare state in Ukraine requires shaping its concept model and mechanisms of its functioning. Active and efficient social policy should become a solid foundation for comprehensive innovative, social development, integration into the European Union, the basis for developing a welfare state with a competitive socially oriented market economy capable of ensuring human development, decent standards and quality of life. This article substantiates the problem of ensuring the economic security of the state and suggests the ways to achieve European standards in the national social sphere. Ukraine has chosen the strategic course of the European integration as a priority of its domestic and foreign policy. This course provides for modernization of all spheres of life at the state and local levels in accordance with the broad context of the development strategy of the EU member states. Modern ideology, which is based on the principles of protection of citizens from major social risks (disability, impoverishment, etc.) and, partially, social paternalism, should be reconsidered in the context of principled of social inclusion. Improvement of existing approaches to social programming should start with a focus on the development and implementation of fund</w:t>
      </w:r>
    </w:p>
    <w:p>
      <w:pPr/>
      <w:r>
        <w:rPr>
          <w:b/>
        </w:rPr>
        <w:t>POSSIBLE 2020:</w:t>
      </w:r>
      <w:r>
        <w:t xml:space="preserve"> Under pressure. Economic constraints, electoral politics and labour market reforms in Southern Europe in the decade of the Great Recession — https://doi.org/10.1111/1475-6765.12414</w:t>
      </w:r>
    </w:p>
    <w:p>
      <w:pPr/>
      <w:r>
        <w:rPr>
          <w:b/>
        </w:rPr>
        <w:t>Shared claim-specific concepts:</w:t>
      </w:r>
      <w:r>
        <w:t xml:space="preserve"> reforms, eurozone; EU scope visible. This is a provisional connection, not an outcome finding.</w:t>
      </w:r>
    </w:p>
    <w:p>
      <w:pPr>
        <w:pStyle w:val="SourceNote"/>
      </w:pPr>
      <w:r>
        <w:rPr>
          <w:b/>
        </w:rPr>
        <w:t>Available abstract (not full text):</w:t>
      </w:r>
      <w:r>
        <w:t xml:space="preserve"> Abstract Even when subject to comparable exogenous constraints during the Eurozone crisis and in its immediate aftermath, governments in Southern Europe have pursued distinct labour market reform agendas. What room for manoeuvre did governments of crisis‐struck peripheral countries really have in shaping their labour market reform strategies, and how can we account for the observed variation? We address these questions by making a twofold contribution to the debate on the political economy of austerity in the Eurozone periphery. First, through the first systematic analysis of all labour market and collective bargaining (CB) reforms implemented in Portugal, Spain, Italy and Greece over 2009–2019, we identify those elements of core labour market deregulation common across Southern European countries (namely, the loosening of employment protection for workers on open‐ended contracts and the decentralisation of CB to the firm level); and those elements of variation, both cross‐country and cross‐party, in the content of corollary labour market interventions that accompanied this core deregulation. Second, we explain these similarities and variations in reform outcomes as the product of the interaction of two factors: economic constraints and electoral dynamics. We argue that the implementation of the common core of deregulation is linked to the exogenous pressure to improve export c</w:t>
      </w:r>
    </w:p>
    <w:p>
      <w:pPr/>
      <w:r>
        <w:rPr>
          <w:b/>
        </w:rPr>
        <w:t>POSSIBLE 2020:</w:t>
      </w:r>
      <w:r>
        <w:t xml:space="preserve"> Socio-economic viability of public management in the context of European integration processes — https://doi.org/10.24818/amp/2020.35-09</w:t>
      </w:r>
    </w:p>
    <w:p>
      <w:pPr/>
      <w:r>
        <w:rPr>
          <w:b/>
        </w:rPr>
        <w:t>Shared claim-specific concepts:</w:t>
      </w:r>
      <w:r>
        <w:t xml:space="preserve"> starting, reforms, article; EU scope visible. This is a provisional connection, not an outcome finding.</w:t>
      </w:r>
    </w:p>
    <w:p>
      <w:pPr>
        <w:pStyle w:val="SourceNote"/>
      </w:pPr>
      <w:r>
        <w:rPr>
          <w:b/>
        </w:rPr>
        <w:t>Available abstract (not full text):</w:t>
      </w:r>
      <w:r>
        <w:t xml:space="preserve"> The European Union forms new requirements for the efficiency of public institutions and the gradual transformation of public management. The relationship between the viability of public management to solve internal problems and the dynamics of socio-economic development is obvious. So, the evaluation of the viability of public institutions’ actions related to the socio-economic processes in any country has theoretical and practical significance. The purpose of our study is to assess the socio-economic viability of public management in the context of European integration processes. Within the article, a comprehensive study of the public management viability in EU countries is presented. The specificity of the study is to assess the socio-economic viability of public management on the basis of economic and social indicators of EU countries. According to the overview of scientific works it is a need to use a comprehensive indicator of public management viability evaluation. So, the considerable attention is paid to the deepening of methodical aspects of public management effectiveness on the basis of multicriteria methods. The result of the study is the calculation of the Socio-Economic Viability Index of Public Management. The obtained results prove the relationship between the SocioEconomic Viability Index of Public Management and the progress of economic reforms in the EU, with</w:t>
      </w:r>
    </w:p>
    <w:p>
      <w:pPr/>
      <w:r>
        <w:rPr>
          <w:b/>
        </w:rPr>
        <w:t>POSSIBLE 2020:</w:t>
      </w:r>
      <w:r>
        <w:t xml:space="preserve"> The Partisan Politics of Family and Labor Market Policy Reforms in Southern Europe — https://doi.org/10.31235/osf.io/md5zb</w:t>
      </w:r>
    </w:p>
    <w:p>
      <w:pPr/>
      <w:r>
        <w:rPr>
          <w:b/>
        </w:rPr>
        <w:t>Shared claim-specific concepts:</w:t>
      </w:r>
      <w:r>
        <w:t xml:space="preserve"> reforms, three, eurozone; EU scope visible. This is a provisional connection, not an outcome finding.</w:t>
      </w:r>
    </w:p>
    <w:p>
      <w:pPr>
        <w:pStyle w:val="SourceNote"/>
      </w:pPr>
      <w:r>
        <w:rPr>
          <w:b/>
        </w:rPr>
        <w:t>Available abstract (not full text):</w:t>
      </w:r>
      <w:r>
        <w:t xml:space="preserve"> This chapter sheds light on the role of political parties as social investment protagonists, consenters, or antagonists in the reform of labor market and family policies in Greece, Italy, Portugal, and Spain. Drawing on original, hand-coded data of three decades of labor market and family policy reforms in Southern Europe, the findings show divergent social investment trajectories. While Spain and Portugal have started to develop contours of a social investment agenda, little progress has been made in Italy and Greece. Programmatic political competition and government partisanship play a role in accounting for these divergent trajectories. Center-left parties have acted as the primary social investment protagonists in Spain, Portugal, and Italy. However, the Italian center-left remains fragmented and has rarely been in government. In stark contrast, both center-right and center-left parties in Greece have acted as social investment antagonists. Political and economic turmoil in the wake of the Eurozone crisis paint a bleak picture for the further development of social investment in Southern Europe. Once fiscal constraints can eventually be overcome, a core question remains to what extent an inclusive social investment coalition can be formed in an ever more fragmented political landscape.</w:t>
      </w:r>
    </w:p>
    <w:p>
      <w:pPr>
        <w:pStyle w:val="Heading2"/>
      </w:pPr>
      <w:r>
        <w:t>1010. Will climate change affect the electricity production sector? A European study</w:t>
      </w:r>
    </w:p>
    <w:p>
      <w:pPr>
        <w:pStyle w:val="SourceNote"/>
      </w:pPr>
      <w:r>
        <w:rPr>
          <w:b/>
        </w:rPr>
        <w:t>Original source (2012):</w:t>
      </w:r>
      <w:r>
        <w:t xml:space="preserve"> https://doi.org/10.2166/wcc.2012.066</w:t>
      </w:r>
    </w:p>
    <w:p>
      <w:pPr/>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POSSIBLE 2026:</w:t>
      </w:r>
      <w:r>
        <w:t xml:space="preserve"> Hydrogen production from grid electricity in Europe: A temporal analysis combining economic and climate dimensions — https://doi.org/10.1016/j.ecmx.2026.101922</w:t>
      </w:r>
    </w:p>
    <w:p>
      <w:pPr/>
      <w:r>
        <w:rPr>
          <w:b/>
        </w:rPr>
        <w:t>Shared claim-specific concepts:</w:t>
      </w:r>
      <w:r>
        <w:t xml:space="preserve"> water, electricity, production, increase, indicate; EU scope visible. This is a provisional connection, not an outcome finding.</w:t>
      </w:r>
    </w:p>
    <w:p>
      <w:pPr>
        <w:pStyle w:val="SourceNote"/>
      </w:pPr>
      <w:r>
        <w:rPr>
          <w:b/>
        </w:rPr>
        <w:t>Available abstract (not full text):</w:t>
      </w:r>
      <w:r>
        <w:t xml:space="preserve"> Hydrogen is a potential low-emission enabler for decarbonisation, produced by water electrolysis using electricity whose cost and carbon intensity depend heavily on the source. Previous studies indicate it can be economically viable at high load factors with cheap and low-carbon electricity. Therefore, integrating both economic and environmental considerations is crucial for assessing hydrogen production viability and sustainability. This study addresses this gap by integrating these dimensions, employing hourly historical electricity prices and greenhouse gas (GHG) intensity data for European countries in 2024. Relying on time-series of the spot electricity market from ENTSO-E, and GHG intensity of electricity consumed from EcoDynElec_xr , the developed model calculates hydrogen production costs, GHG intensity, and associated GHG abatement costs as functions of load factor. Economically, optimal load factors range from 40 to 70%, balancing investment costs with avoiding costly market hours. Environmentally, higher load factors increase GHG intensity of e-H 2 produced due to the reliance on electricity at times with higher carbon content. To address this trade-off, GHG abatement costs with e-H 2 compared to the fossil alternative were calculated. The results show that abating GHG emissions at lowest cost is done by running electrolysers within load factors of 20%–70%. Under cur</w:t>
      </w:r>
    </w:p>
    <w:p>
      <w:pPr/>
      <w:r>
        <w:rPr>
          <w:b/>
        </w:rPr>
        <w:t>POSSIBLE 2026:</w:t>
      </w:r>
      <w:r>
        <w:t xml:space="preserve"> Analysis of electricity production and prosumers in Romania — https://doi.org/10.1051/epjconf/202637207005</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prosumers in Romania — https://doi.org/10.1051/epjconf/202637207005/pdf</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consumption in Morocco: Assessing the electricity deficit and key contributing factors — https://doi.org/10.59400/esc4210</w:t>
      </w:r>
    </w:p>
    <w:p>
      <w:pPr/>
      <w:r>
        <w:rPr>
          <w:b/>
        </w:rPr>
        <w:t>Shared claim-specific concepts:</w:t>
      </w:r>
      <w:r>
        <w:t xml:space="preserve"> electricity, production, indicate, sector; EU scope not established. This is a provisional connection, not an outcome finding.</w:t>
      </w:r>
    </w:p>
    <w:p>
      <w:pPr>
        <w:pStyle w:val="SourceNote"/>
      </w:pPr>
      <w:r>
        <w:rPr>
          <w:b/>
        </w:rPr>
        <w:t>Available abstract (not full text):</w:t>
      </w:r>
      <w:r>
        <w:t xml:space="preserve"> This paper examines the electricity sector of Morocco from 2011 to 2022. Based on the data from the U.S. Energy Information Administration, the World Bank, and ONEE, four major indicators were computed: electricity deficit (ED), electricity import dependency (EID), self-sufficiency ratio (SSR), and per capita electricity consumption (PCEC). The findings indicate that electricity production increased from 20.3 TWh in 2011 to 41.2 TWh in 2022, while consumption climbed from 26 TWh to 35 TWh for the same period. The self-sufficiency ratio remained above 100% after 2015 and reached a maximum of 121.2% in 2019, clearly indicating Morocco's transition from an importer to a net exporter of electricity. Although the renewable capacity has grown to make up 38% of the mix, coal stayed the main source (59.4% in 2022). The per capita consumption went up from 790 kWh to 934 kWh. These results unveil that Morocco has made remarkable strides in electricity self-sufficiency while still facing the challenge of fossil fuel lock-in. Accelerating the integration of renewables, making the grid more flexible, and formulating specific coal transition policies are the study's main recommendations for ensuring sustainability in the long run.</w:t>
      </w:r>
    </w:p>
    <w:p>
      <w:pPr/>
      <w:r>
        <w:rPr>
          <w:b/>
        </w:rPr>
        <w:t>POSSIBLE 2026:</w:t>
      </w:r>
      <w:r>
        <w:t xml:space="preserve"> Fifty years of research have deepened uncertainties in global irrigation water withdrawals — https://doi.org/10.1038/s44221-026-00710-0</w:t>
      </w:r>
    </w:p>
    <w:p>
      <w:pPr/>
      <w:r>
        <w:rPr>
          <w:b/>
        </w:rPr>
        <w:t>Shared claim-specific concepts:</w:t>
      </w:r>
      <w:r>
        <w:t xml:space="preserve"> water, withdrawals, increase, between, indicate; EU scope not established. This is a provisional connection, not an outcome finding.</w:t>
      </w:r>
    </w:p>
    <w:p>
      <w:pPr>
        <w:pStyle w:val="SourceNote"/>
      </w:pPr>
      <w:r>
        <w:rPr>
          <w:b/>
        </w:rPr>
        <w:t>Available abstract (not full text):</w:t>
      </w:r>
      <w:r>
        <w:t xml:space="preserve"> Abstract For five decades, refining models and datasets has been regarded as central to reducing uncertainty in global irrigation water withdrawal estimates. However, whether these efforts have succeeded remains unclear. Here we compile 1,621 global estimates from 65 studies published between 1974 and 2025 and evaluate them across 360 analytical pathways, spanning a comprehensive range of plausible statistical designs. Our results indicate that uncertainty in global irrigation water withdrawals has not declined: only 18% of pathways show any reduction over time, falling to 10% once projections to 2100 are excluded. Paths split between an unstable trend (42%) and an increase in uncertainty (35%), and where a net direction exists, it is an increase by more than two to one. Progress may therefore require the field to renounce the goal of reducing uncertainty and instead double down on what it has historically done best: expanding it, until uncertainty reaches the boundary of what current knowledge of global irrigation cannot exclude.</w:t>
      </w:r>
    </w:p>
    <w:p>
      <w:pPr/>
      <w:r>
        <w:rPr>
          <w:b/>
        </w:rPr>
        <w:t>POSSIBLE 2026:</w:t>
      </w:r>
      <w:r>
        <w:t xml:space="preserve"> Modeling Incentive‐Driven Cooperation in Agricultural Water Use Under Unequal Withdrawal Condition — https://doi.org/10.1029/2025wr042236</w:t>
      </w:r>
    </w:p>
    <w:p>
      <w:pPr/>
      <w:r>
        <w:rPr>
          <w:b/>
        </w:rPr>
        <w:t>Shared claim-specific concepts:</w:t>
      </w:r>
      <w:r>
        <w:t xml:space="preserve"> water, withdrawals, between; EU scope not established. This is a provisional connection, not an outcome finding.</w:t>
      </w:r>
    </w:p>
    <w:p>
      <w:pPr>
        <w:pStyle w:val="SourceNote"/>
      </w:pPr>
      <w:r>
        <w:rPr>
          <w:b/>
        </w:rPr>
        <w:t>Available abstract (not full text):</w:t>
      </w:r>
      <w:r>
        <w:t xml:space="preserve"> Abstract Water allocation has long been framed as a general optimization problem in which users compete for a finite resource, leading much of the existing literature to adopt a top‐down perspective on how water should be distributed among users. However, in practice, water withdrawals may also be influenced by physical access and operational arrangements, such as direct abstraction from river channels through intake facilities for agricultural and industrial use. In such systems, disparities may arise between institutional allocation principles and effective access to water during shortage conditions, potentially creating asymmetric impacts among upstream, midstream, and downstream stakeholders. This study quantifies these impact asymmetries across river locations and evaluates stage‐based intake restriction strategies designed to mitigate inequitable outcomes during droughts. The proposed framework is applied to the Yeongsan River Basin in southwestern Korea through computational experiments to demonstrate how drought‐stage‐based intake regulations can improve both net profit and equity among stakeholders. A game‐theoretic approach is further employed to assess the potential for compensation across Pareto‐optimal solutions by examining whether the additional gains generated under cooperation are sufficient to offset stakeholder losses relative to the non‐cooperative baseline.</w:t>
      </w:r>
    </w:p>
    <w:p>
      <w:pPr/>
      <w:r>
        <w:rPr>
          <w:b/>
        </w:rPr>
        <w:t>POSSIBLE 2026:</w:t>
      </w:r>
      <w:r>
        <w:t xml:space="preserve"> Integration of unreported irrigation withdrawals in time-series models of groundwater levels (Seewinkel, Austria) — https://doi.org/10.5194/egusphere-egu26-13119</w:t>
      </w:r>
    </w:p>
    <w:p>
      <w:pPr/>
      <w:r>
        <w:rPr>
          <w:b/>
        </w:rPr>
        <w:t>Shared claim-specific concepts:</w:t>
      </w:r>
      <w:r>
        <w:t xml:space="preserve"> depending, water, withdrawals, resources; EU scope visible. This is a provisional connection, not an outcome finding.</w:t>
      </w:r>
    </w:p>
    <w:p>
      <w:pPr>
        <w:pStyle w:val="SourceNote"/>
      </w:pPr>
      <w:r>
        <w:rPr>
          <w:b/>
        </w:rPr>
        <w:t>Available abstract (not full text):</w:t>
      </w:r>
      <w:r>
        <w:t xml:space="preserve"> Groundwater monitoring networks are often particularly well established in areas where groundwater resources are exploited. Groundwater withdrawals in such areas potentially affect the observed groundwater levels. Models that are aimed at simulating groundwater levels therefore need to account for temporarily varying groundwater abstraction rates. Unfortunately, such information is rarely available, particularly in agricultural areas where multiple users extract groundwater for irrigation, depending on the seasonally varying crop water requirements. The objective of this work is to develop and test an approach for incorporating unreported irrigation withdrawals into data-driven time-series models of groundwater levels. To this end, irrigation is integrated into a lumped-parameter model coupling a root-zone model to a linear storage representing the groundwater body. While the irrigation demand is determined from the root-zone model, the groundwater abstraction needed to meet this demand is considered in the linear storage. The model is tested for the case of the shallow Seewinkel aquifer (Austria), which is almost exclusively used for irrigation. The model calibration yields a time-varying rate of groundwater abstraction. When compared with available irrigation estimates, the average groundwater abstraction obtained from the model is reasonable. The model suggests that the depl</w:t>
      </w:r>
    </w:p>
    <w:p>
      <w:pPr/>
      <w:r>
        <w:rPr>
          <w:b/>
        </w:rPr>
        <w:t>POSSIBLE 2025:</w:t>
      </w:r>
      <w:r>
        <w:t xml:space="preserve"> A data-driven framework for the temporal extrapolation of annual water withdrawals for hydrological modelling — https://doi.org/10.5194/egusphere-egu25-11405</w:t>
      </w:r>
    </w:p>
    <w:p>
      <w:pPr/>
      <w:r>
        <w:rPr>
          <w:b/>
        </w:rPr>
        <w:t>Shared claim-specific concepts:</w:t>
      </w:r>
      <w:r>
        <w:t xml:space="preserve"> water, withdrawals, between, increasing, freshwater, resources; EU scope visible. This is a provisional connection, not an outcome finding.</w:t>
      </w:r>
    </w:p>
    <w:p>
      <w:pPr>
        <w:pStyle w:val="SourceNote"/>
      </w:pPr>
      <w:r>
        <w:rPr>
          <w:b/>
        </w:rPr>
        <w:t>Available abstract (not full text):</w:t>
      </w:r>
      <w:r>
        <w:t xml:space="preserve">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pPr/>
      <w:r>
        <w:rPr>
          <w:b/>
        </w:rPr>
        <w:t>POSSIBLE 2025:</w:t>
      </w:r>
      <w:r>
        <w:t xml:space="preserve"> System with Thermal Management for Synergistic Water Production, Electricity Generation and Crop Irrigation — https://doi.org/10.1007/s40820-025-01876-0</w:t>
      </w:r>
    </w:p>
    <w:p>
      <w:pPr/>
      <w:r>
        <w:rPr>
          <w:b/>
        </w:rPr>
        <w:t>Shared claim-specific concepts:</w:t>
      </w:r>
      <w:r>
        <w:t xml:space="preserve"> water, thermal, electricity, production, freshwater; EU scope not established. This is a provisional connection, not an outcome finding.</w:t>
      </w:r>
    </w:p>
    <w:p>
      <w:pPr>
        <w:pStyle w:val="SourceNote"/>
      </w:pPr>
      <w:r>
        <w:rPr>
          <w:b/>
        </w:rPr>
        <w:t>Available abstract (not full text):</w:t>
      </w:r>
      <w:r>
        <w:t xml:space="preserve"> Abstract Sustainable water, energy and food (WEF) supplies are the bedrock upon which human society depends. Solar-driven interfacial evaporation, combined with electricity generation and cultivation, is a promising approach to mitigate the freshwater, energy and food crises. However, the performance of solar-driven systems decreases significantly during operation due to uncontrollable weather. This study proposes an integrated water/electricity cogeneration–cultivation system with superior thermal management. The energy storage evaporator, consisting of energy storage microcapsules/hydrogel composites, is optimally designed for sustainable desalination, achieving an evaporation rate of around 1.91 kg m −2 h −1 . In the dark, heat released from the phase-change layer supported an evaporation rate of around 0.54 kg m −2 h −1 . Reverse electrodialysis harnessed the salinity-gradient energy enhanced during desalination, enabling the long-running WEC system to achieve a power output of ~0.3 W m −2 , which was almost three times higher than that of conventional seawater/surface water mixing. Additionally, an integrated crop irrigation platform utilized system drainage for real-time, on-demand wheat cultivation without secondary contaminants, facilitating seamless WEF integration. This work presents a novel approach to all-day solar water production, electricity generation and crop i</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production, increase, decrease, first;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production, increase, increasing;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2024:</w:t>
      </w:r>
      <w:r>
        <w:t xml:space="preserve"> Decarbonization of urea production in India and its impact on water withdrawal and costs: A cost optimization approach — https://doi.org/10.1016/j.jclepro.2024.144433</w:t>
      </w:r>
    </w:p>
    <w:p>
      <w:pPr/>
      <w:r>
        <w:rPr>
          <w:b/>
        </w:rPr>
        <w:t>Shared claim-specific concepts:</w:t>
      </w:r>
      <w:r>
        <w:t xml:space="preserve"> depending, water, production, increase, between, indicate; EU scope not established. This is a provisional connection, not an outcome finding.</w:t>
      </w:r>
    </w:p>
    <w:p>
      <w:pPr>
        <w:pStyle w:val="SourceNote"/>
      </w:pPr>
      <w:r>
        <w:rPr>
          <w:b/>
        </w:rPr>
        <w:t>Available abstract (not full text):</w:t>
      </w:r>
      <w:r>
        <w:t xml:space="preserve"> Urea, a globally dominant synthetic nitrogen fertilizer, presents a complex challenge for India. While promoting agricultural productivity, its production—reliant on natural gas—is projected to drive a threefold increase in India's natural gas consumption by 2050. To meet ambitious climate targets while ensuring food security, India's existing urea plants must be decarbonized. This study conducted techno-economic modeling of “blue” and “green” urea production techniques for all 34 existing urea plants in India, incorporating technologies such as electrolyzers and carbon capture. Using a mixed-integer programming approach from a central planner's perspective, we evaluated key indicators of business-as-usual and decarbonization pathways for the sector under different scenarios. The results indicate that a high level of decarbonization is economically feasible under most scenarios, with the base scenario showing a potential adoption of over 93% green urea by 2050, thus reducing the sector's current natural gas consumption intensity of 645 S C M t u r e a by 96%. This transition also results in a lower freshwater withdrawal intensity of approximately 4 m 3 t u r e a , which is below India's current average of 6.4 m 3 t u r e a . The levelized costs of urea for the decarbonization pathway are more robust against external factors, ranging from 398 to 487 U S D 2026 t u r e a , depend</w:t>
      </w:r>
    </w:p>
    <w:p>
      <w:pPr>
        <w:pStyle w:val="Heading2"/>
      </w:pPr>
      <w:r>
        <w:t>1011. ‘Energy landscapes’: Meeting energy demands and human aspirations</w:t>
      </w:r>
    </w:p>
    <w:p>
      <w:pPr>
        <w:pStyle w:val="SourceNote"/>
      </w:pPr>
      <w:r>
        <w:rPr>
          <w:b/>
        </w:rPr>
        <w:t>Original source (2012):</w:t>
      </w:r>
      <w:r>
        <w:t xml:space="preserve"> https://doi.org/10.1016/j.biombioe.2012.11.022</w:t>
      </w:r>
    </w:p>
    <w:p>
      <w:pPr/>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pPr/>
      <w:r>
        <w:rPr>
          <w:b/>
        </w:rPr>
        <w:t>POSSIBLE 2026:</w:t>
      </w:r>
      <w:r>
        <w:t xml:space="preserve"> Assembly of the most massive Black Holes in the Universe — https://doi.org/10.7488/era/7378</w:t>
      </w:r>
    </w:p>
    <w:p>
      <w:pPr/>
      <w:r>
        <w:rPr>
          <w:b/>
        </w:rPr>
        <w:t>Shared claim-specific concepts:</w:t>
      </w:r>
      <w:r>
        <w:t xml:space="preserve"> critical, question, whether, massive, construct; EU scope not established. This is a provisional connection, not an outcome finding.</w:t>
      </w:r>
    </w:p>
    <w:p>
      <w:pPr>
        <w:pStyle w:val="SourceNote"/>
      </w:pPr>
      <w:r>
        <w:rPr>
          <w:b/>
        </w:rPr>
        <w:t>Available abstract (not full text):</w:t>
      </w:r>
      <w:r>
        <w:t xml:space="preserve"> Supermassive Black Holes (BHs) are nested at the centre of most galaxies, and are the most massive compact objects in the Universe. To this day, we still struggle to explain how these extremely massive objects have assembled and grown over time. Particularly puzzling is that the most massive BHs were thought to have assembled gradually over cosmic time, reaching their high masses only in the local Universe, but BHs already with very large masses in place have been identified at very early cosmic times. This discovery of an early, high-redshift massive BH population sparks the question of how these massive objects formed this quickly in the history of the Universe, and how could this mass build-up happen in such a surprisingly short amount of time. This thesis investigates the growth and assembly of the most massive BHs, emphasising their connection to host galaxies. Specifically, I investigate the active BH population, called Active Galactic Nuclei (AGN), selected through their X-ray emission. AGN represent a critical phase in BH evolution, during which in-falling gas forms an accretion disc, producing powerful radiation across the electromagnetic spectrum. X-ray selection provides a robust method to probe these accretion processes and construct an almost complete census of AGN across a broad range of the galaxy population. In Chapter 3, I study a rare subset of AGN called red </w:t>
      </w:r>
    </w:p>
    <w:p>
      <w:pPr/>
      <w:r>
        <w:rPr>
          <w:b/>
        </w:rPr>
        <w:t>POSSIBLE 2026:</w:t>
      </w:r>
      <w:r>
        <w:t xml:space="preserve"> Hubble as a Unique Discovery Engine of the Fate of Massive Stars and Black Hole Formation — https://doi.org/10.48550/arxiv.2606.10710</w:t>
      </w:r>
    </w:p>
    <w:p>
      <w:pPr/>
      <w:r>
        <w:rPr>
          <w:b/>
        </w:rPr>
        <w:t>Shared claim-specific concepts:</w:t>
      </w:r>
      <w:r>
        <w:t xml:space="preserve"> critical, question, whether, massive; EU scope not established. This is a provisional connection, not an outcome finding.</w:t>
      </w:r>
    </w:p>
    <w:p>
      <w:pPr>
        <w:pStyle w:val="SourceNote"/>
      </w:pPr>
      <w:r>
        <w:rPr>
          <w:b/>
        </w:rPr>
        <w:t>Available abstract (not full text):</w:t>
      </w:r>
      <w:r>
        <w:t xml:space="preserve"> How stellar-mass black holes are formed is an open question in astrophysics, with very limited observational constraints. It is not known which types of stars are more likely to produce black holes, and whether the formation process is accompanied by strong or weak electromagnetic transients - or none at all - and this issue remains a critical missing piece in the puzzle of the fate of massive stars. Recent theoretical work predicts that many stellar-mass black holes form from hot, UV-luminous massive stars, including Wolf-Rayet-like progenitors, and searches focused primarily on luminous cool supergiants may therefore miss a substantial fraction of black-hole formation events. While the coming decade will bring major advances in time-domain astronomy through Rubin/LSST, Roman, JWST, and wide-field transient surveys, none of these combines UV sensitivity, sub-arcsecond imaging, and decade-long continuity. HST uniquely enables direct searches for disappearing hot massive stars associated with black-hole formation. We outline a roadmap for extending HST's role in this area into the 2030s through a dedicated, large program to re-image nearby galaxies in the UV and identify candidate disappearing stars and unusual low-luminosity transients identified by complementary surveys. Theoretical event rates imply that the nearby galaxy population accessible to HST should yield of order one</w:t>
      </w:r>
    </w:p>
    <w:p>
      <w:pPr/>
      <w:r>
        <w:rPr>
          <w:b/>
        </w:rPr>
        <w:t>POSSIBLE 2025:</w:t>
      </w:r>
      <w:r>
        <w:t xml:space="preserve"> Selecting Injected Viscosity in Polymer Flood Projects: A Controversial and Critical Question — https://doi.org/10.3997/2214-4609.202531011</w:t>
      </w:r>
    </w:p>
    <w:p>
      <w:pPr/>
      <w:r>
        <w:rPr>
          <w:b/>
        </w:rPr>
        <w:t>Shared claim-specific concepts:</w:t>
      </w:r>
      <w:r>
        <w:t xml:space="preserve"> critical, question, considered, expansion; EU scope not established. This is a provisional connection, not an outcome finding.</w:t>
      </w:r>
    </w:p>
    <w:p>
      <w:pPr>
        <w:pStyle w:val="SourceNote"/>
      </w:pPr>
      <w:r>
        <w:rPr>
          <w:b/>
        </w:rPr>
        <w:t>Available abstract (not full text):</w:t>
      </w:r>
      <w:r>
        <w:t xml:space="preserve"> Summary Polymer injection is now a mature EOR process, and numerous large-scale expansions are currently underway while new projects are being designed all over the world. Curiously, one of the basic design questions still remains highly controversial: what is the optimum viscosity that should be injected? Some practitioners advocate injecting very high viscosities while others advocate just the opposite. The selection of the viscosity to inject has obvious economic implications as it is directly linked to the polymer concentration and thus its cost which can reach tens of dollars for large expansions. This paper will explain why the question still remains without a clear answer using case studies. The paper reviews the theoretical and practical arguments based on real field experience to help future project designers select the right viscosity for their polymer project. This is a critical issue as this can have an impact on injectivity and economics. Theoretical methods can be conservative and may lead to over-design. Reservoir simulations have also been used in several cases to justify extremely high polymer viscosities but in some cases field results do not bear out these expectations. The conclusions of this work show that several factors need to be considered when selecting polymer viscosity; beyond injectivity and mobility control which are obvious ones, another important</w:t>
      </w:r>
    </w:p>
    <w:p>
      <w:pPr/>
      <w:r>
        <w:rPr>
          <w:b/>
        </w:rPr>
        <w:t>POSSIBLE 2025:</w:t>
      </w:r>
      <w:r>
        <w:t xml:space="preserve"> Can Critical Thinking Be Learned? Critical Examination of Critical Thinking — https://doi.org/10.18690/um.ff.11.2025.10</w:t>
      </w:r>
    </w:p>
    <w:p>
      <w:pPr/>
      <w:r>
        <w:rPr>
          <w:b/>
        </w:rPr>
        <w:t>Shared claim-specific concepts:</w:t>
      </w:r>
      <w:r>
        <w:t xml:space="preserve"> critical, question, considered; EU scope not established. This is a provisional connection, not an outcome finding.</w:t>
      </w:r>
    </w:p>
    <w:p>
      <w:pPr>
        <w:pStyle w:val="SourceNote"/>
      </w:pPr>
      <w:r>
        <w:rPr>
          <w:b/>
        </w:rPr>
        <w:t>Available abstract (not full text):</w:t>
      </w:r>
      <w:r>
        <w:t xml:space="preserve"> The goal of this paper is to analyse the phenomenon of critical thinking and to examine the question of acquiring knowledge or the possibility to learn critical thinking. In particular, we want to examine which aspect(s) or element(s) of this phenomenon are subject to teaching and learning and which can at best be only slightly improved. In contrast to the unspecific and indiscriminate general view that critical thinking can be learned by nearly everyone, we argue that the answer depends on what is considered to be the nature and structure of critical thinking. In contrast to a more elaborate view that distinguishes two general parts of good reasoning, logical skills understood as the core of critical thinking, and intellectual virtues, and argues that only the former but not the latter can be subject to pedagogical teaching, we argue for the exact opposite.</w:t>
      </w:r>
    </w:p>
    <w:p>
      <w:pPr/>
      <w:r>
        <w:rPr>
          <w:b/>
        </w:rPr>
        <w:t>POSSIBLE 2025:</w:t>
      </w:r>
      <w:r>
        <w:t xml:space="preserve"> Psychopathy in children and adolescents: from current aspects of research to critical questions on conceptualisation — https://doi.org/10.15557/pipk.2024.0031</w:t>
      </w:r>
    </w:p>
    <w:p>
      <w:pPr/>
      <w:r>
        <w:rPr>
          <w:b/>
        </w:rPr>
        <w:t>Shared claim-specific concepts:</w:t>
      </w:r>
      <w:r>
        <w:t xml:space="preserve"> critical, considered, article, whether, construct; EU scope not established. This is a provisional connection, not an outcome finding.</w:t>
      </w:r>
    </w:p>
    <w:p>
      <w:pPr>
        <w:pStyle w:val="SourceNote"/>
      </w:pPr>
      <w:r>
        <w:rPr>
          <w:b/>
        </w:rPr>
        <w:t>Available abstract (not full text):</w:t>
      </w:r>
      <w:r>
        <w:t xml:space="preserve"> The conceptualisation and diagnosis of psychopathy in children and adolescents continue to generate many theoretical, methodological, and ethical controversies. Literature analysis reveals that growing interest among scientists, clinicians, and therapists in developmental psychopathy raises numerous questions, with one of the most critical being whether psychopathic traits can be identified at developmental stages earlier than adulthood. Psychopathy is a complex, multifaceted issue, which unfortunately often leads to misconceptions about its aetiology, diagnosis, and treatment. These misunderstandings are frequently shaped by common beliefs held by some scientists, clinicians, and the general public. This article aims to highlight the areas in which researchers are looking for early predictors of the aetiology and development of psychopathic personality disorder. Considering the historical context and contemporary research on psychopathy in children and adolescents, it can be stated that, despite the controversies surrounding it, psychopathy has become the focus of numerous analyses, leading to its recognition as a significant construct in understanding the development of personality disorders. However, the limitations of applying this term to children and adolescents have also been noted. Theoretical and empirical analysis of the individual variables that describe or constitut</w:t>
      </w:r>
    </w:p>
    <w:p>
      <w:pPr/>
      <w:r>
        <w:rPr>
          <w:b/>
        </w:rPr>
        <w:t>POSSIBLE 2024:</w:t>
      </w:r>
      <w:r>
        <w:t xml:space="preserve"> The effects of critical questions on undergraduate students' argumentative writing — https://doi.org/10.58088/bfrb-jk48</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pPr/>
      <w:r>
        <w:rPr>
          <w:b/>
        </w:rPr>
        <w:t>POSSIBLE 2024:</w:t>
      </w:r>
      <w:r>
        <w:t xml:space="preserve"> Critical-Questions-of-Thought: Steering LLM reasoning with Argumentative Querying — https://doi.org/10.48550/arxiv.2412.15177</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pPr/>
      <w:r>
        <w:rPr>
          <w:b/>
        </w:rPr>
        <w:t>POSSIBLE 2024:</w:t>
      </w:r>
      <w:r>
        <w:t xml:space="preserve"> Wireless 6G Connectivity for Massive Number of Devices and Critical Services — https://doi.org/10.1109/jproc.2024.3484529</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pPr/>
      <w:r>
        <w:rPr>
          <w:b/>
        </w:rPr>
        <w:t>POSSIBLE 2024:</w:t>
      </w:r>
      <w:r>
        <w:t xml:space="preserve"> Moduli space of logarithmic states in critical massive gravities — https://doi.org/10.1140/epjc/s10052-024-12614-y</w:t>
      </w:r>
    </w:p>
    <w:p>
      <w:pPr/>
      <w:r>
        <w:rPr>
          <w:b/>
        </w:rPr>
        <w:t>Shared claim-specific concepts:</w:t>
      </w:r>
      <w:r>
        <w:t xml:space="preserve"> critical, massive, allow; EU scope not established. This is a provisional connection, not an outcome finding.</w:t>
      </w:r>
    </w:p>
    <w:p>
      <w:pPr>
        <w:pStyle w:val="SourceNote"/>
      </w:pPr>
      <w:r>
        <w:rPr>
          <w:b/>
        </w:rPr>
        <w:t>Available abstract (not full text):</w:t>
      </w:r>
      <w:r>
        <w:t xml:space="preserve">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pPr/>
      <w:r>
        <w:rPr>
          <w:b/>
        </w:rPr>
        <w:t>POSSIBLE 2024:</w:t>
      </w:r>
      <w:r>
        <w:t xml:space="preserve"> To Be Frail or Not to Be Frail: This Is the Question—A Critical Narrative Review of Frailty — https://doi.org/10.3390/jcm13030721</w:t>
      </w:r>
    </w:p>
    <w:p>
      <w:pPr/>
      <w:r>
        <w:rPr>
          <w:b/>
        </w:rPr>
        <w:t>Shared claim-specific concepts:</w:t>
      </w:r>
      <w:r>
        <w:t xml:space="preserve"> critical, question, considered; EU scope visible. This is a provisional connection, not an outcome finding.</w:t>
      </w:r>
    </w:p>
    <w:p>
      <w:pPr>
        <w:pStyle w:val="SourceNote"/>
      </w:pPr>
      <w:r>
        <w:rPr>
          <w:b/>
        </w:rPr>
        <w:t>Available abstract (not full text):</w:t>
      </w:r>
      <w:r>
        <w:t xml:space="preserve"> Many factors have contributed to rendering frailty an emerging, relevant, and very popular concept. First, many pandemics that have affected humanity in history, including COVID-19, most recently, have had more severe effects on frail people compared to non-frail ones. Second, the increase in human life expectancy observed in many developed countries, including Italy has led to a rise in the percentage of the older population that is more likely to be frail, which is why frailty is much a more common concern among geriatricians compared to other the various health-care professionals. Third, the stratification of people according to the occurrence and the degree of frailty allows healthcare decision makers to adequately plan for the allocation of available human professional and economic resources. Since frailty is considered to be fully preventable, there are relevant consequences in terms of potential benefits both in terms of the clinical outcome and healthcare costs. Frailty is becoming a popular, pervasive, and almost omnipresent concept in many different contexts, including clinical medicine, physical health, lifestyle behavior, mental health, health policy, and socio-economic planning sciences. The emergence of the new "science of frailty" has been recently acknowledged. However, there is still debate on the exact definition of frailty, the pathogenic mechanisms involved,</w:t>
      </w:r>
    </w:p>
    <w:p>
      <w:pPr/>
      <w:r>
        <w:rPr>
          <w:b/>
        </w:rPr>
        <w:t>POSSIBLE 2024:</w:t>
      </w:r>
      <w:r>
        <w:t xml:space="preserve"> The Evolution of Massive Binary Stars — https://doi.org/10.1146/annurev-astro-052722-105936</w:t>
      </w:r>
    </w:p>
    <w:p>
      <w:pPr/>
      <w:r>
        <w:rPr>
          <w:b/>
        </w:rPr>
        <w:t>Shared claim-specific concepts:</w:t>
      </w:r>
      <w:r>
        <w:t xml:space="preserve"> critical, massive, object; EU scope not established. This is a provisional connection, not an outcome finding.</w:t>
      </w:r>
    </w:p>
    <w:p>
      <w:pPr>
        <w:pStyle w:val="SourceNote"/>
      </w:pPr>
      <w:r>
        <w:rPr>
          <w:b/>
        </w:rPr>
        <w:t>Available abstract (not full text):</w:t>
      </w:r>
      <w:r>
        <w:t xml:space="preserve"> Massive stars play a major role in the evolution of their host galaxies and serve as important probes of the distant Universe. It has been established that the majority of massive stars reside in close binaries and interact with their companion stars during their lifetimes. Such interactions drastically alter their life cycles and complicate our understanding of their evolution, but are also responsible for the production of interesting and exotic interaction products. ▪ Extensive observation campaigns with well-understood detection sensitivities have enabled the conversion of observed properties into intrinsic characteristics, facilitating a direct comparison to theory. ▪ Studies of large samples of massive stars in our Galaxy and the Magellanic Clouds have unveiled new types of interaction products, providing critical constraints on the mass transfer phase and the formation of compact objects. ▪ The direct detection of gravitational waves has revolutionized the study of stellar mass compact objects, providing a new window to study massive star evolution. Their formation processes are, however, still unclear. The known sample of compact object mergers will increase by orders of magnitude in the coming decade, which is vastly outgrowing the number of stellar-mass compact objects detected through electromagnetic radiation.</w:t>
      </w:r>
    </w:p>
    <w:p>
      <w:pPr/>
      <w:r>
        <w:rPr>
          <w:b/>
        </w:rPr>
        <w:t>POSSIBLE 2024:</w:t>
      </w:r>
      <w:r>
        <w:t xml:space="preserve"> Critical Questions Generation: Motivation and Challenges — https://doi.org/10.18653/v1/2024.conll-1.9</w:t>
      </w:r>
    </w:p>
    <w:p>
      <w:pPr/>
      <w:r>
        <w:rPr>
          <w:b/>
        </w:rPr>
        <w:t>Shared claim-specific concepts:</w:t>
      </w:r>
      <w:r>
        <w:t xml:space="preserve"> critical, question, use; EU scope not established. This is a provisional connection, not an outcome finding.</w:t>
      </w:r>
    </w:p>
    <w:p>
      <w:pPr>
        <w:pStyle w:val="SourceNote"/>
      </w:pPr>
      <w:r>
        <w:rPr>
          <w:b/>
        </w:rPr>
        <w:t>Available abstract (not full text):</w:t>
      </w:r>
      <w:r>
        <w:t xml:space="preserve"> The development of Large Language Models (LLMs) has brought impressive performances on mitigation strategies against misinformation, such as counterargument generation.However, LLMs are still seriously hindered by outdated knowledge and by their tendency to generate hallucinated content.In order to circumvent these issues, we propose a new task, namely, Critical Questions Generation, consisting of processing an argumentative text to generate the critical questions (CQs) raised by it.In argumentation theory CQs are tools designed to lay bare the blind spots of an argument by pointing at the information it could be missing.Thus, instead of trying to deploy LLMs to produce knowledgeable and relevant counterarguments, we use them to question arguments, without requiring any external knowledge.Research on CQs Generation using LLMs requires a reference dataset for large scale experimentation.Thus, in this work we investigate two complementary methods to create such a resource: (i) instantiating CQs templates as defined by Walton's argumentation theory and (ii), using LLMs as CQs generators.By doing so, we contribute with a procedure to establish what is a valid CQ and conclude that, while LLMs are reasonable CQ generators, they still have a wide margin for improvement in this task.(a) Scheme -Argument from Cause to Effect Premise: Generally, if people pour into the USA, then American</w:t>
      </w:r>
    </w:p>
    <w:p>
      <w:pPr>
        <w:pStyle w:val="Heading2"/>
      </w:pPr>
      <w:r>
        <w:t>1012. Actual and potential development of consumer demand on the organic food market in Europe</w:t>
      </w:r>
    </w:p>
    <w:p>
      <w:pPr>
        <w:pStyle w:val="SourceNote"/>
      </w:pPr>
      <w:r>
        <w:rPr>
          <w:b/>
        </w:rPr>
        <w:t>Original source (2011):</w:t>
      </w:r>
      <w:r>
        <w:t xml:space="preserve"> https://doi.org/10.1016/j.njas.2011.01.005</w:t>
      </w:r>
    </w:p>
    <w:p>
      <w:pPr/>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POSSIBLE 2026:</w:t>
      </w:r>
      <w:r>
        <w:t xml:space="preserve"> Range expansion of the golden jackal (Canis aureus) in Europe — https://doi.org/10.53452/tu3112</w:t>
      </w:r>
    </w:p>
    <w:p>
      <w:pPr/>
      <w:r>
        <w:rPr>
          <w:b/>
        </w:rPr>
        <w:t>Shared claim-specific concepts:</w:t>
      </w:r>
      <w:r>
        <w:t xml:space="preserve"> expansion, increasing, widely; EU scope visible. This is a provisional connection, not an outcome finding.</w:t>
      </w:r>
    </w:p>
    <w:p>
      <w:pPr>
        <w:pStyle w:val="SourceNote"/>
      </w:pPr>
      <w:r>
        <w:rPr>
          <w:b/>
        </w:rPr>
        <w:t>Available abstract (not full text):</w:t>
      </w:r>
      <w:r>
        <w:t xml:space="preserve"> The golden jackal (Canis aureus) is undergoing one of the most rapid and extensive range expansions of any terrestrial carnivore in modern Europe, prompting an urgent need to understand its primary drivers. While climate warming has been widely invoked as a facilitating factor, quantitative evidence linking specific climatic thresholds to the expansion has remained limited. Here, we employ a species distribution modelling (SDM) framework using Maxent, calibrated with 840 spatially thinned occurrence records across Europe and evaluated across three independent climate databases (CliMond, WorldClim, and CMCC-BioClimInd). We apply SHAP (SHapley Additive exPlanations) analysis to hierarchically rank and interpret the contribution of individual climatic variables to predicted habitat suitability. Our models demonstrate robust predictive performance (AUC&gt;0.7; continuous Boyce Index&gt;0.7). SHAP analysis identifies five predominant drivers: Temperature Annual Range, Minimum Temperature of the Coldest Month, Temperature Seasonality, Isothermality, and Precipitation of the Warmest Quarter. Critically, the Minimum Temperature of the Coldest Month exhibits a sharp threshold effect, with suitability increasing rapidly above -15°C and peaking near -3°C, consistent with the hypothesis that the northward retreat of severe winter cold is a primary enabler of expansion. Our model predicts high ha</w:t>
      </w:r>
    </w:p>
    <w:p>
      <w:pPr/>
      <w:r>
        <w:rPr>
          <w:b/>
        </w:rPr>
        <w:t>POSSIBLE 2026:</w:t>
      </w:r>
      <w:r>
        <w:t xml:space="preserve"> The role of green hydrogen imports under demand and supply uncertainties in Europe — https://doi.org/10.1016/j.ijhydene.2026.154457</w:t>
      </w:r>
    </w:p>
    <w:p>
      <w:pPr/>
      <w:r>
        <w:rPr>
          <w:b/>
        </w:rPr>
        <w:t>Shared claim-specific concepts:</w:t>
      </w:r>
      <w:r>
        <w:t xml:space="preserve"> expansion, production; EU scope visible. This is a provisional connection, not an outcome finding.</w:t>
      </w:r>
    </w:p>
    <w:p>
      <w:pPr>
        <w:pStyle w:val="SourceNote"/>
      </w:pPr>
      <w:r>
        <w:rPr>
          <w:b/>
        </w:rPr>
        <w:t>Available abstract (not full text):</w:t>
      </w:r>
      <w:r>
        <w:t xml:space="preserve"> To achieve climate neutrality, Europe’s hydrogen strategy combines domestic green hydrogen production with green hydrogen imports, but the optimal balance remains uncertain. This study applies the stochastic energy system model EMPIRE, coupled with sectoral demand projections, to quantify how variable renewable energy source (VRES) deployment trajectories and hydrogen demand pathways jointly shape Europe’s import requirements. Results show that import requirements in 2050 could range from 7.5 to 55 Mton/yr, depending on scenario developments. The pace of VRES expansion is the dominant driver, and even moderate acceleration beyond historical trends reduces cumulative hydrogen imports by 22%–33%, while stronger acceleration can largely eliminate structural import dependence, especially under a direct electrification pathway. High hydrogen demand consistent with REPowerEU targets is difficult to supply cost-effectively in the near term without substantial imports and some fossil-based hydrogen production. Imports are found to benefit short-term capacity building and to diversify against weather-induced variability, but their marginal value declines as renewable expansion and direct electrification advance.</w:t>
      </w:r>
    </w:p>
    <w:p>
      <w:pPr/>
      <w:r>
        <w:rPr>
          <w:b/>
        </w:rPr>
        <w:t>POSSIBLE 2026:</w:t>
      </w:r>
      <w:r>
        <w:t xml:space="preserve"> Critical iridium demands arising from global expansion of proton exchange membrane electrolysis — https://doi.org/10.1007/s44498-026-00088-y</w:t>
      </w:r>
    </w:p>
    <w:p>
      <w:pPr/>
      <w:r>
        <w:rPr>
          <w:b/>
        </w:rPr>
        <w:t>Shared claim-specific concepts:</w:t>
      </w:r>
      <w:r>
        <w:t xml:space="preserve"> expansion, production; EU scope not established. This is a provisional connection, not an outcome finding.</w:t>
      </w:r>
    </w:p>
    <w:p>
      <w:pPr>
        <w:pStyle w:val="SourceNote"/>
      </w:pPr>
      <w:r>
        <w:rPr>
          <w:b/>
        </w:rPr>
        <w:t>Available abstract (not full text):</w:t>
      </w:r>
      <w:r>
        <w:t xml:space="preserve"> Proton exchange membrane electrolysis (PEMEL) is a key technology for producing green hydrogen, but its scalability is limited by the use of scarce materials, particularly iridium. Iridium oxide, the preferred anode catalyst in PEMEL, offers exceptional stability but is produced only as a by-product of platinum mining, with annual output around 7.5 tons. This study estimates future iridium demand for PEMEL under various global deployment scenarios and technological advances. Results show that meeting net zero targets will require both significant improvements in catalyst efficiency and access to roughly 30% of global iridium production annually. Supply shortages could arise as early as 2030, earlier than previously anticipated. The analysis also reveals that long-term iridium needs beyond 2040 are significantly underestimated. These findings underscore the urgent need for innovation in material efficiency and recycling, and the importance of integrating resource constraints into energy policy and technology planning to ensure a sustainable hydrogen transition. Supplementary Information: The online version contains supplementary material available at 10.1007/s44498-026-00088-y.</w:t>
      </w:r>
    </w:p>
    <w:p>
      <w:pPr/>
      <w:r>
        <w:rPr>
          <w:b/>
        </w:rPr>
        <w:t>POSSIBLE 2026:</w:t>
      </w:r>
      <w:r>
        <w:t xml:space="preserve"> Economic incentives for conifers may limit broadleaf expansion in climate-adaptive European forests — https://doi.org/10.1038/s43247-026-04087-6</w:t>
      </w:r>
    </w:p>
    <w:p>
      <w:pPr/>
      <w:r>
        <w:rPr>
          <w:b/>
        </w:rPr>
        <w:t>Shared claim-specific concepts:</w:t>
      </w:r>
      <w:r>
        <w:t xml:space="preserve"> expansion, increasing, between; EU scope visible. This is a provisional connection, not an outcome finding.</w:t>
      </w:r>
    </w:p>
    <w:p>
      <w:pPr>
        <w:pStyle w:val="SourceNote"/>
      </w:pPr>
      <w:r>
        <w:rPr>
          <w:b/>
        </w:rPr>
        <w:t>Available abstract (not full text):</w:t>
      </w:r>
      <w:r>
        <w:t xml:space="preserve"> Abstract Forests are increasingly affected by climate change, highlighting the necessity of adaptive management to sustain ecosystem services. Yet adaptation is complicated by the interplay between ecological and socioeconomic considerations. We used an informed questionnaire to survey a selected group of forest professionals across different European sites, focusing on how perceptions of climate and socioeconomic change drive adaptive management choices. Here we show that professionals broadly agree on the negative impacts of climate change, with drought emerging as the dominant high-risk factor, while perceived socioeconomic change reflects rising timber demand and prices alongside higher operational costs. Professionals rank species diversity, mixing broadleaf and conifer species, and assisted natural regeneration as the priority adaptive measures, yet anticipated timber price increases lead a quarter of respondents to favor maintaining or increasing conifer shares. Economic expectations can change adaptation choices, highlighting a tension between ecological resilience and socioeconomic priorities that forest policy needs to address.</w:t>
      </w:r>
    </w:p>
    <w:p>
      <w:pPr/>
      <w:r>
        <w:rPr>
          <w:b/>
        </w:rPr>
        <w:t>POSSIBLE 2025:</w:t>
      </w:r>
      <w:r>
        <w:t xml:space="preserve"> Continuing recovery of wolves in Europe — https://doi.org/10.1371/journal.pstr.0000158</w:t>
      </w:r>
    </w:p>
    <w:p>
      <w:pPr/>
      <w:r>
        <w:rPr>
          <w:b/>
        </w:rPr>
        <w:t>Shared claim-specific concepts:</w:t>
      </w:r>
      <w:r>
        <w:t xml:space="preserve"> increasing, distributed;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Beyond renewable expansion: a degrowth perspective on the European energy transition and society — https://openalex.org/W7113186942</w:t>
      </w:r>
    </w:p>
    <w:p>
      <w:pPr/>
      <w:r>
        <w:rPr>
          <w:b/>
        </w:rPr>
        <w:t>Shared claim-specific concepts:</w:t>
      </w:r>
      <w:r>
        <w:t xml:space="preserve"> expansion, whether, production, gap; EU scope visible. This is a provisional connection, not an outcome finding.</w:t>
      </w:r>
    </w:p>
    <w:p>
      <w:pPr>
        <w:pStyle w:val="SourceNote"/>
      </w:pPr>
      <w:r>
        <w:rPr>
          <w:b/>
        </w:rPr>
        <w:t>Available abstract (not full text):</w:t>
      </w:r>
      <w:r>
        <w:t xml:space="preserve"> This Master’s thesis investigates the concept of degrowth, an alternative socio-economic path that challenges the assumption that continuous economic growth is a necessary condition for human well-being and environmental sustainability. The concept is explored thoroughly and holistically, focusing on its social, environmental, and economic implications, as well as its potential impacts on the energy system and the energy transition. In other words, the aim is to explore whether an intentional reduction in production and consumption might not only be compatible with, but perhaps even necessary for ensuring a fair and sustainable society in the long term. To do so, the Master’s thesis examines the ability of existing macroeconomic models to simulate a degrowth scenario. This approach responds to the growing academic interest in the topic and the current lack of quantitative tools to assess its feasibility and consequences. In fact, most of the existing analyses remain qualitative, fragmented, and rarely integrated into operational models. This study addresses this gap through a comparative analysis of three macroeconomic models: International Futures (IFs), LowGrow SFC, and EUROGREEN. The goal is to evaluate their structure, underlying assumptions, and capacity to address key questions about the energy transition and society in a degrowth context. For IFs, a custom scenario was c</w:t>
      </w:r>
    </w:p>
    <w:p>
      <w:pPr/>
      <w:r>
        <w:rPr>
          <w:b/>
        </w:rPr>
        <w:t>POSSIBLE 2025:</w:t>
      </w:r>
      <w:r>
        <w:t xml:space="preserve"> Change in Household Demand in the Context of Concerns Regarding the Transition to a Healthy Diet — https://doi.org/10.24818/ea/2025/69/384</w:t>
      </w:r>
    </w:p>
    <w:p>
      <w:pPr/>
      <w:r>
        <w:rPr>
          <w:b/>
        </w:rPr>
        <w:t>Shared claim-specific concepts:</w:t>
      </w:r>
      <w:r>
        <w:t xml:space="preserve"> likely, food; EU scope visible. This is a provisional connection, not an outcome finding.</w:t>
      </w:r>
    </w:p>
    <w:p>
      <w:pPr>
        <w:pStyle w:val="SourceNote"/>
      </w:pPr>
      <w:r>
        <w:rPr>
          <w:b/>
        </w:rPr>
        <w:t>Available abstract (not full text):</w:t>
      </w:r>
      <w:r>
        <w:t xml:space="preserve"> This article investigates household consumption in 2011 and 2021, to see if there is evidence of changes in household demands of food.The European policy from Farm to Fork aims at providing sustainable, healthy food for all consumers, through an increase in vegetable consumption at the expense of meat consumption.We estimated demand functions for 8 groups of commodities, estimating expenditure and cross-price elasticities.Our finding suggests that Romanian households still view meat as an important dietary requirement, and since its demand is one of the most elastic, the intake will further increase.The quantity and expenditure share of vegetables decreased in the interval.The expenditure elasticity shows that urban households value vegetable consumption more than rural ones.The demand for fruits is elastic, in some cases more so than the one for meat, so it is likely that the fruits demand will continue to grow.From the analysis we can conclude that Romanian households diet preferences are not fulfilling the European aim of achieving "food consumption and healthy diets", since the demand for meat continues to grow, while the demand for vegetables is at best stationary.</w:t>
      </w:r>
    </w:p>
    <w:p>
      <w:pPr/>
      <w:r>
        <w:rPr>
          <w:b/>
        </w:rPr>
        <w:t>POSSIBLE 2025:</w:t>
      </w:r>
      <w:r>
        <w:t xml:space="preserve"> Minimum-Regret Hydrogen and Carbon Supply Chains to Decarbonize European Industrial Hydrogen Demands — https://doi.org/10.1021/acs.est.4c13659</w:t>
      </w:r>
    </w:p>
    <w:p>
      <w:pPr/>
      <w:r>
        <w:rPr>
          <w:b/>
        </w:rPr>
        <w:t>Shared claim-specific concepts:</w:t>
      </w:r>
      <w:r>
        <w:t xml:space="preserve"> expansion, production, conventional; EU scope visible. This is a provisional connection, not an outcome finding.</w:t>
      </w:r>
    </w:p>
    <w:p>
      <w:pPr>
        <w:pStyle w:val="SourceNote"/>
      </w:pPr>
      <w:r>
        <w:rPr>
          <w:b/>
        </w:rPr>
        <w:t>Available abstract (not full text):</w:t>
      </w:r>
      <w:r>
        <w:t xml:space="preserve"> High Resolution Image Download MS PowerPoint Slide Low-carbon hydrogen (H 2 ) is envisioned to play a central role in decarbonizing European hard-to-abate industries, such as refineries, ammonia, methanol, steel, and cement. To facilitate its widespread use, low-carbon H 2 supply chain (HSC) infrastructure is needed. However, uncertainties around future low-carbon H 2 demands and biomass availability hamper their proliferation. This work investigates the impact of uncertainties in H 2 demand and biomass availability on the optimal HSC design. A linear optimization model is used to determine the cost-optimal HSC design, considering a regional spatial resolution and a multiyear time horizon from 2022 to 2050. CO 2 and biomass infrastructure is designed alongside the HSC. A scenario-based approach is used to derive minimum-regret strategies and support infrastructure development. Results show that investing in scalable H 2 production capacity, targeting 10 Mt/a by 2030, enables flexible expansion to meet larger H 2 demands of up to 35 Mt/a by 2050. Although biomass-based H 2 production is most cost-effective, coupling conventional H 2 production with carbon capture and storage or investments in electrolysis provide more flexibility. Moreover, investments in CO 2 infrastructure are essential, often determining the ability to achieve 2050 climate targets.</w:t>
      </w:r>
    </w:p>
    <w:p>
      <w:pPr/>
      <w:r>
        <w:rPr>
          <w:b/>
        </w:rPr>
        <w:t>POSSIBLE 2023:</w:t>
      </w:r>
      <w:r>
        <w:t xml:space="preserve"> Demand Response Implementation: Overview of Europe and United States Status — https://doi.org/10.3390/en16104043</w:t>
      </w:r>
    </w:p>
    <w:p>
      <w:pPr/>
      <w:r>
        <w:rPr>
          <w:b/>
        </w:rPr>
        <w:t>Shared claim-specific concepts:</w:t>
      </w:r>
      <w:r>
        <w:t xml:space="preserve"> distributed, widely; EU scope visible. This is a provisional connection, not an outcome finding.</w:t>
      </w:r>
    </w:p>
    <w:p>
      <w:pPr>
        <w:pStyle w:val="SourceNote"/>
      </w:pPr>
      <w:r>
        <w:rPr>
          <w:b/>
        </w:rPr>
        <w:t>Available abstract (not full text):</w:t>
      </w:r>
      <w:r>
        <w:t xml:space="preserve"> The authors review the efforts made in the last five years to implement Demand Response (DR) programs, considering and studying several models and countries. As motivation, climate change has been a topic widely discussed in the last decades, namely in the power and energy sectors. Therefore, it is crucial to substitute non-renewable fuels with more environment-friendly solutions. Enabling Distributed Generation (DG), namely using renewable resources such as wind and solar, can be part of the solution to reduce the greenhouse effects. However, their unpredictable behavior might result in several problems for network management. Therefore, the consumer should become more flexible towards this new paradigm where the generation no longer follows the demand requests. With this, Demand Response (DR) concept is created as part of this solution. This paper studies the European Union and United States’ current status, with over 50 references.</w:t>
      </w:r>
    </w:p>
    <w:p>
      <w:pPr/>
      <w:r>
        <w:rPr>
          <w:b/>
        </w:rPr>
        <w:t>POSSIBLE 2022:</w:t>
      </w:r>
      <w:r>
        <w:t xml:space="preserve"> Future area expansion outweighs increasing drought risk for soybean in Europe — https://doi.org/10.1111/gcb.16562</w:t>
      </w:r>
    </w:p>
    <w:p>
      <w:pPr/>
      <w:r>
        <w:rPr>
          <w:b/>
        </w:rPr>
        <w:t>Shared claim-specific concepts:</w:t>
      </w:r>
      <w:r>
        <w:t xml:space="preserve"> expansion, dependent, increasing, production, gap;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2022:</w:t>
      </w:r>
      <w:r>
        <w:t xml:space="preserve"> Energy communities as demand-side innovators? Assessing the potential of European cases to reduce demand and foster flexibility — https://doi.org/10.1016/j.erss.2022.102848</w:t>
      </w:r>
    </w:p>
    <w:p>
      <w:pPr/>
      <w:r>
        <w:rPr>
          <w:b/>
        </w:rPr>
        <w:t>Shared claim-specific concepts:</w:t>
      </w:r>
      <w:r>
        <w:t xml:space="preserve"> whether, gap, widely; EU scope visible. This is a provisional connection, not an outcome finding.</w:t>
      </w:r>
    </w:p>
    <w:p>
      <w:pPr>
        <w:pStyle w:val="SourceNote"/>
      </w:pPr>
      <w:r>
        <w:rPr>
          <w:b/>
        </w:rPr>
        <w:t>Available abstract (not full text):</w:t>
      </w:r>
      <w:r>
        <w:t xml:space="preserve"> Energy communities (ECs) are widely recognised for their potential to generate renewable energy. By contrast, the capacity of ECs to reduce energy demand and foster flexibility has attracted little attention to date, despite their theoretical potential to do so. To address this gap, we apply three perspectives – social representations theory, actor-network theory, and business models – to the analysis of nine case studies based in six European countries (Germany, Italy, Slovenia, Sweden, Netherlands, and United Kingdom). The core of the article comprises analysis of the nine cases from each perspective. Our results highlight the (un)intended effects of ECs on the energy representations of members; the configurational work required by focal actors to assemble new socio-technical configurations; and the value creation and capture opportunities open to ECs in the creation of novel business models; These factors in turn impact whether and how ECs achieve demand reduction and flexibility. We summarise and discuss these results in a process of meta-theoretical triangulation to produce a multifaceted and relational account of the potential of ECs to develop demand-side solutions. This leads us to conclude that ECs have a distinct capacity to develop demand-side solutions, rooted in the creation of innovative socio-technical configurations; and that this distinct capacity of ECs has th</w:t>
      </w:r>
    </w:p>
    <w:p>
      <w:pPr/>
      <w:r>
        <w:rPr>
          <w:b/>
        </w:rPr>
        <w:t>POSSIBLE 2022:</w:t>
      </w:r>
      <w:r>
        <w:t xml:space="preserve"> Optimizing opportunities for oak woodland expansion into upland pastures — https://doi.org/10.1002/2688-8319.12126</w:t>
      </w:r>
    </w:p>
    <w:p>
      <w:pPr/>
      <w:r>
        <w:rPr>
          <w:b/>
        </w:rPr>
        <w:t>Shared claim-specific concepts:</w:t>
      </w:r>
      <w:r>
        <w:t xml:space="preserve"> likely, expansion, dependent, whether, increasing, between; EU scope visible. This is a provisional connection, not an outcome finding.</w:t>
      </w:r>
    </w:p>
    <w:p>
      <w:pPr>
        <w:pStyle w:val="SourceNote"/>
      </w:pPr>
      <w:r>
        <w:rPr>
          <w:b/>
        </w:rPr>
        <w:t>Available abstract (not full text):</w:t>
      </w:r>
      <w:r>
        <w:t xml:space="preserve"> Abstract Woodland expansion is widely advocated for the mitigation of climate change and its impacts. This is supported by ambitious targets for increasing tree cover in the United Kingdom and elsewhere to aid carbon storage, flood mitigation and biodiversity provision. However, it remains unclear whether natural tree establishment can supply demand for expanded treescapes in remote, anthropogenically modified upland landscapes. We assessed natural establishment of NW‐European native oak ( Quercus robur , Q. petraea ) saplings (&lt; 12 years) in UK upland pasture systems adjacent to established ‘Atlantic’ oak woodlands on Dartmoor, SW England. We compared the extent of natural sapling colonization (abundance) into pasture sites on the moorland fringe and assessed their survival and growth throughout early life history using long‐ and short‐term grazing exclusion experiments. Natural oak establishment typically occurred on naturally freely draining pasture slopes and at high densities (up to 1900 saplings per ha –1 ) within 20 m of the nearest adult congeneric. Beyond 20 m from a likely seed source, establishment was limited with no recorded establishment between 75–100 m. The natural establishment of oak saplings in grazed pastures was specific to ontogeny with livestock exclusion only favouring the density of older recruits (8–12 years). Results suggest an age‐dependent relations</w:t>
      </w:r>
    </w:p>
    <w:p>
      <w:pPr>
        <w:pStyle w:val="Heading2"/>
      </w:pPr>
      <w:r>
        <w:t>1013. Ageing population and labour productivity in Bulgaria</w:t>
      </w:r>
    </w:p>
    <w:p>
      <w:pPr>
        <w:pStyle w:val="SourceNote"/>
      </w:pPr>
      <w:r>
        <w:rPr>
          <w:b/>
        </w:rPr>
        <w:t>Original source (2011):</w:t>
      </w:r>
      <w:r>
        <w:t xml:space="preserve"> https://doi.org/10.5771/1435-2869-2011-4-521</w:t>
      </w:r>
    </w:p>
    <w:p>
      <w:pPr/>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2025:</w:t>
      </w:r>
      <w:r>
        <w:t xml:space="preserve"> The impact of foreign ownership on firms: a systematic literature review — https://doi.org/10.1007/s11301-025-00504-w</w:t>
      </w:r>
    </w:p>
    <w:p>
      <w:pPr/>
      <w:r>
        <w:rPr>
          <w:b/>
        </w:rPr>
        <w:t>Shared claim-specific concepts:</w:t>
      </w:r>
      <w:r>
        <w:t xml:space="preserve"> recent, literature; EU scope not established. This is a provisional connection, not an outcome finding.</w:t>
      </w:r>
    </w:p>
    <w:p>
      <w:pPr>
        <w:pStyle w:val="SourceNote"/>
      </w:pPr>
      <w:r>
        <w:rPr>
          <w:b/>
        </w:rPr>
        <w:t>Available abstract (not full text):</w:t>
      </w:r>
      <w:r>
        <w:t xml:space="preserve"> Abstract Over the past three decades, the globalization of capital markets has flourished and seems unaffected amidst recent discussions around a deglobalization of the world economy. As a consequence, ownership structures of firms around the world have changed. The emergence of foreign investors as a distinct and powerful group of owners raises questions concerning the impact an increasingly diverse shareholder structure has on firms. Scholars have begun to shed light on the far-reaching consequences of foreign ownership for the organization and strategy of the firm. However, existing research on foreign ownership is scattered, partially because it stems from different disciplines. To map the state of this emerging research field, we present a systematic literature review spanning three decades. Specifically, we investigate foreign ownership’s impact on firms’ organization and strategy by identifying the most prominent themes discussed in the literature. Furthermore, we show that differentiating several types of foreign owners, and considering their origins, is crucial for understanding how their ownership influences firms. We also review the theoretical lenses dominating the research field. Based on our analyses, we develop a framework that synthesizes the state of the art and points at future research avenues to further unravel the multifold consequences of foreign ownership</w:t>
      </w:r>
    </w:p>
    <w:p>
      <w:pPr/>
      <w:r>
        <w:rPr>
          <w:b/>
        </w:rPr>
        <w:t>POSSIBLE 2024:</w:t>
      </w:r>
      <w:r>
        <w:t xml:space="preserve"> Application of DPSIR model to ascertain driving forces and their impacts on the Volta basin — https://doi.org/10.1016/j.heliyon.2024.e38734</w:t>
      </w:r>
    </w:p>
    <w:p>
      <w:pPr/>
      <w:r>
        <w:rPr>
          <w:b/>
        </w:rPr>
        <w:t>Shared claim-specific concepts:</w:t>
      </w:r>
      <w:r>
        <w:t xml:space="preserve"> literature, ascertain; EU scope visible. This is a provisional connection, not an outcome finding.</w:t>
      </w:r>
    </w:p>
    <w:p>
      <w:pPr>
        <w:pStyle w:val="SourceNote"/>
      </w:pPr>
      <w:r>
        <w:rPr>
          <w:b/>
        </w:rPr>
        <w:t>Available abstract (not full text):</w:t>
      </w:r>
      <w:r>
        <w:t xml:space="preserve">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pPr/>
      <w:r>
        <w:rPr>
          <w:b/>
        </w:rPr>
        <w:t>POSSIBLE 2024:</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Measuring the third mission of European Universities: A systematic literature review — https://doi.org/10.1556/204.2023.00030</w:t>
      </w:r>
    </w:p>
    <w:p>
      <w:pPr/>
      <w:r>
        <w:rPr>
          <w:b/>
        </w:rPr>
        <w:t>Shared claim-specific concepts:</w:t>
      </w:r>
      <w:r>
        <w:t xml:space="preserve"> recent, literature, shown; EU scope visible. This is a provisional connection, not an outcome finding.</w:t>
      </w:r>
    </w:p>
    <w:p>
      <w:pPr>
        <w:pStyle w:val="SourceNote"/>
      </w:pPr>
      <w:r>
        <w:rPr>
          <w:b/>
        </w:rPr>
        <w:t>Available abstract (not full text):</w:t>
      </w:r>
      <w:r>
        <w:t xml:space="preserve"> Abstract In recent years, policymakers and academics have shown interest in understanding how universities could drive regional innovation. Universities are not solely focusing on research and education as their primary missions but are also asked to participate in the development of their regions. This has compelled universities to forge what is called a third mission, encompassing all social and economic activities of universities. Several attempts have been made to evaluate this concept, aiming to highlight the evolving role of universities and their relevance to policy and society. In this vein, this paper showcases existing attempts that aim to measure the impact of the third mission in European universities. This study consists of a systematic literature review studying journal articles published between 2001 and 2021. The purpose of this paper is to enumerate the existing measurements of the third mission and identify the different tensions related to it. This study shows that the literature encompasses three approaches for assessing the third mission. First, some studies incorporated the third mission into the overall evaluation of university performance. Second, other investigations aimed to capture this concept as a whole. Finally, several studies evaluated individual dimensions of the third mission independently.</w:t>
      </w:r>
    </w:p>
    <w:p>
      <w:pPr/>
      <w:r>
        <w:rPr>
          <w:b/>
        </w:rPr>
        <w:t>POSSIBLE 2024:</w:t>
      </w:r>
      <w:r>
        <w:t xml:space="preserve"> Recent Literature — https://openalex.org/W7153674710</w:t>
      </w:r>
    </w:p>
    <w:p>
      <w:pPr/>
      <w:r>
        <w:rPr>
          <w:b/>
        </w:rPr>
        <w:t>Shared claim-specific concepts:</w:t>
      </w:r>
      <w:r>
        <w:t xml:space="preserve"> recent, literature, shown, according, leads; EU scope not established. This is a provisional connection, not an outcome finding.</w:t>
      </w:r>
    </w:p>
    <w:p>
      <w:pPr>
        <w:pStyle w:val="SourceNote"/>
      </w:pPr>
      <w:r>
        <w:rPr>
          <w:b/>
        </w:rPr>
        <w:t>Available abstract (not full text):</w:t>
      </w:r>
      <w:r>
        <w:t xml:space="preserve"> Nature Sanctuaries in the United States and Canada, a Preliminary Inventory.S. Charles Kendeigh et al.Living Wilderness, 15 (35): 1-45.Winter, 1950-51.$0.50.--An entire issue of the quarterly magazine published by the Wilderness Society (1840 Mintwood Place, Washington 9, D.C.) is devoted to this list of 691 nature sanctuaries in the United States, Canada, and Alaska.It is the fruit of long labor, spanning 12 years, by the Committee on the Study of Plant and Animal Communities and principally by its chairman, Dr. S. Charles Kendeigh of the University of Illinois.The objective was to compile a working list of sanctuaries, describe them briefly, and evaluate their suitability for scientific study, the measuring stick being one of degrees of disturbance and the principle being that the less disturbed an area is, the better it is for research (at least in the particular line of community research emphasized by the committee).Numerous persons have cooperated in the compiling job, including over 200 contributors beside the committee of 16 ecologists representing the Ecological Society of America and later the Ecologists' Union (now called the Nature Conservancy).•I'his is actually a second listing, the first having appeared in 1926 in the 'Naturalists' Guide to the Americas,' edited by V. E. Shelforal.Included in the listing are national parks, national monuments, many state parks, s</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literature, according, skills, article;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Recent Literature — https://openalex.org/W7153685753</w:t>
      </w:r>
    </w:p>
    <w:p>
      <w:pPr/>
      <w:r>
        <w:rPr>
          <w:b/>
        </w:rPr>
        <w:t>Shared claim-specific concepts:</w:t>
      </w:r>
      <w:r>
        <w:t xml:space="preserve"> recent, literature, population; EU scope not established. This is a provisional connection, not an outcome finding.</w:t>
      </w:r>
    </w:p>
    <w:p>
      <w:pPr>
        <w:pStyle w:val="SourceNote"/>
      </w:pPr>
      <w:r>
        <w:rPr>
          <w:b/>
        </w:rPr>
        <w:t>Available abstract (not full text):</w:t>
      </w:r>
      <w:r>
        <w:t xml:space="preserve"> 8-11, 12 figs.in text.28 October 1953.Price, $1.50.--Thisimportant study is based primarily upon three species Loxops virens, Himatione sanguinea, and Vestiaria coccinea; the only three species of the family, incidentally, still fairly numerous and still present on a number of the Hawaiian Islands.Baldwin's results, therefore, are not to be regarded as clues to why so many Hawaiian honeycreepers became extinct, although some of his data, for example, the inability of a rarer drepaniid, Psittirostra bailleui, to recolonize one of two mountains on its home island of Hawaii, do bear upon this point.Baldwin was in the islands as Park Naturalist and in other capacities during parts of the years 1937-1946; in 1948 he returned for a full year of intensive work on the problems considered in this thesis.Loxops virens proved to be a more or less typical territorial songbird.The male has a territorial trill, and also a more spirited song, uttered sparingly, usually in courtship or in active territorial disputes with other males.Molt, nesting, and other activities are on an annual cycle in this and the other species but, presumably because of the equable climate, proceed at a more leisurely pace than is possible in birds that breed in a short, northern summer.Some adult males of Loxops are in breeding condition and on territory by late October or November, though at this time they sometime</w:t>
      </w:r>
    </w:p>
    <w:p>
      <w:pPr/>
      <w:r>
        <w:rPr>
          <w:b/>
        </w:rPr>
        <w:t>POSSIBLE 2024:</w:t>
      </w:r>
      <w:r>
        <w:t xml:space="preserve"> Recent Literature — https://openalex.org/W7153690891</w:t>
      </w:r>
    </w:p>
    <w:p>
      <w:pPr/>
      <w:r>
        <w:rPr>
          <w:b/>
        </w:rPr>
        <w:t>Shared claim-specific concepts:</w:t>
      </w:r>
      <w:r>
        <w:t xml:space="preserve"> recent, literature, shown, majority; EU scope not established. This is a provisional connection, not an outcome finding.</w:t>
      </w:r>
    </w:p>
    <w:p>
      <w:pPr>
        <w:pStyle w:val="SourceNote"/>
      </w:pPr>
      <w:r>
        <w:rPr>
          <w:b/>
        </w:rPr>
        <w:t>Available abstract (not full text):</w:t>
      </w:r>
      <w:r>
        <w:t xml:space="preserve"> The appendicular royology of the Sandhill Crane [Gr•s ½anadends tab•ta], with comparative remarks on the Whoophug Crane [G.americana].Wilson Bull., 68: 282-304.CLICK, B. 1956.Normal growth of the Bursa of Fabricius in Chickens.Poultry Sci., 35: 843-851.--Maximumbursa size was attained in Barred crosses, White Leghorns, and Rhode Island Reds between 10 and 12, 4•/• and 6, and 8 and 11 weeks, respectively--all at an earlier age than previously reported.The bursa of males was larger than that of females during the first 4 weeks after hatching.Recent Literature [Vol.DtLCER, W. C. 1956.Hylocichlid Thrushes in captivity with notes on their behaviottr.Avicultttral Mag., 62: 183-189.--Abrief but valuable description of activities such as sleeping, bathing, pellet casting, defecation, and comfort movements in adult and young thrushes.--F.M. Ooo•)wtN, D. 1955.Some observations on the reproductive behaviour of Rooks.British Birds, 48: 97-105.--Nestbuilding movements are apparently stereotyped, but in the early stages there is a reluctance to let go of a placed stick, lest it drop.Some male corvids can build nests but it seems that the presence of a female also doing so may be a necessary stimulus.Goodwin suggests that there is an innate attacking reaction to the sight of other rooks copulating, as Heinroth (1948) found in pigeons.These attacks occttr even upon paired birds.Any intruding m</w:t>
      </w:r>
    </w:p>
    <w:p>
      <w:pPr/>
      <w:r>
        <w:rPr>
          <w:b/>
        </w:rPr>
        <w:t>POSSIBLE 2023:</w:t>
      </w:r>
      <w:r>
        <w:t xml:space="preserve"> Education and Fertility: A Review of Recent Research in Europe — https://doi.org/10.12765/cpos-2023-21</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r>
        <w:rPr>
          <w:b/>
        </w:rPr>
        <w:t>POSSIBLE 2023:</w:t>
      </w:r>
      <w:r>
        <w:t xml:space="preserve"> Human and environmental impacts of nanoparticles: a scoping review of the current literature — https://doi.org/10.1186/s12889-023-15958-4</w:t>
      </w:r>
    </w:p>
    <w:p>
      <w:pPr/>
      <w:r>
        <w:rPr>
          <w:b/>
        </w:rPr>
        <w:t>Shared claim-specific concepts:</w:t>
      </w:r>
      <w:r>
        <w:t xml:space="preserve"> literature, majority; EU scope not established. This is a provisional connection, not an outcome finding.</w:t>
      </w:r>
    </w:p>
    <w:p>
      <w:pPr>
        <w:pStyle w:val="SourceNote"/>
      </w:pPr>
      <w:r>
        <w:rPr>
          <w:b/>
        </w:rPr>
        <w:t>Available abstract (not full text):</w:t>
      </w:r>
      <w:r>
        <w:t xml:space="preserve">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according, lower, negative;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pStyle w:val="Heading2"/>
      </w:pPr>
      <w:r>
        <w:t>1014. Climate, competition and connectivity affect future migration and ranges of European trees</w:t>
      </w:r>
    </w:p>
    <w:p>
      <w:pPr>
        <w:pStyle w:val="SourceNote"/>
      </w:pPr>
      <w:r>
        <w:rPr>
          <w:b/>
        </w:rPr>
        <w:t>Original source (2011):</w:t>
      </w:r>
      <w:r>
        <w:t xml:space="preserve"> https://doi.org/10.1111/j.1466-8238.2011.00669.x</w:t>
      </w:r>
    </w:p>
    <w:p>
      <w:pPr/>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POSSIBLE 2026:</w:t>
      </w:r>
      <w:r>
        <w:t xml:space="preserve"> Lessons learned in institutional preparedness and response during the 2022 European drought — https://doi.org/10.5194/nhess-26-955-2026</w:t>
      </w:r>
    </w:p>
    <w:p>
      <w:pPr/>
      <w:r>
        <w:rPr>
          <w:b/>
        </w:rPr>
        <w:t>Shared claim-specific concepts:</w:t>
      </w:r>
      <w:r>
        <w:t xml:space="preserve"> abstract, during, recent; EU scope visible. This is a provisional connection, not an outcome finding.</w:t>
      </w:r>
    </w:p>
    <w:p>
      <w:pPr>
        <w:pStyle w:val="SourceNote"/>
      </w:pPr>
      <w:r>
        <w:rPr>
          <w:b/>
        </w:rPr>
        <w:t>Available abstract (not full text):</w:t>
      </w:r>
      <w:r>
        <w:t xml:space="preserve"> Abstract. Droughts in Europe are becoming increasingly frequent and severe, with the 2022 drought surpassing previous records and causing widespread socio-economic impacts. This study employs a Europe-wide survey that integrates data from 481 respondents from 30 European countries, involved in the management of the 2022 European drought, together with hydroclimatic data (i.e., Standardized Precipitation Evapotranspiration Index; SPEI), to provide a holistic assessment of the effect of drought preparedness on response effectiveness and timeliness during the 2022 drought through statistical methods. It specifically assesses the role of forecasting systems and Drought Management Plans (DMPs) in improving preparedness and in facilitating more effective and timely responses. Additionally, the study investigates how drought management practices and awareness have evolved as a consequence of the 2018 European drought and how recent experiences shape water managers’ perceptions. The findings emphasize the urgent need for a standardized, continent-wide drought risk management coordination to address the multifaceted nature of drought risk by integrating climatic and societal factors, and advocates for a Drought Directive as a means to achieve it. This research aims to inform policy development towards sustainable and holistic drought risk management, highlighting the crucial roles of pr</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abstract, aim, species, adapted, climate, but;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Contrasting Roles of Threatened and Non‐Threatened Species in European Food Webs — https://doi.org/10.1111/ddi.70133</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Aim Assess the structural importance of threatened and non‐threatened species within European food webs by quantifying their roles in maintaining network connectivity. Location Europe. Methods We constructed a dataset of local potential food webs by combining species distribution data with a European metaweb of tetrapod trophic interactions (Tetra‐EU 1.0). Next, we added information on species' threat statuses and assessed their ecological importance using node‐level network structural metrics within the food web. These metrics included in‐degree (number of prey species), out‐degree (number of predator species), trophic level (species' vertical position in the food web), betweenness centrality (frequency with which a species lies on the shortest paths between all other species), closeness centrality (proximity of a species to all others in the network), and the integrated value of influence (a composite measure to identify the most influential species, capturing both direct and indirect effects). Results While threatened species occasionally hold key ecological roles in specific regions (e.g., the Iberian Peninsula), non‐threatened species more frequently exhibit a high integrated value of influence and betweenness centrality, underscoring their substantial contributions to overall potential food web integrity. Main Conclusions We highlight the importance of integratin</w:t>
      </w:r>
    </w:p>
    <w:p>
      <w:pPr/>
      <w:r>
        <w:rPr>
          <w:b/>
        </w:rPr>
        <w:t>POSSIBLE 2026:</w:t>
      </w:r>
      <w:r>
        <w:t xml:space="preserve"> Abstract book: 21st European Symposium on Suicide and Suicidal Behaviour — https://doi.org/10.15388/esssb21.2026</w:t>
      </w:r>
    </w:p>
    <w:p>
      <w:pPr/>
      <w:r>
        <w:rPr>
          <w:b/>
        </w:rPr>
        <w:t>Shared claim-specific concepts:</w:t>
      </w:r>
      <w:r>
        <w:t xml:space="preserve"> abstract, but, remains; EU scope visible. This is a provisional connection, not an outcome finding.</w:t>
      </w:r>
    </w:p>
    <w:p>
      <w:pPr>
        <w:pStyle w:val="SourceNote"/>
      </w:pPr>
      <w:r>
        <w:rPr>
          <w:b/>
        </w:rPr>
        <w:t>Available abstract (not full text):</w:t>
      </w:r>
      <w:r>
        <w:t xml:space="preserve"> The European Symposium on Suicide and Suicidal Behaviour is held every two years and brings together researchers, clinicians, and advocates from across Europe and beyond – sharing new ideas and research in suicide prevention. It remains one of the most significant events in the field. The 21st European Symposium on Suicide and Suicidal Behaviour (ESSSB21) is taking place on August 26–29, 2026, in Vilnius, Lithuania. The symposium is called 'Rethinking Suicide Research and Prevention', as the event's theme aims to encompass various disciplines, including not only psychology, psychiatry and public health, but also sociology, philosophy, policy studies and anthropology.</w:t>
      </w:r>
    </w:p>
    <w:p>
      <w:pPr/>
      <w:r>
        <w:rPr>
          <w:b/>
        </w:rPr>
        <w:t>POSSIBLE 2026:</w:t>
      </w:r>
      <w:r>
        <w:t xml:space="preserve"> Climate‐Driven Shifts in the Potential Distribution of Quarantine Forest Pathogens in Europe: Insights From Species Distribution Modelling — https://doi.org/10.1111/ppa.70187</w:t>
      </w:r>
    </w:p>
    <w:p>
      <w:pPr/>
      <w:r>
        <w:rPr>
          <w:b/>
        </w:rPr>
        <w:t>Shared claim-specific concepts:</w:t>
      </w:r>
      <w:r>
        <w:t xml:space="preserve"> abstract, species, ranges, climate, conditions; EU scope visible. This is a provisional connection, not an outcome finding.</w:t>
      </w:r>
    </w:p>
    <w:p>
      <w:pPr>
        <w:pStyle w:val="SourceNote"/>
      </w:pPr>
      <w:r>
        <w:rPr>
          <w:b/>
        </w:rPr>
        <w:t>Available abstract (not full text):</w:t>
      </w:r>
      <w:r>
        <w:t xml:space="preserve"> ABSTRACT Climate change is increasingly recognised as a major driver of shifts in the geographic ranges of forest pathogens, with profound implications for forest health and management. Rising temperatures, altered precipitation regimes and longer growing seasons can facilitate pathogen establishment, survival and spread, particularly in regions previously constrained by climate. In this study, we assessed the current and future climatic suitability of four forest pathogens of phytosanitary concern— Davidsoniella virescens , Bretziella fagacearum , Litylenchus crenatae and Stegophora ulmea— with a specific focus on Europe. Using species distribution models (MaxEnt) calibrated with confirmed occurrence records and bioclimatic variables, we projected potential distribution patterns under baseline conditions and future climate scenarios (SSP1‐2.6, SSP2–4.5, SSP3–7.0 and SSP5–8.5). Our results indicate a pronounced northward and eastward expansion of climatically suitable areas for D. virescens and B. fagacearum , particularly under high‐emission scenarios, suggesting an increased risk of climatic suitability conducive to establishment in large parts of Europe. In contrast, L. crenatae exhibited relatively limited range shifts, while S. ulmea showed moderate expansion coupled with localised contractions. These species‐specific responses highlight the importance of biological traits</w:t>
      </w:r>
    </w:p>
    <w:p>
      <w:pPr/>
      <w:r>
        <w:rPr>
          <w:b/>
        </w:rPr>
        <w:t>POSSIBLE 2026:</w:t>
      </w:r>
      <w:r>
        <w:t xml:space="preserve"> Metabolomic and Cardiotoxicity Analyses of American Aconitum Compared to Related Asian and European Species — https://doi.org/10.1055/a-2933-1425</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Aconitum species have been used as traditional medicines in Asian countries for millennia, and contain well-characterized bioactive diterpenoid alkaloids. In contrast, American Aconitum species have been less studied, despite their close phylogenetical relationship to the important Asian medicinal species. This study aims to investigate the chemistry and bioactivity of American Aconitum, since they also produce diterpenoid alkaloids that possess toxicity. The chemical profiles of three American Aconitum species, A. delphiniifolium, A. columbianum, and A. uncinatum, and their four individual plant parts (roots, stems, leaves, and flowers) were studied using UPLC-qTof-MSe technique, and compared to Asian and European species. Multivariate including principal component analysis (PCA) and orthogonal partial least squares discriminant analysis (OPLS-DA) were used to analyze the chemical profiles. PCA suggests that American Aconitum is more chemically similar to Asian than European species. Using OPLS-DA, 29 unique marker compounds were found in American Aconitum, but not in the Asian or European species, we studied. Nineteen marker compounds were tentatively identified using Progenesis Qi and reference standards, including proved analgesic compounds such as talatisamine and 14-benzoyltalatisamine as well as other bioactive compounds. The results suggest that American Aconit</w:t>
      </w:r>
    </w:p>
    <w:p>
      <w:pPr/>
      <w:r>
        <w:rPr>
          <w:b/>
        </w:rPr>
        <w:t>POSSIBLE 2025:</w:t>
      </w:r>
      <w:r>
        <w:t xml:space="preserve"> Lecanora hybocarpa and similar European species — https://doi.org/10.1017/s0024282925101291</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pPr/>
      <w:r>
        <w:rPr>
          <w:b/>
        </w:rPr>
        <w:t>POSSIBLE 2025:</w:t>
      </w:r>
      <w:r>
        <w:t xml:space="preserve"> Many Plant Species in Europe Have Limited Capacity to Track Climate Change — https://doi.org/10.1111/ddi.70115</w:t>
      </w:r>
    </w:p>
    <w:p>
      <w:pPr/>
      <w:r>
        <w:rPr>
          <w:b/>
        </w:rPr>
        <w:t>Shared claim-specific concepts:</w:t>
      </w:r>
      <w:r>
        <w:t xml:space="preserve"> abstract, aim, species, climate, conditions, three;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2025:</w:t>
      </w:r>
      <w:r>
        <w:t xml:space="preserve"> Abstracts of the 19th European Congress of Psychology — https://doi.org/10.1024/2673-8627/a000085</w:t>
      </w:r>
    </w:p>
    <w:p>
      <w:pPr/>
      <w:r>
        <w:rPr>
          <w:b/>
        </w:rPr>
        <w:t>Shared claim-specific concepts:</w:t>
      </w:r>
      <w:r>
        <w:t xml:space="preserve"> climate, but, remains, pace, recent;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Nitrogen acquisition in Central European tree species is driven by counteracting species interactions and available soil N — https://doi.org/10.1007/s11104-025-07351-4</w:t>
      </w:r>
    </w:p>
    <w:p>
      <w:pPr/>
      <w:r>
        <w:rPr>
          <w:b/>
        </w:rPr>
        <w:t>Shared claim-specific concepts:</w:t>
      </w:r>
      <w:r>
        <w:t xml:space="preserve"> abstract, species, conditions, but; EU scope visible. This is a provisional connection, not an outcome finding.</w:t>
      </w:r>
    </w:p>
    <w:p>
      <w:pPr>
        <w:pStyle w:val="SourceNote"/>
      </w:pPr>
      <w:r>
        <w:rPr>
          <w:b/>
        </w:rPr>
        <w:t>Available abstract (not full text):</w:t>
      </w:r>
      <w:r>
        <w:t xml:space="preserve"> Abstract Background and aims The interactions between trees and their species-specific properties (e.g. growth rate, nutrient demand) drive the acquisition of growth-limiting nitrogen (N). In tree communities, the outcome of multiple potentially counteracting interactions can mask the underlying effects between species. Methods Using two-species approaches we investigated the interactions among seven common temperate Central European tree species differing in their morphological and physiological properties. Seedlings were grown under controlled conditions with no, intra-, or interspecific interactions at limited or excess soil N. We measured inorganic and organic net N uptake capacity and biomass and growth traits. Results Among species, inorganic and organic N acquisition was unrelated to general physiological and morphological plant properties (i.e. more N with fast growth) but was species-specific. Species interactions affected N acquisition and growth positively, negatively, and/or not depending on the species and available soil N. Which N sources were preferred changed with neighbour and soil N: With limited N, amino acids and nitrate were taken up most whereas with excess N, N acquisition was generally increased and ammonium preferred. Conclusions The interactions with different neighbouring tree species can affect inorganic and organic N acquisition of a species positiv</w:t>
      </w:r>
    </w:p>
    <w:p>
      <w:pPr/>
      <w:r>
        <w:rPr>
          <w:b/>
        </w:rPr>
        <w:t>POSSIBLE 2025:</w:t>
      </w:r>
      <w:r>
        <w:t xml:space="preserve"> Atlas for the Identification of Sturgeon Species of Europe by Skeletal Elements and Implications for Its Use in Archaeozoology — https://doi.org/10.1002/oa.70035</w:t>
      </w:r>
    </w:p>
    <w:p>
      <w:pPr/>
      <w:r>
        <w:rPr>
          <w:b/>
        </w:rPr>
        <w:t>Shared claim-specific concepts:</w:t>
      </w:r>
      <w:r>
        <w:t xml:space="preserve"> abstract, species, conditions; EU scope visible. This is a provisional connection, not an outcome finding.</w:t>
      </w:r>
    </w:p>
    <w:p>
      <w:pPr>
        <w:pStyle w:val="SourceNote"/>
      </w:pPr>
      <w:r>
        <w:rPr>
          <w:b/>
        </w:rPr>
        <w:t>Available abstract (not full text):</w:t>
      </w:r>
      <w:r>
        <w:t xml:space="preserve"> ABSTRACT This paper presents a comprehensive photographic atlas for the identification of sturgeon species in Europe based on skeletal elements. The atlas aims to facilitate accurate species identification of sturgeons from archaeological sites across Europe by providing photographs of key skeletal elements and main body measurements. These data were collected from examinations of 42 specimens representing eight sturgeon species and two intergeneric hybrids. The atlas covers 22 skeletal elements, focusing on those most commonly preserved in the context of archaeological sites and useful for species‐level identification. This resource is intended to support archaeozoologists in their efforts to reconstruct past human activities, trade networks, and environmental conditions. It can also contribute to current conservation efforts by documenting the diversity and distribution of individual species‐level taxa of sturgeons in the historical past of Europe.</w:t>
      </w:r>
    </w:p>
    <w:p>
      <w:pPr/>
      <w:r>
        <w:rPr>
          <w:b/>
        </w:rPr>
        <w:t>POSSIBLE 2025:</w:t>
      </w:r>
      <w:r>
        <w:t xml:space="preserve"> Welfare Indicators for Aquaculture Research: Toolboxes for Five Farmed European Fish Species — https://doi.org/10.1111/raq.70109</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Refining approaches to measuring, monitoring and appraising animal welfare in aquaculture research is key to (i) protecting and optimizing it, (ii) documenting the severity of how and when it deviates, and (iii) ensuring good scientific quality, reliable results and reproducibility, amongst other factors. However, different fish species and life stages can have varying welfare needs and assessing their welfare can be challenging. An array of welfare indicators (WIs) can be utilized when documenting fish welfare, and there is currently little consensus on which WIs are most applicable to the key fish species used in European aquaculture research. The aim of this review is to propose updated, fit for purpose and comprehensive WI toolboxes for aquaculture research involving Atlantic salmon ( Salmo salar ), rainbow trout ( Oncorhynchus mykiss ), European seabass ( Dicentrarchus labrax ), gilthead seabream ( Sparus aurata ), and the common carp ( Cyprinus carpio ). Where possible, these toolboxes will also include life‐stage considerations. It also provides information on utilizing WIs in deciding humane end‐points as well as information on how to sample different types of indicators. The review closes with information on how digitalization can affect the collection, collation and analysis of WI data in aquaculture research, including both practical and theoretical consider</w:t>
      </w:r>
    </w:p>
    <w:p>
      <w:pPr>
        <w:pStyle w:val="Heading2"/>
      </w:pPr>
      <w:r>
        <w:t>1015. Current and Future Issues in BPM Research: A European Perspective from the ERCIS Meeting 2010</w:t>
      </w:r>
    </w:p>
    <w:p>
      <w:pPr>
        <w:pStyle w:val="SourceNote"/>
      </w:pPr>
      <w:r>
        <w:rPr>
          <w:b/>
        </w:rPr>
        <w:t>Original source (2011):</w:t>
      </w:r>
      <w:r>
        <w:t xml:space="preserve"> https://doi.org/10.17705/1cais.02825</w:t>
      </w:r>
    </w:p>
    <w:p>
      <w:pPr/>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POSSIBLE 2026:</w:t>
      </w:r>
      <w:r>
        <w:t xml:space="preserve"> The BPM Goal Hexagon: an update to the Devil’s Quadrangle — https://doi.org/10.1007/s11301-026-00586-0</w:t>
      </w:r>
    </w:p>
    <w:p>
      <w:pPr/>
      <w:r>
        <w:rPr>
          <w:b/>
        </w:rPr>
        <w:t>Shared claim-specific concepts:</w:t>
      </w:r>
      <w:r>
        <w:t xml:space="preserve"> current, bpm, suggest; EU scope not established. This is a provisional connection, not an outcome finding.</w:t>
      </w:r>
    </w:p>
    <w:p>
      <w:pPr>
        <w:pStyle w:val="SourceNote"/>
      </w:pPr>
      <w:r>
        <w:rPr>
          <w:b/>
        </w:rPr>
        <w:t>Available abstract (not full text):</w:t>
      </w:r>
      <w:r>
        <w:t xml:space="preserve">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pPr/>
      <w:r>
        <w:rPr>
          <w:b/>
        </w:rPr>
        <w:t>POSSIBLE 2026:</w:t>
      </w:r>
      <w:r>
        <w:t xml:space="preserve"> Benefits and Challenges in BPM Adoption in Organizations: An Analysis of Industry Professionals’ Perceptions — https://doi.org/10.5753/sbsi.2026.248288</w:t>
      </w:r>
    </w:p>
    <w:p>
      <w:pPr/>
      <w:r>
        <w:rPr>
          <w:b/>
        </w:rPr>
        <w:t>Shared claim-specific concepts:</w:t>
      </w:r>
      <w:r>
        <w:t xml:space="preserve"> bpm, conducted, information, systems; EU scope not established. This is a provisional connection, not an outcome finding.</w:t>
      </w:r>
    </w:p>
    <w:p>
      <w:pPr>
        <w:pStyle w:val="SourceNote"/>
      </w:pPr>
      <w:r>
        <w:rPr>
          <w:b/>
        </w:rPr>
        <w:t>Available abstract (not full text):</w:t>
      </w:r>
      <w:r>
        <w:t xml:space="preserve">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pPr/>
      <w:r>
        <w:rPr>
          <w:b/>
        </w:rPr>
        <w:t>POSSIBLE 2026:</w:t>
      </w:r>
      <w:r>
        <w:t xml:space="preserve"> Digital integration for sustainable competitiveness: the role of BPM, process mining and ERP in accounting automation — https://doi.org/10.52326/csd2025.38</w:t>
      </w:r>
    </w:p>
    <w:p>
      <w:pPr/>
      <w:r>
        <w:rPr>
          <w:b/>
        </w:rPr>
        <w:t>Shared claim-specific concepts:</w:t>
      </w:r>
      <w:r>
        <w:t xml:space="preserve"> bpm, annual, systems; EU scope visible. This is a provisional connection, not an outcome finding.</w:t>
      </w:r>
    </w:p>
    <w:p>
      <w:pPr>
        <w:pStyle w:val="SourceNote"/>
      </w:pPr>
      <w:r>
        <w:rPr>
          <w:b/>
        </w:rPr>
        <w:t>Available abstract (not full text):</w:t>
      </w:r>
      <w:r>
        <w:t xml:space="preserve"> This paper examines how integrating Business Process Management (BPM), Process Mining, and Enterprise Resource Planning (ERP) systems enhances sustainable competitiveness and accounting automation efficiency. Using OMV Petrom SA, Romania's largest energy company, as a case study, the research analyzes the digital transformation program S4Strive, which unified 170 legal entities under a single SAP S/4HANA platform. The implementation combined BPM frameworks for process standardization, Process Mining analytics for identifying bottlenecks and deviations, and Robotic Process Automation (RPA) for repetitive financial tasks. The results revealed a 50% reduction in invoice-to-payment cycle times, annual savings of over 225,000 labor hours, and cost reductions exceeding €8 million. Beyond efficiency and cost improvements, the integration strengthened transparency, compliance, and data accuracy, while supporting environmental and social responsibility through optimized resource utilization. By comparing these outcomes with international accounts payable process-mining cases, the paper highlights how data-driven process integration enhances not only financial performance but also long-term organizational sustainability and resilience in the digital economy.</w:t>
      </w:r>
    </w:p>
    <w:p>
      <w:pPr/>
      <w:r>
        <w:rPr>
          <w:b/>
        </w:rPr>
        <w:t>POSSIBLE 2026:</w:t>
      </w:r>
      <w:r>
        <w:t xml:space="preserve"> Understanding Privacy Policy Compliance in Digital SMEs: The Role of TOE Factors, Compliance Readiness, and BPM Capability — https://doi.org/10.35877/soshum5132</w:t>
      </w:r>
    </w:p>
    <w:p>
      <w:pPr/>
      <w:r>
        <w:rPr>
          <w:b/>
        </w:rPr>
        <w:t>Shared claim-specific concepts:</w:t>
      </w:r>
      <w:r>
        <w:t xml:space="preserve"> bpm, conducted, systems; EU scope not established. This is a provisional connection, not an outcome finding.</w:t>
      </w:r>
    </w:p>
    <w:p>
      <w:pPr>
        <w:pStyle w:val="SourceNote"/>
      </w:pPr>
      <w:r>
        <w:rPr>
          <w:b/>
        </w:rPr>
        <w:t>Available abstract (not full text):</w:t>
      </w:r>
      <w:r>
        <w:t xml:space="preserve"> Digital SMEs increasingly process customer data through social media, marketplaces, digital payment systems, and other online applications, yet privacy compliance often remains informal and inconsistently embedded in daily operations. This study examines how technological, organizational, and environmental conditions influence privacy policy compliance through compliance readiness and Business Process Management capability. Its novelty lies in integrating the TOE framework, organizational readiness, and BPM capability within a sequential mediation model, thereby explaining how contextual conditions are converted into operational compliance practices. A quantitative cross-sectional survey was conducted among 174 owners, managers, and staff of Indonesian digital SMEs selected through purposive sampling. The data were analyzed using PLS-SEM with SmartPLS, including measurement model assessment, bootstrapping with 5,000 resamples, and predictive relevance testing. The results show that TOE Factors strongly influence Compliance Readiness and also improve BPM Capability. Compliance Readiness positively affects both BPM Capability and Privacy Policy Compliance, while BPM Capability further strengthens Privacy Policy Compliance. The model explains 54.9% of the variance in privacy policy compliance. The indirect effects through Compliance Readiness, BPM Capability, and their sequential </w:t>
      </w:r>
    </w:p>
    <w:p>
      <w:pPr/>
      <w:r>
        <w:rPr>
          <w:b/>
        </w:rPr>
        <w:t>POSSIBLE 2025:</w:t>
      </w:r>
      <w:r>
        <w:t xml:space="preserve"> Farmers’ and stakeholders’ views on the adoption of agroecological practices. Results from participatory workshops in European countries — https://doi.org/10.12688/openreseurope.20536.1</w:t>
      </w:r>
    </w:p>
    <w:p>
      <w:pPr/>
      <w:r>
        <w:rPr>
          <w:b/>
        </w:rPr>
        <w:t>Shared claim-specific concepts:</w:t>
      </w:r>
      <w:r>
        <w:t xml:space="preserve"> article, conducted, countries, information; EU scope visible. This is a provisional connection, not an outcome finding.</w:t>
      </w:r>
    </w:p>
    <w:p>
      <w:pPr>
        <w:pStyle w:val="SourceNote"/>
      </w:pPr>
      <w:r>
        <w:rPr>
          <w:b/>
        </w:rPr>
        <w:t>Available abstract (not full text):</w:t>
      </w:r>
      <w:r>
        <w:t xml:space="preserve">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pPr/>
      <w:r>
        <w:rPr>
          <w:b/>
        </w:rPr>
        <w:t>POSSIBLE 2025:</w:t>
      </w:r>
      <w:r>
        <w:t xml:space="preserve"> Adapting BPM lifecycle to increased sustainability of processes: An approach for including sustainability in the BPM Lifecycle — https://openalex.org/W7112653822</w:t>
      </w:r>
    </w:p>
    <w:p>
      <w:pPr/>
      <w:r>
        <w:rPr>
          <w:b/>
        </w:rPr>
        <w:t>Shared claim-specific concepts:</w:t>
      </w:r>
      <w:r>
        <w:t xml:space="preserve"> bpm, information, systems; EU scope not established. This is a provisional connection, not an outcome finding.</w:t>
      </w:r>
    </w:p>
    <w:p>
      <w:pPr>
        <w:pStyle w:val="SourceNote"/>
      </w:pPr>
      <w:r>
        <w:rPr>
          <w:b/>
        </w:rPr>
        <w:t>Available abstract (not full text):</w:t>
      </w:r>
      <w:r>
        <w:t xml:space="preserve"> Dissertation presented as the partial requirement for obtaining a Master's degree in Information Management, specialization in Information Systems Management</w:t>
      </w:r>
    </w:p>
    <w:p>
      <w:pPr/>
      <w:r>
        <w:rPr>
          <w:b/>
        </w:rPr>
        <w:t>POSSIBLE 2025:</w:t>
      </w:r>
      <w:r>
        <w:t xml:space="preserve"> The I Latin polar workshop : strengthening southern voices in polar research — https://openalex.org/W7112921515</w:t>
      </w:r>
    </w:p>
    <w:p>
      <w:pPr/>
      <w:r>
        <w:rPr>
          <w:b/>
        </w:rPr>
        <w:t>Shared claim-specific concepts:</w:t>
      </w:r>
      <w:r>
        <w:t xml:space="preserve"> article, workshop, countries; EU scope visible. This is a provisional connection, not an outcome finding.</w:t>
      </w:r>
    </w:p>
    <w:p>
      <w:pPr>
        <w:pStyle w:val="SourceNote"/>
      </w:pPr>
      <w:r>
        <w:rPr>
          <w:b/>
        </w:rPr>
        <w:t>Available abstract (not full text):</w:t>
      </w:r>
      <w:r>
        <w:t xml:space="preserve"> The I Latin Polar Workshop, held in Lisbon on October 1 and 2, 2025, represented an unprecedented initiative to strengthen collaboration between Latin American and Southern European countries in polar research and governance.Organized by Latin Polar Science in partnership with Portuguese and international institutions, the workshop provided a multidisciplinary forum to discuss scientific cooperation, policy dialogue, and the role of non-Arctic actors in polar affairs.This article offers a descriptive overview of the event's structure, themes, and outcomes, including a review of the poster session, which highlighted innovative research by experienced and early-career scholars.Finally, the event reflected the growing engagement of southern states in polar science and diplomacy.</w:t>
      </w:r>
    </w:p>
    <w:p>
      <w:pPr/>
      <w:r>
        <w:rPr>
          <w:b/>
        </w:rPr>
        <w:t>POSSIBLE 2025:</w:t>
      </w:r>
      <w:r>
        <w:t xml:space="preserve"> The future of education in sleep science and medicine in Europe: Report of an ESRS workshop — https://doi.org/10.1111/jsr.14454</w:t>
      </w:r>
    </w:p>
    <w:p>
      <w:pPr/>
      <w:r>
        <w:rPr>
          <w:b/>
        </w:rPr>
        <w:t>Shared claim-specific concepts:</w:t>
      </w:r>
      <w:r>
        <w:t xml:space="preserve"> workshop, part, information; EU scope visible. This is a provisional connection, not an outcome finding.</w:t>
      </w:r>
    </w:p>
    <w:p>
      <w:pPr>
        <w:pStyle w:val="SourceNote"/>
      </w:pPr>
      <w:r>
        <w:rPr>
          <w:b/>
        </w:rPr>
        <w:t>Available abstract (not full text):</w:t>
      </w:r>
      <w:r>
        <w:t xml:space="preserve"> The European Sleep Research Society (ESRS) is the leading voice for sleep medicine and research in Europe and includes in its mission the objective to promote and develop sleep education. As part of this objective, the Society established a Multidisciplinary Task Force on sleep education, which proposed a workshop on this topic to define the role of ESRS in the future of sleep education in Europe. This includes defining the domains of operation by the ESRS, its most important links and networks, and to recognise areas for development. A concrete goal was to make an action plan with suggestions for eventual Task Forces. Recommendations from the workshop include active collaboration with other Societies and University degree courses in sleep with the objective to position the ESRS as the central focus for sleep education in Europe. Predefined learning objectives and Entrustable Professional Activities were identified as key aspects of future direction. The ESRS Textbook in Sleep Medicine provides a valuable educational resource, and the next edition should expand on the traditional format to include digital material and an integrative platform. The workshop also identified the need to develop a more compact publication to inform non-sleep specialists, university students, and interested members of the public with basic information on sleep and sleep disorders.</w:t>
      </w:r>
    </w:p>
    <w:p>
      <w:pPr/>
      <w:r>
        <w:rPr>
          <w:b/>
        </w:rPr>
        <w:t>POSSIBLE 2025:</w:t>
      </w:r>
      <w:r>
        <w:t xml:space="preserve"> Process Automation with BPM and Emerging Technologies for Service and Industrial Process Optimization: Systematic Mapping — https://doi.org/10.5753/sbsi.2025.246014</w:t>
      </w:r>
    </w:p>
    <w:p>
      <w:pPr/>
      <w:r>
        <w:rPr>
          <w:b/>
        </w:rPr>
        <w:t>Shared claim-specific concepts:</w:t>
      </w:r>
      <w:r>
        <w:t xml:space="preserve"> article, bpm, conducted, information, systems; EU scope not established. This is a provisional connection, not an outcome finding.</w:t>
      </w:r>
    </w:p>
    <w:p>
      <w:pPr>
        <w:pStyle w:val="SourceNote"/>
      </w:pPr>
      <w:r>
        <w:rPr>
          <w:b/>
        </w:rPr>
        <w:t>Available abstract (not full text):</w:t>
      </w:r>
      <w:r>
        <w:t xml:space="preserve"> Context: The adoption of emerging technologies such as Artificial Intelligence (AI), Machine Learning (ML), Robotic Process Automation (RPA), and Process Mining (PM) is transforming business process management (BPM) and mainly its automation process, enhancing operational efficiency in services and industrial processes, and promoting innovation. Problem: The integration of emerging technologies with BPM faces organizational and technical challenges, including workforce adaptation, resistance to change and high costs, limiting its potential to increase efficiency and productivity. Solution: This article aims to investigate and analyze the approaches and structures that enable the integration of emerging technologies with BPM, addressing key questions of interest regarding their impact, implementation, and effectiveness in organizational settings. Information Systems Theory: This research was based on the aegis of the Diffusion of Innovations Theory, exploring how emerging technologies drive innovations in BPM, transforming organizational processes, accelerating automation and promoting operational efficiency and workforce reorganization. Method: We conducted a systematic mapping of studies published between 2019 and 2024, with a quantitative analysis of the selected studies. Summary of Results: The analysis highlighted AI, RPA, and Process Mining as the most cited technologies i</w:t>
      </w:r>
    </w:p>
    <w:p>
      <w:pPr/>
      <w:r>
        <w:rPr>
          <w:b/>
        </w:rPr>
        <w:t>POSSIBLE 2025:</w:t>
      </w:r>
      <w:r>
        <w:t xml:space="preserve"> AI implementation and organizational ambidexterity in the context of BPM: Polish service sector experience — https://doi.org/10.33119/jmfs.2024.52.4</w:t>
      </w:r>
    </w:p>
    <w:p>
      <w:pPr/>
      <w:r>
        <w:rPr>
          <w:b/>
        </w:rPr>
        <w:t>Shared claim-specific concepts:</w:t>
      </w:r>
      <w:r>
        <w:t xml:space="preserve"> bpm, conducted, information; EU scope visible. This is a provisional connection, not an outcome finding.</w:t>
      </w:r>
    </w:p>
    <w:p>
      <w:pPr>
        <w:pStyle w:val="SourceNote"/>
      </w:pPr>
      <w:r>
        <w:rPr>
          <w:b/>
        </w:rPr>
        <w:t>Available abstract (not full text):</w:t>
      </w:r>
      <w:r>
        <w:t xml:space="preserve"> The development of modern organizations is determined by the generation of a system state in which they will leverage the advancement of modern information and communication technologies (ICT). Artificial Intelligence (AI) stands out as a game changer in this regard. Concurrently, organizations striving for market dominance tend towards ambidexterity, i.e. balancing activities related to exploitation (genotypic operations) and the exploration of innovative areas generating added value. Therefore, a research challenge arises, aimed primarily at increasing the knowledge of ambidexterity and its various forms of achievement through the perspective on leveraging AI potential in the Business Process Management (BPM) context. This paper presents the results of a study conducted among 340 large and medium-sized service enterprises in Poland. The main objective of this research is to identify the characteristics of service enterprises associated with the maturity level of AI implementation, including examining the importance of the ambidexterity approach. The study indicates the potential of implementing the ambidexterity concept balancing exploitative and explorative BPM in association with the level of AI implementation. Research methods include literature review, survey, and statistical analyses (correlation analysis, classification tree). The enterprises surveyed varied greatly in </w:t>
      </w:r>
    </w:p>
    <w:p>
      <w:pPr/>
      <w:r>
        <w:rPr>
          <w:b/>
        </w:rPr>
        <w:t>POSSIBLE 2025:</w:t>
      </w:r>
      <w:r>
        <w:t xml:space="preserve"> The Role of European Equestrian Institutions in Training Professionals: Outcomes from a Workshop on Horse Welfare in Equestrian Education — https://doi.org/10.3390/ani15020183</w:t>
      </w:r>
    </w:p>
    <w:p>
      <w:pPr/>
      <w:r>
        <w:rPr>
          <w:b/>
        </w:rPr>
        <w:t>Shared claim-specific concepts:</w:t>
      </w:r>
      <w:r>
        <w:t xml:space="preserve"> workshop, conducted, countries, suggest; EU scope visible. This is a provisional connection, not an outcome finding.</w:t>
      </w:r>
    </w:p>
    <w:p>
      <w:pPr>
        <w:pStyle w:val="SourceNote"/>
      </w:pPr>
      <w:r>
        <w:rPr>
          <w:b/>
        </w:rPr>
        <w:t>Available abstract (not full text):</w:t>
      </w:r>
      <w:r>
        <w:t xml:space="preserve"> This paper highlights and summarizes the experiences and perceptions of European equestrian educational experts from a workshop held at the French National Riding School in Saumur. The workshop, which brought together fifty leading experts, aimed to address challenges in equestrian education, identify common ground, and share best practices. Using 'The World Café' method, the participants were divided into groups to discuss four key topics: the relationship between horses and humans, diversity of perspectives versus common ground, training philosophy, and social acceptability. A follow-up online focus group was conducted six months later, and the discussions were transcribed and analyzed using qualitative content analysis. The results revealed the need for a universal cultural shift towards an evidence-based approach to riding and training horses, with equine welfare at its core. Key challenges, such as anthropomorphism, varying standards across disciplines and countries, and the evolving horse-human relationship, pose risks to the social license to operate. The findings suggest that educational institutions, with their shared values, are well-positioned to lead this change, although further research is needed to address pedagogical challenges. The study also emphasizes the importance of communicating 'good news stories' to promote evidence-based practices in training and compe</w:t>
      </w:r>
    </w:p>
    <w:p>
      <w:pPr/>
      <w:r>
        <w:rPr>
          <w:b/>
        </w:rPr>
        <w:t>POSSIBLE 2025:</w:t>
      </w:r>
      <w:r>
        <w:t xml:space="preserve"> Bone histomorphometry for the diagnosis of renal osteodystrophy – a European consensus statement — https://doi.org/10.1016/j.bone.2025.117544</w:t>
      </w:r>
    </w:p>
    <w:p>
      <w:pPr/>
      <w:r>
        <w:rPr>
          <w:b/>
        </w:rPr>
        <w:t>Shared claim-specific concepts:</w:t>
      </w:r>
      <w:r>
        <w:t xml:space="preserve"> issues, countries, part; EU scope visible. This is a provisional connection, not an outcome finding.</w:t>
      </w:r>
    </w:p>
    <w:p>
      <w:pPr>
        <w:pStyle w:val="SourceNote"/>
      </w:pPr>
      <w:r>
        <w:rPr>
          <w:b/>
        </w:rPr>
        <w:t>Available abstract (not full text):</w:t>
      </w:r>
      <w:r>
        <w:t xml:space="preserve"> Histomorphometric analysis of an iliac bone biopsy remains the gold standard for the diagnosis of renal osteodystrophy (ROD), which comprises various histological lesions induced by chronic kidney disease (CKD). ROD belongs to the framework of CKD-associated osteoporosis. The use of bone biopsy in the routine management of CKD-associated osteoporosis has decreased over the past decades for various reasons, including diminishing expertise in performing the procedure, and major variability in processing bone samples and reporting of results. In this context, the European Renal Osteodystrophy group, a part of the CKD-mineral and bone disorder working group of the European Renal Association launched an initiative to evaluate various issues related to bone histomorphometry in the context of ROD. To this effect, 28 experts from 14 European countries engaged in rounds of discussions to reach a consensus related to the bone biopsy procedure, sample handling, and reading and reporting findings. Key conclusions include a recommendation that all practitioners in this field move towards reporting diagnostic findings by the turnover, mineralization, and volume (TMV) classification and that external quality control is prioritized to ensure validity and reproducibility of results. The consensus group recognises that the lack of an accepted normative reference for bone histomorphometry is a ba</w:t>
      </w:r>
    </w:p>
    <w:p>
      <w:pPr>
        <w:pStyle w:val="Heading2"/>
      </w:pPr>
      <w:r>
        <w:t>1016. Demographic projections of future pharmaceutical consumption in the Netherlands</w:t>
      </w:r>
    </w:p>
    <w:p>
      <w:pPr>
        <w:pStyle w:val="SourceNote"/>
      </w:pPr>
      <w:r>
        <w:rPr>
          <w:b/>
        </w:rPr>
        <w:t>Original source (2011):</w:t>
      </w:r>
      <w:r>
        <w:t xml:space="preserve"> https://doi.org/10.2166/wst.2011.120</w:t>
      </w:r>
    </w:p>
    <w:p>
      <w:pPr/>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pPr/>
      <w:r>
        <w:rPr>
          <w:b/>
        </w:rPr>
        <w:t>POSSIBLE 2026:</w:t>
      </w:r>
      <w:r>
        <w:t xml:space="preserve"> On the economic prospects of non-Western migrants in Europe — https://doi.org/10.1007/s00148-026-01167-x</w:t>
      </w:r>
    </w:p>
    <w:p>
      <w:pPr/>
      <w:r>
        <w:rPr>
          <w:b/>
        </w:rPr>
        <w:t>Shared claim-specific concepts:</w:t>
      </w:r>
      <w:r>
        <w:t xml:space="preserve"> over, many, countries; EU scope visible. This is a provisional connection, not an outcome finding.</w:t>
      </w:r>
    </w:p>
    <w:p>
      <w:pPr>
        <w:pStyle w:val="SourceNote"/>
      </w:pPr>
      <w:r>
        <w:rPr>
          <w:b/>
        </w:rPr>
        <w:t>Available abstract (not full text):</w:t>
      </w:r>
      <w:r>
        <w:t xml:space="preserve"> Abstract Many European countries are concerned about the economic integration of low-skilled non-Western migrants. This study investigates skill disparities and their intergenerational persistence by employing a unique combination of Dutch survey and registry data linking math and language skills of parents and their children. We find that skills of non-Western migrants strongly converge towards those of natives; group differences in math and language are reduced by 60 to 70% over one generation. Ethnic externalities that may delay group convergence indefinitely appear not to be important. This suggests that the currently observed skill gaps of non-Western migrants in Europe are unlikely to persist for those migrants.</w:t>
      </w:r>
    </w:p>
    <w:p>
      <w:pPr/>
      <w:r>
        <w:rPr>
          <w:b/>
        </w:rPr>
        <w:t>POSSIBLE 2025:</w:t>
      </w:r>
      <w:r>
        <w:t xml:space="preserve"> Modelling Eurasian lynx populations in Western Europe: What prospects for the next 50 years? — https://doi.org/10.24072/pcjournal.543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inbreedin</w:t>
      </w:r>
    </w:p>
    <w:p>
      <w:pPr/>
      <w:r>
        <w:rPr>
          <w:b/>
        </w:rPr>
        <w:t>POSSIBLE 2025:</w:t>
      </w:r>
      <w:r>
        <w:t xml:space="preserve"> How Parliamentarism Developed in Western Europe — https://doi.org/10.1017/s0007123424000917</w:t>
      </w:r>
    </w:p>
    <w:p>
      <w:pPr/>
      <w:r>
        <w:rPr>
          <w:b/>
        </w:rPr>
        <w:t>Shared claim-specific concepts:</w:t>
      </w:r>
      <w:r>
        <w:t xml:space="preserve"> many, western, countries; EU scope visible. This is a provisional connection, not an outcome finding.</w:t>
      </w:r>
    </w:p>
    <w:p>
      <w:pPr>
        <w:pStyle w:val="SourceNote"/>
      </w:pPr>
      <w:r>
        <w:rPr>
          <w:b/>
        </w:rPr>
        <w:t>Available abstract (not full text):</w:t>
      </w:r>
      <w:r>
        <w:t xml:space="preserve"> Abstract The description of the long-run historical development of parliamentarism has presented an empirical and methodological challenge because it is only loosely related to constitutional writings. This article offers a solution. Using a wide variety of historiography, I collect data on government terminations in eleven West European states from the establishment of national parliaments until today. To describe the evolution of parliamentarism, I apply a Bayesian learning model that estimates institutional development as the change in current expectations about interactions grounded in past experience. The result is the first long-run continuous description of parliamentarism at the country level, which suggests that parliamentarism in many cases was established later than hitherto believed. In general, it is an institution of the Postwar period. The finding that unelected heads of state in several countries influenced government terminations well into the twentieth century also has implications for ideas about democratization.</w:t>
      </w:r>
    </w:p>
    <w:p>
      <w:pPr/>
      <w:r>
        <w:rPr>
          <w:b/>
        </w:rPr>
        <w:t>POSSIBLE 2025:</w:t>
      </w:r>
      <w:r>
        <w:t xml:space="preserve"> Soldiers in Western Europe, c. 1500-1790 — https://doi.org/10.4324/9781003695455_ch04</w:t>
      </w:r>
    </w:p>
    <w:p>
      <w:pPr/>
      <w:r>
        <w:rPr>
          <w:b/>
        </w:rPr>
        <w:t>Shared claim-specific concepts:</w:t>
      </w:r>
      <w:r>
        <w:t xml:space="preserve"> over, decades, many, western; EU scope visible. This is a provisional connection, not an outcome finding.</w:t>
      </w:r>
    </w:p>
    <w:p>
      <w:pPr>
        <w:pStyle w:val="SourceNote"/>
      </w:pPr>
      <w:r>
        <w:rPr>
          <w:b/>
        </w:rPr>
        <w:t>Available abstract (not full text):</w:t>
      </w:r>
      <w:r>
        <w:t xml:space="preserve"> Particularly after the second half of the seventeenth century, when armed forces grew exponentially, armies typically ranked as the largest single employers within states. Thus, soldiers constituted the most numerous unified labour force within Europe. A consideration of troops within the framework of labour history is accordingly both appropriate and also long overdue, especially since in certain circumstances soldiers acted very much like modern workers. For example, it would not be out of line to regard military mutinies as among the largest and most effective strikes in European history before the emergence of labour militancy associated with the Industrial Revolution. However, generalizations about soldier-labour in Europe during the early modern period – taken here to encompass those decades falling roughly between 1500 and 1790 – have to be advanced cautiously and hedged around with caveats. This is for three principal reasons. First, there was considerable variety of practice both within and between polities with regard to the employment of soldiers, which makes generalization hazardous. Secondly, the period was characterized by considerable changes of practice. To be sure, the notion that these changes constituted a “military revolution”, at least in the format originally proposed by Michael Roberts in the 1950s and subsequently amended by Geoffrey Parker, has been cha</w:t>
      </w:r>
    </w:p>
    <w:p>
      <w:pPr/>
      <w:r>
        <w:rPr>
          <w:b/>
        </w:rPr>
        <w:t>POSSIBLE 2025:</w:t>
      </w:r>
      <w:r>
        <w:t xml:space="preserve"> Future changes in runoff over western and central Europe: disentangling the hydrological behavior of CMIP6 models — https://doi.org/10.5194/esd-16-1409-2025</w:t>
      </w:r>
    </w:p>
    <w:p>
      <w:pPr/>
      <w:r>
        <w:rPr>
          <w:b/>
        </w:rPr>
        <w:t>Shared claim-specific concepts:</w:t>
      </w:r>
      <w:r>
        <w:t xml:space="preserve"> over, western, large; EU scope visible. This is a provisional connection, not an outcome finding.</w:t>
      </w:r>
    </w:p>
    <w:p>
      <w:pPr>
        <w:pStyle w:val="SourceNote"/>
      </w:pPr>
      <w:r>
        <w:rPr>
          <w:b/>
        </w:rPr>
        <w:t>Available abstract (not full text):</w:t>
      </w:r>
      <w:r>
        <w:t xml:space="preserve"> A large ensemble of climate projections from the Coupled Model Intercomparison Project Phase 6 is analyzed to characterize changes in runoff over western and central Europe in the late 21st century under a high-end emissions scenario. Our second objective is to gain a better understanding of the mechanisms responsible for the inter-model uncertainties. For this purpose, the models are grouped according to their hydrological response using a hierarchical classification algorithm. Additional sensitivity experiments from two Model Intercomparison Projects are examined to better assess the role of the soil moisture–precipitation feedback and of the physiological impact of CO 2 in this context. Half of the clusters show no significant change or a slight increase in annual runoff, while the others show a substantial decrease. Even when models agree on the annual changes in runoff, the changes in precipitation and evapotranspiration that drive them can be very different, even in terms of sign. Seasonal changes further differentiate the hydrological behavior of the different clusters. It is difficult to reject any cluster of models based on their accuracy in representing climatological averages and recent trends. The link between present-day averages or trends and future changes is generally weak, and there are in general no major inconsistencies with reference datasets, partly because</w:t>
      </w:r>
    </w:p>
    <w:p>
      <w:pPr/>
      <w:r>
        <w:rPr>
          <w:b/>
        </w:rPr>
        <w:t>POSSIBLE 2024:</w:t>
      </w:r>
      <w:r>
        <w:t xml:space="preserve"> A sentinel watching over inter-tidal seagrass phenology across Western Europe and North Africa — https://doi.org/10.1038/s43247-024-01543-z</w:t>
      </w:r>
    </w:p>
    <w:p>
      <w:pPr/>
      <w:r>
        <w:rPr>
          <w:b/>
        </w:rPr>
        <w:t>Shared claim-specific concepts:</w:t>
      </w:r>
      <w:r>
        <w:t xml:space="preserve"> over, many, western; EU scope visible. This is a provisional connection, not an outcome finding.</w:t>
      </w:r>
    </w:p>
    <w:p>
      <w:pPr>
        <w:pStyle w:val="SourceNote"/>
      </w:pPr>
      <w:r>
        <w:rPr>
          <w:b/>
        </w:rPr>
        <w:t>Available abstract (not full text):</w:t>
      </w:r>
      <w:r>
        <w:t xml:space="preserve"> Abstract Seagrasses are marine flowering plants that form extensive meadows from the inter-tidal zone up to ~50 m depth. As biological and ecological Essential Biodiversity Variables, seagrass cover and composition provide a wide range of ecosystem services. Inter-tidal seagrass meadows provide services to many ecosystems, so monitoring their occurrence, extent, condition and diversity can be used to indicate the biodiversity and health of local ecosystems. Current global estimates of seagrass extent and recent reviews either do not mention inter-tidal seagrasses and their seasonal variation, or combine them with sub-tidal seagrasses. Here, using high-spatial and high-temporal resolution satellite data (Sentinel-2), we demonstrate a method for consistently mapping inter-tidal seagrass meadows and their phenology at a continental scale. We were able to highlight varying seasonal patterns that are observable across a 23° latitudinal range. Timings of peaks in seagrass extent varied by up to 5 months, rather than the previously assumed marginal to non-existent variation in peak timing. These results will aid management by providing high-resolution spatio-temporal monitoring data to better inform seagrass conservation and restoration. They also highlight the high level of seasonal variability in inter-tidal seagrass, meaning combination with sub-tidal seagrass for global assessment</w:t>
      </w:r>
    </w:p>
    <w:p>
      <w:pPr/>
      <w:r>
        <w:rPr>
          <w:b/>
        </w:rPr>
        <w:t>POSSIBLE 2024:</w:t>
      </w:r>
      <w:r>
        <w:t xml:space="preserve"> Climate Policy Priorities for the Next European Commission — https://openalex.org/W4392885355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Struggle over Law in Europe — https://doi.org/10.4324/9781003302094</w:t>
      </w:r>
    </w:p>
    <w:p>
      <w:pPr/>
      <w:r>
        <w:rPr>
          <w:b/>
        </w:rPr>
        <w:t>Shared claim-specific concepts:</w:t>
      </w:r>
      <w:r>
        <w:t xml:space="preserve"> over, next, introduced; EU scope visible. This is a provisional connection, not an outcome finding.</w:t>
      </w:r>
    </w:p>
    <w:p>
      <w:pPr>
        <w:pStyle w:val="SourceNote"/>
      </w:pPr>
      <w:r>
        <w:rPr>
          <w:b/>
        </w:rPr>
        <w:t>Available abstract (not full text):</w:t>
      </w:r>
      <w:r>
        <w:t xml:space="preserve"> This book examines the role of law in Europe at a time when economic policies have become dominant not only on this continent but globally. Can law be seen as a mere infrastructure? Or does it contribute to defining the social and legal order through its own inherent rules? If the second hypothesis is true, what might these rules be, and how may they be identified? Lastly, to what extent can agreeing a definition of the role of law affect the future of Europe? With the Next Generation European Union, the EU has introduced an unprecedented investment plan for economic recovery and resilience. In doing so, it has become the most important financial intermediary on the continent. But is this simply the prelude to a European economic and financial revival, or does it also aim to strengthen the European legal order in social, political, and constitutional terms? This book argues that the role of law in Europe should be to achieve a balanced relationship between freedom and solidarity; encouraging economic competition, but also social cohesion. Analyzing the role of law in the project of European integration, it maintains that law should be more than an infrastructure for finance and economics, showing how it can act as a guide and a binding force to achieve a more balanced relationship between economics, politics, and law. This book will be of interest to scholars in the fields of p</w:t>
      </w:r>
    </w:p>
    <w:p>
      <w:pPr/>
      <w:r>
        <w:rPr>
          <w:b/>
        </w:rPr>
        <w:t>POSSIBLE 2024:</w:t>
      </w:r>
      <w:r>
        <w:t xml:space="preserve"> European Narratives and Euroscepticism in the Western Balkans and the EU — https://doi.org/10.4324/9781032674544</w:t>
      </w:r>
    </w:p>
    <w:p>
      <w:pPr/>
      <w:r>
        <w:rPr>
          <w:b/>
        </w:rPr>
        <w:t>Shared claim-specific concepts:</w:t>
      </w:r>
      <w:r>
        <w:t xml:space="preserve"> over, western, countries; EU scope visible. This is a provisional connection, not an outcome finding.</w:t>
      </w:r>
    </w:p>
    <w:p>
      <w:pPr>
        <w:pStyle w:val="SourceNote"/>
      </w:pPr>
      <w:r>
        <w:rPr>
          <w:b/>
        </w:rPr>
        <w:t>Available abstract (not full text):</w:t>
      </w:r>
      <w:r>
        <w:t xml:space="preserve"> Moving from a social movement perspective, this timely volume examines narratives on Euroscepticism and frames on Europe from below, at the party and social movement levels. Revealing perspectives from both the Right and the Left, it unpacks the emergence, re-emergence and increase in critical ‘voices’ and opposition towards Europe. Based on extensive fieldwork in two candidate countries for accession to the EU and three member states, it offers insight from analysis of focus groups, interviews with Eurosceptic and pro-European political actors and ordinary citizens, together with frame analysis and scrutiny of archival material, electoral manifestoes and organisational documents. Revealing the development of Eurocritical frames, it demonstrates the differences and similarities in narratives used to address Europe and the conceptualisation of Euroscepticism. Key cases examined include the rise of illiberalism in post-transition Slovenia; complex Euroscepticism in Poland; the path from strong support to harsh opposition in Italy; indecision over membership in North Macedonia; anticipating the future while revisiting the past in Bosnia and Herzegovina. Offering guidelines for the direction of future research and policy, European Narratives and Euroscepticism in the Western Balkans and the EU is essential reading for scholars and students of political sociology, political science,</w:t>
      </w:r>
    </w:p>
    <w:p>
      <w:pPr/>
      <w:r>
        <w:rPr>
          <w:b/>
        </w:rPr>
        <w:t>POSSIBLE 2024:</w:t>
      </w:r>
      <w:r>
        <w:t xml:space="preserve"> Western Balkans and the European Union Identity — https://doi.org/10.14232/bless.2024.1.1-11</w:t>
      </w:r>
    </w:p>
    <w:p>
      <w:pPr/>
      <w:r>
        <w:rPr>
          <w:b/>
        </w:rPr>
        <w:t>Shared claim-specific concepts:</w:t>
      </w:r>
      <w:r>
        <w:t xml:space="preserve"> western, countries, transformation; EU scope visible. This is a provisional connection, not an outcome finding.</w:t>
      </w:r>
    </w:p>
    <w:p>
      <w:pPr>
        <w:pStyle w:val="SourceNote"/>
      </w:pPr>
      <w:r>
        <w:rPr>
          <w:b/>
        </w:rPr>
        <w:t>Available abstract (not full text):</w:t>
      </w:r>
      <w:r>
        <w:t xml:space="preserve"> This paper examines the interplay between the European Union (EU) identity and the identities of countries in the Western Balkans, focusing on shared values, lifestyles, and the role of EU conditionality. It explores how EU-promoted values and lifestyles affects political, social, and economic landscapes in the Western Balkans, especially among the Western Balkan Six (WB6) aspiring for EU membership. Through qualitative case studies of the WB6, the paper analyses the influence of EU conditionality on the adoption of EU values and lifestyles, highlighting the comparison and dynamics of identity transformation during the EU integration process. By drawing on media interviews with policymakers, EU officials, and local stakeholders, as well as policy documents and academic literature, the paper discusses how EU conditionality shapes national identities in the region. It also addresses the challenges and opportunities these countries face in aligning with EU values, presenting obstacles to integration and opportunities for deeper engagement with the EU framework. The findings contribute to understanding the complexities of the EU’s enlargement policy, emphasising the strategic importance of the Western Balkans for the future of EU integration.</w:t>
      </w:r>
    </w:p>
    <w:p>
      <w:pPr/>
      <w:r>
        <w:rPr>
          <w:b/>
        </w:rPr>
        <w:t>POSSIBLE 2023:</w:t>
      </w:r>
      <w:r>
        <w:t xml:space="preserve"> Anticipated Developments in OTT Platforms Over the Next Few Years — https://doi.org/10.14445/22312803/ijctt-v71i5p112</w:t>
      </w:r>
    </w:p>
    <w:p>
      <w:pPr/>
      <w:r>
        <w:rPr>
          <w:b/>
        </w:rPr>
        <w:t>Shared claim-specific concepts:</w:t>
      </w:r>
      <w:r>
        <w:t xml:space="preserve"> over, next, few; EU scope not established. This is a provisional connection, not an outcome finding.</w:t>
      </w:r>
    </w:p>
    <w:p>
      <w:pPr>
        <w:pStyle w:val="SourceNote"/>
      </w:pPr>
      <w:r>
        <w:rPr>
          <w:b/>
        </w:rPr>
        <w:t>Available abstract (not full text):</w:t>
      </w:r>
      <w:r>
        <w:t xml:space="preserve">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pPr/>
      <w:r>
        <w:rPr>
          <w:b/>
        </w:rPr>
        <w:t>POSSIBLE 2023:</w:t>
      </w:r>
      <w:r>
        <w:t xml:space="preserve"> Circulation dampened heat extremes intensification over the Midwest USA and amplified over Western Europe — https://doi.org/10.1038/s43247-023-01096-7</w:t>
      </w:r>
    </w:p>
    <w:p>
      <w:pPr/>
      <w:r>
        <w:rPr>
          <w:b/>
        </w:rPr>
        <w:t>Shared claim-specific concepts:</w:t>
      </w:r>
      <w:r>
        <w:t xml:space="preserve"> over, decades, western; EU scope visible. This is a provisional connection, not an outcome finding.</w:t>
      </w:r>
    </w:p>
    <w:p>
      <w:pPr>
        <w:pStyle w:val="SourceNote"/>
      </w:pPr>
      <w:r>
        <w:rPr>
          <w:b/>
        </w:rPr>
        <w:t>Available abstract (not full text):</w:t>
      </w:r>
      <w:r>
        <w:t xml:space="preserve">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pPr>
        <w:pStyle w:val="Heading2"/>
      </w:pPr>
      <w:r>
        <w:t>1017. Developments in Energy use for Transport in 27 European Union Countries through 2030</w:t>
      </w:r>
    </w:p>
    <w:p>
      <w:pPr>
        <w:pStyle w:val="SourceNote"/>
      </w:pPr>
      <w:r>
        <w:rPr>
          <w:b/>
        </w:rPr>
        <w:t>Original source (2011):</w:t>
      </w:r>
      <w:r>
        <w:t xml:space="preserve"> https://doi.org/10.3141/2252-05</w:t>
      </w:r>
    </w:p>
    <w:p>
      <w:pPr/>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Global value chains and the redistribution of GHG emissions: The case of Czechia — https://doi.org/10.1016/j.rspp.2026.100338</w:t>
      </w:r>
    </w:p>
    <w:p>
      <w:pPr/>
      <w:r>
        <w:rPr>
          <w:b/>
        </w:rPr>
        <w:t>Shared claim-specific concepts:</w:t>
      </w:r>
      <w:r>
        <w:t xml:space="preserve"> consequence, ghg, emissions, systems; EU scope visible. This is a provisional connection, not an outcome finding.</w:t>
      </w:r>
    </w:p>
    <w:p>
      <w:pPr>
        <w:pStyle w:val="SourceNote"/>
      </w:pPr>
      <w:r>
        <w:rPr>
          <w:b/>
        </w:rPr>
        <w:t>Available abstract (not full text):</w:t>
      </w:r>
      <w:r>
        <w:t xml:space="preserve"> This paper examines how deep integration into global value chains (GVCs) reshapes the distribution of greenhouse gas (GHG) emissions in Czechia. It shows that the main environmental consequence of GVC integration is not simply the scale of emissions, but their redistribution across domestic production, foreign upstream supply chains, and final demand. Drawing on OECD GHG Footprints and TiVA data for 1995–2020, the paper analyses the geography of embodied emissions and links it to Czechia’s dependence on foreign inputs and external demand. The results indicate that Czechia remains a relatively emissions-intensive production base, while a growing share of the carbon footprint associated with its final demand is displaced into foreign upstream production and Czech-origin emissions continue to be transmitted into external markets through export-oriented manufacturing and related services. This pattern reflects high backward linkages, reliance on imported intermediates, and the central role of trade in intermediates. The automotive industry makes these dynamics particularly visible: while external integration underpins export competitiveness, the transition to electromobility reconfigures environmental pressures towards electricity, raw materials, battery production, and supplier networks within foreign-led production systems. The paper argues that, in manufacturing-oriented CEE (Ce</w:t>
      </w:r>
    </w:p>
    <w:p>
      <w:pPr/>
      <w:r>
        <w:rPr>
          <w:b/>
        </w:rPr>
        <w:t>POSSIBLE 2026:</w:t>
      </w:r>
      <w:r>
        <w:t xml:space="preserve"> GHG emissions of all world countries — https://doi.org/10.2760/7717504</w:t>
      </w:r>
    </w:p>
    <w:p>
      <w:pPr/>
      <w:r>
        <w:rPr>
          <w:b/>
        </w:rPr>
        <w:t>Shared claim-specific concepts:</w:t>
      </w:r>
      <w:r>
        <w:t xml:space="preserve"> ghg, emissions, compared;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The reformed EU emission trading system to reduce greenhouse gases (GHGs) emission – a legitimate, effective and efficient EU legal regime? — https://doi.org/10.67473/tq20260306</w:t>
      </w:r>
    </w:p>
    <w:p>
      <w:pPr/>
      <w:r>
        <w:rPr>
          <w:b/>
        </w:rPr>
        <w:t>Shared claim-specific concepts:</w:t>
      </w:r>
      <w:r>
        <w:t xml:space="preserve"> emissions, energy; EU scope visible. This is a provisional connection, not an outcome finding.</w:t>
      </w:r>
    </w:p>
    <w:p>
      <w:pPr>
        <w:pStyle w:val="SourceNote"/>
      </w:pPr>
      <w:r>
        <w:rPr>
          <w:b/>
        </w:rPr>
        <w:t>Available abstract (not full text):</w:t>
      </w:r>
      <w:r>
        <w:t xml:space="preserve"> For two decades, the EU has been attempting to reduce its carbon emissions, lower the concentration of GHGs and reverse the global climate change and other negative consequences. Since the EU opted for an emissions trading system (“EU ETS”) as the principal strategy and mechanism to achieve it, the ongoing and massively amended Directive 2003/87/EC is the legislative backbone in this arena. The EU Policy Guidelines 2019-2024 set as the top priority the European Green Deal, which led to a set of legislative proposals reforming the EU climate and energy policy in 2021 (“Fit for 55”). Six of these proposals were approved in 2023 and reformed the EU ETS. Due to its massive importance and multi-dimensional impact, the newly reformed EU ETS has been exposed to both laudatory and disparaging assessments which are further magnified due to international political events in 2025. In this context, it is highly relevant to map the development and status quo of the EU ETS legal regime and assess its legitimacy, effectiveness and efficiency.</w:t>
      </w:r>
    </w:p>
    <w:p>
      <w:pPr/>
      <w:r>
        <w:rPr>
          <w:b/>
        </w:rPr>
        <w:t>POSSIBLE 2026:</w:t>
      </w:r>
      <w:r>
        <w:t xml:space="preserve"> Commutes to alternative workplaces: GHG emissions and physical activity — https://doi.org/10.5334/bc.789</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In Europe, remote work is increasing, driven by technological advances and behavioural shifts. Working from home may potentially reduce commuting-related greenhouse gas (GHG) emissions, but can also remove incidental physical activity during commutes. Alternative work locations, such as co-working spaces, are a third option, with potential impacts on travel-related emissions and physical activity. This paper examines commuting behaviours of remote workers in Finland to their employer and alternative work locations, assessing differences in distances, modes and active travel levels; characterising different types of remote workers; and mapping how co-working spaces can support 15-min cities in the Helsinki Metropolitan Area. A survey collected remote worker socio-demographic characteristics, and the mode and frequency of travel between home and work locations. Travel time, distance, and emissions were estimated and compared between work locations, and used to develop remote worker typologies using clustering analysis, while spatial analysis was used to locate potential future co-working spaces to leverage potential benefits. Results show those working from designated alternative workspaces had lower single-trip emissions and were more likely to use active travel than those travelling to employer offices. However, long-distance travel for remote work at cottages or holiday homes </w:t>
      </w:r>
    </w:p>
    <w:p>
      <w:pPr/>
      <w:r>
        <w:rPr>
          <w:b/>
        </w:rPr>
        <w:t>POSSIBLE 2026:</w:t>
      </w:r>
      <w:r>
        <w:t xml:space="preserve"> Incentive distortions in FuelEU Maritime: Reforming the GHG intensity penalty structure — https://doi.org/10.1016/j.tranpol.2026.104333</w:t>
      </w:r>
    </w:p>
    <w:p>
      <w:pPr/>
      <w:r>
        <w:rPr>
          <w:b/>
        </w:rPr>
        <w:t>Shared claim-specific concepts:</w:t>
      </w:r>
      <w:r>
        <w:t xml:space="preserve"> ghg, emissions, transport; EU scope not established. This is a provisional connection, not an outcome finding.</w:t>
      </w:r>
    </w:p>
    <w:p>
      <w:pPr>
        <w:pStyle w:val="SourceNote"/>
      </w:pPr>
      <w:r>
        <w:rPr>
          <w:b/>
        </w:rPr>
        <w:t>Available abstract (not full text):</w:t>
      </w:r>
      <w:r>
        <w:t xml:space="preserve"> The FuelEU Maritime Regulation introduces a greenhouse gas (GHG) intensity standard for maritime transport, enforced through financial penalties for non-compliance. While intended to promote cost-effective decarbonization, this paper demonstrates that the current formulation creates a declining penalty per unit of non-compliance as emissions increase, weakening marginal abatement incentives for higher-emitting vessels and encouraging strategic behaviour. For a heterogeneous fleet with a fixed aggregate non-compliance balance, the total penalty depends on how non-compliance is distributed across vessels: it is maximized when GHG intensities are equalised and minimized at a boundary solution with at most one vessel taking an interior value between the target and baseline intensities. This feature introduces distortions that are inconsistent with efficient and equitable policy outcomes. To address these issues, we propose a reformed penalty structure and provide analytical results supported by numerical examples. The revised design restores constant marginal incentives, improves fairness and transparency, and eliminates strategic distortions in compliance markets. The results highlight the importance of functional form in policy design for maritime decarbonization.</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decline;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2026:</w:t>
      </w:r>
      <w:r>
        <w:t xml:space="preserve"> Emission Factors and Global Warming Potential as Key Parameters in GHG Emissions Reporting — https://doi.org/10.14311/bit.2026.01.01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The calculation of greenhouse gas emissions represents a fundamental component of environmental reporting and the assessment of a company's carbon footprint. Although the resulting emissions are typically reported in metric tons of carbon dioxide equivalent, their determination is based on the use of emission factors and global warming potential values. The utilisation of these parameters facilitates the conversion of data pertaining to energy and fuel consumption, along with other activities, into comparable greenhouse gas emission values. The objective of this article is to analyse the significance of emission factors and GWP values in quantifying greenhouse gas emissions and to elucidate their role in the context of ESG reporting requirements. The focus of this paper is twofold: firstly, to examine the principles of their use in calculating emissions and, secondly, to consider the availability of input data, the differences between individual sources and their impact on the resulting reported emission values. The article goes on to examine the relationship between emission factors and GWP values, highlighting the fact that an inappropriate choice of these parameters can significantly affect the results of environmental reporting as a whole.</w:t>
      </w:r>
    </w:p>
    <w:p>
      <w:pPr/>
      <w:r>
        <w:rPr>
          <w:b/>
        </w:rPr>
        <w:t>POSSIBLE 2025:</w:t>
      </w:r>
      <w:r>
        <w:t xml:space="preserve"> Crayfish and Climate: how invasive species amplify aquatic GHG emissions — https://doi.org/10.5194/egusphere-egu25-6790</w:t>
      </w:r>
    </w:p>
    <w:p>
      <w:pPr/>
      <w:r>
        <w:rPr>
          <w:b/>
        </w:rPr>
        <w:t>Shared claim-specific concepts:</w:t>
      </w:r>
      <w:r>
        <w:t xml:space="preserve"> ghg, emissions, decline, compared, systems; EU scope visible. This is a provisional connection, not an outcome finding.</w:t>
      </w:r>
    </w:p>
    <w:p>
      <w:pPr>
        <w:pStyle w:val="SourceNote"/>
      </w:pPr>
      <w:r>
        <w:rPr>
          <w:b/>
        </w:rPr>
        <w:t>Available abstract (not full text):</w:t>
      </w:r>
      <w:r>
        <w:t xml:space="preserve">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pPr/>
      <w:r>
        <w:rPr>
          <w:b/>
        </w:rPr>
        <w:t>POSSIBLE 2025:</w:t>
      </w:r>
      <w:r>
        <w:t xml:space="preserve"> Green Mobility for Small-Medium Size Ports: A GHG Emissions Web Calculator — https://doi.org/10.1007/978-3-031-89444-2_69</w:t>
      </w:r>
    </w:p>
    <w:p>
      <w:pPr/>
      <w:r>
        <w:rPr>
          <w:b/>
        </w:rPr>
        <w:t>Shared claim-specific concepts:</w:t>
      </w:r>
      <w:r>
        <w:t xml:space="preserve"> ghg, emissions, transport, energy; EU scope visible. This is a provisional connection, not an outcome finding.</w:t>
      </w:r>
    </w:p>
    <w:p>
      <w:pPr>
        <w:pStyle w:val="SourceNote"/>
      </w:pPr>
      <w:r>
        <w:rPr>
          <w:b/>
        </w:rPr>
        <w:t>Available abstract (not full text):</w:t>
      </w:r>
      <w:r>
        <w:t xml:space="preserve"> Abstract Small and medium-sized ports are important hubs in logistics chains and support 90% of the world’s seaborne trade. It is therefore crucial to achieve the decarbonization targets set by the European Union through the European Green Deal, as well as other EU transport policy objectives. The main objective of this work is to develop a web calculator of greenhouse gas (GHG) emissions related with the different transport modes to/from/in the ports of Aveiro and Figueira da Foz, located in the Centre region of Portugal. The calculator will follow the EMEP/EEA emissions calculation methodology, which is based on the energy consumption of transport and relates it to vehicle and fuel emission factors, thus providing reliable values for the GHG emissions released by vehicles during port operations. The calculator will be integrated into the website of the Port Administrations of these ports to be easily accessible to different types of users and to raise awareness of the consequences of the logistics and operational processes that take place in these ports.</w:t>
      </w:r>
    </w:p>
    <w:p>
      <w:pPr/>
      <w:r>
        <w:rPr>
          <w:b/>
        </w:rPr>
        <w:t>POSSIBLE 2025:</w:t>
      </w:r>
      <w:r>
        <w:t xml:space="preserve"> Comparing GHG Emissions of Residue‐Based BECCS to Alternative Biomass Uses — https://doi.org/10.1111/gcbb.70089</w:t>
      </w:r>
    </w:p>
    <w:p>
      <w:pPr/>
      <w:r>
        <w:rPr>
          <w:b/>
        </w:rPr>
        <w:t>Shared claim-specific concepts:</w:t>
      </w:r>
      <w:r>
        <w:t xml:space="preserve"> ghg, emissions, compared, energy; EU scope visible. This is a provisional connection, not an outcome finding.</w:t>
      </w:r>
    </w:p>
    <w:p>
      <w:pPr>
        <w:pStyle w:val="SourceNote"/>
      </w:pPr>
      <w:r>
        <w:rPr>
          <w:b/>
        </w:rPr>
        <w:t>Available abstract (not full text):</w:t>
      </w:r>
      <w:r>
        <w:t xml:space="preserve"> ABSTRACT Bioenergy with carbon capture and storage (BECCS) holds promise for achieving negative greenhouse gas (GHG) emissions while generating electricity. When using forestry or agricultural residues as feedstock, BECCS may also avoid or reduce land‐use based impacts compared to dedicated energy crops. It is, however, unclear how negative emissions from residue‐based BECCS compare to alternative uses (bioenergy with no CCS, 2G ethanol, paper and boards, animal feed and decomposition) and how quickly BECCS can achieve climate benefits compared to these other uses. In this study, we used life‐cycle assessment (LCA) to quantify supply chain emissions of BECCS for two power plants in the Netherlands, using residue‐based wood pellets from Louisiana, USA, and sugarcane bagasse pellets from Louisiana and São Paulo, Brazil, as feedstock. Using an attributional LCA approach, we showed that the two BECCS plants combined use 7.5 Mt of biomass dry per year. This system generates between 10.3 and 11.1 TWh of electricity and provides 11.0 and 11.3 Mt CO 2 ‐eq. of negative emissions annually, for wood or bagasse, respectively. This results in a footprint of −0.63 (wood) and −0.65 (bagasse) t CO 2 ‐eq./t wet biomass . Following a consequential approach, we contrasted the GHG emissions per tonne of biomass residue used for BECCS with those associated with alternative uses, accounting for the </w:t>
      </w:r>
    </w:p>
    <w:p>
      <w:pPr/>
      <w:r>
        <w:rPr>
          <w:b/>
        </w:rPr>
        <w:t>POSSIBLE 2025:</w:t>
      </w:r>
      <w:r>
        <w:t xml:space="preserve"> A long-term decline in downward surface solar radiation — https://doi.org/10.1093/nsr/nwaf007</w:t>
      </w:r>
    </w:p>
    <w:p>
      <w:pPr/>
      <w:r>
        <w:rPr>
          <w:b/>
        </w:rPr>
        <w:t>Shared claim-specific concepts:</w:t>
      </w:r>
      <w:r>
        <w:t xml:space="preserve"> decline, period, long-term; EU scope not established. This is a provisional connection, not an outcome finding.</w:t>
      </w:r>
    </w:p>
    <w:p>
      <w:pPr>
        <w:pStyle w:val="SourceNote"/>
      </w:pPr>
      <w:r>
        <w:rPr>
          <w:b/>
        </w:rPr>
        <w:t>Available abstract (not full text):</w:t>
      </w:r>
      <w:r>
        <w:t xml:space="preserve"> Downward surface solar radiation (DSSR) is critical for the Earth system. It is well-known that DSSR over land has fluctuated on decadal timescales in the past. By utilizing a combination of station observations and the latest CMIP6 simulations, here we show that DSSR had a global consistent decline during 1959-2014, with comparable contributions from greenhouse gases (GHGs) and anthropogenic aerosols. The role of GHGs is even more important in the satellite period. The contribution from GHGs comes through rising temperature, which reduces the DSSR by increasing water vapor but is partly offset by reduced cloud. Future changes of DSSR are heavily dependent on climate change scenarios, which can be predicted well by global mean surface temperature (GMST) and aerosol concentrations. The sharp aerosol reduction and weak temperature rise in the SSP245/SSP126 scenarios will limit or stop the long-term decline of DSSR thus leading to a brighter future.</w:t>
      </w:r>
    </w:p>
    <w:p>
      <w:pPr>
        <w:pStyle w:val="Heading2"/>
      </w:pPr>
      <w:r>
        <w:t>1018. Finland-Russia rail transport deregulation: future scenarios of market development</w:t>
      </w:r>
    </w:p>
    <w:p>
      <w:pPr>
        <w:pStyle w:val="SourceNote"/>
      </w:pPr>
      <w:r>
        <w:rPr>
          <w:b/>
        </w:rPr>
        <w:t>Original source (2011):</w:t>
      </w:r>
      <w:r>
        <w:t xml:space="preserve"> https://doi.org/10.1504/ijstl.2011.039377</w:t>
      </w:r>
    </w:p>
    <w:p>
      <w:pPr/>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POSSIBLE 2026:</w:t>
      </w:r>
      <w:r>
        <w:t xml:space="preserve"> What kind of Europe do Europeans want? — https://doi.org/10.1080/01402382.2026.2662871</w:t>
      </w:r>
    </w:p>
    <w:p>
      <w:pPr/>
      <w:r>
        <w:rPr>
          <w:b/>
        </w:rPr>
        <w:t>Shared claim-specific concepts:</w:t>
      </w:r>
      <w:r>
        <w:t xml:space="preserve"> different, constructed, competition; EU scope visible. This is a provisional connection, not an outcome finding.</w:t>
      </w:r>
    </w:p>
    <w:p>
      <w:pPr>
        <w:pStyle w:val="SourceNote"/>
      </w:pPr>
      <w:r>
        <w:rPr>
          <w:b/>
        </w:rPr>
        <w:t>Available abstract (not full text):</w:t>
      </w:r>
      <w:r>
        <w:t xml:space="preserve">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2025:</w:t>
      </w:r>
      <w:r>
        <w:t xml:space="preserve"> Three kinds of suspended belief — https://doi.org/10.1093/pq/pqaf109</w:t>
      </w:r>
    </w:p>
    <w:p>
      <w:pPr/>
      <w:r>
        <w:rPr>
          <w:b/>
        </w:rPr>
        <w:t>Shared claim-specific concepts:</w:t>
      </w:r>
      <w:r>
        <w:t xml:space="preserve"> three, kinds, third; EU scope not established. This is a provisional connection, not an outcome finding.</w:t>
      </w:r>
    </w:p>
    <w:p>
      <w:pPr>
        <w:pStyle w:val="SourceNote"/>
      </w:pPr>
      <w:r>
        <w:rPr>
          <w:b/>
        </w:rPr>
        <w:t>Available abstract (not full text):</w:t>
      </w:r>
      <w:r>
        <w:t xml:space="preserve"> Abstract This paper argues for a third kind of suspended belief. Two that have already been distinguished in the literature are positive suspension and negative suspension. The third kind that we describe is (what we call) aporetic suspension. All of these kinds of suspension count as suspended beliefs in the sense that they each share the same fundamental features of suspended belief—they are all a kind of neutral doxastic attitude. Yet, they are also unique in some important respects. Positive and negative suspension can be distinguished along evidential lines. Positive suspension arises when one has (more or less) equally balanced evidence for a proposition; while negative suspension arises when one lacks evidence either for or against a proposition. Aporetic suspension, we argue, can be further distinguished from both positive and negative suspension in three important respects. According to (1) its evidential-input, (2) its functional-output, and (3) its phenomenal character.</w:t>
      </w:r>
    </w:p>
    <w:p>
      <w:pPr/>
      <w:r>
        <w:rPr>
          <w:b/>
        </w:rPr>
        <w:t>POSSIBLE 2025:</w:t>
      </w:r>
      <w:r>
        <w:t xml:space="preserve"> MYSTERY OF DREAMING: THREE KINDS OF DREAMS — https://doi.org/10.18103/mra.v13i8.6757</w:t>
      </w:r>
    </w:p>
    <w:p>
      <w:pPr/>
      <w:r>
        <w:rPr>
          <w:b/>
        </w:rPr>
        <w:t>Shared claim-specific concepts:</w:t>
      </w:r>
      <w:r>
        <w:t xml:space="preserve"> three, kinds, based, third; EU scope not established. This is a provisional connection, not an outcome finding.</w:t>
      </w:r>
    </w:p>
    <w:p>
      <w:pPr>
        <w:pStyle w:val="SourceNote"/>
      </w:pPr>
      <w:r>
        <w:rPr>
          <w:b/>
        </w:rPr>
        <w:t>Available abstract (not full text):</w:t>
      </w:r>
      <w:r>
        <w:t xml:space="preserve"> Dreaming has fascinated mankind since antiquity. In most Christian cultures people believe that dreams bring messages of supernatural beings such as gods, angels and demons to the sleeper. Dreams contain often hidden messages, warning the sleeper for danger, predicting the future, clarifying situations, or rewarding or punishing the sleeping person. Many religious people assume that Gods preach through dreams. In contrast with sleep, where science reveals that sleep is crucial for physical health and many other functions, dreaming is still a mysterious process what difficult is to examine by science. There are several theories, but almost nobody can explain what a function of a dream is. The science of sleep starts toward the end of 1900 by a study of a certain Mary Cálkins, who found that in most dreams people told her, daily life is reflected. She formulated the ‘continuity’ hypothesis who later was shifted by Rosalind Cartwright in the direction of the role of dreams to the regulation of emotions. The continuity hypotheses was perfected by Calvin Hall and Robert Van de castle. Good old Freud looked deeper and formulated the ‘psychoanalytic’ theory implying that the psychoses of sick patients were perhaps coming from his adolescent period, which became a popular theory. It was in 1953 that Aserinsky and Kleitman discovered a second type of sleep, the REM sleep’ having many vi</w:t>
      </w:r>
    </w:p>
    <w:p>
      <w:pPr/>
      <w:r>
        <w:rPr>
          <w:b/>
        </w:rPr>
        <w:t>POSSIBLE 2025:</w:t>
      </w:r>
      <w:r>
        <w:t xml:space="preserve"> On Three Kinds of Autobiographical Narrative Harm and Their Interactions — https://doi.org/10.1007/s11245-025-10232-1</w:t>
      </w:r>
    </w:p>
    <w:p>
      <w:pPr/>
      <w:r>
        <w:rPr>
          <w:b/>
        </w:rPr>
        <w:t>Shared claim-specific concepts:</w:t>
      </w:r>
      <w:r>
        <w:t xml:space="preserve"> three, different, kinds; EU scope not established. This is a provisional connection, not an outcome finding.</w:t>
      </w:r>
    </w:p>
    <w:p>
      <w:pPr>
        <w:pStyle w:val="SourceNote"/>
      </w:pPr>
      <w:r>
        <w:rPr>
          <w:b/>
        </w:rPr>
        <w:t>Available abstract (not full text):</w:t>
      </w:r>
      <w:r>
        <w:t xml:space="preserve"> Abstract What does it mean for autobiographical narratives to be harmful? The answer often depends on the perspective adopted. At the personal level of analysis, the emphasis is on the individual and their private narrative practices, and narratives are typically characterized in relation to psychological well-being. At the relational level, the focus is on cooperation with co-authors and the environment in shaping autobiographical narratives, and narrative harm is usually framed as a threat to the individual’s narrative autonomy. Finally, at the structural level, autobiographical narration is viewed as an enculturated practice, shaped by shared templates or life scripts. Narrative harm, in this context, can be conceptualized as a misalignment between the values and normative frameworks embedded in master narratives and the individual’s own values. Although conceptually distinct, different kinds of narrative harm can interact. In trade-off situations, one kind of harm is accompanied by benefits in another domain. In cases of compounded narrative harm, different types of harm co-occur and overlap. Distinguishing these three kinds of narrative harm is crucial for illustrating how narrative practices can go wrong and their complex interactions.</w:t>
      </w:r>
    </w:p>
    <w:p>
      <w:pPr/>
      <w:r>
        <w:rPr>
          <w:b/>
        </w:rPr>
        <w:t>POSSIBLE 2024:</w:t>
      </w:r>
      <w:r>
        <w:t xml:space="preserve"> The Effect of Different Point Systems on European League Positions — https://doi.org/10.18178/ijssh.2024.14.1.1189</w:t>
      </w:r>
    </w:p>
    <w:p>
      <w:pPr/>
      <w:r>
        <w:rPr>
          <w:b/>
        </w:rPr>
        <w:t>Shared claim-specific concepts:</w:t>
      </w:r>
      <w:r>
        <w:t xml:space="preserve"> three, different, based, promote; EU scope visible. This is a provisional connection, not an outcome finding.</w:t>
      </w:r>
    </w:p>
    <w:p>
      <w:pPr>
        <w:pStyle w:val="SourceNote"/>
      </w:pPr>
      <w:r>
        <w:rPr>
          <w:b/>
        </w:rPr>
        <w:t>Available abstract (not full text):</w:t>
      </w:r>
      <w:r>
        <w:t xml:space="preserve"> The introduction of three points for a win in European football during the 1980s and 90s was intended to promote a more attacking style of play and thus more goal scoring and entertainment for viewers. However, subsequent studies showed that the change did not have the desired effect and led to unexpected outcomes such as a rise in foul play, as measured by the number of red cards. In this paper, we investigate the outcome of assigning points in alternate ways. We consider several modifications of both the current system (with 3 points awarded for a win and 1 point for a draw) and the original system (with 2 points awarded for a win and 1 point for a draw), including the effect of awarding bonus points for large margin victories and a deduction of points for large margin defeats. Combinations of these modifications led to 175 different systems being analyzed. Based on data from the top five European leagues, we conclude that solely modifying the point system does not have a significant impact on the standings, with the average change in the ordinal rankings ranging from 0.44 to 0.95 placings per season, and that the final ranking of the teams at the end of the season is largely independent of the point system and based on the relative playing strength of the teams. However, a much greater variation is seen once bonus and penalty points are added for large margin victories and d</w:t>
      </w:r>
    </w:p>
    <w:p>
      <w:pPr/>
      <w:r>
        <w:rPr>
          <w:b/>
        </w:rPr>
        <w:t>POSSIBLE 2024:</w:t>
      </w:r>
      <w:r>
        <w:t xml:space="preserve"> The European Mesolithic in Mountain Landscapes — https://doi.org/10.1093/oxfordhb/9780197608005.013.24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Abstract The use of mountain environments is a recurrent, although not universal, feature of the Mesolithic across Europe. However, synthesis of this material is rare. This means that it is difficult to assess whether regional variation in archaeological evidence is a product of different activities in the past, different research traditions, different post-depositional landscape histories, or—most likely—complex local combinations of all three. To help move past this problem, we provide a comparative approach to the mountain Mesolithic of Western Austria, Southern Norway, Scotland, and the Swiss Alps. For each region, we provide an overview of how sites have been found and what kinds of evidence is present. This allows us to present some comparable and contrasting aspects of the evidence at a European level. In turn, this perspective reinforces the importance of particular kinds of archaeological practice, especially in terms of survey and public engagement, and to highlight potential threats to this archaeological resource.</w:t>
      </w:r>
    </w:p>
    <w:p>
      <w:pPr/>
      <w:r>
        <w:rPr>
          <w:b/>
        </w:rPr>
        <w:t>POSSIBLE 2024:</w:t>
      </w:r>
      <w:r>
        <w:t xml:space="preserve"> Beyond the present, the nation, and Europe: Three different uses of history in reflexive migration studies — https://doi.org/10.1093/migration/mnae023</w:t>
      </w:r>
    </w:p>
    <w:p>
      <w:pPr/>
      <w:r>
        <w:rPr>
          <w:b/>
        </w:rPr>
        <w:t>Shared claim-specific concepts:</w:t>
      </w:r>
      <w:r>
        <w:t xml:space="preserve"> three, different, border; EU scope visible. This is a provisional connection, not an outcome finding.</w:t>
      </w:r>
    </w:p>
    <w:p>
      <w:pPr>
        <w:pStyle w:val="SourceNote"/>
      </w:pPr>
      <w:r>
        <w:rPr>
          <w:b/>
        </w:rPr>
        <w:t>Available abstract (not full text):</w:t>
      </w:r>
      <w:r>
        <w:t xml:space="preserve"> Abstract Interdisciplinary migration research is currently witnessing an increased interest in the impact of colonialism, decolonization, and expertization on present-day integrationism and racism. Tracing the genealogy of current ways of framing, categorizing, and governing groups viewed as “migrant Others” forms part of a reflexive research agenda that analyses migration as a product of changing constellations and categorizations. The article takes up this interest in the recent (and sometimes less recent) past in migration research. Bringing this interdisciplinary body of work into conversation with historical scholarship, we discuss how migration scholars make use of historical genealogies and we identify three different ways of relating the past to the present in debates about current migration and border regimes: We distinguish between what we term an anthropological “deep history” mode, a “genealogical” mode, and a “contrapuntal” or “disruptive” mode. This article argues for a careful, reflexive use of the past. We contend that both the alterity of past discourses and practices and their persistence and lasting impact can help us better make sense of the present in critical migration research.</w:t>
      </w:r>
    </w:p>
    <w:p>
      <w:pPr/>
      <w:r>
        <w:rPr>
          <w:b/>
        </w:rPr>
        <w:t>POSSIBLE 2024:</w:t>
      </w:r>
      <w:r>
        <w:t xml:space="preserve"> Teaching correlation and regression in three European countries — https://doi.org/10.5485/tmcs.2023.13291</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In this article, we compare the presence of correlation and regression analysis in secondary education of Ireland, the Netherlands and Luxembourg, through the analysis of final-exam tasks and curricula based on the Anthropological Theory of Didactics (ATD). It points out that the same topic can appear in different ways and extent in curricula, even if the mathematics teaching goals are similar. This article is a kind of introduction to the research that explores the possibilities for the appearance of these concepts in the Hungarian mathematics education. Therefore, in the second part of the article, Hungarian curricular goals are included, and it is shown which methodology of the three studied countries has the greatest curricular basis in Hungary. Subject Classification: 97xxx</w:t>
      </w:r>
    </w:p>
    <w:p>
      <w:pPr/>
      <w:r>
        <w:rPr>
          <w:b/>
        </w:rPr>
        <w:t>POSSIBLE 2024:</w:t>
      </w:r>
      <w:r>
        <w:t xml:space="preserve"> The European Union in a nutshell — https://doi.org/10.4324/9781003136682-3</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This chapter provides readers with basic information about the European Union and its ways of working. It gives a short historic overview of the establishment and enlargements of the EU. It also introduces the most important EU institutions and their role in the policymaking process as well as the principles of EU policymaking and areas of action. Finally, it explores the differences between supranational and intergovernmental policymaking and presents three categories of EU policy interventions: discursive policies (‘the sermon’) contain ideas and strategies. Regulatory policies (‘the stick’) cover legislative interventions such as regulations and directives. Remunerative policies (‘the carrot’) refer to different kinds of funds and subsidies. A basic understanding of the different types of policies and rules and practices at the EU level is useful in order to grasp the potential influences of the EU on spatial planning and spatial development in Europe.</w:t>
      </w:r>
    </w:p>
    <w:p>
      <w:pPr/>
      <w:r>
        <w:rPr>
          <w:b/>
        </w:rPr>
        <w:t>POSSIBLE 2023:</w:t>
      </w:r>
      <w:r>
        <w:t xml:space="preserve"> Three years of COVID-19 and life satisfaction in Europe: A macro view — https://doi.org/10.1073/pnas.2300717120</w:t>
      </w:r>
    </w:p>
    <w:p>
      <w:pPr/>
      <w:r>
        <w:rPr>
          <w:b/>
        </w:rPr>
        <w:t>Shared claim-specific concepts:</w:t>
      </w:r>
      <w:r>
        <w:t xml:space="preserve"> three, third, country; EU scope visible. This is a provisional connection, not an outcome finding.</w:t>
      </w:r>
    </w:p>
    <w:p>
      <w:pPr>
        <w:pStyle w:val="SourceNote"/>
      </w:pPr>
      <w:r>
        <w:rPr>
          <w:b/>
        </w:rPr>
        <w:t>Available abstract (not full text):</w:t>
      </w:r>
      <w:r>
        <w:t xml:space="preserve"> Every country in Europe experienced an adverse impact from the COVID-19 pandemic on life satisfaction, though on average, satisfaction with life in the summer of 2022 is about the same as the pre-pandemic value in the autumn of 2019. Typically, an upsurge in the severity of the pandemic (measured by the number of COVID-related deaths) is associated with declining life satisfaction and an ebbing, with increasing life satisfaction. Of the three waves of the pandemic between March 2020 and the autumn of 2022, the most severe impact typically occurred in 2021 during the second wave; in the third wave, the response declined due to the spread of effective vaccines and the takeover of omicron variants.</w:t>
      </w:r>
    </w:p>
    <w:p>
      <w:pPr/>
      <w:r>
        <w:rPr>
          <w:b/>
        </w:rPr>
        <w:t>POSSIBLE 2023:</w:t>
      </w:r>
      <w:r>
        <w:t xml:space="preserve"> European market structure for integrated home renovation support service: Scope and comparison of the different kind of one stop shops — https://doi.org/10.3934/energy.2023041</w:t>
      </w:r>
    </w:p>
    <w:p>
      <w:pPr/>
      <w:r>
        <w:rPr>
          <w:b/>
        </w:rPr>
        <w:t>Shared claim-specific concepts:</w:t>
      </w:r>
      <w:r>
        <w:t xml:space="preserve"> different, based, promote; EU scope visible. This is a provisional connection, not an outcome finding.</w:t>
      </w:r>
    </w:p>
    <w:p>
      <w:pPr>
        <w:pStyle w:val="SourceNote"/>
      </w:pPr>
      <w:r>
        <w:rPr>
          <w:b/>
        </w:rPr>
        <w:t>Available abstract (not full text):</w:t>
      </w:r>
      <w:r>
        <w:t xml:space="preserve"> While the retrofitting of the building stock seems to be an effective solution to reach the targets for 2049 greenhouse gas emission, the current rate and quality of work is still too low. This article first proposes a state-of-the-art methodology and a brief description of the barriers to renovation. The literature review identifies 26 major issues. Then, the one stop shops (OSS), which are introduced as a solution to these barriers, are described under different aspects according to their business model, the type of project owner targeted and the kind of services they offer with their support. Drawing on previous literature, this article proposes a classification framework. Then a comprehensive benchmark of 63 OSSs in Europe was conducted, allowing for a comparative analysis of the distribution of OSSs models across various countries and territories; it highlights the existing need in all countries, but also the disparity of support being provided. This examination revealed that selecting an appropriate OSS model cannot be solely based on factors like scope, ownership, or the existence of other OSSs. In the final section, a correlation study is made between several criteria (energy consumption and type, urbanization rate, construction date, climatic context, renovation rate etc.) that have been identified as being potentially indicative of renovation activities. The objective</w:t>
      </w:r>
    </w:p>
    <w:p>
      <w:pPr>
        <w:pStyle w:val="Heading2"/>
      </w:pPr>
      <w:r>
        <w:t>1019. Fiscal sustainability and the accuracy of macroeconomic forecasts: Do supranational forecasts rather than government forecasts make a difference?</w:t>
      </w:r>
    </w:p>
    <w:p>
      <w:pPr>
        <w:pStyle w:val="SourceNote"/>
      </w:pPr>
      <w:r>
        <w:rPr>
          <w:b/>
        </w:rPr>
        <w:t>Original source (2011):</w:t>
      </w:r>
      <w:r>
        <w:t xml:space="preserve"> https://doi.org/10.1504/ijse.2011.039440</w:t>
      </w:r>
    </w:p>
    <w:p>
      <w:pPr/>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POSSIBLE 2025:</w:t>
      </w:r>
      <w:r>
        <w:t xml:space="preserve"> The Court of Justice of the European Union: Do all roads lead to Luxembourg? — https://doi.org/10.14746/rpeis.2025.87.1.01</w:t>
      </w:r>
    </w:p>
    <w:p>
      <w:pPr/>
      <w:r>
        <w:rPr>
          <w:b/>
        </w:rPr>
        <w:t>Shared claim-specific concepts:</w:t>
      </w:r>
      <w:r>
        <w:t xml:space="preserve"> all, since, appears, national, any; EU scope visible. This is a provisional connection, not an outcome finding.</w:t>
      </w:r>
    </w:p>
    <w:p>
      <w:pPr>
        <w:pStyle w:val="SourceNote"/>
      </w:pPr>
      <w:r>
        <w:rPr>
          <w:b/>
        </w:rPr>
        <w:t>Available abstract (not full text):</w:t>
      </w:r>
      <w:r>
        <w:t xml:space="preserve"> Since its establishment in the early 1950s, the European Court of Justice, seated in Luxembourg, has played a key role in managing and developing the European integration architecture. Yet, with subsequent developments, the Luxembourg Court appears to have gained even more importance, particularly in the constitutionalization of the European integration process. Today, this has reached such an extent that one can ask whether all roads lead to Luxembourg rather than to the political EU institutions in Brussels and beyond, or to the capitals of the EU Member States. The present paper, based on an annual lecture in honour of Professor and Foreign Minister Krzysztof Skubiszewski, seeks to provide examples of areas where the case law of the Court has been particularly consequential and to explain why the Court has become more influential. However, the paper concludes by arguing that the role of the Court should not be overstated and that, in any case, its enhanced role is explained by many constitutional and legislative developments beyond the control of the Court itself. Moreover, the reader will be reminded that the Union’s judicial system is not limited to the two Union Courts (the Court of Justice and the General Court) but that its backbone is formed by the national courts of the Member States.</w:t>
      </w:r>
    </w:p>
    <w:p>
      <w:pPr/>
      <w:r>
        <w:rPr>
          <w:b/>
        </w:rPr>
        <w:t>POSSIBLE 2024:</w:t>
      </w:r>
      <w:r>
        <w:t xml:space="preserve"> Estimation of an efficient benchmark portfolio for the Eastern European market — https://doi.org/10.51680/ev.37.1.1</w:t>
      </w:r>
    </w:p>
    <w:p>
      <w:pPr/>
      <w:r>
        <w:rPr>
          <w:b/>
        </w:rPr>
        <w:t>Shared claim-specific concepts:</w:t>
      </w:r>
      <w:r>
        <w:t xml:space="preserve"> all, benchmark, order; EU scope visible. This is a provisional connection, not an outcome finding.</w:t>
      </w:r>
    </w:p>
    <w:p>
      <w:pPr>
        <w:pStyle w:val="SourceNote"/>
      </w:pPr>
      <w:r>
        <w:rPr>
          <w:b/>
        </w:rPr>
        <w:t>Available abstract (not full text):</w:t>
      </w:r>
      <w:r>
        <w:t xml:space="preserve"> Purpose: This paper explores the mean-variance inefficiency of cap-weighted indices based on the CECE index as a benchmark. Methodology: For the period from March 2014 to September 2021, several proxies of efficient portfo-lios were estimated: the Global Minimum Variance (GMV) portfolio, the Maximum Sharpe Ratio (MSR) portfolio and the portfolio with equal weights of constituents (EW). Diversification of strategies was also considered by analyzing the performance of a portfolio consisting of GMV and MSR that were weighted equally. Based on monthly data, 90 out-of-sample estimations were made for each strategy in order to com-pare their risk-return characteristics. Furthermore, to confirm the differences in the riskiness and returns of the estimated portfolios, the F-test and the Welch test were performed, respectively. Results: The results show that all analyzed portfolios achieved superior performance compared to the CECE index with the GMV portfolio leading the way. Conclusion: Research findings highlight the importance of market development and liquidity when pursu-ing popular scientific diversification methods.</w:t>
      </w:r>
    </w:p>
    <w:p>
      <w:pPr/>
      <w:r>
        <w:rPr>
          <w:b/>
        </w:rPr>
        <w:t>POSSIBLE 2024:</w:t>
      </w:r>
      <w:r>
        <w:t xml:space="preserve"> A University for Europe? — https://doi.org/10.4324/9781003247838-7</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 idea of a European institution complementing the construction of Europe in the field of higher education appeared early in the programs of the pro-European movements. The project took shape at the 1955 Messina Conference and it was inserted in the 1957 Euratom Treaty. However, in spite of determined action on the part of the Italian government and the European Commission, as well as the support given by the European Parliament, all attempts to realize the European university failed, due mainly to its rejection by General de Gaulle and the drastic opposition of national academic circles. After a relaunch, motivated by the university crisis in 1968, the project was brought under study again at intergovernmental level at the 1969 Hague Summit. This led to a project more modest than the initial ambitions. The European University Institute (EUI), which eventually opened its doors in 1976, faced some difficulties in defining its academic profile until the revision of its convention in 1992, which conferred on it a major “European” character. To distinguish itself from its competitors and to adapt to successive enlargements and the development of post-doctoral studies, the institute has, since the 2000s, multiplied the number of interdisciplinary centers and post-doctoral schools.</w:t>
      </w:r>
    </w:p>
    <w:p>
      <w:pPr/>
      <w:r>
        <w:rPr>
          <w:b/>
        </w:rPr>
        <w:t>POSSIBLE 2023:</w:t>
      </w:r>
      <w:r>
        <w:t xml:space="preserve"> Benchmark Beating with the Increasing Convex Order — https://doi.org/10.48550/arxiv.2311.01692</w:t>
      </w:r>
    </w:p>
    <w:p>
      <w:pPr/>
      <w:r>
        <w:rPr>
          <w:b/>
        </w:rPr>
        <w:t>Shared claim-specific concepts:</w:t>
      </w:r>
      <w:r>
        <w:t xml:space="preserve"> all, benchmark, order; EU scope not established. This is a provisional connection, not an outcome finding.</w:t>
      </w:r>
    </w:p>
    <w:p>
      <w:pPr>
        <w:pStyle w:val="SourceNote"/>
      </w:pPr>
      <w:r>
        <w:rPr>
          <w:b/>
        </w:rPr>
        <w:t>Available abstract (not full text):</w:t>
      </w:r>
      <w:r>
        <w:t xml:space="preserve">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pPr/>
      <w:r>
        <w:rPr>
          <w:b/>
        </w:rPr>
        <w:t>POSSIBLE 2023:</w:t>
      </w:r>
      <w:r>
        <w:t xml:space="preserve"> Optimizing polypharmacy management in the elderly: a comprehensive European benchmarking survey and the development of an innovative online benchmarking application — https://doi.org/10.3389/fphar.2023.1254912</w:t>
      </w:r>
    </w:p>
    <w:p>
      <w:pPr/>
      <w:r>
        <w:rPr>
          <w:b/>
        </w:rPr>
        <w:t>Shared claim-specific concepts:</w:t>
      </w:r>
      <w:r>
        <w:t xml:space="preserve"> all, since, benchmark, national, aim; EU scope visible. This is a provisional connection, not an outcome finding.</w:t>
      </w:r>
    </w:p>
    <w:p>
      <w:pPr>
        <w:pStyle w:val="SourceNote"/>
      </w:pPr>
      <w:r>
        <w:rPr>
          <w:b/>
        </w:rPr>
        <w:t>Available abstract (not full text):</w:t>
      </w:r>
      <w:r>
        <w:t xml:space="preserve"> Background: Polypharmacy, defined as the simultaneous use of multiple medications by a patient, is a worldwide problem of rising prevalence. Paving the way for drug interactions, adverse drug reactions and non-adherence, it leads to negative health outcomes, increased use of healthcare services and rising costs. Since it is closely related to multimorbidity, it peaks in older adults. So far, not many polypharmacy management programs in the elderly have been introduced in practice. However, due to the rapid ageing of European societies, there is an urgent need to implement them more widely. Objective: The aim of this study was to benchmark polypharmacy management programs in the elderly available in Europe and creating a dedicated benchmarking application. Methods: It was a cross-sectional study based on an online survey targeting healthcare professionals and other stakeholders across European countries. Data collected in the survey were reused to design an online benchmarking application. Results: As many as 911 respondents from all but two EU countries took part in this study. Out of the survey participants, 496 (54.4%) reported availability of various activities or formal programs targeting polypharmacy in the elderly that were known to them. These programs had multiple goals, of which improved patient safety was indicated as the most common objective (65.1% of the cases). Th</w:t>
      </w:r>
    </w:p>
    <w:p>
      <w:pPr/>
      <w:r>
        <w:rPr>
          <w:b/>
        </w:rPr>
        <w:t>POSSIBLE 2022:</w:t>
      </w:r>
      <w:r>
        <w:t xml:space="preserve"> RGBT Salient Object Detection: A Large-Scale Dataset and Benchmark — https://doi.org/10.1109/tmm.2022.3171688</w:t>
      </w:r>
    </w:p>
    <w:p>
      <w:pPr/>
      <w:r>
        <w:rPr>
          <w:b/>
        </w:rPr>
        <w:t>Shared claim-specific concepts:</w:t>
      </w:r>
      <w:r>
        <w:t xml:space="preserve"> all, since, benchmark; EU scope not established. This is a provisional connection, not an outcome finding.</w:t>
      </w:r>
    </w:p>
    <w:p>
      <w:pPr>
        <w:pStyle w:val="SourceNote"/>
      </w:pPr>
      <w:r>
        <w:rPr>
          <w:b/>
        </w:rPr>
        <w:t>Available abstract (not full text):</w:t>
      </w:r>
      <w:r>
        <w:t xml:space="preserve"> Salient object detection in complex scenes and environments is a challenging research topic. Most works focus on RGB-based salient object detection, which limits its performance of real-life applications when confronted with adverse conditions such as dark environments and complex backgrounds. Taking advantage of RGB and thermal infrared(RGBT) images becomes a new research direction for detecting salient objects in complex scenes, since the thermal infrared spectrum provides the complementary information and has been used in many computer vision tasks. However, current research for RGBT salient object detection is limited by the lack of a large-scale dataset and comprehensive benchmark. This work contributes such a RGBT image dataset named VT5000, including 5000 spatially aligned RGBT image pairs with ground truth annotations. VT5000 has 11 challenges collected in different scenes and environments for exploring the robustness of algorithms. With this dataset, we propose a powerful baseline approach, which extracts multilevel features of each modality and aggregates these features of all modalities with the attention mechanism for accurate RGBT salient object detection. To further solve the problem of blur boundaries of salient objects, we also use an edge loss to refine the boundaries. Extensive experiments show that the proposed baseline approach outperforms the state-of-the-a</w:t>
      </w:r>
    </w:p>
    <w:p>
      <w:pPr/>
      <w:r>
        <w:rPr>
          <w:b/>
        </w:rPr>
        <w:t>POSSIBLE 2022:</w:t>
      </w:r>
      <w:r>
        <w:t xml:space="preserve"> General Framework for Randomized Benchmarking — https://doi.org/10.1103/prxquantum.3.020357</w:t>
      </w:r>
    </w:p>
    <w:p>
      <w:pPr/>
      <w:r>
        <w:rPr>
          <w:b/>
        </w:rPr>
        <w:t>Shared claim-specific concepts:</w:t>
      </w:r>
      <w:r>
        <w:t xml:space="preserve"> all, order, reduce, any, large, aim; EU scope not established. This is a provisional connection, not an outcome finding.</w:t>
      </w:r>
    </w:p>
    <w:p>
      <w:pPr>
        <w:pStyle w:val="SourceNote"/>
      </w:pPr>
      <w:r>
        <w:rPr>
          <w:b/>
        </w:rPr>
        <w:t>Available abstract (not full text):</w:t>
      </w:r>
      <w:r>
        <w:t xml:space="preserve"> Randomized benchmarking refers to a collection of protocols that in the past decade have become central methods for characterizing quantum gates.These protocols aim at efficiently estimating the quality of a set of quantum gates in a way that is resistant to state preparation and measurement errors.Over the years many versions have been developed, however a comprehensive theoretical treatment of randomized benchmarking has been missing.In this work, we develop a rigorous framework of randomized benchmarking general enough to encompass virtually all known protocols as well as novel, more flexible extensions.Overcoming previous limitations on error models and gate sets, this framework allows us, for the first time, to formulate realistic conditions under which we can rigorously guarantee that the output of any randomized benchmarking experiment is well described by a linear combination of matrix exponential decays.We complement this with a detailed analysis of the fitting problem associated with randomized benchmarking data.We introduce modern signal processing techniques to randomized benchmarking, prove analytical sample complexity bounds, and numerically evaluate performance and limitations.In order to reduce the resource demands of this fitting problem, we introduce novel, scalable postprocessing techniques to isolate exponential decays, significantly improving the practical </w:t>
      </w:r>
    </w:p>
    <w:p>
      <w:pPr/>
      <w:r>
        <w:rPr>
          <w:b/>
        </w:rPr>
        <w:t>POSSIBLE 2022:</w:t>
      </w:r>
      <w:r>
        <w:t xml:space="preserve"> Slavonic and East European Review, 1922–2022 — https://doi.org/10.1353/see.2022.0000</w:t>
      </w:r>
    </w:p>
    <w:p>
      <w:pPr/>
      <w:r>
        <w:rPr>
          <w:b/>
        </w:rPr>
        <w:t>Shared claim-specific concepts:</w:t>
      </w:r>
      <w:r>
        <w:t xml:space="preserve"> all, since, national, presenting;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2022:</w:t>
      </w:r>
      <w:r>
        <w:t xml:space="preserve"> Counterfactual explanations and how to find them: literature review and benchmarking — https://doi.org/10.1007/s10618-022-00831-6</w:t>
      </w:r>
    </w:p>
    <w:p>
      <w:pPr/>
      <w:r>
        <w:rPr>
          <w:b/>
        </w:rPr>
        <w:t>Shared claim-specific concepts:</w:t>
      </w:r>
      <w:r>
        <w:t xml:space="preserve"> all, order, stability, aim; EU scope not established. This is a provisional connection, not an outcome finding.</w:t>
      </w:r>
    </w:p>
    <w:p>
      <w:pPr>
        <w:pStyle w:val="SourceNote"/>
      </w:pPr>
      <w:r>
        <w:rPr>
          <w:b/>
        </w:rPr>
        <w:t>Available abstract (not full text):</w:t>
      </w:r>
      <w:r>
        <w:t xml:space="preserve"> Abstract Interpretable machine learning aims at unveiling the reasons behind predictions returned by uninterpretable classifiers. One of the most valuable types of explanation consists of counterfactuals. A counterfactual explanation reveals what should have been different in an instance to observe a diverse outcome. For instance, a bank customer asks for a loan that is rejected. The counterfactual explanation consists of what should have been different for the customer in order to have the loan accepted. Recently, there has been an explosion of proposals for counterfactual explainers. The aim of this work is to survey the most recent explainers returning counterfactual explanations. We categorize explainers based on the approach adopted to return the counterfactuals, and we label them according to characteristics of the method and properties of the counterfactuals returned. In addition, we visually compare the explanations, and we report quantitative benchmarking assessing minimality, actionability, stability, diversity, discriminative power, and running time. The results make evident that the current state of the art does not provide a counterfactual explainer able to guarantee all these properties simultaneously.</w:t>
      </w:r>
    </w:p>
    <w:p>
      <w:pPr/>
      <w:r>
        <w:rPr>
          <w:b/>
        </w:rPr>
        <w:t>POSSIBLE 2020:</w:t>
      </w:r>
      <w:r>
        <w:t xml:space="preserve"> European anthropogenic AFOLU greenhouse gas emissions: a review and benchmark data — https://doi.org/10.5194/essd-12-961-2020</w:t>
      </w:r>
    </w:p>
    <w:p>
      <w:pPr/>
      <w:r>
        <w:rPr>
          <w:b/>
        </w:rPr>
        <w:t>Shared claim-specific concepts:</w:t>
      </w:r>
      <w:r>
        <w:t xml:space="preserve"> benchmark, order, national, credible; EU scope visible. This is a provisional connection, not an outcome finding.</w:t>
      </w:r>
    </w:p>
    <w:p>
      <w:pPr>
        <w:pStyle w:val="SourceNote"/>
      </w:pPr>
      <w:r>
        <w:rPr>
          <w:b/>
        </w:rPr>
        <w:t>Available abstract (not full text):</w:t>
      </w:r>
      <w:r>
        <w:t xml:space="preserve">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pPr/>
      <w:r>
        <w:rPr>
          <w:b/>
        </w:rPr>
        <w:t>POSSIBLE 2020:</w:t>
      </w:r>
      <w:r>
        <w:t xml:space="preserve"> The development of cycling in European countries since 1990 — https://doi.org/10.18757/ejtir.2021.21.2.5411</w:t>
      </w:r>
    </w:p>
    <w:p>
      <w:pPr/>
      <w:r>
        <w:rPr>
          <w:b/>
        </w:rPr>
        <w:t>Shared claim-specific concepts:</w:t>
      </w:r>
      <w:r>
        <w:t xml:space="preserve"> all, since, national, governments;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r>
        <w:rPr>
          <w:b/>
        </w:rPr>
        <w:t>POSSIBLE 2020:</w:t>
      </w:r>
      <w:r>
        <w:t xml:space="preserve"> Benchmarking Graph Neural Networks — https://doi.org/10.48550/arxiv.2003.00982</w:t>
      </w:r>
    </w:p>
    <w:p>
      <w:pPr/>
      <w:r>
        <w:rPr>
          <w:b/>
        </w:rPr>
        <w:t>Shared claim-specific concepts:</w:t>
      </w:r>
      <w:r>
        <w:t xml:space="preserve"> since, benchmark, any; EU scope not established. This is a provisional connection, not an outcome finding.</w:t>
      </w:r>
    </w:p>
    <w:p>
      <w:pPr>
        <w:pStyle w:val="SourceNote"/>
      </w:pPr>
      <w:r>
        <w:rPr>
          <w:b/>
        </w:rPr>
        <w:t>Available abstract (not full text):</w:t>
      </w:r>
      <w:r>
        <w:t xml:space="preserve"> In the last few years, graph neural networks (GNNs) have become the standard toolkit for analyzing and learning from data on graphs. This emerging field has witnessed an extensive growth of promising techniques that have been applied with success to computer science, mathematics, biology, physics and chemistry. But for any successful field to become mainstream and reliable, benchmarks must be developed to quantify progress. This led us in March 2020 to release a benchmark framework that i) comprises of a diverse collection of mathematical and real-world graphs, ii) enables fair model comparison with the same parameter budget to identify key architectures, iii) has an open-source, easy-to-use and reproducible code infrastructure, and iv) is flexible for researchers to experiment with new theoretical ideas. As of December 2022, the GitHub repository has reached 2,000 stars and 380 forks, which demonstrates the utility of the proposed open-source framework through the wide usage by the GNN community. In this paper, we present an updated version of our benchmark with a concise presentation of the aforementioned framework characteristics, an additional medium-sized molecular dataset AQSOL, similar to the popular ZINC, but with a real-world measured chemical target, and discuss how this framework can be leveraged to explore new GNN designs and insights. As a proof of value of our ben</w:t>
      </w:r>
    </w:p>
    <w:p>
      <w:pPr>
        <w:pStyle w:val="Heading2"/>
      </w:pPr>
      <w:r>
        <w:t>1020. Food futures: system transitions towards UK food security</w:t>
      </w:r>
    </w:p>
    <w:p>
      <w:pPr>
        <w:pStyle w:val="SourceNote"/>
      </w:pPr>
      <w:r>
        <w:rPr>
          <w:b/>
        </w:rPr>
        <w:t>Original source (2011):</w:t>
      </w:r>
      <w:r>
        <w:t xml:space="preserve"> https://doi.org/10.4337/jhre.2011.02.04</w:t>
      </w:r>
    </w:p>
    <w:p>
      <w:pPr/>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pPr/>
      <w:r>
        <w:rPr>
          <w:b/>
        </w:rPr>
        <w:t>POSSIBLE 2026:</w:t>
      </w:r>
      <w:r>
        <w:t xml:space="preserve"> Clause Encounters of the Third Kind — https://doi.org/10.1093/9780198945215.003.0252</w:t>
      </w:r>
    </w:p>
    <w:p>
      <w:pPr/>
      <w:r>
        <w:rPr>
          <w:b/>
        </w:rPr>
        <w:t>Shared claim-specific concepts:</w:t>
      </w:r>
      <w:r>
        <w:t xml:space="preserve"> article, kind, capture; EU scope not established. This is a provisional connection, not an outcome finding.</w:t>
      </w:r>
    </w:p>
    <w:p>
      <w:pPr>
        <w:pStyle w:val="SourceNote"/>
      </w:pPr>
      <w:r>
        <w:rPr>
          <w:b/>
        </w:rPr>
        <w:t>Available abstract (not full text):</w:t>
      </w:r>
      <w:r>
        <w:t xml:space="preserve"> Abstract While various organizations now actively encourage large language model use in classrooms, we still lack rigorous, systematic evaluations of how well these models actually perform the fundamental tasks of language pedagogy. This article examines whether state-of-the-art large language models can deliver the kind of corrective feedback and methodological explanations that language learners need. The study tests multiple large language models on their ability to identify, correct, and explain common learner mistakes in English, by systematically varying model parameters to investigate how these technical adjustments affect output quality, pedagogical clarity, and consistency, along with using retrieval-augmented generation to query methodological data. The evaluation employs automated metrics (GLEU, BERTScore) but also human expert judgments to capture dimensions that purely computational measures miss: linguistic nuance, cultural sensitivity, and instructional appropriateness. While models demonstrate impressive surface-level correction abilities, their explanations often lack the terminological and domain knowledge that effective language teaching requires, suggesting that current enthusiasm for AI-assisted language learning may be outpacing our understanding of these systems’ actual pedagogical competence.</w:t>
      </w:r>
    </w:p>
    <w:p>
      <w:pPr/>
      <w:r>
        <w:rPr>
          <w:b/>
        </w:rPr>
        <w:t>POSSIBLE 2026:</w:t>
      </w:r>
      <w:r>
        <w:t xml:space="preserve"> A review of landscape ecology approaches for studying plant invasions — https://doi.org/10.1007/s10980-026-02370-7</w:t>
      </w:r>
    </w:p>
    <w:p>
      <w:pPr/>
      <w:r>
        <w:rPr>
          <w:b/>
        </w:rPr>
        <w:t>Shared claim-specific concepts:</w:t>
      </w:r>
      <w:r>
        <w:t xml:space="preserve"> article, capture, landscape, challenge; EU scope not established. This is a provisional connection, not an outcome finding.</w:t>
      </w:r>
    </w:p>
    <w:p>
      <w:pPr>
        <w:pStyle w:val="SourceNote"/>
      </w:pPr>
      <w:r>
        <w:rPr>
          <w:b/>
        </w:rPr>
        <w:t>Available abstract (not full text):</w:t>
      </w:r>
      <w:r>
        <w:t xml:space="preserve"> Abstract Context Alien plant invasions challenge biodiversity conservation and ecological restoration. The transdisciplinary nature of plant invasion prevention and management requires a holistic and spatially explicit perspective, to which landscape ecology can contribute. Objectives We aimed to understand how landscape ecology approaches have been applied to investigate the causes, processes, and impacts of plant invasion. Based on this analysis, we synthesized the current research opportunities and challenges in applying landscape ecology approaches to plant invasion studies. Methods We followed RepOrting standards for Systematic Evidence Syntheses (ROSES) to conduct the article search, screening, and analysis. We then synthesized the findings through the lens of landscape ecology-based research approaches, theoretical foundations, and methods. Results Research has disproportionately focused on explaining plant invasion patterns in landscapes with landscape structure (patchiness) often used as a proxy for ecological processes, especially disturbance. Fewer studies have directly modeled processes, whether investigating the effects of invasion patterns on ecological processes or the relationship between invasion processes and other landscape patterns/processes. Effects of spatial and temporal scales were rarely studied, with limited integration of hierarchical perspectives. Pa</w:t>
      </w:r>
    </w:p>
    <w:p>
      <w:pPr/>
      <w:r>
        <w:rPr>
          <w:b/>
        </w:rPr>
        <w:t>POSSIBLE 2024:</w:t>
      </w:r>
      <w:r>
        <w:t xml:space="preserve"> Article 89 — https://doi.org/10.1093/law/9780192864536.003.0110</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pPr/>
      <w:r>
        <w:rPr>
          <w:b/>
        </w:rPr>
        <w:t>POSSIBLE 2024:</w:t>
      </w:r>
      <w:r>
        <w:t xml:space="preserve"> Carbon capture and utilization under EU law: impermanent storage of CO2 in products and pre-combustion carbon capture — https://doi.org/10.1093/jwelb/jwae009</w:t>
      </w:r>
    </w:p>
    <w:p>
      <w:pPr/>
      <w:r>
        <w:rPr>
          <w:b/>
        </w:rPr>
        <w:t>Shared claim-specific concepts:</w:t>
      </w:r>
      <w:r>
        <w:t xml:space="preserve"> article, explains, capture, landscape, challenge; EU scope visible. This is a provisional connection, not an outcome finding.</w:t>
      </w:r>
    </w:p>
    <w:p>
      <w:pPr>
        <w:pStyle w:val="SourceNote"/>
      </w:pPr>
      <w:r>
        <w:rPr>
          <w:b/>
        </w:rPr>
        <w:t>Available abstract (not full text):</w:t>
      </w:r>
      <w:r>
        <w:t xml:space="preserve">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pPr/>
      <w:r>
        <w:rPr>
          <w:b/>
        </w:rPr>
        <w:t>POSSIBLE 2024:</w:t>
      </w:r>
      <w:r>
        <w:t xml:space="preserve"> Using explainable machine learning to uncover the kinase–substrate interaction landscape — https://doi.org/10.1093/bioinformatics/btae033</w:t>
      </w:r>
    </w:p>
    <w:p>
      <w:pPr/>
      <w:r>
        <w:rPr>
          <w:b/>
        </w:rPr>
        <w:t>Shared claim-specific concepts:</w:t>
      </w:r>
      <w:r>
        <w:t xml:space="preserve"> landscape, paradigm, challenge; EU scope not established. This is a provisional connection, not an outcome finding.</w:t>
      </w:r>
    </w:p>
    <w:p>
      <w:pPr>
        <w:pStyle w:val="SourceNote"/>
      </w:pPr>
      <w:r>
        <w:rPr>
          <w:b/>
        </w:rPr>
        <w:t>Available abstract (not full text):</w:t>
      </w:r>
      <w:r>
        <w:t xml:space="preserve"> MOTIVATION: Phosphorylation, a post-translational modification regulated by protein kinase enzymes, plays an essential role in almost all cellular processes. Understanding how each of the nearly 500 human protein kinases selectively phosphorylates their substrates is a foundational challenge in bioinformatics and cell signaling. Although deep learning models have been a popular means to predict kinase-substrate relationships, existing models often lack interpretability and are trained on datasets skewed toward a subset of well-studied kinases. RESULTS: Here we leverage recent peptide library datasets generated to determine substrate specificity profiles of 300 serine/threonine kinases to develop an explainable Transformer model for kinase-peptide interaction prediction. The model, trained solely on primary sequences, achieved state-of-the-art performance. Its unique multitask learning paradigm built within the model enables predictions on virtually any kinase-peptide pair, including predictions on 139 kinases not used in peptide library screens. Furthermore, we employed explainable machine learning methods to elucidate the model's inner workings. Through analysis of learned embeddings at different training stages, we demonstrate that the model employs a unique strategy of substrate prediction considering both substrate motif patterns and kinase evolutionary features. SHapley Ad</w:t>
      </w:r>
    </w:p>
    <w:p>
      <w:pPr/>
      <w:r>
        <w:rPr>
          <w:b/>
        </w:rPr>
        <w:t>POSSIBLE 2024:</w:t>
      </w:r>
      <w:r>
        <w:t xml:space="preserve"> G-quadruplex landscape and its regulation revealed by a new antibody capture method — https://doi.org/10.18632/oncotarget.28564</w:t>
      </w:r>
    </w:p>
    <w:p>
      <w:pPr/>
      <w:r>
        <w:rPr>
          <w:b/>
        </w:rPr>
        <w:t>Shared claim-specific concepts:</w:t>
      </w:r>
      <w:r>
        <w:t xml:space="preserve"> article, capture, landscape; EU scope visible. This is a provisional connection, not an outcome finding.</w:t>
      </w:r>
    </w:p>
    <w:p>
      <w:pPr>
        <w:pStyle w:val="SourceNote"/>
      </w:pPr>
      <w:r>
        <w:rPr>
          <w:b/>
        </w:rPr>
        <w:t>Available abstract (not full text):</w:t>
      </w:r>
      <w:r>
        <w:t xml:space="preserve"> // Subhamoy Datta 1 , Manthan Patel 2 , Chakkarai Sathyaseelan 3 , Chandrama Ghosh 4 , Akanksha Mudgal 5 , Divyesh Patel 6 , Thenmalarchelvi Rathinavelan 3 and Umashankar Singh 1 1 HoMeCell Lab, Discipline of Biological Engineering, Indian Institute of Technology Gandhinagar, Gandhinagar, Gujarat 382355, India 2 Centre for Genomics and Child Health, Blizard Institute, Barts and The London School of Medicine and Dentistry, Queen Mary University of London, London E1 2AT, UK 3 Department of Biotechnology, Indian Institute of Technology Hyderabad, Kandi Campus, Telangana 502285, India 4 Azrieli Faculty of Medicine, Bar-Ilan University, Henrietta Szold 8A, Safed 1311502, Israel 5 Department of Biopharmacy, Medical University of Lublin, Lublin 20059, Poland 6 Research Programs Unit, Applied Tumor Genomics Program, Faculty of Medicine, University of Helsinki, Biomedicum, Helsinki 00290, Finland Correspondence to: Umashankar Singh, email: usingh@iitgn.ac.in Keywords: DNA G-quadruplexes; G4-ChIP; CGGBP1; CTCF; G/C-skew Received: October 27, 2023 Accepted: February 12, 2024 Published: March 14, 2024 Copyright: © 2024 Datta et al. This is an open access article distributed under the terms of the Creative Commons Attribution License (CC BY 4.0), which permits unrestricted use, distribution, and reproduction in any medium, provided the original author and source are credited. ABSTRACT Our u</w:t>
      </w:r>
    </w:p>
    <w:p>
      <w:pPr/>
      <w:r>
        <w:rPr>
          <w:b/>
        </w:rPr>
        <w:t>POSSIBLE 2023:</w:t>
      </w:r>
      <w:r>
        <w:t xml:space="preserve"> WHAT KIND OF PLURALISM WE NEED IN ECONOMICS? — https://openalex.org/W4322755094</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Author argues that neoclassical school consolidated its monopoly position within economics mainly by dictating strict methodological rules. The article highlights that methodological normativism is substantially reducing our social reality in order to understand economic system as a closed system that is fully analysable. Such a misleading picture of the world as one social reality leads to one best epistemology, one best theory and one best methodology within economics. Author explains complaints against such an approach through different kinds of mutually interrelated and dependent pluralisms in a new complementarity view. Ontological pluralism rejects the idea one world, one truth principle and accepts reality as an open system with a number of parallel worlds. Epistemological pluralism logically follows from ontological by allowing a relatively separate systems of paradigms to co-exist as necessary counterparts to the plurality of the social world. Understanding economy as an open system as a conscious choice leads to theoretical pluralism with meaningful methodological standards in assessing. Author emphasizes that a limited range of methodological and theoretical approaches, each underlying the particular understanding of the world and the nature of the economy, should be presented through education process in order to obtain more anthropocentric and less dogmatic view of</w:t>
      </w:r>
    </w:p>
    <w:p>
      <w:pPr/>
      <w:r>
        <w:rPr>
          <w:b/>
        </w:rPr>
        <w:t>POSSIBLE 2022:</w:t>
      </w:r>
      <w:r>
        <w:t xml:space="preserve"> Epistasis and Adaptation on Fitness Landscapes — https://doi.org/10.1146/annurev-ecolsys-102320-112153</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pPr/>
      <w:r>
        <w:rPr>
          <w:b/>
        </w:rPr>
        <w:t>POSSIBLE 2022:</w:t>
      </w:r>
      <w:r>
        <w:t xml:space="preserve"> Identity in sustainability transitions: The crucial role of landscape in the Green Heart — https://doi.org/10.1016/j.eist.2022.01.008</w:t>
      </w:r>
    </w:p>
    <w:p>
      <w:pPr/>
      <w:r>
        <w:rPr>
          <w:b/>
        </w:rPr>
        <w:t>Shared claim-specific concepts:</w:t>
      </w:r>
      <w:r>
        <w:t xml:space="preserve"> article, landscape, pressures, challenge; EU scope visible. This is a provisional connection, not an outcome finding.</w:t>
      </w:r>
    </w:p>
    <w:p>
      <w:pPr>
        <w:pStyle w:val="SourceNote"/>
      </w:pPr>
      <w:r>
        <w:rPr>
          <w:b/>
        </w:rPr>
        <w:t>Available abstract (not full text):</w:t>
      </w:r>
      <w:r>
        <w:t xml:space="preserve"> This article proposes that identity formation and reformation are important dynamics that influence and are influenced by the course of a sustainability transition. We study identity (re-)formation in the transition of the dairy sector in a rural area in the Netherlands: the Green Heart. Soil subsidence, high emissions, and economic pressures require substantial changes in practices in the dairy sector and most importantly, the landscape that it is intertwined with. We use narrative analysis to study identity (re-)formation in two new stakeholder collectives that aim to address sustainability in the area. We identify discrepancies between the narratives in these collectives and the transition challenge. These discrepancies can be explained by the role that the landscape of the Green Heart plays in the identity (re-)formation within these collectives. The attachment to the current landscape forms a lock-in for the sustainability transition in this area.</w:t>
      </w:r>
    </w:p>
    <w:p>
      <w:pPr/>
      <w:r>
        <w:rPr>
          <w:b/>
        </w:rPr>
        <w:t>POSSIBLE 2022:</w:t>
      </w:r>
      <w:r>
        <w:t xml:space="preserve"> Explaining the Relationship between Fascist Pluralism and Modernity — https://doi.org/10.36348/sjhss.2022.v07i08.004</w:t>
      </w:r>
    </w:p>
    <w:p>
      <w:pPr/>
      <w:r>
        <w:rPr>
          <w:b/>
        </w:rPr>
        <w:t>Shared claim-specific concepts:</w:t>
      </w:r>
      <w:r>
        <w:t xml:space="preserve"> article, kind, try, room; EU scope not established. This is a provisional connection, not an outcome finding.</w:t>
      </w:r>
    </w:p>
    <w:p>
      <w:pPr>
        <w:pStyle w:val="SourceNote"/>
      </w:pPr>
      <w:r>
        <w:rPr>
          <w:b/>
        </w:rPr>
        <w:t>Available abstract (not full text):</w:t>
      </w:r>
      <w:r>
        <w:t xml:space="preserve"> Fascism is a fluid and unknown phenomenon in the world of politics and especially in the field of governance, a phenomenon whose nature; despite all the efforts of theorists and thinkers in the field of political and social sciences, remains in an aura of ambiguity. Fascism is like a mirror room in allegory, every essence that is placed in it is lost in thousands of images of its kind and this confusion is the same populism that the idea of fascism seeks in different social strata as its destination. In this article, we try to provide general results from the origins of fascism; its characteristics and patterns of behavior, especially in the field of pluralism and how it treats modernity, by providing explanations of fascism research, to finally find out which political component or components fascism with such a fluid nature seeks to achieve. In a sense, the purpose of this article is to investigate and explain the relationship between fascist institutions and modernity and how to use its indicators. The research method of this article is descriptive-analytical which has explained the subject with an interpretive-critical approach. The analysis of this article is based on a systematic method based on the keywords of fascism and modernity.</w:t>
      </w:r>
    </w:p>
    <w:p>
      <w:pPr/>
      <w:r>
        <w:rPr>
          <w:b/>
        </w:rPr>
        <w:t>POSSIBLE 2021:</w:t>
      </w:r>
      <w:r>
        <w:t xml:space="preserve"> Leadership for careful and kind care — https://doi.org/10.1136/leader-2021-000451</w:t>
      </w:r>
    </w:p>
    <w:p>
      <w:pPr/>
      <w:r>
        <w:rPr>
          <w:b/>
        </w:rPr>
        <w:t>Shared claim-specific concepts:</w:t>
      </w:r>
      <w:r>
        <w:t xml:space="preserve"> article, kind, activity; EU scope not established. This is a provisional connection, not an outcome finding.</w:t>
      </w:r>
    </w:p>
    <w:p>
      <w:pPr>
        <w:pStyle w:val="SourceNote"/>
      </w:pPr>
      <w:r>
        <w:rPr>
          <w:b/>
        </w:rPr>
        <w:t>Available abstract (not full text):</w:t>
      </w:r>
      <w:r>
        <w:t xml:space="preserve">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pPr/>
      <w:r>
        <w:rPr>
          <w:b/>
        </w:rPr>
        <w:t>POSSIBLE 2021:</w:t>
      </w:r>
      <w:r>
        <w:t xml:space="preserve"> Conducting comprehensive scoping reviews to systematically capture the landscape of a subject matter — https://doi.org/10.18332/popmed/143831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pPr>
        <w:pStyle w:val="Heading2"/>
      </w:pPr>
      <w:r>
        <w:t>1021. Foresight on the future of public research metrology in Europe</w:t>
      </w:r>
    </w:p>
    <w:p>
      <w:pPr>
        <w:pStyle w:val="SourceNote"/>
      </w:pPr>
      <w:r>
        <w:rPr>
          <w:b/>
        </w:rPr>
        <w:t>Original source (2011):</w:t>
      </w:r>
      <w:r>
        <w:t xml:space="preserve"> https://doi.org/10.1108/14636681111109660</w:t>
      </w:r>
    </w:p>
    <w:p>
      <w:pPr/>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POSSIBLE 2026:</w:t>
      </w:r>
      <w:r>
        <w:t xml:space="preserve"> The prevalence of cannabidiol (CBD) use in North America and Europe: A meta‐analysis — https://doi.org/10.1111/add.70360</w:t>
      </w:r>
    </w:p>
    <w:p>
      <w:pPr/>
      <w:r>
        <w:rPr>
          <w:b/>
        </w:rPr>
        <w:t>Shared claim-specific concepts:</w:t>
      </w:r>
      <w:r>
        <w:t xml:space="preserve"> use, five, methods, range; EU scope visible. This is a provisional connection, not an outcome finding.</w:t>
      </w:r>
    </w:p>
    <w:p>
      <w:pPr>
        <w:pStyle w:val="SourceNote"/>
      </w:pPr>
      <w:r>
        <w:rPr>
          <w:b/>
        </w:rPr>
        <w:t>Available abstract (not full text):</w:t>
      </w:r>
      <w:r>
        <w:t xml:space="preserve"> BACKGROUND AND AIMS: The global cannabidiol (CBD) market has expanded in recent years. Several studies suggest CBD use, whether for medical or recreational purposes, is on the rise; however, no systematic assessments of its prevalence have been conducted so far. This meta-analysis aimed to estimate the prevalence of CBD use in North America and Europe independently. METHODS: Searches were conducted in PubMed, PsycINFO and Web of Science on 25 March 2025. A total of 43 studies (48 distinct samples; n = 388 447; 57.52% female) from North America (k = 30; n = 353 088) and Europe (k = 13; n = 35 359) were included in the analyses. The prevalence was estimated at five time periods (i.e. lifetime, past 12 months, past 30 days, past 7 days and daily use) separately for each continent region. Differences in prevalence estimates by sex, year of data collection and sample type (i.e. clinical versus community) were examined. Publication bias was estimated using several indicators, and the methodological quality of the studies was appraised using the Joana Brigg's Institute (JBI) checklist. RESULTS: In preliminary analyses of heterogeneity there was evidence of differences in prevalence between North America and Europe across all time periods (P-value range: &lt; 0.001-0.057). Consequently, the pooled prevalence estimates were calculated for both continental regions separately. In Europe, the</w:t>
      </w:r>
    </w:p>
    <w:p>
      <w:pPr/>
      <w:r>
        <w:rPr>
          <w:b/>
        </w:rPr>
        <w:t>POSSIBLE 2025:</w:t>
      </w:r>
      <w:r>
        <w:t xml:space="preserve"> Appropriateness of antibiotic use in nursing homes for suspected urinary tract infections: comparison across five European countries — https://doi.org/10.1007/s41999-025-01185-0</w:t>
      </w:r>
    </w:p>
    <w:p>
      <w:pPr/>
      <w:r>
        <w:rPr>
          <w:b/>
        </w:rPr>
        <w:t>Shared claim-specific concepts:</w:t>
      </w:r>
      <w:r>
        <w:t xml:space="preserve"> purpose, use, five, methods, used; EU scope visible. This is a provisional connection, not an outcome finding.</w:t>
      </w:r>
    </w:p>
    <w:p>
      <w:pPr>
        <w:pStyle w:val="SourceNote"/>
      </w:pPr>
      <w:r>
        <w:rPr>
          <w:b/>
        </w:rPr>
        <w:t>Available abstract (not full text):</w:t>
      </w:r>
      <w:r>
        <w:t xml:space="preserve"> PURPOSE: Antibiotic use is the main driver of bacterial antimicrobial resistance. Urinary tract infections (UTIs), for which antibiotics are often prescribed, are among the most common infections among residents in nursing homes. This study aimed to estimate and compare the appropriateness of antibiotic use for suspected UTIs among nursing home residents across five European countries. Both the decision to treat and the choice of antibiotics used were explored. METHODS: This cross-sectional study used the Audit Project Odense (APO) method. The appropriateness of the treatment decision for UTIs was evaluated according to symptom presentation in residents without indwelling urinary catheters. The choice of antibiotic used for treatment was evaluated according to the first-line antibiotic recommended for the treatment of UTIs in the respective countries. Data were collected through an institutional sign-up questionnaire and a clinical case registration chart. All residents in new or ongoing treatment with systemic antibiotics were registered during a 6-week period between February and April 2022. RESULTS: A total of 70 nursing homes or wards registered 508 antibiotic treatments for suspected UTIs. The proportion of antibiotics prescribed for UTIs to nursing home residents with no specific UTI symptoms varied from 10% in Poland to 68% in Spain. The proportion of treatments with the</w:t>
      </w:r>
    </w:p>
    <w:p>
      <w:pPr/>
      <w:r>
        <w:rPr>
          <w:b/>
        </w:rPr>
        <w:t>POSSIBLE 2025:</w:t>
      </w:r>
      <w:r>
        <w:t xml:space="preserve"> Comparative stakeholder perceptions of wildlife management in five European multi-use landscapes — https://doi.org/10.1016/j.jenvman.2025.126186</w:t>
      </w:r>
    </w:p>
    <w:p>
      <w:pPr/>
      <w:r>
        <w:rPr>
          <w:b/>
        </w:rPr>
        <w:t>Shared claim-specific concepts:</w:t>
      </w:r>
      <w:r>
        <w:t xml:space="preserve"> five, managers, design; EU scope visible. This is a provisional connection, not an outcome finding.</w:t>
      </w:r>
    </w:p>
    <w:p>
      <w:pPr>
        <w:pStyle w:val="SourceNote"/>
      </w:pPr>
      <w:r>
        <w:rPr>
          <w:b/>
        </w:rPr>
        <w:t>Available abstract (not full text):</w:t>
      </w:r>
      <w:r>
        <w:t xml:space="preserve"> Human-wildlife coexistence in shared landscapes requires effectively navigating different stakeholder interests. Despite progress in this field, most studies focus on a limited number of "problematic" wildlife species. This narrow scope overlooks the species-specific nature of human-wildlife interactions. To identify general patterns in stakeholder perceptions of diverse wildlife species, we implemented a modified 3i (interest, influence, impact) method to assess how individuals within seven stakeholder groups (crop farmers, livestock farmers, foresters, hunters, tourism operators, protected area managers, and staff of environmental non-governmental organizations) rated their interest in, their influence on, and how they are impacted by twelve wildlife species categories: moose, red deer, wild reindeer, chamois, roe deer, brown bear, wild boar, grey wolf, European ground squirrel, cormorant, eagles, and vultures (some of them were site-specific). The study design consisted of two steps: 1) assessing expert perceptions of the 3i for each stakeholder-species combination in each of the five study areas in Bulgaria, Germany, Italy, Norway, and Spain, and 2) assessing stakeholder (251 individuals) perceptions of the 3i. We found substantial variation in stakeholder perceptions across groups, sites, and species categories. Within-group heterogeneity and individual respondents belongi</w:t>
      </w:r>
    </w:p>
    <w:p>
      <w:pPr/>
      <w:r>
        <w:rPr>
          <w:b/>
        </w:rPr>
        <w:t>POSSIBLE 2025:</w:t>
      </w:r>
      <w:r>
        <w:t xml:space="preserve"> Forest Accessibility and Road Network Density: A Global Overview with a Special Focus on Europe — https://doi.org/10.1007/s40725-025-00259-3</w:t>
      </w:r>
    </w:p>
    <w:p>
      <w:pPr/>
      <w:r>
        <w:rPr>
          <w:b/>
        </w:rPr>
        <w:t>Shared claim-specific concepts:</w:t>
      </w:r>
      <w:r>
        <w:t xml:space="preserve"> purpose, describe, use, managers; EU scope visible. This is a provisional connection, not an outcome finding.</w:t>
      </w:r>
    </w:p>
    <w:p>
      <w:pPr>
        <w:pStyle w:val="SourceNote"/>
      </w:pPr>
      <w:r>
        <w:rPr>
          <w:b/>
        </w:rPr>
        <w:t>Available abstract (not full text):</w:t>
      </w:r>
      <w:r>
        <w:t xml:space="preserve"> Abstract Purpose of the Review Forest accessibility and road network density are important concerns not only for forest managers, but also for everyone who benefits from forests, whether for professional or personal use. A well-planned forest road network, integrated with the forest ecosystem, is a fundamental element of rational and efficient forest management. This review aims to describe the current state of forest road density and overall forest accessibility in Europe, as well as relevant global examples. Recent Findings When a forest road network is distributed adequately across an area, it can support many, if not all, tasks outlined in forest management plans, with high efficiency and minimal costs during construction and maintenance. Collecting data on forest accessibility and primary forest road density at the national level in many countries is a complex task. Diverse terrain conditions, economic factors, and forest management practices have led to variability in the data. A common thread, however, is the optimistic outlook on the use of modern technologies for road network planning and data acquisition. Summary Efficient forest management, especially harvesting operations, relies on a road network with appropriate density, load-bearing capacity, and alignment. Primary forest transport infrastructure helps reduce timber extraction costs by minimising extraction dista</w:t>
      </w:r>
    </w:p>
    <w:p>
      <w:pPr/>
      <w:r>
        <w:rPr>
          <w:b/>
        </w:rPr>
        <w:t>POSSIBLE 2025:</w:t>
      </w:r>
      <w:r>
        <w:t xml:space="preserve"> Contextualizing inequalities in the gig economy: evidence from online cleaning platforms in five European cities — https://doi.org/10.1108/ijssp-12-2024-0619</w:t>
      </w:r>
    </w:p>
    <w:p>
      <w:pPr/>
      <w:r>
        <w:rPr>
          <w:b/>
        </w:rPr>
        <w:t>Shared claim-specific concepts:</w:t>
      </w:r>
      <w:r>
        <w:t xml:space="preserve"> purpose, five, design, methodology, approach; EU scope visible. This is a provisional connection, not an outcome finding.</w:t>
      </w:r>
    </w:p>
    <w:p>
      <w:pPr>
        <w:pStyle w:val="SourceNote"/>
      </w:pPr>
      <w:r>
        <w:rPr>
          <w:b/>
        </w:rPr>
        <w:t>Available abstract (not full text):</w:t>
      </w:r>
      <w:r>
        <w:t xml:space="preserve"> Purpose This paper explores the impact of national contexts on the profile of workers in the gig economy, with a specific focus on online cleaning platforms. The study aims to understand how national contexts influence the gender and ethnic composition of workers on domestic cleaning platforms, examining the intersectional effects of gender and ethnicity in platform-based work. Design/methodology/approach Focusing on the case of the Yoopies platform operating in five Western European cities – Berlin, Copenhagen, Paris, Rome and Stockholm – this exploratory research is based on an original dataset that combines platform-based data directly collected from Yoopies with national-level data provided by Eurostat. Hypotheses were tested using simple correlation analysis to assess cross-country differences. Findings The study shows that national contexts play an important role in shaping the gender and ethnic composition of workers on online cleaning platforms. Specifically, it identifies how structural features of the offline labor market influence the gendering and racialization of these platforms, highlighting variations across countries. The research also finds evidence of intersectional effects, where gender and ethnicity intersect to shape the profile of platform workers. Originality/value This paper contributes to the growing literature on domestic work in the digital platform e</w:t>
      </w:r>
    </w:p>
    <w:p>
      <w:pPr/>
      <w:r>
        <w:rPr>
          <w:b/>
        </w:rPr>
        <w:t>POSSIBLE 2025:</w:t>
      </w:r>
      <w:r>
        <w:t xml:space="preserve"> Trends and purposes of European river monitoring and restoration — https://doi.org/10.1016/j.envsci.2025.104130</w:t>
      </w:r>
    </w:p>
    <w:p>
      <w:pPr/>
      <w:r>
        <w:rPr>
          <w:b/>
        </w:rPr>
        <w:t>Shared claim-specific concepts:</w:t>
      </w:r>
      <w:r>
        <w:t xml:space="preserve"> purpose, design, first; EU scope visible. This is a provisional connection, not an outcome finding.</w:t>
      </w:r>
    </w:p>
    <w:p>
      <w:pPr>
        <w:pStyle w:val="SourceNote"/>
      </w:pPr>
      <w:r>
        <w:rPr>
          <w:b/>
        </w:rPr>
        <w:t>Available abstract (not full text):</w:t>
      </w:r>
      <w:r>
        <w:t xml:space="preserve"> This study provides the first geospatial analysis of the trends and uptake of European river monitoring and restoration. European monitoring targets rivers draining agricultural and urban land, which leads to geospatial biases due to the co-occurrence with soils, topography, and river orders. Most notably, intermittent rivers and ephemeral streams are underrepresented due to lower monitoring intensities in Southern Europe, headwaters, and catchments with steeper slopes or less arable soils. Improving monitoring efforts in these ecosystems can advance our scientific understanding of complex linkages between ecological quality outcomes and specific stressors. Large differences were found in the spatial coverage of river monitoring and chemical status reporting between European river regions, which highlights comparability issues with the outcomes of Water Framework Directive river quality status due to the ’one-out-all-out’ principle. Chemical status monitoring is also less frequent in agricultural catchments, which leads to a knowledge gap on the impacts of priority substances, such as pesticides, on agricultural rivers. These uncertainties around the actual quality of rivers are propagated to the prioritisation, design and purposes of river restoration. River restoration coverage is distinctively higher in Western Europe and larger urban rivers, compared to lower incidences in </w:t>
      </w:r>
    </w:p>
    <w:p>
      <w:pPr/>
      <w:r>
        <w:rPr>
          <w:b/>
        </w:rPr>
        <w:t>POSSIBLE 2024:</w:t>
      </w:r>
      <w:r>
        <w:t xml:space="preserve"> Characteristics of special purpose acquisition companies as a new challenge in European markets — https://doi.org/10.5937/bizinfo2401089d</w:t>
      </w:r>
    </w:p>
    <w:p>
      <w:pPr/>
      <w:r>
        <w:rPr>
          <w:b/>
        </w:rPr>
        <w:t>Shared claim-specific concepts:</w:t>
      </w:r>
      <w:r>
        <w:t xml:space="preserve"> purpose, aim, managers; EU scope visible. This is a provisional connection, not an outcome finding.</w:t>
      </w:r>
    </w:p>
    <w:p>
      <w:pPr>
        <w:pStyle w:val="SourceNote"/>
      </w:pPr>
      <w:r>
        <w:rPr>
          <w:b/>
        </w:rPr>
        <w:t>Available abstract (not full text):</w:t>
      </w:r>
      <w:r>
        <w:t xml:space="preserve">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pPr/>
      <w:r>
        <w:rPr>
          <w:b/>
        </w:rPr>
        <w:t>POSSIBLE 2024:</w:t>
      </w:r>
      <w:r>
        <w:t xml:space="preserve"> Are European voters motivated?: The case of the European Parliament elections in the Republic of Slovenia in 2024 — https://doi.org/10.5937/pr82-52509</w:t>
      </w:r>
    </w:p>
    <w:p>
      <w:pPr/>
      <w:r>
        <w:rPr>
          <w:b/>
        </w:rPr>
        <w:t>Shared claim-specific concepts:</w:t>
      </w:r>
      <w:r>
        <w:t xml:space="preserve"> aim, describe, use, process; EU scope visible. This is a provisional connection, not an outcome finding.</w:t>
      </w:r>
    </w:p>
    <w:p>
      <w:pPr>
        <w:pStyle w:val="SourceNote"/>
      </w:pPr>
      <w:r>
        <w:rPr>
          <w:b/>
        </w:rPr>
        <w:t>Available abstract (not full text):</w:t>
      </w:r>
      <w:r>
        <w:t xml:space="preserve"> The elections for the European Parliament in the Republic of Slovenia on June 9, 2024 are part of a broader electoral process in which nine Slovenian deputies are elected to the European Parliament for the next mandate period 2024-2029. years. The aim of this paper is to describe and explain in basic terms the overall Slovenian and European context of the elections, the special characteristics of the Slovenian political scene, and the results of these elections. On this occasion, the traditional ideological division of Slovenian society on the right-center-left line came to the fore in the middle of the mandate of the left-center government of Robert Golob in the electoral system that favors large national parties (proportional system with one electoral unit without census, preferential voting), traditionally low turnout in European elections in Slovenia. Consultative referendums held in parallel on changing the electoral system (introduction of preferential voting), on laws on the cultivation and processing of hemp for medical purposes, laws that allow the use of marijuana and medical euthanasia also reflected some of the Government's priorities, the rightwing opposition's response, and finally the citizens' decisions.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aim, describe, methods,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Firearm Homicides in Europe: A Comparison with Non-Firearm Homicides in Five European Countries — https://doi.org/10.1080/17440572.2023.2211513</w:t>
      </w:r>
    </w:p>
    <w:p>
      <w:pPr/>
      <w:r>
        <w:rPr>
          <w:b/>
        </w:rPr>
        <w:t>Shared claim-specific concepts:</w:t>
      </w:r>
      <w:r>
        <w:t xml:space="preserve"> use, five, used; EU scope visible. This is a provisional connection, not an outcome finding.</w:t>
      </w:r>
    </w:p>
    <w:p>
      <w:pPr>
        <w:pStyle w:val="SourceNote"/>
      </w:pPr>
      <w:r>
        <w:rPr>
          <w:b/>
        </w:rPr>
        <w:t>Available abstract (not full text):</w:t>
      </w:r>
      <w:r>
        <w:t xml:space="preserve"> Detailed, comparative research on firearm violence in Europe is rare. Using data from the European Homicide Monitor, this paper presents the prevalence and characteristics of firearm homicides in Denmark, Finland, the Netherlands, Sweden and Switzerland between 2001 and 2016. Furthermore, we compare firearm to non-firearm homicides to assess the degree of uniqueness of firearms as modus operandi. We find that the firearm homicide rate varies across our sample of countries. We also identify two country profiles: in Denmark, the Netherlands and Sweden, most firearm homicides take place in public and urban areas, involving male victims and perpetrators. In these countries, the use of firearms in homicides is largely concentrated in the criminal milieu. In Finland and Switzerland, firearms are mostly used in domestic homicides, with a higher share of female victims. We explore these findings in relation to firearm availability in each country.</w:t>
      </w:r>
    </w:p>
    <w:p>
      <w:pPr/>
      <w:r>
        <w:rPr>
          <w:b/>
        </w:rPr>
        <w:t>POSSIBLE 2023:</w:t>
      </w:r>
      <w:r>
        <w:t xml:space="preserve"> A Composite Indicator to Describe Digital Technology in Europe — https://doi.org/10.1007/978-3-031-34211-0_6</w:t>
      </w:r>
    </w:p>
    <w:p>
      <w:pPr/>
      <w:r>
        <w:rPr>
          <w:b/>
        </w:rPr>
        <w:t>Shared claim-specific concepts:</w:t>
      </w:r>
      <w:r>
        <w:t xml:space="preserve"> purpose, aim, describe, use, methodology, used; EU scope visible. This is a provisional connection, not an outcome finding.</w:t>
      </w:r>
    </w:p>
    <w:p>
      <w:pPr>
        <w:pStyle w:val="SourceNote"/>
      </w:pPr>
      <w:r>
        <w:rPr>
          <w:b/>
        </w:rPr>
        <w:t>Available abstract (not full text):</w:t>
      </w:r>
      <w:r>
        <w:t xml:space="preserve"> Abstract The “Digital Europe” program is a central element of the Commission's comprehensive response to the challenge of digital transformation and is included in the proposal on the Multiannual Financial Framework (MFF) for the period 2021–2027. Its aim is to provide a spending instrument adapted to the operational requirements of capacity building in the areas identified by the European Council, as well as to exploit the synergies between them. The program aims, among other things, to develop and strengthen basic skills in artificial intelligence, such as data resources and archives of artificial intelligence algorithms and make them accessible to all enterprises and public administrations; ensure that the essential capabilities needed to secure the EU's digital economy, society and democracy are available and accessible to the EU public sector and businesses, as well as improve the competitiveness of the EU cybersecurity industry; expand the optimal use of digital capabilities, in particular high-performance computing, artificial intelligence and cyber-security, in all sectors of the economy, in sectors of public interest and in society, including the implementation of interoperable solutions in areas of public interest, as well as facilitating access to technology and know-how for all enterprises. To better understand the phenomenon, this study aims to analyse the use of d</w:t>
      </w:r>
    </w:p>
    <w:p>
      <w:pPr/>
      <w:r>
        <w:rPr>
          <w:b/>
        </w:rPr>
        <w:t>POSSIBLE 2023:</w:t>
      </w:r>
      <w:r>
        <w:t xml:space="preserve"> Responsible consumption in Europe: causes and habits — https://doi.org/10.29119/1641-3466.2022.166.37</w:t>
      </w:r>
    </w:p>
    <w:p>
      <w:pPr/>
      <w:r>
        <w:rPr>
          <w:b/>
        </w:rPr>
        <w:t>Shared claim-specific concepts:</w:t>
      </w:r>
      <w:r>
        <w:t xml:space="preserve"> purpose, aim, use, methods, managers, design; EU scope visible. This is a provisional connection, not an outcome finding.</w:t>
      </w:r>
    </w:p>
    <w:p>
      <w:pPr>
        <w:pStyle w:val="SourceNote"/>
      </w:pPr>
      <w:r>
        <w:rPr>
          <w:b/>
        </w:rPr>
        <w:t>Available abstract (not full text):</w:t>
      </w:r>
      <w:r>
        <w:t xml:space="preserve"> Purpose: The main reason to do the research of consumption of society in Europe is the ever- increasing consumption, not sorting enough, which leads to problems on a global scale. Responsible consumption can be described as the behaviors and attitudes of the consumers to consume or less consume products and services that have the potential to directly or indirectly harm to society, economy, the world, and all living and nonliving things. The aim of the paper is to investigate the habits and causes of responsible consumption in Europe. Design/methodology/approach: Analysis of research literature sources, systematization, synthesis, generalization, quantitative research and data processing methods was used. The collected empirical data were processed using the SPSS (Statistical Package for the Social Sciences) program. In the data processing, descriptive statistics was used, such as percentiles, mean, mode and standard deviation. Research was done using an online questionnaire. The questionnaire was compiled by the authors, based on the scientific literature. In the research, respondents participated from Lithuania (373 respondents) and other European countries (444 respondents from Latvia, Poland, Italy, United Kingdom, Germany, Bulgaria, France). Findings: Results showed that the main reason why people choose to consume responsibly are taking care of their own and their family'</w:t>
      </w:r>
    </w:p>
    <w:p>
      <w:pPr>
        <w:pStyle w:val="Heading2"/>
      </w:pPr>
      <w:r>
        <w:t>1022. Future scenarios for a depressed region of England: the role of education in creating alternative futures</w:t>
      </w:r>
    </w:p>
    <w:p>
      <w:pPr>
        <w:pStyle w:val="SourceNote"/>
      </w:pPr>
      <w:r>
        <w:rPr>
          <w:b/>
        </w:rPr>
        <w:t>Original source (2011):</w:t>
      </w:r>
      <w:r>
        <w:t xml:space="preserve"> https://doi.org/10.1108/14636681111179564</w:t>
      </w:r>
    </w:p>
    <w:p>
      <w:pPr/>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POSSIBLE 2026:</w:t>
      </w:r>
      <w:r>
        <w:t xml:space="preserve"> The Effect of Government Health Expenditure on Infant Mortality Rates in the SADC Region: A Case of Four Countries — https://doi.org/10.47772/ijriss.2025.91200312</w:t>
      </w:r>
    </w:p>
    <w:p>
      <w:pPr/>
      <w:r>
        <w:rPr>
          <w:b/>
        </w:rPr>
        <w:t>Shared claim-specific concepts:</w:t>
      </w:r>
      <w:r>
        <w:t xml:space="preserve"> findings, four, region, help, education, south; EU scope not established. This is a provisional connection, not an outcome finding.</w:t>
      </w:r>
    </w:p>
    <w:p>
      <w:pPr>
        <w:pStyle w:val="SourceNote"/>
      </w:pPr>
      <w:r>
        <w:rPr>
          <w:b/>
        </w:rPr>
        <w:t>Available abstract (not full text):</w:t>
      </w:r>
      <w:r>
        <w:t xml:space="preserve">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pPr/>
      <w:r>
        <w:rPr>
          <w:b/>
        </w:rPr>
        <w:t>POSSIBLE 2026:</w:t>
      </w:r>
      <w:r>
        <w:t xml:space="preserve"> Developing Wholesome Intention Through the Four Right Efforts (Sammappadhāna) — https://openalex.org/W7220616391</w:t>
      </w:r>
    </w:p>
    <w:p>
      <w:pPr/>
      <w:r>
        <w:rPr>
          <w:b/>
        </w:rPr>
        <w:t>Shared claim-specific concepts:</w:t>
      </w:r>
      <w:r>
        <w:t xml:space="preserve"> findings, four, particular; EU scope not established. This is a provisional connection, not an outcome finding.</w:t>
      </w:r>
    </w:p>
    <w:p>
      <w:pPr>
        <w:pStyle w:val="SourceNote"/>
      </w:pPr>
      <w:r>
        <w:rPr>
          <w:b/>
        </w:rPr>
        <w:t>Available abstract (not full text):</w:t>
      </w:r>
      <w:r>
        <w:t xml:space="preserve"> This mixed-methods action research study examined the development of wholesome intention among student volunteers at the International Buddhist Studies College (IBSC), with particular attention to volunteer fatigue, expectation-related distress, and intention–behavior consistency. The study had three objectives: (1) to identify current challenges affecting wholesome intention among IBSC student volunteers; (2) to develop a structured cultivation process based on the Four Right Efforts (Sammappadhāna); and (3) to evaluate preliminary changes following the intervention. The research proceeded in three phases. First, semi-structured interviews were conducted with 15 expert informants from Buddhist studies, psychology/mindfulness, volunteer management, and field practice. Second, the qualitative findings informed development of a 12-session iDANA training program integrating the Four Right Efforts with selected cognitive-behavioral tools, including the STOP technique and a 4C Response process. Third, 15 IBSC student volunteers completed a single-group pre-test/post-test evaluation using the 12-item Questionnaire-XJ. Qualitative findings highlighted tension between wholesome aspiration (chanda) and rigid, outcome-dependent expectation (taṇhā) as a recurring challenge in volunteer service. Quantitative results showed significant pre–post improvement on several questionnaire items, in</w:t>
      </w:r>
    </w:p>
    <w:p>
      <w:pPr/>
      <w:r>
        <w:rPr>
          <w:b/>
        </w:rPr>
        <w:t>POSSIBLE 2026:</w:t>
      </w:r>
      <w:r>
        <w:t xml:space="preserve"> Developing a Four-Tier Concept Test on the Topic of Matter for Middle School Students — https://doi.org/10.55549/jeseh.885</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In this study, a four-tier concept test was developed to determine the conceptual understanding and misconceptions of 8th-grade middle school students regarding the topic of matter. The Matter Concept Test (MCT) was prepared with 16 items, each consisting of four steps, and applied to 175 eighth-grade students studying in Eskişehir. SPSS, Excel, and Factor statistical programs were used to analyze the data. According to the results of the exploratory factor analysis, the test's KMO value was found to be .652, exhibiting a four-factor structure with eigenvalues above one and explaining 42.4% of the total variance. All factor loadings were above .30, supporting the construct validity of the items. In the reliability analysis, the KR-20 coefficient for the scientific knowledge score was 0.816, and the KR-20 coefficient for the misconception score was 0.743. Both values being above .70 indicate that the test is reliable. Furthermore, the false positive average was calculated to be 5.2%, and the false negative average was calculated to be 3.7%. Both ratios being below the 10% threshold specified in the literature support the validity of the test. When the item difficulty and discrimination indices were examined, it was seen that the test consisted of items of medium difficulty and high discrimination. The findings showed that students had clear misconceptions about pure matters, ato</w:t>
      </w:r>
    </w:p>
    <w:p>
      <w:pPr/>
      <w:r>
        <w:rPr>
          <w:b/>
        </w:rPr>
        <w:t>POSSIBLE 2026:</w:t>
      </w:r>
      <w:r>
        <w:t xml:space="preserve"> Innovation Inputs, Outputs and the Ambiguity of Conversion Efficiency: Four Developing Economies, 2020–2025 — https://doi.org/10.58578/mikailalsys.v4i3.11365</w:t>
      </w:r>
    </w:p>
    <w:p>
      <w:pPr/>
      <w:r>
        <w:rPr>
          <w:b/>
        </w:rPr>
        <w:t>Shared claim-specific concepts:</w:t>
      </w:r>
      <w:r>
        <w:t xml:space="preserve"> findings, four, gain, south; EU scope not established. This is a provisional connection, not an outcome finding.</w:t>
      </w:r>
    </w:p>
    <w:p>
      <w:pPr>
        <w:pStyle w:val="SourceNote"/>
      </w:pPr>
      <w:r>
        <w:rPr>
          <w:b/>
        </w:rPr>
        <w:t>Available abstract (not full text):</w:t>
      </w:r>
      <w:r>
        <w:t xml:space="preserve"> Governments across the developing world have expanded policy support for innovation, yet the relationship between innovation-system inputs and outputs remains insufficiently understood outside OECD contexts. This study aims to compare the innovation-system performance of South Africa, Kenya, and Morocco, which represent markedly different policy models, with that of Viet Nam, a lower-middle-income economy widely regarded as an innovation overperformer, while examining the diagnostic meaning of innovation conversion efficiency. Adopting a deliberately model-free comparative descriptive approach, the study employs no econometric estimation and makes no causal claims. Publicly verifiable secondary indicators were obtained from Global Innovation Index economy profiles for 2020–2025 and supplemented with UNESCO and World Bank research expenditure data and venture capital tracker data. Ordinal rankings were transformed into bounded percentile scores to construct an Input Capability Score and an Output Performance Score, whose ratio generates a Conversion Efficiency Ratio representing output performance relative to measured input capability. The findings reveal four distinct trajectories. Viet Nam was the only economy to increase both input capability and output performance while its conversion ratio moved toward parity, indicating input-led maturation. Morocco recorded the largest ou</w:t>
      </w:r>
    </w:p>
    <w:p>
      <w:pPr/>
      <w:r>
        <w:rPr>
          <w:b/>
        </w:rPr>
        <w:t>POSSIBLE 2025:</w:t>
      </w:r>
      <w:r>
        <w:t xml:space="preserve"> The biophysical economic structure of four developed countries: Lessons for decarbonization — https://doi.org/10.1111/jiec.70062</w:t>
      </w:r>
    </w:p>
    <w:p>
      <w:pPr/>
      <w:r>
        <w:rPr>
          <w:b/>
        </w:rPr>
        <w:t>Shared claim-specific concepts:</w:t>
      </w:r>
      <w:r>
        <w:t xml:space="preserve"> findings, four, developed, particular; EU scope visible. This is a provisional connection, not an outcome finding.</w:t>
      </w:r>
    </w:p>
    <w:p>
      <w:pPr>
        <w:pStyle w:val="SourceNote"/>
      </w:pPr>
      <w:r>
        <w:rPr>
          <w:b/>
        </w:rPr>
        <w:t>Available abstract (not full text):</w:t>
      </w:r>
      <w:r>
        <w:t xml:space="preserve"> Abstract This study provides a comparative analysis of the biophysical economic structures of four developed economies—Sweden, the United States, the United Kingdom, and Canada. We draw upon results from input–output models to map and analyze capital, energy, and carbon relationships in each economy. The capital stock of each country is divided into four sectors: (i) energy production and distribution, (ii) production of goods and services for consumption, (iii) residential, and (iv) construction and manufacture of capital. The findings reveal diverse strengths and challenges in decarbonization efforts across the countries. Sweden excels in “energy production and distribution” and “residential” sectors, owing to its commitment to renewable energy and energy efficiency, but requires attention in goods and services production where carbon intensity is high. The United Kingdom stands out for its high greenhouse gas intensity in residential capital stock and in the consumption of goods and services, underscoring the need for targeted low‐carbon investments. The United States and Canada display high GHG intensities across all sectors, necessitating a more robust transition toward renewable and low‐carbon energy solutions. In particular, the United States’ carbon intensity in its energy sector and Canada's industry dominated by fossil fuel extraction offer specific areas for interven</w:t>
      </w:r>
    </w:p>
    <w:p>
      <w:pPr/>
      <w:r>
        <w:rPr>
          <w:b/>
        </w:rPr>
        <w:t>POSSIBLE 2025:</w:t>
      </w:r>
      <w:r>
        <w:t xml:space="preserve"> Spatial and Temporal Patterns of Mangrove Forest Change in the Mekong Region over Four Decades Based on a Remote Sensing Data-Driven Approach — https://doi.org/10.3390/rs17223728</w:t>
      </w:r>
    </w:p>
    <w:p>
      <w:pPr/>
      <w:r>
        <w:rPr>
          <w:b/>
        </w:rPr>
        <w:t>Shared claim-specific concepts:</w:t>
      </w:r>
      <w:r>
        <w:t xml:space="preserve"> findings, four, region, help; EU scope not established. This is a provisional connection, not an outcome finding.</w:t>
      </w:r>
    </w:p>
    <w:p>
      <w:pPr>
        <w:pStyle w:val="SourceNote"/>
      </w:pPr>
      <w:r>
        <w:rPr>
          <w:b/>
        </w:rPr>
        <w:t>Available abstract (not full text):</w:t>
      </w:r>
      <w:r>
        <w:t xml:space="preserve"> Mangrove forests are critical coastal ecosystems that store carbon, support marine life, and serve as natural barriers, protecting shorelines from erosion and reducing the impact of storms by absorbing wave energy. However, the rise of human activities and sea levels has led to their destruction over the past decades. It is important to know how the areas of mangrove forests change and adapt every year to plan for their restoration and protection and to support future trends like using carbon credits to help developing countries generate income. This study aims to map and monitor mangrove forest area changes over four decades in the Mekong region, comprising Myanmar, Thailand, Cambodia, and Vietnam, from 1984 to 2023 using a time series of Landsat data together with random forest (RF) classification. This analysis implemented multiple approaches, including creating stabilized Landsat imagery composites from the LandTrendr algorithm, Otsu edge detection, Minimum Mapping Unit (MMU), and RF classifier. The study found the map accuracy based on the RF model classifier achieved an overall accuracy between 86.2% and 88.8%, providing reliable data for analysis. Country-level analysis revealed increasing mangrove forest cover in Thailand (12.9%) and Vietnam (28.4%) since 1984. Conversely, mangrove areas in Cambodia and Myanmar have decreased significantly from 1984 to 2023 by about 14.</w:t>
      </w:r>
    </w:p>
    <w:p>
      <w:pPr/>
      <w:r>
        <w:rPr>
          <w:b/>
        </w:rPr>
        <w:t>POSSIBLE 2025:</w:t>
      </w:r>
      <w:r>
        <w:t xml:space="preserve"> Four Decades of Papuan Diaspora Campaigning for Papuan Independence in the Pacific Region — https://doi.org/10.31957/pjdir.v5i1.4313</w:t>
      </w:r>
    </w:p>
    <w:p>
      <w:pPr/>
      <w:r>
        <w:rPr>
          <w:b/>
        </w:rPr>
        <w:t>Shared claim-specific concepts:</w:t>
      </w:r>
      <w:r>
        <w:t xml:space="preserve"> findings, four, region; EU scope not established. This is a provisional connection, not an outcome finding.</w:t>
      </w:r>
    </w:p>
    <w:p>
      <w:pPr>
        <w:pStyle w:val="SourceNote"/>
      </w:pPr>
      <w:r>
        <w:rPr>
          <w:b/>
        </w:rPr>
        <w:t>Available abstract (not full text):</w:t>
      </w:r>
      <w:r>
        <w:t xml:space="preserve"> This study examines four decades of Papuan diaspora efforts to campaign for Papuan independence in the Pacific region. It analyzes campaigns beginning in the 1980s with figures such as John Otto Ondawame and Andy Ayamiseba, later continued by leaders like Benny Wenda. Through a historical approach, the research investigates how these pro-independence campaigns spotlight the controversial cession of Papua to Indonesia in 1969, subsequent political violence, human rights violations, and the role of Melanesian solidarity. The study argues that the Papuan diaspora has been instrumental in internationalizing the Papuan issue and rallying support from a wide range of actors, including state officials, traditional leaders, and civil society groups. Findings reveal that, despite inconsistent backing from state actors, the sustained diaspora campaign has significantly raised regional and global awareness of Papuan independence. This research fills a gap in literature by highlighting the impact of diaspora activism on the Papuan independence process. KEYWORDS Melanesian Solidarity; Papuan Diaspora; Papuan Issue; Pacific Region</w:t>
      </w:r>
    </w:p>
    <w:p>
      <w:pPr/>
      <w:r>
        <w:rPr>
          <w:b/>
        </w:rPr>
        <w:t>POSSIBLE 2025:</w:t>
      </w:r>
      <w:r>
        <w:t xml:space="preserve"> A Design of integrated STEM constructive games for developing the Four Cs in early elementary students — https://doi.org/10.17083/3bcwrq59</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The science, technology, engineering, and mathematics (STEM) approach has proven reliable in developing critical thinking, collaboration, communication, and creativity skills (the Four Cs). However, research on implementing the STEM approach in the context of early elementary school student development remains limited. To address this gap, this research integrates the STEM approach with constructive play, referred to as the iSTEM-C Game. The game was developed using the mechanics, dynamics, and aesthetics (MDA) framework. This study aims to explore two questions: How do students perform on the Four Cs during the implementation of the iSTEM-C Game, and why is the iSTEM-C Game effective in boosting Four Cs performance? The research employed a qualitative case study approach, involving 98 students from four elementary schools in Sleman Regency, Yogyakarta. Participants were selected through purposive sampling based on saturation mechanisms. Data collection was conducted using video recordings, field notes, and a 30-item structured observation sheet. The pattern matching technique was used to compare empirical findings with expected patterns during data analysis. The research findings indicate that the iSTEM-C game mechanism is key to promoting Four Cs performance through three critical elements: diverse tools presented before discussion, rules integrated with real-world problems, </w:t>
      </w:r>
    </w:p>
    <w:p>
      <w:pPr/>
      <w:r>
        <w:rPr>
          <w:b/>
        </w:rPr>
        <w:t>POSSIBLE 2025:</w:t>
      </w:r>
      <w:r>
        <w:t xml:space="preserve"> Developing four reading comprehension skills through multiple intelligences: Anunciata Approach (AAp) — https://doi.org/10.55056/ed.895</w:t>
      </w:r>
    </w:p>
    <w:p>
      <w:pPr/>
      <w:r>
        <w:rPr>
          <w:b/>
        </w:rPr>
        <w:t>Shared claim-specific concepts:</w:t>
      </w:r>
      <w:r>
        <w:t xml:space="preserve"> findings, four, making, young; EU scope not established. This is a provisional connection, not an outcome finding.</w:t>
      </w:r>
    </w:p>
    <w:p>
      <w:pPr>
        <w:pStyle w:val="SourceNote"/>
      </w:pPr>
      <w:r>
        <w:rPr>
          <w:b/>
        </w:rPr>
        <w:t>Available abstract (not full text):</w:t>
      </w:r>
      <w:r>
        <w:t xml:space="preserve"> The current study aims to determine the effectiveness of the Anunciata Approach (AAp) in developing four reading comprehension skills: identifying details, noting emotions, sequencing events, and making predictions. The AAp is a multiple intelligence (MI) based activity that aims to improve not only the reading comprehension skills of the students but also their familiarity with Biblical stories and the moral values they contain. To determine the effectiveness of the AAp, the kindergarten pupils at Colegio Anunciata received the AAp reading class for 30 minutes for 45 days. The data were then properly documented, methodically analysed and subjected to rigorous interpretation processes. The results revealed that the general effectiveness of the AAp is significant, with a large effect size of 0.68 in developing the four reading comprehension skills. Hence, the AAp can be highlighted as a medium for developing the four reading comprehension skills utilising the Biblical stories as a springboard and facilitated by MI-based activities. This study suggests that MI-based activities can effectively improve reading comprehension skills in young learners. Given the limited number of participants, it is recommended that this study be conducted with a larger sample size to enhance the reliability of the findings.</w:t>
      </w:r>
    </w:p>
    <w:p>
      <w:pPr/>
      <w:r>
        <w:rPr>
          <w:b/>
        </w:rPr>
        <w:t>POSSIBLE 2025:</w:t>
      </w:r>
      <w:r>
        <w:t xml:space="preserve"> Preliminary findings from a pilot moss biomonitoring study in the Patagonia region — https://doi.org/10.1038/s41598-025-11421-z</w:t>
      </w:r>
    </w:p>
    <w:p>
      <w:pPr/>
      <w:r>
        <w:rPr>
          <w:b/>
        </w:rPr>
        <w:t>Shared claim-specific concepts:</w:t>
      </w:r>
      <w:r>
        <w:t xml:space="preserve"> findings, possible, region; EU scope not established. This is a provisional connection, not an outcome finding.</w:t>
      </w:r>
    </w:p>
    <w:p>
      <w:pPr>
        <w:pStyle w:val="SourceNote"/>
      </w:pPr>
      <w:r>
        <w:rPr>
          <w:b/>
        </w:rPr>
        <w:t>Available abstract (not full text):</w:t>
      </w:r>
      <w:r>
        <w:t xml:space="preserve"> Study aimed to assess air pollution in Patagonia using the moss Lepyrodon lagurus. The 16 selected micro-, macro-, and trace elements: Al, Cu, Cd, Co, Pb, Zn, V, Ba, Cr, Fe, Mn, S, Sr, P, Ni and Hg were determined using ICP-OES and direct mercury analyzer. Factor analysis (FA), enrichment factor (EF) and other pollution indicators were employed to group elements and associate them with possible sources and level of emission. Half of the elements were characterized by statistically significant variations in terms of the effect of sampling location on their concentration. Despite the observed concentrations: Co (0.947 mg/kg), Pb (1.37 mg/kg), V (4.29 mg/kg), Cr (1.68 mg/kg), Ni (1.94 mg/kg) were low concerning literature studies, but the area cannot be deemed pristine. Based on the research carried out different anthropogenic, traffic-related activities can be considered as one the main sources of air pollution in the Patagonia region based on values of FA and EF. The highest values of EF were: 14.3 for Co, 6.50 for Pb, and 6.00 for Ni. Future biomonitoring studies using mosses should be expanded to include other species to control the level of atmospheric aerosol pollution in Patagonia and also to identify the most sensitive biomonitor for this area.</w:t>
      </w:r>
    </w:p>
    <w:p>
      <w:pPr/>
      <w:r>
        <w:rPr>
          <w:b/>
        </w:rPr>
        <w:t>POSSIBLE 2025:</w:t>
      </w:r>
      <w:r>
        <w:t xml:space="preserve"> Quality of Life of Women During the Final Four Weeks of Pregnancy (Based on the Findings of a Sociological Study) — https://doi.org/10.25040/lkv2025.02.015</w:t>
      </w:r>
    </w:p>
    <w:p>
      <w:pPr/>
      <w:r>
        <w:rPr>
          <w:b/>
        </w:rPr>
        <w:t>Shared claim-specific concepts:</w:t>
      </w:r>
      <w:r>
        <w:t xml:space="preserve"> findings, four, developed, region; EU scope not established. This is a provisional connection, not an outcome finding.</w:t>
      </w:r>
    </w:p>
    <w:p>
      <w:pPr>
        <w:pStyle w:val="SourceNote"/>
      </w:pPr>
      <w:r>
        <w:rPr>
          <w:b/>
        </w:rPr>
        <w:t>Available abstract (not full text):</w:t>
      </w:r>
      <w:r>
        <w:t xml:space="preserve"> Introduction. The third trimester of pregnancy, particularly its final stage, is characterised by heightened physiological and psycho-emotional vulnerability in women, which significantly influences their subjective perception of quality of life. During this period, quality of life serves as a complex integrative indicator of the level of life functioning and a potential predictor of postpartum adaptation. The aim of the study. To determine the level of quality of life among women during the last four weeks of pregnancy through quantitative analysis of the results of a sociological survey, with the aim of further developing evidence-based multidisciplinary strategies for prevention and support in the field of maternal health. Materials and methods. A one-time epidemiological analytical-descriptive sociological study was conducted among n = 432 women aged 18-48 years old who received medical care in specialised healthcare facilities in Lviv Region in 2024. The research tool was an adapted version of the WHOQOL-BREF questionnaire. Statistical data processing was carried out using proprietary software developed in C# (.Net 9). Results. It was substantiated that P = 72.69 ± 0.33 % of respondents rated their quality of life during the last four weeks of pregnancy as unsatisfactory, while the calculated quality of life index was n = 0.218 (P = 21.76 %), which corresponds to a low lev</w:t>
      </w:r>
    </w:p>
    <w:p>
      <w:pPr/>
      <w:r>
        <w:rPr>
          <w:b/>
        </w:rPr>
        <w:t>POSSIBLE 2025:</w:t>
      </w:r>
      <w:r>
        <w:t xml:space="preserve"> DIGITAL TECHNOLOGY IN DEVELOPING THE FOUR ARABIC LANGGUAGE SKILLS — https://doi.org/10.53649/lughoti.v9i01.1479</w:t>
      </w:r>
    </w:p>
    <w:p>
      <w:pPr/>
      <w:r>
        <w:rPr>
          <w:b/>
        </w:rPr>
        <w:t>Shared claim-specific concepts:</w:t>
      </w:r>
      <w:r>
        <w:t xml:space="preserve"> findings, four, education; EU scope not established. This is a provisional connection, not an outcome finding.</w:t>
      </w:r>
    </w:p>
    <w:p>
      <w:pPr>
        <w:pStyle w:val="SourceNote"/>
      </w:pPr>
      <w:r>
        <w:rPr>
          <w:b/>
        </w:rPr>
        <w:t>Available abstract (not full text):</w:t>
      </w:r>
      <w:r>
        <w:t xml:space="preserve"> This research aims to explore the utilization of digital technology in the Arabic language learning process. In the era of modern education, technology integration serves as a solution to address challenges related to resource efficiency and assessment objectivity. Utilizing a library research method, this article analyzes the role of digital devices and technology in supporting instructional quality. The study's findings indicate that the use of digital technology enables personalized learning, efficiency, long-term data management, and increased student enthusiasm. Evaluation is conducted through a comprehensive approach encompassing the stages of orientation, exploration, consolidation, and conclusion. This implementation is expected to significantly enhance the Arabic language competence of students in Indonesia.</w:t>
      </w:r>
    </w:p>
    <w:p>
      <w:pPr>
        <w:pStyle w:val="Heading2"/>
      </w:pPr>
      <w:r>
        <w:t>1023. Health impact assessment of waste management facilities in three European countries</w:t>
      </w:r>
    </w:p>
    <w:p>
      <w:pPr>
        <w:pStyle w:val="SourceNote"/>
      </w:pPr>
      <w:r>
        <w:rPr>
          <w:b/>
        </w:rPr>
        <w:t>Original source (2011):</w:t>
      </w:r>
      <w:r>
        <w:t xml:space="preserve"> https://doi.org/10.1186/1476-069x-10-53</w:t>
      </w:r>
    </w:p>
    <w:p>
      <w:pPr/>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POSSIBLE 2025:</w:t>
      </w:r>
      <w:r>
        <w:t xml:space="preserve"> Compositional Analysis and Numerical Simulation of Slagging Process on a Water-Cooled Wall of an MSW Incinerator — https://doi.org/10.3390/waste3010005</w:t>
      </w:r>
    </w:p>
    <w:p>
      <w:pPr/>
      <w:r>
        <w:rPr>
          <w:b/>
        </w:rPr>
        <w:t>Shared claim-specific concepts:</w:t>
      </w:r>
      <w:r>
        <w:t xml:space="preserve"> incinerators, number, three; EU scope not established. This is a provisional connection, not an outcome finding.</w:t>
      </w:r>
    </w:p>
    <w:p>
      <w:pPr>
        <w:pStyle w:val="SourceNote"/>
      </w:pPr>
      <w:r>
        <w:rPr>
          <w:b/>
        </w:rPr>
        <w:t>Available abstract (not full text):</w:t>
      </w:r>
      <w:r>
        <w:t xml:space="preserve">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pPr/>
      <w:r>
        <w:rPr>
          <w:b/>
        </w:rPr>
        <w:t>POSSIBLE 2024:</w:t>
      </w:r>
      <w:r>
        <w:t xml:space="preserve"> Comparing the climate impact of methanol production in Europe: Steam methane reforming vs. Plastic waste gasification processes — https://doi.org/10.1016/j.resconrec.2024.107653</w:t>
      </w:r>
    </w:p>
    <w:p>
      <w:pPr/>
      <w:r>
        <w:rPr>
          <w:b/>
        </w:rPr>
        <w:t>Shared claim-specific concepts:</w:t>
      </w:r>
      <w:r>
        <w:t xml:space="preserve"> reach, three, countries; EU scope visible. This is a provisional connection, not an outcome finding.</w:t>
      </w:r>
    </w:p>
    <w:p>
      <w:pPr>
        <w:pStyle w:val="SourceNote"/>
      </w:pPr>
      <w:r>
        <w:rPr>
          <w:b/>
        </w:rPr>
        <w:t>Available abstract (not full text):</w:t>
      </w:r>
      <w:r>
        <w:t xml:space="preserve"> This study compares the climate change impacts of three methanol production processes: the conventional method via steam methane reforming, and two alternatives – gasiforming and electriforming – which utilize plastic waste as feedstock. A gate-to-gate LCA approach is employed, considering credits and substitution impacts for avoiding traditional end-of-life treatment of plastic waste. Influential local parameters for GWP reduction are identified to include electricity carbon footprint, waste treatment infrastructure, incinerator efficiency, and the utilization of captured CO2 streams. Regional conditions are found to be crucial, as demonstrated by a case study comparing technology choices among EU27+3 countries. The study concludes that the novel plastic waste treatment and methanol production processes, have the potential to mitigate climate change impact, particularly when diverting plastic waste from incineration. With carbon-neutral electricity and avoided incineration, the specific impact reduction in methanol production can reach 2 kg CO2e per kg methanol.</w:t>
      </w:r>
    </w:p>
    <w:p>
      <w:pPr/>
      <w:r>
        <w:rPr>
          <w:b/>
        </w:rPr>
        <w:t>POSSIBLE 2023:</w:t>
      </w:r>
      <w:r>
        <w:t xml:space="preserve"> The End of Life of PV Systems: Is Europe Ready for It? — https://doi.org/10.3390/su152316466</w:t>
      </w:r>
    </w:p>
    <w:p>
      <w:pPr/>
      <w:r>
        <w:rPr>
          <w:b/>
        </w:rPr>
        <w:t>Shared claim-specific concepts:</w:t>
      </w:r>
      <w:r>
        <w:t xml:space="preserve"> number, reach, countries; EU scope visible. This is a provisional connection, not an outcome finding.</w:t>
      </w:r>
    </w:p>
    <w:p>
      <w:pPr>
        <w:pStyle w:val="SourceNote"/>
      </w:pPr>
      <w:r>
        <w:rPr>
          <w:b/>
        </w:rPr>
        <w:t>Available abstract (not full text):</w:t>
      </w:r>
      <w:r>
        <w:t xml:space="preserve"> Abstract: Like other plants, every PV power plant will one day reach the end of its service life. Calculations show that 20,400 tons of PV waste will be generated worldwide by 2030 and 60.2 million tons by 2050, not including the mass of the support structure. Such large amounts of waste pose a potential threat to the environment and people if not properly managed. The paper analysed the options for dealing with PV waste, namely reuse, recycling and landfilling. For recycling as the best option in terms of environmental protection and circular economy, an overview of recycling technologies and the percentage of achievable recycling for the materials contained in each PV system component is given. In addition, the current situation of legislation and recycling of PV modules in Europe was examined with special reference to the Balkan countries. There are a small number of factories for recycling PV modules in Europe, but none in the Balkan countries. The main reason for this is the small amount of PV waste in these countries and consequently the economic unprofitability. For this reason, PV modules (after dismantling the aluminum frame and cables) are mostly disposed of as non-hazardous waste in landfills in these countries. Finally, the main barriers to faster implementation of PV module reuse and recycling are listed, along with guidelines for their removal. The cost of recycli</w:t>
      </w:r>
    </w:p>
    <w:p>
      <w:pPr/>
      <w:r>
        <w:rPr>
          <w:b/>
        </w:rPr>
        <w:t>POSSIBLE 2023:</w:t>
      </w:r>
      <w:r>
        <w:t xml:space="preserve"> Heavy metal concentrations in the soil near illegal landfills in the vicinity of agricultural areas—artificial neural network approach — https://doi.org/10.1007/s11368-023-03637-1</w:t>
      </w:r>
    </w:p>
    <w:p>
      <w:pPr/>
      <w:r>
        <w:rPr>
          <w:b/>
        </w:rPr>
        <w:t>Shared claim-specific concepts:</w:t>
      </w:r>
      <w:r>
        <w:t xml:space="preserve"> moderately, number, residents; EU scope not established. This is a provisional connection, not an outcome finding.</w:t>
      </w:r>
    </w:p>
    <w:p>
      <w:pPr>
        <w:pStyle w:val="SourceNote"/>
      </w:pPr>
      <w:r>
        <w:rPr>
          <w:b/>
        </w:rPr>
        <w:t>Available abstract (not full text):</w:t>
      </w:r>
      <w:r>
        <w:t xml:space="preserve"> Abstract Purpose To anticipate the impact of illegal landfills, development of new models should become a part of environmental risk management strategies. One of such approaches includes applications of the artificial neural network (ANN). The main objective of this study was to elucidate the impact of illegal landfilling on the surrounding soil environment and human health, as well as to establish an artificial neural network (ANN) models for predicting the hazards of illegal landfilling as an effective tool in decision-making and environmental risk management. Methods The identification of heavy metals source in soil was performed by principal component analysis (PCA). To assess the sensitivity of the soil ecosystem to heavy metal concentrations, Soil Quality standards and quantitative indices were used. The possible health effects were valued using the average daily doses (ADDs), hazard quotient (HQ), hazard index (HI), and carcinogenic risk (CR). ANN modeling was used for the prediction of heavy metal concentrations in the soil based on landfill size, municipality size, the number of residents, plant species, soil, and landform types. Results The average values of the pollution indexes for Cd were in the moderately contaminated and very high contamination categories. The $$HQ$$ HQ values were lower than the safe level. Cr and Pb posed a significant $$CR$$ CR for adults and</w:t>
      </w:r>
    </w:p>
    <w:p>
      <w:pPr/>
      <w:r>
        <w:rPr>
          <w:b/>
        </w:rPr>
        <w:t>POSSIBLE 2023:</w:t>
      </w:r>
      <w:r>
        <w:t xml:space="preserve"> Waste-to-energy and waste-to-hydrogen with CCS: Methodological assessment of pathways to carbon-negative waste treatment from an LCA perspective — https://doi.org/10.1016/j.wasman.2023.11.020</w:t>
      </w:r>
    </w:p>
    <w:p>
      <w:pPr/>
      <w:r>
        <w:rPr>
          <w:b/>
        </w:rPr>
        <w:t>Shared claim-specific concepts:</w:t>
      </w:r>
      <w:r>
        <w:t xml:space="preserve"> cases, then, countries; EU scope not established. This is a provisional connection, not an outcome finding.</w:t>
      </w:r>
    </w:p>
    <w:p>
      <w:pPr>
        <w:pStyle w:val="SourceNote"/>
      </w:pPr>
      <w:r>
        <w:rPr>
          <w:b/>
        </w:rPr>
        <w:t>Available abstract (not full text):</w:t>
      </w:r>
      <w:r>
        <w:t xml:space="preserve"> A growing global population and rising living standards are producing ever greater quantities of waste, while at the same time driving ever-larger demand for energy, especially electricity, or new emerging markets, such as hydrogen in more industrialised countries. A key solution to these challenges of waste disposal, rising energy and hydrogen demand is BECCS (Bioenergy with Carbon Capture and Storage); the generation of bioenergy – in the form of electricity (WtE) or hydrogen (WtH2), as well as heat – from the thermochemical processing of waste. The addition of carbon capture and storage (CCS) to WtE or WtH2 has the potential to make waste a zero or even negative emissions energy source, thus contributing to the removal of greenhouse gases from the atmosphere. This work undertakes a pre-screening of different BECCS configurations based on state of the art technologies and then performed an assessment of representative cases in UK for WtE and WtH2, necessary to understand if novel waste thermal treatment processes may become potential alternatives or improvements to current WtE plants when retrofitted with CCS. A systematic and comprehensive examination of different key Life Cycle Assessment methodological aspects reveals the importance of the functional unit and allocation approach in determining the preferred pathway in a specific context.</w:t>
      </w:r>
    </w:p>
    <w:p>
      <w:pPr/>
      <w:r>
        <w:rPr>
          <w:b/>
        </w:rPr>
        <w:t>POSSIBLE 2022:</w:t>
      </w:r>
      <w:r>
        <w:t xml:space="preserve"> Location choice for large‐scale battery manufacturing plants: Exploring the role of clean energy, costs, and knowledge on location decisions in Europe — https://doi.org/10.1111/jiec.13292</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pPr/>
      <w:r>
        <w:rPr>
          <w:b/>
        </w:rPr>
        <w:t>POSSIBLE 2022:</w:t>
      </w:r>
      <w:r>
        <w:t xml:space="preserve"> Polychlorinated dibenzo-p-dioxins (PCDDs) and dibenzofurans (PCDFs) soil contamination in Lausanne, Switzerland: Combining pollution mapping and human exposure assessment for targeted risk management — https://doi.org/10.1016/j.envpol.2022.120441</w:t>
      </w:r>
    </w:p>
    <w:p>
      <w:pPr/>
      <w:r>
        <w:rPr>
          <w:b/>
        </w:rPr>
        <w:t>Shared claim-specific concepts:</w:t>
      </w:r>
      <w:r>
        <w:t xml:space="preserve"> moderately, exposure, three; EU scope not established. This is a provisional connection, not an outcome finding.</w:t>
      </w:r>
    </w:p>
    <w:p>
      <w:pPr>
        <w:pStyle w:val="SourceNote"/>
      </w:pPr>
      <w:r>
        <w:rPr>
          <w:b/>
        </w:rPr>
        <w:t>Available abstract (not full text):</w:t>
      </w:r>
      <w:r>
        <w:t xml:space="preserve">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pPr/>
      <w:r>
        <w:rPr>
          <w:b/>
        </w:rPr>
        <w:t>POSSIBLE 2022:</w:t>
      </w:r>
      <w:r>
        <w:t xml:space="preserve"> Eastern Crisis and Georgia — https://doi.org/10.58944/xegc2970</w:t>
      </w:r>
    </w:p>
    <w:p>
      <w:pPr/>
      <w:r>
        <w:rPr>
          <w:b/>
        </w:rPr>
        <w:t>Shared claim-specific concepts:</w:t>
      </w:r>
      <w:r>
        <w:t xml:space="preserve"> due, then, italy, england; EU scope visible. This is a provisional connection, not an outcome finding.</w:t>
      </w:r>
    </w:p>
    <w:p>
      <w:pPr>
        <w:pStyle w:val="SourceNote"/>
      </w:pPr>
      <w:r>
        <w:rPr>
          <w:b/>
        </w:rPr>
        <w:t>Available abstract (not full text):</w:t>
      </w:r>
      <w:r>
        <w:t xml:space="preserve"> The Eastern crisis is an early issue. It is based on the clash of interests of the great powers in the territories of Southeast Europe. Its return to the nineteenth century came due to the weakening of the Ottoman Empire and the resistance of the peoples who were under this empire, as well as the growing interests of the great powers of Europe. Germany appeared in the Near and Middle East, which affected the interests of France, Britain and Russia. It entered into agreements with Austria-Hungary, Italy and then Turkey, while France made alliances with England, Russia and the United States. Under the Treaty of Kainarja, the Ottoman Empire was forced to relinquish part of its possessions. With this treaty, Russia for the first time secured significant territorial gains, which provided it with access to the Black Sea. These would then inevitably lead to its empowerment. Georgia in this period was a battlefield according to the interests of the Ottoman, Russian and Persian empires, but also of other great powers, such as Britain, France, etc. A series of Russo-Turkish wars for territory took place. Behind them, what benefited most, was Russia, which annexed Georgia, while Turkey Islamized the population of the lands in possession, part of which later emigrated to the Ottoman Empire.</w:t>
      </w:r>
    </w:p>
    <w:p>
      <w:pPr/>
      <w:r>
        <w:rPr>
          <w:b/>
        </w:rPr>
        <w:t>POSSIBLE 2022:</w:t>
      </w:r>
      <w:r>
        <w:t xml:space="preserve"> Human Biomonitoring Guidance Values (HBM-GVs) for Bisphenol S and Assessment of the Risk Due to the Exposure to Bisphenols A and S, in Europe — https://doi.org/10.3390/toxics10050228</w:t>
      </w:r>
    </w:p>
    <w:p>
      <w:pPr/>
      <w:r>
        <w:rPr>
          <w:b/>
        </w:rPr>
        <w:t>Shared claim-specific concepts:</w:t>
      </w:r>
      <w:r>
        <w:t xml:space="preserve"> assuming, due, exposure; EU scope visible. This is a provisional connection, not an outcome finding.</w:t>
      </w:r>
    </w:p>
    <w:p>
      <w:pPr>
        <w:pStyle w:val="SourceNote"/>
      </w:pPr>
      <w:r>
        <w:rPr>
          <w:b/>
        </w:rPr>
        <w:t>Available abstract (not full text):</w:t>
      </w:r>
      <w:r>
        <w:t xml:space="preserve"> Within the European Joint Programme HBM4EU, Human Biomonitoring Guidance Values (HBM-GVs) were derived for several prioritised substances. In this paper, the derivation of HBM-GVs for the general population (HBM-GVGenPop) and workers (HBM-GVworker) referring to bisphenol S (BPS) is presented. For the general population, this resulted in an estimation of the total urinary concentration of BPS of 1.0 µg/L assuming a 24 h continuous exposure to BPS. For workers, the modelling was refined in order to reflect continuous exposure during the working day, leading to a total urinary concentration of BPS of 3.0 µg/L. The usefulness for risk assessment of the HBM-GVs derived for BPS and bisphenol A (BPA) is illustrated. Risk Characterisation Ratios (RCRs) were calculated leading to a clear difference between risk assessments performed for both bisphenols, with a very low RCR regarding exposure to BPA., contrary to that obtained for BPS. This may be due to the endocrine mediated endpoints selected to derive the HBM-GVs for BPS, whereas the values calculated for BPA are based on the temporary Tolerable Daily Intake (t-TDI) from EFSA set in 2015. A comparison with the revised TDI recently opened for comments by EFSA is also discussed. Regarding the occupational field, results indicate that the risk from occupational exposure to both bisphenols cannot be disregarded.</w:t>
      </w:r>
    </w:p>
    <w:p>
      <w:pPr/>
      <w:r>
        <w:rPr>
          <w:b/>
        </w:rPr>
        <w:t>POSSIBLE 2020:</w:t>
      </w:r>
      <w:r>
        <w:t xml:space="preserve"> Hazardous air pollutants from the waste incineration industry : formation mechanisms, distribution characteristics, and potential environmental risks — https://openalex.org/W3109825684</w:t>
      </w:r>
    </w:p>
    <w:p>
      <w:pPr/>
      <w:r>
        <w:rPr>
          <w:b/>
        </w:rPr>
        <w:t>Shared claim-specific concepts:</w:t>
      </w:r>
      <w:r>
        <w:t xml:space="preserve"> incinerators, cancer, due, three; EU scope not established. This is a provisional connection, not an outcome finding.</w:t>
      </w:r>
    </w:p>
    <w:p>
      <w:pPr>
        <w:pStyle w:val="SourceNote"/>
      </w:pPr>
      <w:r>
        <w:rPr>
          <w:b/>
        </w:rPr>
        <w:t>Available abstract (not full text):</w:t>
      </w:r>
      <w:r>
        <w:t xml:space="preserve">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pPr/>
      <w:r>
        <w:rPr>
          <w:b/>
        </w:rPr>
        <w:t>POSSIBLE 2020:</w:t>
      </w:r>
      <w:r>
        <w:t xml:space="preserve"> Lead contamination in raptors in Europe: A systematic review and meta-analysis — https://doi.org/10.1016/j.scitotenv.2020.141437</w:t>
      </w:r>
    </w:p>
    <w:p>
      <w:pPr/>
      <w:r>
        <w:rPr>
          <w:b/>
        </w:rPr>
        <w:t>Shared claim-specific concepts:</w:t>
      </w:r>
      <w:r>
        <w:t xml:space="preserve"> number, exposure, countries; EU scope visible. This is a provisional connection, not an outcome finding.</w:t>
      </w:r>
    </w:p>
    <w:p>
      <w:pPr>
        <w:pStyle w:val="SourceNote"/>
      </w:pPr>
      <w:r>
        <w:rPr>
          <w:b/>
        </w:rPr>
        <w:t>Available abstract (not full text):</w:t>
      </w:r>
      <w:r>
        <w:t xml:space="preserve"> Lead contamination is a widely recognised conservation problem for raptors worldwide. There are a number of studies in individual raptor species but those data have not been systematically evaluated to understand raptor-wide lead exposure and effects at a pan-European scale. To critically assess the extent of this problem, we performed a systematic review compiling all published data on lead in raptors (1983-2019) and, through a meta-analysis, determined if there was evidence for differences in exposure across feeding traits, geographical regions, between hunting and non-hunting periods, and changes over time. We also reviewed the impact of lead on raptors and the likely main source of exposure. We examined 114 studies that were unevenly distributed in terms of time of publication and the countries in which studies were performed. Peer-reviewed articles reported data for 39 raptor species but very few species were widely monitored across Europe. Obligate (vultures) and facultative scavengers (golden eagle, common buzzard and white-tailed sea eagle) accumulated the highest lead concentrations in tissues and generally were the species most at risk of lead poisoning. We found no evidence of a spatial or decadal trend in lead residues, but we demonstrated that high lead blood levels relate to hunting season. Exposure at levels associated with both subclinical and lethal effects is </w:t>
      </w:r>
    </w:p>
    <w:p>
      <w:pPr/>
      <w:r>
        <w:rPr>
          <w:b/>
        </w:rPr>
        <w:t>POSSIBLE 2020:</w:t>
      </w:r>
      <w:r>
        <w:t xml:space="preserve"> How might landscapes be better designed to accommodate increasing cremation practices in Europe? — https://doi.org/10.3097/lo.202087</w:t>
      </w:r>
    </w:p>
    <w:p>
      <w:pPr/>
      <w:r>
        <w:rPr>
          <w:b/>
        </w:rPr>
        <w:t>Shared claim-specific concepts:</w:t>
      </w:r>
      <w:r>
        <w:t xml:space="preserve"> countries, italy, slovakia; EU scope visible. This is a provisional connection, not an outcome finding.</w:t>
      </w:r>
    </w:p>
    <w:p>
      <w:pPr>
        <w:pStyle w:val="SourceNote"/>
      </w:pPr>
      <w:r>
        <w:rPr>
          <w:b/>
        </w:rPr>
        <w:t>Available abstract (not full text):</w:t>
      </w:r>
      <w:r>
        <w:t xml:space="preserve"> Death is one of those universal parameters of life, yet very little attention is given to it in neither the work of planning practitioners nor that of landscape research. During the 19th and 20th century’s many Western societies turned to cremation as a more sanitary, less costly and space saving way of human disposal. This paper highlights the cemeteries and crematoria as two types of facilities associated with cremation practices in Poland and in selected European countries. On the basis of analyses of contemporary funerary landscapes for cremation practices from Europe (31 objects from 9 countries) a catalog (‚pattern book‘) of design solutions was developed. Countries were selected on the basis of similarity to Poland in the aspect of the dominant religion (Austria, France, Italy, Slovakia, Slovenia), convergent provisions of cemetery and funeral law (Austria, Denmark, France, Germany, Slovenia, Sweden), and index of average population served by 1 crematorium (Belgium). Moreover, assessment of Polish contemporary places for cremation (39 objects) was developed. To strengthen the multifaceted meaning of funerary landscape and to link it more with the landscape, design considerations and potential outcomes for improved cemetery design accommodating cremation practices and burial was developed. The funerary landscape is defined as a specific type of landscape that focuses on t</w:t>
      </w:r>
    </w:p>
    <w:p>
      <w:pPr>
        <w:pStyle w:val="Heading2"/>
      </w:pPr>
      <w:r>
        <w:t>1024. Integrating foresight into government. Is it possible? Is it likely?</w:t>
      </w:r>
    </w:p>
    <w:p>
      <w:pPr>
        <w:pStyle w:val="SourceNote"/>
      </w:pPr>
      <w:r>
        <w:rPr>
          <w:b/>
        </w:rPr>
        <w:t>Original source (2011):</w:t>
      </w:r>
      <w:r>
        <w:t xml:space="preserve"> https://doi.org/10.1108/14636681111126229</w:t>
      </w:r>
    </w:p>
    <w:p>
      <w:pPr/>
      <w:r>
        <w:t>Original wording (abstract; indexed_source_text_not_full_document_verified): Findings Several methodologies and techniques that are identified here may allow people to help perceive, evaluate and control the effects of their actions, present as well as future.</w:t>
      </w:r>
    </w:p>
    <w:p>
      <w:pPr/>
      <w:r>
        <w:rPr>
          <w:b/>
        </w:rPr>
        <w:t>POSSIBLE 2026:</w:t>
      </w:r>
      <w:r>
        <w:t xml:space="preserve"> Impulsivity in borderline personality disorder: A scoping review of affective, neurobiological and methodological findings — https://doi.org/10.1016/j.psychres.2026.117334</w:t>
      </w:r>
    </w:p>
    <w:p>
      <w:pPr/>
      <w:r>
        <w:rPr>
          <w:b/>
        </w:rPr>
        <w:t>Shared claim-specific concepts:</w:t>
      </w:r>
      <w:r>
        <w:t xml:space="preserve"> findings, several, control; EU scope not established. This is a provisional connection, not an outcome finding.</w:t>
      </w:r>
    </w:p>
    <w:p>
      <w:pPr>
        <w:pStyle w:val="SourceNote"/>
      </w:pPr>
      <w:r>
        <w:rPr>
          <w:b/>
        </w:rPr>
        <w:t>Available abstract (not full text):</w:t>
      </w:r>
      <w:r>
        <w:t xml:space="preserve"> INTRODUCTION: Impulsivity is a defining feature of borderline personality disorder (BPD), yet it remains unclear whether it reflects a stable deficit in inhibitory control or a context-dependent breakdown in behavioural regulation under conditions of emotional arousal. Existing models variably emphasise trait, cognitive or affective mechanisms, with limited integration of contextual influences. This scoping review synthesised empirical evidence examining affective mechanisms, neurobiological and methodological accounts of impulsivity in BPD. METHODS: Following PRISMA-ScR guidelines, CINAHL, EMBASE, EMCARE, MEDLINE, and PsycINFO were searched for studies published between 1980 to November 2025. Forty-six studies meeting inclusion criteria were synthesised across affective, neurobiological, and methodological domains. Study designs included cross-sectional/correlational investigations (n = 17), experimental or task-based paradigms (n = 13), neuroimaging studies (n = 11), lesion or quasi-experimental designs (n = 3), and randomised controlled trials (n = 2). RESULTS: Impulsive behaviour in BPD was most consistently associated with affective instability, with negative urgency emerging as the most robust correlate. Self-report measures showed consistent elevations, whereas behavioural measures of inhibitory control under neutral conditions yielded heterogeneous findings, with severa</w:t>
      </w:r>
    </w:p>
    <w:p>
      <w:pPr/>
      <w:r>
        <w:rPr>
          <w:b/>
        </w:rPr>
        <w:t>POSSIBLE 2025:</w:t>
      </w:r>
      <w:r>
        <w:t xml:space="preserve"> Methodological considerations and generalisability of tracheal extubation location findings in surgical patients — https://doi.org/10.1111/anae.16696</w:t>
      </w:r>
    </w:p>
    <w:p>
      <w:pPr/>
      <w:r>
        <w:rPr>
          <w:b/>
        </w:rPr>
        <w:t>Shared claim-specific concepts:</w:t>
      </w:r>
      <w:r>
        <w:t xml:space="preserve"> findings, several, evaluate; EU scope not established. This is a provisional connection, not an outcome finding.</w:t>
      </w:r>
    </w:p>
    <w:p>
      <w:pPr>
        <w:pStyle w:val="SourceNote"/>
      </w:pPr>
      <w:r>
        <w:rPr>
          <w:b/>
        </w:rPr>
        <w:t>Available abstract (not full text):</w:t>
      </w:r>
      <w:r>
        <w:t xml:space="preserve"> We read with great interest the study by Godet et al., which explored the trade-off between operating theatre occupancy time and early respiratory complications associated with the location of tracheal extubation [1]. While the study provides valuable real-world data, several methodological nuances and limitations in generalisability warrant clarification. First, we appreciate the authors' citation of our previous study on tracheal extubation after liver transplantation [2]. However, it is essential to distinguish the clinical context between the two investigations. Our research focused on high-risk liver transplant recipients with end-stage liver disease, long duration of anaesthesia and haemodynamic instability. These patients require specialised tracheal extubation protocols due to their elevated risk of mechanical ventilation-related complications [2]. In contrast, the cohort studied by Godet et al. comprised heterogeneous general surgical patients where baseline risk and surgical complexity differ significantly [1]. Critically, our study's composite endpoint (30-day mortality, organ dysfunction) assessed long-term outcomes, whereas the primary focus of Godet et al. on peri-extubation desaturation and operating theatre occupancy time evaluated short-term workflow metrics. These divergent populations and endpoints limit direct comparability between the studies. Second, the o</w:t>
      </w:r>
    </w:p>
    <w:p>
      <w:pPr/>
      <w:r>
        <w:rPr>
          <w:b/>
        </w:rPr>
        <w:t>POSSIBLE 2024:</w:t>
      </w:r>
      <w:r>
        <w:t xml:space="preserve"> An Informative Review of Radiomics Studies on Cancer Imaging: The Main Findings, Challenges and Limitations of the Methodologies — https://doi.org/10.3390/curroncol31010027</w:t>
      </w:r>
    </w:p>
    <w:p>
      <w:pPr/>
      <w:r>
        <w:rPr>
          <w:b/>
        </w:rPr>
        <w:t>Shared claim-specific concepts:</w:t>
      </w:r>
      <w:r>
        <w:t xml:space="preserve"> findings, several, methodologies, well; EU scope not established. This is a provisional connection, not an outcome finding.</w:t>
      </w:r>
    </w:p>
    <w:p>
      <w:pPr>
        <w:pStyle w:val="SourceNote"/>
      </w:pPr>
      <w:r>
        <w:rPr>
          <w:b/>
        </w:rPr>
        <w:t>Available abstract (not full text):</w:t>
      </w:r>
      <w:r>
        <w:t xml:space="preserve"> The aim of this informative review was to investigate the application of radiomics in cancer imaging and to summarize the results of recent studies to support oncological imaging with particular attention to breast cancer, rectal cancer and primitive and secondary liver cancer. This review also aims to provide the main findings, challenges and limitations of the current methodologies. Clinical studies published in the last four years (2019-2022) were included in this review. Among the 19 studies analyzed, none assessed the differences between scanners and vendor-dependent characteristics, collected images of individuals at additional points in time, performed calibration statistics, represented a prospective study performed and registered in a study database, conducted a cost-effectiveness analysis, reported on the cost-effectiveness of the clinical application, or performed multivariable analysis with also non-radiomics features. Seven studies reached a high radiomic quality score (RQS), and seventeen earned additional points by using validation steps considering two datasets from two distinct institutes and open science and data domains (radiomics features calculated on a set of representative ROIs are open source). The potential of radiomics is increasingly establishing itself, even if there are still several aspects to be evaluated before the passage of radiomics into routi</w:t>
      </w:r>
    </w:p>
    <w:p>
      <w:pPr/>
      <w:r>
        <w:rPr>
          <w:b/>
        </w:rPr>
        <w:t>POSSIBLE 2024:</w:t>
      </w:r>
      <w:r>
        <w:t xml:space="preserve"> Findings and methodologies in oral phageome research: a systematic review — https://doi.org/10.1080/20002297.2024.2417099</w:t>
      </w:r>
    </w:p>
    <w:p>
      <w:pPr/>
      <w:r>
        <w:rPr>
          <w:b/>
        </w:rPr>
        <w:t>Shared claim-specific concepts:</w:t>
      </w:r>
      <w:r>
        <w:t xml:space="preserve"> findings, methodologies, present; EU scope not established. This is a provisional connection, not an outcome finding.</w:t>
      </w:r>
    </w:p>
    <w:p>
      <w:pPr>
        <w:pStyle w:val="SourceNote"/>
      </w:pPr>
      <w:r>
        <w:rPr>
          <w:b/>
        </w:rPr>
        <w:t>Available abstract (not full text):</w:t>
      </w:r>
      <w:r>
        <w:t xml:space="preserve"> Background The oral microbiome serves as both an indicator and a mediator of oral health. Evidence indicates that bacteriophages (phages) are widely present in the oral microbiome and exhibit diverse classifications and interactions with human cells and other microbes. These phages constitute the oral phageome, which potentially exerts significant yet unexplored effects on the interplay between oral and general health.Methods Three databases (PubMed/MEDLINE, Embase and Scopus) were searched for metagenomic analyses that investigated the oral phageome. Eligible studies were synthesized based on their methodological approaches and findings.Results A total of 14 articles were included in this systematic review. Among the 14 articles included, there were six studies that discussed disease-related alterations, along with a discursive examination of additional variables such as sampling niches, external interventions and methodologies. The phages that infect Streptococcus Actinomyces Haemophilus, and Veillonella have been discovered to be associated with chronic periodontitis, caries, and pancreatic ductal carcinoma.Conclusions This systematic review focuses on findings and methodologies in oral phageome studies, which were conducted using highly heterogeneous methodologies that explored the oral phageome in multiple directions while placing constraints on quantitative statistics. Co</w:t>
      </w:r>
    </w:p>
    <w:p>
      <w:pPr/>
      <w:r>
        <w:rPr>
          <w:b/>
        </w:rPr>
        <w:t>POSSIBLE 2024:</w:t>
      </w:r>
      <w:r>
        <w:t xml:space="preserve"> RESEARCH METHODOLOGY — https://doi.org/10.52458/9788197357176.nsp.2024.tb</w:t>
      </w:r>
    </w:p>
    <w:p>
      <w:pPr/>
      <w:r>
        <w:rPr>
          <w:b/>
        </w:rPr>
        <w:t>Shared claim-specific concepts:</w:t>
      </w:r>
      <w:r>
        <w:t xml:space="preserve"> findings, several, methodologies, techniques, allow; EU scope not established. This is a provisional connection, not an outcome finding.</w:t>
      </w:r>
    </w:p>
    <w:p>
      <w:pPr>
        <w:pStyle w:val="SourceNote"/>
      </w:pPr>
      <w:r>
        <w:rPr>
          <w:b/>
        </w:rPr>
        <w:t>Available abstract (not full text):</w:t>
      </w:r>
      <w:r>
        <w:t xml:space="preserve"> The approach used is crucial in scientific investigation, which is always changing in the academic and professional research field. The importance of research technique cannot be exaggerated; it is the organized, methodical approach that supports the legitimacy and validity of research findings. The book titled "Research Methodology" aims to offer a thorough and practical understanding of the fundamental concepts and real-world applications of research methodology. It serves as a vital resource for students, professors, and practitioners. The impetus for authoring this book arises from the acknowledgment of the crucial significance that research methodology holds in the progress of knowledge across all fields of study. A robust technique is essential for producing significant and dependable findings, regardless of the discipline, whether it social sciences, natural sciences, humanities, engineering, or applied areas. This book seeks to close the divide between theory and practice by providing readers with a comprehensive examination of different research designs, methods of data gathering, and analytical methodologies. The "Research Methodology" course is designed to meet the needs of both inexperienced researchers and seasoned scholars. The book offers a lucid and easily understandable introduction to the key principles and stages of the research process, making it accessible </w:t>
      </w:r>
    </w:p>
    <w:p>
      <w:pPr/>
      <w:r>
        <w:rPr>
          <w:b/>
        </w:rPr>
        <w:t>POSSIBLE 2023:</w:t>
      </w:r>
      <w:r>
        <w:t xml:space="preserve"> A named entity recognition framework using transformers to identify relevant clinical findings from mammographic radiological reports — https://doi.org/10.1117/12.2670228</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pPr/>
      <w:r>
        <w:rPr>
          <w:b/>
        </w:rPr>
        <w:t>POSSIBLE 2023:</w:t>
      </w:r>
      <w:r>
        <w:t xml:space="preserve"> Genome-wide analyses of ADHD identify 27 risk loci, refine the genetic architecture and implicate several cognitive domains — https://doi.org/10.1038/s41588-022-01285-8</w:t>
      </w:r>
    </w:p>
    <w:p>
      <w:pPr/>
      <w:r>
        <w:rPr>
          <w:b/>
        </w:rPr>
        <w:t>Shared claim-specific concepts:</w:t>
      </w:r>
      <w:r>
        <w:t xml:space="preserve"> several, identified, here, present; EU scope not established. This is a provisional connection, not an outcome finding.</w:t>
      </w:r>
    </w:p>
    <w:p>
      <w:pPr>
        <w:pStyle w:val="SourceNote"/>
      </w:pPr>
      <w:r>
        <w:rPr>
          <w:b/>
        </w:rPr>
        <w:t>Available abstract (not full text):</w:t>
      </w:r>
      <w:r>
        <w:t xml:space="preserve">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pPr/>
      <w:r>
        <w:rPr>
          <w:b/>
        </w:rPr>
        <w:t>POSSIBLE 2023:</w:t>
      </w:r>
      <w:r>
        <w:t xml:space="preserve"> Proteomics of brain, CSF, and plasma identifies molecular signatures for distinguishing sporadic and genetic Alzheimer’s disease — https://doi.org/10.1126/scitranslmed.abq5923</w:t>
      </w:r>
    </w:p>
    <w:p>
      <w:pPr/>
      <w:r>
        <w:rPr>
          <w:b/>
        </w:rPr>
        <w:t>Shared claim-specific concepts:</w:t>
      </w:r>
      <w:r>
        <w:t xml:space="preserve"> findings, several, identified, here, present; EU scope not established. This is a provisional connection, not an outcome finding.</w:t>
      </w:r>
    </w:p>
    <w:p>
      <w:pPr>
        <w:pStyle w:val="SourceNote"/>
      </w:pPr>
      <w:r>
        <w:rPr>
          <w:b/>
        </w:rPr>
        <w:t>Available abstract (not full text):</w:t>
      </w:r>
      <w:r>
        <w:t xml:space="preserve">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pPr/>
      <w:r>
        <w:rPr>
          <w:b/>
        </w:rPr>
        <w:t>POSSIBLE 2023:</w:t>
      </w:r>
      <w:r>
        <w:t xml:space="preserve"> Multi-ancestry genome-wide study identifies effector genes and druggable pathways for coronary artery calcification — https://doi.org/10.1038/s41588-023-01518-4</w:t>
      </w:r>
    </w:p>
    <w:p>
      <w:pPr/>
      <w:r>
        <w:rPr>
          <w:b/>
        </w:rPr>
        <w:t>Shared claim-specific concepts:</w:t>
      </w:r>
      <w:r>
        <w:t xml:space="preserve"> findings, several, identified, here, help; EU scope visible. This is a provisional connection, not an outcome finding.</w:t>
      </w:r>
    </w:p>
    <w:p>
      <w:pPr>
        <w:pStyle w:val="SourceNote"/>
      </w:pPr>
      <w:r>
        <w:rPr>
          <w:b/>
        </w:rPr>
        <w:t>Available abstract (not full text):</w:t>
      </w:r>
      <w:r>
        <w:t xml:space="preserve"> Coronary artery calcification (CAC), a measure of subclinical atherosclerosis, predicts future symptomatic coronary artery disease (CAD). Identifying genetic risk factors for CAC may point to new therapeutic avenues for prevention. Currently, there are only four known risk loci for CAC identified from genome-wide association studies (GWAS) in the general population. Here we conducted the largest multi-ancestry GWAS meta-analysis of CAC to date, which comprised 26,909 individuals of European ancestry and 8,867 individuals of African ancestry. We identified 11 independent risk loci, of which eight were new for CAC and five had not been reported for CAD. These new CAC loci are related to bone mineralization, phosphate catabolism and hormone metabolic pathways. Several new loci harbor candidate causal genes supported by multiple lines of functional evidence and are regulators of smooth muscle cell-mediated calcification ex vivo and in vitro. Together, these findings help refine the genetic architecture of CAC and extend our understanding of the biological and potential druggable pathways underlying CAC.</w:t>
      </w:r>
    </w:p>
    <w:p>
      <w:pPr/>
      <w:r>
        <w:rPr>
          <w:b/>
        </w:rPr>
        <w:t>POSSIBLE 2023:</w:t>
      </w:r>
      <w:r>
        <w:t xml:space="preserve"> Analyzing SDG interlinkages: identifying trade-offs and synergies for a responsible innovation — https://doi.org/10.1007/s11625-023-01336-x</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This paper responds to recent calls to address the indivisible nature of the Sustainable Development Goal (SDG) framework and the related knowledge gap on how SDG targets interlink with each other. It examines how SDG targets interact in the context of a specific technology, point of care (PoC) microfluidics, and how this relates to the concept of responsible innovation (RI). The novel SDG interlinkages methodology developed here involves several steps to filter the relevant interlinkages and a focus group of experts for discussing these interlinkages. The main findings indicate that several social synergies occur when deploying PoC microfluidics, but that the environmental trade-offs may jeopardize the total progress toward the SDGs. More specifically, the environmental sacrifices (use of plastics and lack of recyclability) resulted in the product being cheaper and, thus, better accessible. This work suggests that attention should be given (and prioritized) to the use of renewable and recyclable materials without jeopardizing the accessibility of the product. This should minimize the identified trade-offs. These findings inform how analyzing SDG interlinkages relates to the responsibilities and dimensions of RI in several ways. First, analyzing SDG interlinkages helps to execute the governance responsibility by using the RI dimensions (anticipation, reflexivity, inclusion and </w:t>
      </w:r>
    </w:p>
    <w:p>
      <w:pPr/>
      <w:r>
        <w:rPr>
          <w:b/>
        </w:rPr>
        <w:t>POSSIBLE 2023:</w:t>
      </w:r>
      <w:r>
        <w:t xml:space="preserve"> Large-scale exome sequence analysis identifies sex- and age-specific determinants of obesity — https://doi.org/10.1016/j.xgen.2023.100362</w:t>
      </w:r>
    </w:p>
    <w:p>
      <w:pPr/>
      <w:r>
        <w:rPr>
          <w:b/>
        </w:rPr>
        <w:t>Shared claim-specific concepts:</w:t>
      </w:r>
      <w:r>
        <w:t xml:space="preserve"> findings, several, identified, here, well; EU scope not established. This is a provisional connection, not an outcome finding.</w:t>
      </w:r>
    </w:p>
    <w:p>
      <w:pPr>
        <w:pStyle w:val="SourceNote"/>
      </w:pPr>
      <w:r>
        <w:rPr>
          <w:b/>
        </w:rPr>
        <w:t>Available abstract (not full text):</w:t>
      </w:r>
      <w:r>
        <w:t xml:space="preserve"> Obesity contributes substantially to the global burden of disease and has a significant heritable component. Recent large-scale exome sequencing studies identified several genes in which rare, protein-coding variants have large effects on adult body mass index (BMI). Here we extended such work by performing sex-stratified associations in the UK Biobank study (N∼420,000). We identified genes in which rare heterozygous loss-of-function increases adult BMI in women (DIDO1, PTPRG, and SLC12A5) and in men (SLTM), with effect sizes up to ∼8 kg/m2. This is complemented by analyses implicating rare variants in OBSCN and MADD for recalled childhood adiposity. The known functions of these genes, as well as findings of common variant genome-wide pathway enrichment analyses, suggest a role for neuron death, apoptosis, and DNA damage response mechanisms in the susceptibility to obesity across the life-course. These findings highlight the importance of considering sex-specific and life-course effects in the genetic regulation of obesity.</w:t>
      </w:r>
    </w:p>
    <w:p>
      <w:pPr/>
      <w:r>
        <w:rPr>
          <w:b/>
        </w:rPr>
        <w:t>POSSIBLE 2023:</w:t>
      </w:r>
      <w:r>
        <w:t xml:space="preserve"> Digital Twins in Healthcare: Methodological Challenges and Opportunities — https://doi.org/10.3390/jpm13101522</w:t>
      </w:r>
    </w:p>
    <w:p>
      <w:pPr/>
      <w:r>
        <w:rPr>
          <w:b/>
        </w:rPr>
        <w:t>Shared claim-specific concepts:</w:t>
      </w:r>
      <w:r>
        <w:t xml:space="preserve"> several, methodologies, well; EU scope not established. This is a provisional connection, not an outcome finding.</w:t>
      </w:r>
    </w:p>
    <w:p>
      <w:pPr>
        <w:pStyle w:val="SourceNote"/>
      </w:pPr>
      <w:r>
        <w:rPr>
          <w:b/>
        </w:rPr>
        <w:t>Available abstract (not full text):</w:t>
      </w:r>
      <w:r>
        <w:t xml:space="preserve"> One of the most promising advancements in healthcare is the application of digital twin technology, offering valuable applications in monitoring, diagnosis, and development of treatment strategies tailored to individual patients. Furthermore, digital twins could also be helpful in finding novel treatment targets and predicting the effects of drugs and other chemical substances in development. In this review article, we consider digital twins as virtual counterparts of real human patients. The primary aim of this narrative review is to give an in-depth look into the various data sources and methodologies that contribute to the construction of digital twins across several healthcare domains. Each data source, including blood glucose levels, heart MRI and CT scans, cardiac electrophysiology, written reports, and multi-omics data, comes with different challenges regarding standardization, integration, and interpretation. We showcase how various datasets and methods are used to overcome these obstacles and generate a digital twin. While digital twin technology has seen significant progress, there are still hurdles in the way to achieving a fully comprehensive patient digital twin. Developments in non-invasive and high-throughput data collection, as well as advancements in modeling and computational power will be crucial to improve digital twin systems. We discuss a few critical deve</w:t>
      </w:r>
    </w:p>
    <w:p>
      <w:pPr>
        <w:pStyle w:val="Heading2"/>
      </w:pPr>
      <w:r>
        <w:t>1025. O4-2.1 Foresight tackling obesities: future choices</w:t>
      </w:r>
    </w:p>
    <w:p>
      <w:pPr>
        <w:pStyle w:val="SourceNote"/>
      </w:pPr>
      <w:r>
        <w:rPr>
          <w:b/>
        </w:rPr>
        <w:t>Original source (2011):</w:t>
      </w:r>
      <w:r>
        <w:t xml:space="preserve"> https://doi.org/10.1136/jech.2011.142976b.14</w:t>
      </w:r>
    </w:p>
    <w:p>
      <w:pPr/>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pPr/>
      <w:r>
        <w:rPr>
          <w:b/>
        </w:rPr>
        <w:t>POSSIBLE 2026:</w:t>
      </w:r>
      <w:r>
        <w:t xml:space="preserve"> Subject-verb agreement in Down Syndrome: morphosyntactic analysis and cross-linguistic predictions on universal defaults — https://doi.org/10.3765/plsa.v11i1.6133</w:t>
      </w:r>
    </w:p>
    <w:p>
      <w:pPr/>
      <w:r>
        <w:rPr>
          <w:b/>
        </w:rPr>
        <w:t>Shared claim-specific concepts:</w:t>
      </w:r>
      <w:r>
        <w:t xml:space="preserve"> predictions, same, predicted; EU scope not established. This is a provisional connection, not an outcome finding.</w:t>
      </w:r>
    </w:p>
    <w:p>
      <w:pPr>
        <w:pStyle w:val="SourceNote"/>
      </w:pPr>
      <w:r>
        <w:rPr>
          <w:b/>
        </w:rPr>
        <w:t>Available abstract (not full text):</w:t>
      </w:r>
      <w:r>
        <w:t xml:space="preserve"> While studies on English individuals with Down syndrome (DS) report impaired performance with the production of subject-verb (S/V) agreement, Schaner-Wolles (2004) shows close to ceiling performance with the production of S/V agreement for German indi­viduals with DS. This study reports on findings from the production of S/V agreement of Cypriot Greek adults diagnosed with DS and offers preliminary predictions with the purpose of disambiguating whether individuals with DS present a cross-linguistic impairment. The production of inflectional person and number marking was examined with sixteen Cypriot Greek individuals with DS and seventeen typically developing children, through nine sponta­neous and controlled elicitation tasks. The morphosyntactic analysis reveals close to ceiling performance with 98.5% accuracy for person and 99% accuracy for number. Results revealed a clear systematicity in selecting the default value for each inflectional feature: the 3rd value for person and the singular value for number. Considering results from seven languages, it is predicted that the underlying coping strategy, whether it surfaces as an optional infinitive or a default feature value, is the same; namely, the use of a default form.</w:t>
      </w:r>
    </w:p>
    <w:p>
      <w:pPr/>
      <w:r>
        <w:rPr>
          <w:b/>
        </w:rPr>
        <w:t>POSSIBLE 2025:</w:t>
      </w:r>
      <w:r>
        <w:t xml:space="preserve"> Can EMG-Derived Upper Limb Muscle Synergies Serve as Markers for Post-Stroke Motor Assessment and Prediction of Rehabilitation Outcome? — https://doi.org/10.3390/s25103170</w:t>
      </w:r>
    </w:p>
    <w:p>
      <w:pPr/>
      <w:r>
        <w:rPr>
          <w:b/>
        </w:rPr>
        <w:t>Shared claim-specific concepts:</w:t>
      </w:r>
      <w:r>
        <w:t xml:space="preserve"> predictions, subject, options, built, predicted; EU scope not established. This is a provisional connection, not an outcome finding.</w:t>
      </w:r>
    </w:p>
    <w:p>
      <w:pPr>
        <w:pStyle w:val="SourceNote"/>
      </w:pPr>
      <w:r>
        <w:rPr>
          <w:b/>
        </w:rPr>
        <w:t>Available abstract (not full text):</w:t>
      </w:r>
      <w:r>
        <w:t xml:space="preserve"> ABSTRACT Motor rehabilitation after stroke is challenging due to the heterogeneity of stroke presentations. Maximizing recovery hinges on suitable personalization of rehabilitation, which depends on reliable motor assessments and predictions of the subjects’ responses to different interventions using biomarkers of brain impairment. Beyond the previously defined neuroimaging biomarkers, impairment-dependent motor patterns of stroke survivors during voluntary movement are alternatives that potentially offer accurate and precise predictions. Specifically, muscle synergies identified from multi-muscle electromyographic signals (EMG), as neuromotor modules employed by CNS for muscle coordination, have been previously used to evaluate upper limb functions post-stroke in small-to-moderate-sized cohorts. While these initial results appear promising, how muscle synergies should be most profitably used for clinical assessments and whether they predict post-rehabilitation responses remain unexplored. Here, we evaluate the potential of muscle synergies in assessing upper limb motor functions and predicting outcomes from multiple rehabilitative options in a moderately large cohort of subacute stroke survivors (N=88, 55±35 days post-stroke) recruited for a randomized trial of acupuncture as an adjunctive rehabilitative intervention. Subjects (N=59) were randomly assigned to monthlong abdomin</w:t>
      </w:r>
    </w:p>
    <w:p>
      <w:pPr/>
      <w:r>
        <w:rPr>
          <w:b/>
        </w:rPr>
        <w:t>POSSIBLE 2024:</w:t>
      </w:r>
      <w:r>
        <w:t xml:space="preserve"> A lightweight generative model for interpretable subject-level prediction — https://doi.org/10.1016/j.media.2024.103436</w:t>
      </w:r>
    </w:p>
    <w:p>
      <w:pPr/>
      <w:r>
        <w:rPr>
          <w:b/>
        </w:rPr>
        <w:t>Shared claim-specific concepts:</w:t>
      </w:r>
      <w:r>
        <w:t xml:space="preserve"> predictions, subject, same; EU scope not established. This is a provisional connection, not an outcome finding.</w:t>
      </w:r>
    </w:p>
    <w:p>
      <w:pPr>
        <w:pStyle w:val="SourceNote"/>
      </w:pPr>
      <w:r>
        <w:rPr>
          <w:b/>
        </w:rPr>
        <w:t>Available abstract (not full text):</w:t>
      </w:r>
      <w:r>
        <w:t xml:space="preserve"> Recent years have seen a growing interest in methods for predicting an unknown variable of interest, such as a subject’s diagnosis, from medical images depicting its anatomical-functional effects. Methods based on discriminative modeling excel at making accurate predictions, but are challenged in their ability to explain their decisions in anatomically meaningful terms. In this paper, we propose a simple technique for single-subject prediction that is inherently interpretable. It augments the generative models used in classical human brain mapping techniques, in which the underlying cause–effect relations can be encoded, with a multivariate noise model that captures dominant spatial correlations. Experiments demonstrate that the resulting model can be efficiently inverted to make accurate subject-level predictions, while at the same time offering intuitive visual explanations of its inner workings. The method is easy to use: training is fast for typical training set sizes, and only a single hyperparameter needs to be set by the user. Our code is available at https://github.com/chiara-mauri/Interpretable-subject-level-prediction . • We propose an inherently interpretable generative model for image-based prediction. • The method is also accurate, easy to use, and fast to train. • Besides predictions, it offers intuitive causal explanations of its inner workings. • We tested the m</w:t>
      </w:r>
    </w:p>
    <w:p>
      <w:pPr/>
      <w:r>
        <w:rPr>
          <w:b/>
        </w:rPr>
        <w:t>POSSIBLE 2023:</w:t>
      </w:r>
      <w:r>
        <w:t xml:space="preserve"> Prediction in ecology and evolution — https://doi.org/10.1093/biosci/biad083</w:t>
      </w:r>
    </w:p>
    <w:p>
      <w:pPr/>
      <w:r>
        <w:rPr>
          <w:b/>
        </w:rPr>
        <w:t>Shared claim-specific concepts:</w:t>
      </w:r>
      <w:r>
        <w:t xml:space="preserve"> predictions, range, predicted; EU scope not established. This is a provisional connection, not an outcome finding.</w:t>
      </w:r>
    </w:p>
    <w:p>
      <w:pPr>
        <w:pStyle w:val="SourceNote"/>
      </w:pPr>
      <w:r>
        <w:rPr>
          <w:b/>
        </w:rPr>
        <w:t>Available abstract (not full text):</w:t>
      </w:r>
      <w:r>
        <w:t xml:space="preserve"> Abstract Prediction is frequently asserted to be the sine qua non of science, but prediction means different things to different people in different contexts. I organize and explain this diversity by addressing five questions. What does it mean to predict something? To answer this question, I describe concepts of prediction as prophecy, diagnosis, history, repeatability, and fate. What are we trying to predict? Here, I describe how predictions vary along several axes: general to specific, qualitative to quantitative, relative to absolute, point to range, and continuous to discontinuous. Where do predictions come from? In this case, I focus on deductive versus inductive reasoning. How do we test predictions? The answer here is not straightforward and I discuss various approaches and difficulties. How good are predictions? Not surprisingly, it depends on what is being predicted and how we judge success. Importantly, I do not espouse a “best” way to approach prediction but, rather, I outline its diverse manifestations so as to help organize practical thinking on the topic.</w:t>
      </w:r>
    </w:p>
    <w:p>
      <w:pPr/>
      <w:r>
        <w:rPr>
          <w:b/>
        </w:rPr>
        <w:t>POSSIBLE 2022:</w:t>
      </w:r>
      <w:r>
        <w:t xml:space="preserve"> SPH prediction of energy dissipation in a sloshing tank subjected to vertical harmonic excitations — https://doi.org/10.5281/zenodo.7198089</w:t>
      </w:r>
    </w:p>
    <w:p>
      <w:pPr/>
      <w:r>
        <w:rPr>
          <w:b/>
        </w:rPr>
        <w:t>Shared claim-specific concepts:</w:t>
      </w:r>
      <w:r>
        <w:t xml:space="preserve"> range, simulation, same, predicted; EU scope not established. This is a provisional connection, not an outcome finding.</w:t>
      </w:r>
    </w:p>
    <w:p>
      <w:pPr>
        <w:pStyle w:val="SourceNote"/>
      </w:pPr>
      <w:r>
        <w:rPr>
          <w:b/>
        </w:rPr>
        <w:t>Available abstract (not full text):</w:t>
      </w:r>
      <w:r>
        <w:t xml:space="preserve"> In [14], [16] the damping effect of sloshing flows on the dynamics of flexible structures was studied through an enhanced SPH model. Prediction of energy dissipation in these problems is of interest, among the others, in the aeronautic field to appropriately address sloshing-induced loads on aircraft wings. In the present work the same SPH scheme is applied and extensively validated on the experimental campaign performed in [25] in which a partially filled tank is subjected to harmonic vertical accelerations ranging from 0.5𝑔 up to 6𝑔. Conversely to [14], in the present work long-time simulations are addressed spanning over more than 50 periods of oscillations. This approach allowed us to compare the predicted energy dissipation in terms of average value computed over several tank oscillations. The SPH scheme is tested over a large matrix of different frequencies and accelerations covering a wide range of flow regimes and spanning from mildly-deformed free surface to violent shaken flow. Even if the numerical model is only 2D and air phase is neglected, it is shown that the SPH solver is, in most of the cases, able to recover the experimental rate of dissipated energy with errors comparable to the intrinsic uncertainties of the problem. Considering that no parameter adjustment has been done in any of the performed test cases, this result makes the SPH a valid and competitive nu</w:t>
      </w:r>
    </w:p>
    <w:p>
      <w:pPr/>
      <w:r>
        <w:rPr>
          <w:b/>
        </w:rPr>
        <w:t>POSSIBLE 2021:</w:t>
      </w:r>
      <w:r>
        <w:t xml:space="preserve"> Farmer flexibility concerning future rotation planning is affected by the framing of climate predictions — https://doi.org/10.1016/j.crm.2021.100356</w:t>
      </w:r>
    </w:p>
    <w:p>
      <w:pPr/>
      <w:r>
        <w:rPr>
          <w:b/>
        </w:rPr>
        <w:t>Shared claim-specific concepts:</w:t>
      </w:r>
      <w:r>
        <w:t xml:space="preserve"> predictions, affected, predicted; EU scope visible. This is a provisional connection, not an outcome finding.</w:t>
      </w:r>
    </w:p>
    <w:p>
      <w:pPr>
        <w:pStyle w:val="SourceNote"/>
      </w:pPr>
      <w:r>
        <w:rPr>
          <w:b/>
        </w:rPr>
        <w:t>Available abstract (not full text):</w:t>
      </w:r>
      <w:r>
        <w:t xml:space="preserve">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pPr/>
      <w:r>
        <w:rPr>
          <w:b/>
        </w:rPr>
        <w:t>POSSIBLE 2021:</w:t>
      </w:r>
      <w:r>
        <w:t xml:space="preserve"> A Two-Stage Prediction Model for Heterogeneous Effects of Many Treatment Options: Application to Drugs for Multiple Sclerosis (1709) — https://doi.org/10.1212/wnl.96.15_supplement.1709</w:t>
      </w:r>
    </w:p>
    <w:p>
      <w:pPr/>
      <w:r>
        <w:rPr>
          <w:b/>
        </w:rPr>
        <w:t>Shared claim-specific concepts:</w:t>
      </w:r>
      <w:r>
        <w:t xml:space="preserve"> predictions, range, options, affected; EU scope visible. This is a provisional connection, not an outcome finding.</w:t>
      </w:r>
    </w:p>
    <w:p>
      <w:pPr>
        <w:pStyle w:val="SourceNote"/>
      </w:pPr>
      <w:r>
        <w:rPr>
          <w:b/>
        </w:rPr>
        <w:t>Available abstract (not full text):</w:t>
      </w:r>
      <w:r>
        <w:t xml:space="preserve"> Objective: Present a methodological framework that allows personalized predictions for the most likely outcome under different treatment options and demonstrate its utility in relapsing-remitting multiple sclerosis (RRMS). Background: Treatment effects could vary from person to person and depend on patient characteristics. Predicting individualized treatment effects is important for clinical decision-making. There are many treatment options for RRMS, the most common type of MS; it is crucial to understand whether treatment response and drug safety profiles are heterogeneous. Design/Methods: We propose a two-stage prediction model. First, we calculated baseline risk scores (linking the probability of developing the outcome to patient characteristics but not to the treatment) using the least absolute shrinkage and selection operator (LASSO) and ‘pre-specified’ (based on previously identified prognostic factors) models. Second, we estimated the probabilities of post-treatment outcome as a function of baseline risk score using an individual patient data network meta-regression model in a Bayesian framework. We applied this approach to predict relapse at two years in 3,590 patients receiving placebo, natalizumab, dimethyl fumarate, or glatiramer acetate. Results: Characteristics such as age and disability status at the start of the treatment affected baseline risk of relapse. Both t</w:t>
      </w:r>
    </w:p>
    <w:p>
      <w:pPr/>
      <w:r>
        <w:rPr>
          <w:b/>
        </w:rPr>
        <w:t>POSSIBLE 2020:</w:t>
      </w:r>
      <w:r>
        <w:t xml:space="preserve"> Solar cycle prediction — https://doi.org/10.1007/s41116-020-0022-z</w:t>
      </w:r>
    </w:p>
    <w:p>
      <w:pPr/>
      <w:r>
        <w:rPr>
          <w:b/>
        </w:rPr>
        <w:t>Shared claim-specific concepts:</w:t>
      </w:r>
      <w:r>
        <w:t xml:space="preserve"> predictions, range, given, same; EU scope not established. This is a provisional connection, not an outcome finding.</w:t>
      </w:r>
    </w:p>
    <w:p>
      <w:pPr>
        <w:pStyle w:val="SourceNote"/>
      </w:pPr>
      <w:r>
        <w:rPr>
          <w:b/>
        </w:rPr>
        <w:t>Available abstract (not full text):</w:t>
      </w:r>
      <w:r>
        <w:t xml:space="preserve">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pPr/>
      <w:r>
        <w:rPr>
          <w:b/>
        </w:rPr>
        <w:t>POSSIBLE 2020:</w:t>
      </w:r>
      <w:r>
        <w:t xml:space="preserve"> Predictions of Anterior Cruciate Ligament Dynamics From Subject-Specific Musculoskeletal Models and Dynamic Biplane Radiography — https://doi.org/10.1115/1.4048710</w:t>
      </w:r>
    </w:p>
    <w:p>
      <w:pPr/>
      <w:r>
        <w:rPr>
          <w:b/>
        </w:rPr>
        <w:t>Shared claim-specific concepts:</w:t>
      </w:r>
      <w:r>
        <w:t xml:space="preserve"> predictions, range, predicted; EU scope not established. This is a provisional connection, not an outcome finding.</w:t>
      </w:r>
    </w:p>
    <w:p>
      <w:pPr>
        <w:pStyle w:val="SourceNote"/>
      </w:pPr>
      <w:r>
        <w:rPr>
          <w:b/>
        </w:rPr>
        <w:t>Available abstract (not full text):</w:t>
      </w:r>
      <w:r>
        <w:t xml:space="preserve"> In vivo knee ligament forces are important to consider for informing rehabilitation or clinical interventions. However, they are difficult to directly measure during functional activities. Musculoskeletal models and simulations have become the primary methods by which to estimate in vivo ligament loading. Previous estimates of anterior cruciate ligament (ACL) forces range widely, suggesting that individualized anatomy may have an impact on these predictions. Using ten subject-specific (SS) lower limb musculoskeletal models, which include individualized musculoskeletal geometry, muscle architecture, and six degree-of-freedom knee joint kinematics from dynamic biplane radiography (DBR), this study provides SS estimates of ACL force (anteromedial-aACL; and posterolateral-pACL bundles) during the full gait cycle of treadmill walking. These forces are compared to estimates from scaled-generic (SG) musculoskeletal models to assess the effect of musculoskeletal knee joint anatomy on predicted forces and the benefit of SS modeling in this context. On average, the SS models demonstrated a double force peak during stance (0.39-0.43 xBW per bundle), while only a single force peak during stance was observed in the SG aACL. No significant differences were observed between continuous SG and SS ACL forces; however, root mean-squared differences between SS and SG predictions ranged from 0.08 x</w:t>
      </w:r>
    </w:p>
    <w:p>
      <w:pPr/>
      <w:r>
        <w:rPr>
          <w:b/>
        </w:rPr>
        <w:t>POSSIBLE 2019:</w:t>
      </w:r>
      <w:r>
        <w:t xml:space="preserve"> Detailed subject-specific FE rib modeling for fracture prediction — https://doi.org/10.1080/15389588.2019.1665649</w:t>
      </w:r>
    </w:p>
    <w:p>
      <w:pPr/>
      <w:r>
        <w:rPr>
          <w:b/>
        </w:rPr>
        <w:t>Shared claim-specific concepts:</w:t>
      </w:r>
      <w:r>
        <w:t xml:space="preserve"> predictions, subject, predicted; EU scope not established. This is a provisional connection, not an outcome finding.</w:t>
      </w:r>
    </w:p>
    <w:p>
      <w:pPr>
        <w:pStyle w:val="SourceNote"/>
      </w:pPr>
      <w:r>
        <w:rPr>
          <w:b/>
        </w:rPr>
        <w:t>Available abstract (not full text):</w:t>
      </w:r>
      <w:r>
        <w:t xml:space="preserve"> Objective: The current state of the art human body models (HBMs) underpredict the number of fractured ribs. Also, it has not been shown that the models can predict the fracture locations. Efforts have been made to create subject specific rib models for fracture prediction, with mixed results. The aim of this study is to evaluate if subject-specific finite element (FE) rib models, based on state-of-the-art clinical CT data combined with subject-specific material data, can predict rib stiffness and fracture location in anterior-posterior rib bending.Method: High resolution clinical CT data was used to generate detailed subject-specific geometry for twelve FE models of the sixth rib. The cortical bone periosteal and endosteal surfaces were estimated based on a previously calibrated cortical bone mapping algorithm. The cortical and the trabecular bone were modeled using a hexa-block algorithm. The isotropic material model for the cortical bone in each rib model was assigned subject-specific material data based on tension coupon tests. Two different modeling strategies were used for the trabecular bone.The capability of the FE model to predict fracture location was carried out by modeling physical dynamic anterior-posterior rib bending tests. The rib model predictions were directly compared to the results from the tests. The predicted force-displacement time history, strain measurem</w:t>
      </w:r>
    </w:p>
    <w:p>
      <w:pPr/>
      <w:r>
        <w:rPr>
          <w:b/>
        </w:rPr>
        <w:t>POSSIBLE 2018:</w:t>
      </w:r>
      <w:r>
        <w:t xml:space="preserve"> Neural Integration of Stimulus History Underlies Prediction for Naturalistically Evolving Sequences — https://doi.org/10.1523/jneurosci.1779-17.2017</w:t>
      </w:r>
    </w:p>
    <w:p>
      <w:pPr/>
      <w:r>
        <w:rPr>
          <w:b/>
        </w:rPr>
        <w:t>Shared claim-specific concepts:</w:t>
      </w:r>
      <w:r>
        <w:t xml:space="preserve"> predictions, given, predicted; EU scope not established. This is a provisional connection, not an outcome finding.</w:t>
      </w:r>
    </w:p>
    <w:p>
      <w:pPr>
        <w:pStyle w:val="SourceNote"/>
      </w:pPr>
      <w:r>
        <w:rPr>
          <w:b/>
        </w:rPr>
        <w:t>Available abstract (not full text):</w:t>
      </w:r>
      <w:r>
        <w:t xml:space="preserve"> Forming valid predictions about the environment is crucial to survival. However, whether humans are able to form valid predictions about natural stimuli based on their temporal statistical regularities remains unknown. Here, we presented subjects with tone sequences with pitch fluctuations that, over time, capture long-range temporal dependence structures prevalent in natural stimuli. We found that subjects were able to exploit such naturalistic statistical regularities to make valid predictions about upcoming items in a sequence. Magnetoencephalography (MEG) recordings revealed that slow, arrhythmic cortical dynamics tracked the evolving pitch sequence over time such that neural activity at a given moment was influenced by the pitch of up to seven previous tones. Importantly, such history integration contained in neural activity predicted the expected pitch of the upcoming tone, providing a concrete computational mechanism for prediction. These results establish humans' ability to make valid predictions based on temporal regularities inherent in naturalistic stimuli and further reveal the neural mechanisms underlying such predictive computation. SIGNIFICANCE STATEMENT A fundamental question in neuroscience is how the brain predicts upcoming events in the environment. To date, this question has primarily been addressed in experiments using relatively simple stimulus sequences. </w:t>
      </w:r>
    </w:p>
    <w:p>
      <w:pPr/>
      <w:r>
        <w:rPr>
          <w:b/>
        </w:rPr>
        <w:t>POSSIBLE 2017:</w:t>
      </w:r>
      <w:r>
        <w:t xml:space="preserve"> Accuracy of subject-specific prediction of end-systolic time in MRI across a range of RR intervals — https://doi.org/10.1371/journal.pone.0179011</w:t>
      </w:r>
    </w:p>
    <w:p>
      <w:pPr/>
      <w:r>
        <w:rPr>
          <w:b/>
        </w:rPr>
        <w:t>Shared claim-specific concepts:</w:t>
      </w:r>
      <w:r>
        <w:t xml:space="preserve"> subject, range, population, predicted; EU scope not established. This is a provisional connection, not an outcome finding.</w:t>
      </w:r>
    </w:p>
    <w:p>
      <w:pPr>
        <w:pStyle w:val="SourceNote"/>
      </w:pPr>
      <w:r>
        <w:rPr>
          <w:b/>
        </w:rPr>
        <w:t>Available abstract (not full text):</w:t>
      </w:r>
      <w:r>
        <w:t xml:space="preserve">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pPr>
        <w:pStyle w:val="Heading2"/>
      </w:pPr>
      <w:r>
        <w:t>1026. OPERATIONAL EARTHQUAKE FORECASTING. State of Knowledge and Guidelines for Utilization</w:t>
      </w:r>
    </w:p>
    <w:p>
      <w:pPr>
        <w:pStyle w:val="SourceNote"/>
      </w:pPr>
      <w:r>
        <w:rPr>
          <w:b/>
        </w:rPr>
        <w:t>Original source (2011):</w:t>
      </w:r>
      <w:r>
        <w:t xml:space="preserve"> https://doi.org/10.4401/ag-5350</w:t>
      </w:r>
    </w:p>
    <w:p>
      <w:pPr/>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POSSIBLE 2026:</w:t>
      </w:r>
      <w:r>
        <w:t xml:space="preserve"> Maps of long-term soiling losses in Europe considering a partial cleaning effect by rain — https://doi.org/10.1051/epjpv/2026010</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Maps of long-term soiling losses in Europe considering a partial cleaning effect by rain — https://doi.org/10.1051/epjpv/2026010/pdf</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Long-term scenario for a decarbonised European energy system — https://openalex.org/W7141777866</w:t>
      </w:r>
    </w:p>
    <w:p>
      <w:pPr/>
      <w:r>
        <w:rPr>
          <w:b/>
        </w:rPr>
        <w:t>Shared claim-specific concepts:</w:t>
      </w:r>
      <w:r>
        <w:t xml:space="preserve"> long-term, building, design, other, retrofitting;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2026:</w:t>
      </w:r>
      <w:r>
        <w:t xml:space="preserve"> Methodology of Threats Outlooks Development to EU Civil Security — https://doi.org/10.64211/oidaijsd190705</w:t>
      </w:r>
    </w:p>
    <w:p>
      <w:pPr/>
      <w:r>
        <w:rPr>
          <w:b/>
        </w:rPr>
        <w:t>Shared claim-specific concepts:</w:t>
      </w:r>
      <w:r>
        <w:t xml:space="preserve"> long-term, tools, civil; EU scope visible. This is a provisional connection, not an outcome finding.</w:t>
      </w:r>
    </w:p>
    <w:p>
      <w:pPr>
        <w:pStyle w:val="SourceNote"/>
      </w:pPr>
      <w:r>
        <w:rPr>
          <w:b/>
        </w:rPr>
        <w:t>Available abstract (not full text):</w:t>
      </w:r>
      <w:r>
        <w:t xml:space="preserve"> The growth of multidimensional natural, man-made, terrorist and cyber threats creates a new level of systemic complexity for the civil security of the European Union and necessitates the modernization of analytical approaches to their forecasting. The relevance of the study is enhanced by the fact that traditional risk assessment tools do not take into account hidden correlations, cascading effects and nonlinear interactions between different categories of threats. The purpose of the study is to develop and scientifically substantiate an integrated methodology for forecasting threats to EU civilian security based on international statistics and modern econometric methods. The methodological framework includes descriptive time series analysis, principal component analysis (PCA) to identify the latent structure of multidimensional threats, and ARIMA and VAR econometric models to quantify the dynamics and cross-sectoral interactions of risks. The results showed that natural and man-made threats demonstrate steady upward trends, terrorist activity is characterized by wave-like dynamics, and cyber threats are growing most intensively and least predictably. PCA allowed us to identify three integral latent components – digital instability, environmental and technological vulnerability, and socio-political turbulence – which together explain 72.6% of the total variance. ARIMA models re</w:t>
      </w:r>
    </w:p>
    <w:p>
      <w:pPr/>
      <w:r>
        <w:rPr>
          <w:b/>
        </w:rPr>
        <w:t>POSSIBLE 2025:</w:t>
      </w:r>
      <w:r>
        <w:t xml:space="preserve"> The Modernization of Society is a Tool Leading to Civil Society — https://openalex.org/W7220226767</w:t>
      </w:r>
    </w:p>
    <w:p>
      <w:pPr/>
      <w:r>
        <w:rPr>
          <w:b/>
        </w:rPr>
        <w:t>Shared claim-specific concepts:</w:t>
      </w:r>
      <w:r>
        <w:t xml:space="preserve"> important, civil, building; EU scope not established. This is a provisional connection, not an outcome finding.</w:t>
      </w:r>
    </w:p>
    <w:p>
      <w:pPr>
        <w:pStyle w:val="SourceNote"/>
      </w:pPr>
      <w:r>
        <w:rPr>
          <w:b/>
        </w:rPr>
        <w:t>Available abstract (not full text):</w:t>
      </w:r>
      <w:r>
        <w:t xml:space="preserve"> It is known that a country that has entered the path of independent development chooses a specific development model and carries out reforms in every aspect of society in its implementation. Uzbekistan is going through the process of building a free civil society. A number of programs and concepts serving to achieve the intended goal have been adopted and reforms aimed at liberalization, democratization, and modernization of the political, legal, economic, and cultural spheres are being implemented.In this article, we aimed to study the essence of the concept of modernization, the approaches formed to it. In it, the important features of the process of modernization of the political, economic, social, and cultural spheres of society were scientifically based, and the specific aspects of the reforms carried out in the way of establishing a free civil society in our country were analyzed.Methods such as systematic analysis, comparison, generalization, and deduction were used to study the nature and forms of modernization.The analysis of literature on the topic showed that modernization is a comprehensive process that represents the establishment of new, modern, advanced social and economic relations, characterized by the emergence of paradigmatic changes in science.Modernization means not only westernization, the transition from traditional to modernity, but also the achievement </w:t>
      </w:r>
    </w:p>
    <w:p>
      <w:pPr/>
      <w:r>
        <w:rPr>
          <w:b/>
        </w:rPr>
        <w:t>POSSIBLE 2025:</w:t>
      </w:r>
      <w:r>
        <w:t xml:space="preserve"> Research on the connection between long-term care insurance and the personality rights section of the Civil Code — https://doi.org/10.54254/2753-7102/2025.29996</w:t>
      </w:r>
    </w:p>
    <w:p>
      <w:pPr/>
      <w:r>
        <w:rPr>
          <w:b/>
        </w:rPr>
        <w:t>Shared claim-specific concepts:</w:t>
      </w:r>
      <w:r>
        <w:t xml:space="preserve"> long-term, civil, protection, provisions, design; EU scope not established. This is a provisional connection, not an outcome finding.</w:t>
      </w:r>
    </w:p>
    <w:p>
      <w:pPr>
        <w:pStyle w:val="SourceNote"/>
      </w:pPr>
      <w:r>
        <w:rPr>
          <w:b/>
        </w:rPr>
        <w:t>Available abstract (not full text):</w:t>
      </w:r>
      <w:r>
        <w:t xml:space="preserve"> With the aging trend in Chinese society, the protection of the personality rights of the elderly has become increasingly prominent in long-term care services. This article aims to analyze the issues related to personality rights such as privacy rights, personal dignity, and living freedom and, in combination with relevant provisions of the Civil Code, explore how future long-term care insurance legislation can incorporate content related to personality rights protection. This article suggests embedding special provisions for personality rights protection in the design of long-term care insurance legislation, clearly defining basic rights such as privacy protection, dignity maintenance, and living freedom in the care services, and proposing the establishment of a classification recognition mechanism for tort liability of nursing institutions. It also advocates formulating ethical norms for the application of artificial intelligence, and strengthening risk monitoring and personal information protection through technological means. In the future, the long-term care insurance system will pay more attention to the combination of personality rights protection and technological empowerment, promote the integration of intelligent guardianship and humanized services, and gradually form a multi-level protection system based on the Civil Code and supported by industry standards, in order </w:t>
      </w:r>
    </w:p>
    <w:p>
      <w:pPr/>
      <w:r>
        <w:rPr>
          <w:b/>
        </w:rPr>
        <w:t>POSSIBLE 2024:</w:t>
      </w:r>
      <w:r>
        <w:t xml:space="preserve"> Civil Society as the Arena of the New European Climate Hegemony — https://doi.org/10.62560/csz.2024.02.01</w:t>
      </w:r>
    </w:p>
    <w:p>
      <w:pPr/>
      <w:r>
        <w:rPr>
          <w:b/>
        </w:rPr>
        <w:t>Shared claim-specific concepts:</w:t>
      </w:r>
      <w:r>
        <w:t xml:space="preserve"> important, civil, against; EU scope visible. This is a provisional connection, not an outcome finding.</w:t>
      </w:r>
    </w:p>
    <w:p>
      <w:pPr>
        <w:pStyle w:val="SourceNote"/>
      </w:pPr>
      <w:r>
        <w:rPr>
          <w:b/>
        </w:rPr>
        <w:t>Available abstract (not full text):</w:t>
      </w:r>
      <w:r>
        <w:t xml:space="preserve"> Using a neo-Gramscian approach, this paper explores the concept of civil society as an arena where European climate hegemony is built. The EU’s green transition, which involves deep social and economic transformations, needs extensive popular support to avoid social instability and the rise of populist parties. To achieve this, the European Commission is trying to construct a counter-hegemonic discourse that challenges the traditional modes of a fossil fuel-based economy by creating an alliance of actors around the ideology of just transition. Therefore, the study addresses the following research question: who are the change agents within European civil society that have aligned with the alliance, and how is fostering a counter-hegemonic discourse against the traditional economic model? By employing a qualitative methodological approach, the study explores the crucial function of civil society in the European green transition, exposing the most important agents and how these agents facilitate the formation of a new climate hegemony.</w:t>
      </w:r>
    </w:p>
    <w:p>
      <w:pPr/>
      <w:r>
        <w:rPr>
          <w:b/>
        </w:rPr>
        <w:t>POSSIBLE 2023:</w:t>
      </w:r>
      <w:r>
        <w:t xml:space="preserve"> Modelling phosphorus dynamics in four European long-term experiments — https://doi.org/10.1016/j.agsy.2022.103595</w:t>
      </w:r>
    </w:p>
    <w:p>
      <w:pPr/>
      <w:r>
        <w:rPr>
          <w:b/>
        </w:rPr>
        <w:t>Shared claim-specific concepts:</w:t>
      </w:r>
      <w:r>
        <w:t xml:space="preserve"> long-term, practices; EU scope visible. This is a provisional connection, not an outcome finding.</w:t>
      </w:r>
    </w:p>
    <w:p>
      <w:pPr>
        <w:pStyle w:val="SourceNote"/>
      </w:pPr>
      <w:r>
        <w:rPr>
          <w:b/>
        </w:rPr>
        <w:t>Available abstract (not full text):</w:t>
      </w:r>
      <w:r>
        <w:t xml:space="preserve">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pPr/>
      <w:r>
        <w:rPr>
          <w:b/>
        </w:rPr>
        <w:t>POSSIBLE 2023:</w:t>
      </w:r>
      <w:r>
        <w:t xml:space="preserve"> Albanian Civil Code 1929 as Part of the European Family of Civil Law — https://doi.org/10.33327/ajee-18-6.3-a000307</w:t>
      </w:r>
    </w:p>
    <w:p>
      <w:pPr/>
      <w:r>
        <w:rPr>
          <w:b/>
        </w:rPr>
        <w:t>Shared claim-specific concepts:</w:t>
      </w:r>
      <w:r>
        <w:t xml:space="preserve"> civil, because, they, provisions; EU scope visible. This is a provisional connection, not an outcome finding.</w:t>
      </w:r>
    </w:p>
    <w:p>
      <w:pPr>
        <w:pStyle w:val="SourceNote"/>
      </w:pPr>
      <w:r>
        <w:rPr>
          <w:b/>
        </w:rPr>
        <w:t>Available abstract (not full text):</w:t>
      </w:r>
      <w:r>
        <w:t xml:space="preserve"> Background: The Civil Code would dictate the affiliation of Albanian civil law to the Romano- Germanic family, finally separating it from Ottoman law. This Code, to this day, preserves its contemporary character, individuality, and integrity, not only because it is based on the idea of protecting basic human rights and freedoms, as well as the democratic model of society that inspired it, which always remain valid, but also that it continues as a working tool for specialists in this field. Undoubtedly, foreign rights, especially French, Italian, and to some extent, German and Swiss, would inspire the Albanian legislator to sanction in its provisions the equality of all citizens, the emancipation of land ownership, and the freedom to engage in economic activities. Methods: The methodology used during the drafting of this paper is mainly based on Albanian and foreign doctrinal views, focusing in particular on the Italian and European doctrines, due to this doctrine and this legislation being referred to by our legislator at the time of drafting the Civil Code. Also, among the methods used in this paper are the analysis and comparative methods.Results and Conclusions: The acceptance of foreign law in the Civil Code of Zog, more than “a matter of quality”, was a “matter of power”, because foreign rights, especially French and Italian, which found their sanction in this Code, they w</w:t>
      </w:r>
    </w:p>
    <w:p>
      <w:pPr/>
      <w:r>
        <w:rPr>
          <w:b/>
        </w:rPr>
        <w:t>POSSIBLE 2023:</w:t>
      </w:r>
      <w:r>
        <w:t xml:space="preserve"> European Academic Spin-Offs: Exploring the Barriers to Long-Term Success — https://doi.org/10.34190/ecie.18.2.1768</w:t>
      </w:r>
    </w:p>
    <w:p>
      <w:pPr/>
      <w:r>
        <w:rPr>
          <w:b/>
        </w:rPr>
        <w:t>Shared claim-specific concepts:</w:t>
      </w:r>
      <w:r>
        <w:t xml:space="preserve"> long-term, other; EU scope visible. This is a provisional connection, not an outcome finding.</w:t>
      </w:r>
    </w:p>
    <w:p>
      <w:pPr>
        <w:pStyle w:val="SourceNote"/>
      </w:pPr>
      <w:r>
        <w:rPr>
          <w:b/>
        </w:rPr>
        <w:t>Available abstract (not full text):</w:t>
      </w:r>
      <w:r>
        <w:t xml:space="preserve"> An academic spin-off (ASO) is an enterprise that is founded by researchers or students associated with a university or research institution. ASOs typically commercialize new technologies, products, or services that are based on results of academic research. However, ASOs often face barriers to long-term success. These barriers severely limit the economic and social impact of the research and innovation from ASOs, as well as discourage future researchers from starting their own ASOs. Furthermore, barriers can vary depending on the region and the industry and increase the complexity of this issue. So far very little research has been done to examine the barriers to ASOs in general or in specific industries and regions. Thus, the research question emerges as to what the general barriers to long-term success for ASOs in Europe are. To increase the understanding of the spin-off creation process, we conduct a systematic literature review of existing literature about ASOs and their barriers in general. Previous approaches already classify barriers into micro, meso, and macro levels. Other models exist that examine the spinning-off process with respect to a temporal level. In order to combine both dimensions, the frameworks mentioned above were merged in the first step and expanded with current research in the second step with a particular focus on barriers to long term success. Barrie</w:t>
      </w:r>
    </w:p>
    <w:p>
      <w:pPr/>
      <w:r>
        <w:rPr>
          <w:b/>
        </w:rPr>
        <w:t>POSSIBLE 2023:</w:t>
      </w:r>
      <w:r>
        <w:t xml:space="preserve"> Augmenting Language Models with Long-Term Memory — https://doi.org/10.52202/075280-3259</w:t>
      </w:r>
    </w:p>
    <w:p>
      <w:pPr/>
      <w:r>
        <w:rPr>
          <w:b/>
        </w:rPr>
        <w:t>Shared claim-specific concepts:</w:t>
      </w:r>
      <w:r>
        <w:t xml:space="preserve"> long-term, design; EU scope not established. This is a provisional connection, not an outcome finding.</w:t>
      </w:r>
    </w:p>
    <w:p>
      <w:pPr>
        <w:pStyle w:val="SourceNote"/>
      </w:pPr>
      <w:r>
        <w:rPr>
          <w:b/>
        </w:rPr>
        <w:t>Available abstract (not full text):</w:t>
      </w:r>
      <w:r>
        <w:t xml:space="preserve"> Existing large language models (LLMs) can only afford fix-sized inputs due to the input length limit, preventing them from utilizing rich long-context information from past inputs. To address this, we propose a framework, Language Models Augmented with Long-Term Memory (LongMem), which enables LLMs to memorize long history. We design a novel decoupled network architecture with the original backbone LLM frozen as a memory encoder and an adaptive residual side-network as a memory retriever and reader. Such a decoupled memory design can easily cache and update long-term past contexts for memory retrieval without suffering from memory staleness. Enhanced with memory-augmented adaptation training, LongMem can thus memorize long past context and use long-term memory for language modeling. The proposed memory retrieval module can handle unlimited-length context in its memory bank to benefit various downstream tasks. Typically, LongMem can enlarge the long-form memory to 65k tokens and thus cache many-shot extra demonstration examples as long-form memory for in-context learning. Experiments show that our method outperforms strong long-context models on ChapterBreak, a challenging long-context modeling benchmark, and achieves remarkable improvements on memory-augmented in-context learning over LLMs. The results demonstrate that the proposed method is effective in helping language models</w:t>
      </w:r>
    </w:p>
    <w:p>
      <w:pPr/>
      <w:r>
        <w:rPr>
          <w:b/>
        </w:rPr>
        <w:t>POSSIBLE 2023:</w:t>
      </w:r>
      <w:r>
        <w:t xml:space="preserve"> New pricing models for generic medicines to ensure long-term sustainable competition in Europe — https://doi.org/10.3389/fphar.2023.1200641</w:t>
      </w:r>
    </w:p>
    <w:p>
      <w:pPr/>
      <w:r>
        <w:rPr>
          <w:b/>
        </w:rPr>
        <w:t>Shared claim-specific concepts:</w:t>
      </w:r>
      <w:r>
        <w:t xml:space="preserve"> long-term, other; EU scope visible. This is a provisional connection, not an outcome finding.</w:t>
      </w:r>
    </w:p>
    <w:p>
      <w:pPr>
        <w:pStyle w:val="SourceNote"/>
      </w:pPr>
      <w:r>
        <w:rPr>
          <w:b/>
        </w:rPr>
        <w:t>Available abstract (not full text):</w:t>
      </w:r>
      <w:r>
        <w:t xml:space="preserve"> Background: Price erosion of generic medicines over time as a result of existing pricing policies in combination with increasing operational costs of these products due to high inflation, undermine long-term sustainable competition in European off-patent medicines markets. Therefore, the aim of this study is to identify new potential pricing models for retail generic medicines in Europe, examine their pros and cons, and illustrate them with examples inside or outside the pharmaceutical sector. Methods: A targeted literature review, one-to-one interviews and a joint advisory board meeting with experts from five European countries were carried out to assess potential pricing models for generic medicines. Results: We identified ten pricing models that can be applied to generic medicines. The tiered pricing model is viewed as a sustainable solution ensuring competitiveness, but requires market monitoring using a supportive IT infrastructure. De-linking the price of generic medicines from that of the off-patent originator medicine prevents the originator from forcing generic medicines’ prices to unsustainable levels. Higher costs due to inflation can be compensated in the automatic indexation model. Other pricing models that have less implementation potential include the one-in-one/multiple-out model, tax credits, value-based pricing, volume for savings and guaranteed margin/fee mod</w:t>
      </w:r>
    </w:p>
    <w:p>
      <w:pPr>
        <w:pStyle w:val="Heading2"/>
      </w:pPr>
      <w:r>
        <w:t>1027. Potential implications of future climate and land‐cover changes for the fate and distribution of persistent organic pollutants in Europe</w:t>
      </w:r>
    </w:p>
    <w:p>
      <w:pPr>
        <w:pStyle w:val="SourceNote"/>
      </w:pPr>
      <w:r>
        <w:rPr>
          <w:b/>
        </w:rPr>
        <w:t>Original source (2011):</w:t>
      </w:r>
      <w:r>
        <w:t xml:space="preserve"> https://doi.org/10.1111/j.1466-8238.2010.00547.x</w:t>
      </w:r>
    </w:p>
    <w:p>
      <w:pPr/>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POSSIBLE 2026:</w:t>
      </w:r>
      <w:r>
        <w:t xml:space="preserve"> European land use and land cover futures: a global computable general equilibrium assessment with sub-national detail and a climate application — https://doi.org/10.48565/bonndoc-923</w:t>
      </w:r>
    </w:p>
    <w:p>
      <w:pPr/>
      <w:r>
        <w:rPr>
          <w:b/>
        </w:rPr>
        <w:t>Shared claim-specific concepts:</w:t>
      </w:r>
      <w:r>
        <w:t xml:space="preserve"> climate, land, cover, used, environmental, main; EU scope visible. This is a provisional connection, not an outcome finding.</w:t>
      </w:r>
    </w:p>
    <w:p>
      <w:pPr>
        <w:pStyle w:val="SourceNote"/>
      </w:pPr>
      <w:r>
        <w:rPr>
          <w:b/>
        </w:rPr>
        <w:t>Available abstract (not full text):</w:t>
      </w:r>
      <w:r>
        <w:t xml:space="preserve">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pPr/>
      <w:r>
        <w:rPr>
          <w:b/>
        </w:rPr>
        <w:t>POSSIBLE 2026:</w:t>
      </w:r>
      <w:r>
        <w:t xml:space="preserve"> Climate Change Threatens Micronutrient Density of European Winter Wheat (Adv. Sci. 42/2026) — https://doi.org/10.1002/advs.76543</w:t>
      </w:r>
    </w:p>
    <w:p>
      <w:pPr/>
      <w:r>
        <w:rPr>
          <w:b/>
        </w:rPr>
        <w:t>Shared claim-specific concepts:</w:t>
      </w:r>
      <w:r>
        <w:t xml:space="preserve"> climate, cover, precipitation, temperature; EU scope visible. This is a provisional connection, not an outcome finding.</w:t>
      </w:r>
    </w:p>
    <w:p>
      <w:pPr>
        <w:pStyle w:val="SourceNote"/>
      </w:pPr>
      <w:r>
        <w:rPr>
          <w:b/>
        </w:rPr>
        <w:t>Available abstract (not full text):</w:t>
      </w:r>
      <w:r>
        <w:t xml:space="preserve"> Climate Change Threatens Micronutrient Density of European Winter Wheat Wheat is one of the world's major staple crops and an important dietary source of minerals and B vitamins. The cover illustrates how projected future climate scenarios, including atmospheric CO2, temperature, and precipitation, progressively diminish micronutrient density in wheat grains, highlighting a potential future challenge for global food security and public health. Cover concept by Da Cao and Dominique Van Der Straeten. More details can be found in the Research Article by Dominique Van Der Straeten and co-workers (DOI: 10.1002/advs.202513322).</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climate, land, environmental;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Europe’s extreme temperatures and rainfall in finer detail: strengths and limits of climate model downscaling — https://doi.org/10.1038/s41612-026-01504-7</w:t>
      </w:r>
    </w:p>
    <w:p>
      <w:pPr/>
      <w:r>
        <w:rPr>
          <w:b/>
        </w:rPr>
        <w:t>Shared claim-specific concepts:</w:t>
      </w:r>
      <w:r>
        <w:t xml:space="preserve"> climate, precipitation, temperature, used; EU scope visible. This is a provisional connection, not an outcome finding.</w:t>
      </w:r>
    </w:p>
    <w:p>
      <w:pPr>
        <w:pStyle w:val="SourceNote"/>
      </w:pPr>
      <w:r>
        <w:rPr>
          <w:b/>
        </w:rPr>
        <w:t>Available abstract (not full text):</w:t>
      </w:r>
      <w:r>
        <w:t xml:space="preserve"> Abstract Climate extremes in Europe are becoming increasingly frequent and severe, heightening the need for reliable regional climate information to support preparedness and adaptation. Downscaled climate model (DCM) products are widely used for this purpose. Yet, their accuracy relative to global climate models (GCMs) and observations remains uncertain, particularly for extremes. We evaluated DCM ensembles (EURO-CORDEX, NEX-GDDP-CMIP6, GDPCIR) against GCMs (CMIP5, CMIP6) and reanalysis datasets (ERA5, GMFD), using gridded observational data (E-OBS) as reference. Model accuracy was assessed for mean and extreme temperature and precipitation across Europe using complementary metrics that quantify distributional accuracy, pointwise agreement, and bias magnitude and direction. The results show that downscaling can add details to and increase the accuracy of modeled climate variables in Europe. Statistically downscaled and bias-corrected products NEX-GDDP-CMIP6 and GDPCIR generally outperform their driving GCM for mean and extreme temperature, and for mean precipitation, whereas gains for extreme precipitation are limited. Compared to E-OBS, the dynamically downscaled ensemble EURO-CORDEX exhibits some strong regional biases, notably for temperature. No single dataset performs best in all regions. Across datasets, accuracy is reduced in areas with complex terrain (mountains and coa</w:t>
      </w:r>
    </w:p>
    <w:p>
      <w:pPr/>
      <w:r>
        <w:rPr>
          <w:b/>
        </w:rPr>
        <w:t>POSSIBLE 2025:</w:t>
      </w:r>
      <w:r>
        <w:t xml:space="preserve"> Impact of the online climate-chemistry in regional climate simulations in meteorological variables over Europe — https://doi.org/10.5194/ems2025-270</w:t>
      </w:r>
    </w:p>
    <w:p>
      <w:pPr/>
      <w:r>
        <w:rPr>
          <w:b/>
        </w:rPr>
        <w:t>Shared claim-specific concepts:</w:t>
      </w:r>
      <w:r>
        <w:t xml:space="preserve"> climate, land, cover, precipitation, temperature, chemical; EU scope visible. This is a provisional connection, not an outcome finding.</w:t>
      </w:r>
    </w:p>
    <w:p>
      <w:pPr>
        <w:pStyle w:val="SourceNote"/>
      </w:pPr>
      <w:r>
        <w:rPr>
          <w:b/>
        </w:rPr>
        <w:t>Available abstract (not full text):</w:t>
      </w:r>
      <w:r>
        <w:t xml:space="preserve"> Work Package 4 of the FOCI project (“Non-CO2 Forcers and their Climate, Weather, Air Quality and Health Impacts”; https://www.project-foci.eu/wp/) is tasked with tuning, testing, and conducting long-term simulations to validate various regional models in downscaling of reanalysis and global climate models for historical period. The long-term simulations are performed by RegCM5-Chem and WRF-Chem, both of which are coupled with chemistry over the European domain. A notable aspect of this work is the use of RegCM5-Chem for long-term simulations, which is a novel approach within the community. Besides that, the land cover is dynamic, derived from the Land Use and Climate Across Scales flagship pilot study of the EURO-CORDEX initiative. The initial and boundary conditions for the atmospheric variables and chemical composition were created from the European Centre for Medium-Range Weather Forecasts (ECMWF) reanalysis version 5 (ERA5) and Atmospheric Composition Reanalysis 4 (EAC4) datasets. Emissions of atmospheric pollutants and greenhouse gases are obtained from the Copernicus Atmosphere Monitoring Service (CAMS) high-resolution European emission inventory for air quality modeling. E-OBS is utilized for validating the outputs. Sensitivity tests have shown that coupled chemistry impacts surface meteorological variables, such as temperature and shortwave radiation. In this study, we </w:t>
      </w:r>
    </w:p>
    <w:p>
      <w:pPr/>
      <w:r>
        <w:rPr>
          <w:b/>
        </w:rPr>
        <w:t>POSSIBLE 2025:</w:t>
      </w:r>
      <w:r>
        <w:t xml:space="preserve"> GCAM Europe 7.2.0: Enhancing Policy Relevant Climate Modelling Through Spatial and Sectoral Detail — https://doi.org/10.5281/zenodo.17493381</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Abstract:GCAM-Europe is an enhanced version of the Global Change Analysis Model (GCAM) that provides detailed, country-level modelling of Europe’s energy, economic, land use, and climate systems. Unlike the core GCAM model, which aggregates Europe into five regions, GCAM-Europe disaggregates all European countries to support more precise analysis of national climate and energy policies. It incorporates high-quality, country-specific data from Eurostat and other sources to improve accuracy, especially in the residential and electricity sectors. The model introduces several innovations, including detailed representations of electricity grid regions aligned with ENTSO-E’s TYNDP scenarios, a refined trade structure for the European Economic Area, and the integration of consumer heterogeneity based on real-world survey data. Also, the model maintains the integration of energy, land, water and climate systems as in the global version, but without a higher resolution of land regions. These features enable realistic simulations of cross-border electricity flows, energy and climate policy impacts, and distributional effects of policy measures. By significantly improving spatial, sectoral, and socio-economic detail, GCAM-Europe offers a powerful tool for assessing climate mitigation strategies across Europe. It enables policymakers and researchers to explore scenarios for efficient decar</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climate, land, temperature;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Mapping winter climate zoning variations in Europe under climate change scenarios — https://doi.org/10.1088/1742-6596/3140/2/022018</w:t>
      </w:r>
    </w:p>
    <w:p>
      <w:pPr/>
      <w:r>
        <w:rPr>
          <w:b/>
        </w:rPr>
        <w:t>Shared claim-specific concepts:</w:t>
      </w:r>
      <w:r>
        <w:t xml:space="preserve"> climate, temperature, understand; EU scope visible. This is a provisional connection, not an outcome finding.</w:t>
      </w:r>
    </w:p>
    <w:p>
      <w:pPr>
        <w:pStyle w:val="SourceNote"/>
      </w:pPr>
      <w:r>
        <w:rPr>
          <w:b/>
        </w:rPr>
        <w:t>Available abstract (not full text):</w:t>
      </w:r>
      <w:r>
        <w:t xml:space="preserve"> Abstract The attribution of a specific climate zone to a Municipality or a Local Administrative Unit (LAU) level in the European Member States is fundamental to support the definition of EPBD correlated decisions, e.g. activation periods of heating systems or minimal U-values. Climate change also impacts this specific attribute, requiring progressively upgrading this indicator. The paper computes local climate zones, adopting the Italian regulation approach, based on daily heating degree days with a base temperature set to 20°C. Zoning is applied to the whole European territory with a detail of about 10km, i.e. 0.1° in both latitude and longitude. This high precision allows to understand climate change variations better. The calculation is supported by integrating, inside our new dynamic simulation platform PREDYCE, this Key Performance Indicator (KPI) and by computing it via our server facility. Different climate databases are managed: ERA5-land re-analysis (1950–2023) database and four EUROCORDEX couples of global-regional climate models (historical 1970–2005, and future projections 2010–2100). A series of maps showing the progressive variations of the local climate zone, from A (less than 600 HDD) to F (more than 3000 HDD), is produced. The study shows substantial variations in climate zoning, with a growing progressive impact from Southern European regions to Northern Europ</w:t>
      </w:r>
    </w:p>
    <w:p>
      <w:pPr/>
      <w:r>
        <w:rPr>
          <w:b/>
        </w:rPr>
        <w:t>POSSIBLE 2025:</w:t>
      </w:r>
      <w:r>
        <w:t xml:space="preserve"> Land Use Interacts With Climate to Influence Microbial Diversity‐To‐Biomass Ratios Across Europe via Soil Organic Carbon and Nitrogen — https://doi.org/10.1111/mec.17806</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Ecosystem functioning is potentially dependent on the relationships between soil microbial diversity and biomass. Yet, it remains unclear how land use and climate influence these relationships. Here, we (i) analysed relationships and ratios between richness and biomass of bacteria and fungi in ~500 soils across Europe, including three land-use types (woodlands, grasslands and croplands) and climates (cold, temperate and arid) and (ii) identified the driving factors of changes in richness:biomass (R:B) ratios. Richness and biomass of soil bacteria and fungi followed a unimodal pattern, with a peak in mid-levels of biomass. This pattern was more evident in bacteria and more clearly exerted by land use than by climate. Bacterial R:B ratios decreased with land use in the following order: croplands &gt; woodlands &gt; grasslands. Fungal R:B ratios decreased as follows: grasslands &gt; croplands &gt; woodlands. Climate was found to interact with land use. In this way, arid climate tended to increase bacterial R:B ratios in the different land uses; however, the agricultural practices associated with croplands seem to buffer this effect. In fungi, the interactive effect of land use and climate was less straightforward than for bacteria. According to our models, soil organic carbon (SOC) and total nitrogen (N) in bacteria and SOC in fungi were identified as the primary predictors of R:B ratios. The</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precipitation;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2024:</w:t>
      </w:r>
      <w:r>
        <w:t xml:space="preserve"> Twenty Years of Land Accounts in Europe — https://doi.org/10.3390/land13091350</w:t>
      </w:r>
    </w:p>
    <w:p>
      <w:pPr/>
      <w:r>
        <w:rPr>
          <w:b/>
        </w:rPr>
        <w:t>Shared claim-specific concepts:</w:t>
      </w:r>
      <w:r>
        <w:t xml:space="preserve"> climate, land, cover, over, period, main;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land, precipitation, temperature, over;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pStyle w:val="Heading2"/>
      </w:pPr>
      <w:r>
        <w:t>1028. Regulating the Use of Bisphenol A in Baby and Children's Products in the European Union: Current Developments and Scenarios for the Regulatory Future</w:t>
      </w:r>
    </w:p>
    <w:p>
      <w:pPr>
        <w:pStyle w:val="SourceNote"/>
      </w:pPr>
      <w:r>
        <w:rPr>
          <w:b/>
        </w:rPr>
        <w:t>Original source (2011):</w:t>
      </w:r>
      <w:r>
        <w:t xml:space="preserve"> https://doi.org/10.1017/s1867299x00000593</w:t>
      </w:r>
    </w:p>
    <w:p>
      <w:pPr/>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POSSIBLE 2026:</w:t>
      </w:r>
      <w:r>
        <w:t xml:space="preserve"> Legal regulatory frameworks of radon spas in central Europe — https://doi.org/10.1007/s00411-026-01203-0</w:t>
      </w:r>
    </w:p>
    <w:p>
      <w:pPr/>
      <w:r>
        <w:rPr>
          <w:b/>
        </w:rPr>
        <w:t>Shared claim-specific concepts:</w:t>
      </w:r>
      <w:r>
        <w:t xml:space="preserve"> regulatory, exposure, yet; EU scope visible. This is a provisional connection, not an outcome finding.</w:t>
      </w:r>
    </w:p>
    <w:p>
      <w:pPr>
        <w:pStyle w:val="SourceNote"/>
      </w:pPr>
      <w:r>
        <w:rPr>
          <w:b/>
        </w:rPr>
        <w:t>Available abstract (not full text):</w:t>
      </w:r>
      <w:r>
        <w:t xml:space="preserve">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pPr/>
      <w:r>
        <w:rPr>
          <w:b/>
        </w:rPr>
        <w:t>POSSIBLE 2026:</w:t>
      </w:r>
      <w:r>
        <w:t xml:space="preserve"> Regional Varieties of Regulatory Capitalism and Predatory Lending — https://doi.org/10.1017/s0003975626100393</w:t>
      </w:r>
    </w:p>
    <w:p>
      <w:pPr/>
      <w:r>
        <w:rPr>
          <w:b/>
        </w:rPr>
        <w:t>Shared claim-specific concepts:</w:t>
      </w:r>
      <w:r>
        <w:t xml:space="preserve"> regulatory, not, use; EU scope visible. This is a provisional connection, not an outcome finding.</w:t>
      </w:r>
    </w:p>
    <w:p>
      <w:pPr>
        <w:pStyle w:val="SourceNote"/>
      </w:pPr>
      <w:r>
        <w:rPr>
          <w:b/>
        </w:rPr>
        <w:t>Available abstract (not full text):</w:t>
      </w:r>
      <w:r>
        <w:t xml:space="preserve">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pPr/>
      <w:r>
        <w:rPr>
          <w:b/>
        </w:rPr>
        <w:t>POSSIBLE 2026:</w:t>
      </w:r>
      <w:r>
        <w:t xml:space="preserve"> Alternaria toxins in tomato products: from analytical advances to risk assessment and regulatory needs — https://doi.org/10.1016/j.crfs.2026.101483</w:t>
      </w:r>
    </w:p>
    <w:p>
      <w:pPr/>
      <w:r>
        <w:rPr>
          <w:b/>
        </w:rPr>
        <w:t>Shared claim-specific concepts:</w:t>
      </w:r>
      <w:r>
        <w:t xml:space="preserve"> apart, regulatory, levels, currently; EU scope visible. This is a provisional connection, not an outcome finding.</w:t>
      </w:r>
    </w:p>
    <w:p>
      <w:pPr>
        <w:pStyle w:val="SourceNote"/>
      </w:pPr>
      <w:r>
        <w:rPr>
          <w:b/>
        </w:rPr>
        <w:t>Available abstract (not full text):</w:t>
      </w:r>
      <w:r>
        <w:t xml:space="preserve"> spp. contamination. Matrix properties, combined with industrial processing, can further promote toxin accumulation. Despite the growing scientific interest in these fungal metabolites, an integrated assessment on tomato products is lacking. In this context, this review systematically examines twenty liquid chromatography-mass spectrometry studies published between 2011 and 2025, covering a range of tomato-based matrices. Data extraction focused on analytical performance, sample preparation, validation parameters, matrix effects and occurrence levels. Across processed matrices, tenuazonic acid (TeA) is the most prevalent toxin, with substantial enrichment in concentrated products, whereas alternariol (AOH) and alternariol monomethyl ether (AME) frequently co-occur and, in several instances, exceed the indicative levels currently set in the European Union (EU). Occurrence data were integrated with international and national consumption datasets to support risk assessment. The analysis indicates that exposures to TeA and tentoxin (TEN) generally remain below the Thresholds of Toxicological Concern (TTCs), whereas estimated intakes of AOH and AME frequently exceed the TTC, particularly among sensitive subgroups. Finally, this review examines the global regulatory framework, indicating that, apart from the EU recommendation, no formal maximum levels for ATs currently exist worldwide</w:t>
      </w:r>
    </w:p>
    <w:p>
      <w:pPr/>
      <w:r>
        <w:rPr>
          <w:b/>
        </w:rPr>
        <w:t>POSSIBLE 2026:</w:t>
      </w:r>
      <w:r>
        <w:t xml:space="preserve"> Pharmacokinetics, subject satisfaction, and tolerability of a novel oral iron formulation based on naturally occurring microalgae Spirulina platensis — https://doi.org/10.64898/2026.09.15.26363044</w:t>
      </w:r>
    </w:p>
    <w:p>
      <w:pPr/>
      <w:r>
        <w:rPr>
          <w:b/>
        </w:rPr>
        <w:t>Shared claim-specific concepts:</w:t>
      </w:r>
      <w:r>
        <w:t xml:space="preserve"> exposure, not, subject, any, use, level; EU scope not established. This is a provisional connection, not an outcome finding.</w:t>
      </w:r>
    </w:p>
    <w:p>
      <w:pPr>
        <w:pStyle w:val="SourceNote"/>
      </w:pPr>
      <w:r>
        <w:rPr>
          <w:b/>
        </w:rPr>
        <w:t>Available abstract (not full text):</w:t>
      </w:r>
      <w:r>
        <w:t xml:space="preserve"> Abstract Introduction Study to evaluate the pharmacokinetics (PK), subject satisfaction, and gastrointestinal (GI) tolerability of single and multiple doses of a novel oral iron formulation based on iron enriched microalgae Spirulina platensis supplemented with inactivated yeast. Methods Twelve healthy women with baseline serum iron 4–12 µmol/L (22.3–67.0 µg/dL) were admitted to the study site for 3 days in this single centre, multiple-dose, open-label study. Subjects received an oral dose of Monurelle ® Ferro Naturale (MFN) on Days 1, 2, and 3. Blood for PK analysis was collected pre-dose (0) and at 1, 2, 3, 4, 5, 8 hours after dosing on Days 1 and 3, with assessment of subject satisfaction and GI tolerability performed 3 hours after each dose. Results Both single and multiple dosing with MFN led to a defined peak level (C max ) and increased systemic exposure (AUC 0-t ), with serum iron rising to almost double the circulating amount at 5 h post-dose (t max ). Mean (±SD) percent change from baseline at 5 h post-dose was 94.7% (±56.1) on Day 1 and 72.0% (±70.7) on Day 3. The majority of subjects reported being satisfied with the product and would use it again in the future. MFN was very well tolerated, with only one adverse event (AE) reported (episode of vomiting after the first dose, that lasted for one minute and did not recur after the two further doses of MFN). No other su</w:t>
      </w:r>
    </w:p>
    <w:p>
      <w:pPr/>
      <w:r>
        <w:rPr>
          <w:b/>
        </w:rPr>
        <w:t>POSSIBLE 2025:</w:t>
      </w:r>
      <w:r>
        <w:t xml:space="preserve"> Gloves Standards and Occupational Exposure to Antineoplastic Drugs in the European Context — https://doi.org/10.1002/hsr2.70592</w:t>
      </w:r>
    </w:p>
    <w:p>
      <w:pPr/>
      <w:r>
        <w:rPr>
          <w:b/>
        </w:rPr>
        <w:t>Shared claim-specific concepts:</w:t>
      </w:r>
      <w:r>
        <w:t xml:space="preserve"> regulatory, exposure, not, any, use; EU scope visible. This is a provisional connection, not an outcome finding.</w:t>
      </w:r>
    </w:p>
    <w:p>
      <w:pPr>
        <w:pStyle w:val="SourceNote"/>
      </w:pPr>
      <w:r>
        <w:rPr>
          <w:b/>
        </w:rPr>
        <w:t>Available abstract (not full text):</w:t>
      </w:r>
      <w:r>
        <w:t xml:space="preserve">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pPr/>
      <w:r>
        <w:rPr>
          <w:b/>
        </w:rPr>
        <w:t>POSSIBLE 2025:</w:t>
      </w:r>
      <w:r>
        <w:t xml:space="preserve"> Safety, tolerability, pharmacokinetics and pharmacodynamic effects of desmoglein 3 peptide-coupled tolerizing nanoparticles in pemphigus — https://doi.org/10.1093/bjd/ljaf311</w:t>
      </w:r>
    </w:p>
    <w:p>
      <w:pPr/>
      <w:r>
        <w:rPr>
          <w:b/>
        </w:rPr>
        <w:t>Shared claim-specific concepts:</w:t>
      </w:r>
      <w:r>
        <w:t xml:space="preserve"> apart, regulatory, levels, not, any, level; EU scope not established. This is a provisional connection, not an outcome finding.</w:t>
      </w:r>
    </w:p>
    <w:p>
      <w:pPr>
        <w:pStyle w:val="SourceNote"/>
      </w:pPr>
      <w:r>
        <w:rPr>
          <w:b/>
        </w:rPr>
        <w:t>Available abstract (not full text):</w:t>
      </w:r>
      <w:r>
        <w:t xml:space="preserve"> BACKGROUND: Pemphigus vulgaris (PV) is a CD4+ T-cell-dependent autoantibody-mediated blistering disease associated with human leucocyte antigen (HLA) class II molecules. IgG autoantibodies against the primary autoantigen desmoglein 3 (Dsg3), a desmosomal adhesion protein on epidermal keratinocytes, cause loss of epidermal cell adhesion. OBJECTIVES: To assess the clinical applicability of an innovative nanoparticle platform for the induction of immune tolerance exploiting the natural tolerance potential of liver sinusoidal endothelial cells. An open-label first-in-human study was conducted with TPM203, a mixture of four nanoparticle-coupled immunodominant Dsg3 T-cell peptides. METHODS: The efficacy and mechanism of action of TPM203 were first tested in a humanized HLA-DRB1*0402-transgenic PV mouse model. In the clinical phase I trial, TPM203 was administered intravenously in patients with PV with no-to-moderate disease activity in single ascending and multiple doses (three doses of TPM203 two weeks apart). Primary endpoints included safety and tolerability. As a secondary endpoint, pharmacokinetics were assessed. Exploratory endpoints comprised changes in Dsg3-specific and bulk T- and B-cell frequencies, anti-Dsg3 IgG levels and autoantibody-induced keratinocyte dissociation. The trial was registered with EudraCT (2019-001727-12). RESULTS: In the PV mouse model, two administrati</w:t>
      </w:r>
    </w:p>
    <w:p>
      <w:pPr/>
      <w:r>
        <w:rPr>
          <w:b/>
        </w:rPr>
        <w:t>POSSIBLE 2025:</w:t>
      </w:r>
      <w:r>
        <w:t xml:space="preserve"> Naturally occurring radioactive materials (NORM) in energy production sectors: exposure, effective doses and regulatory challenges — https://doi.org/10.1016/j.envint.2025.109958</w:t>
      </w:r>
    </w:p>
    <w:p>
      <w:pPr/>
      <w:r>
        <w:rPr>
          <w:b/>
        </w:rPr>
        <w:t>Shared claim-specific concepts:</w:t>
      </w:r>
      <w:r>
        <w:t xml:space="preserve"> regulatory, exposure, however; EU scope visible. This is a provisional connection, not an outcome finding.</w:t>
      </w:r>
    </w:p>
    <w:p>
      <w:pPr>
        <w:pStyle w:val="SourceNote"/>
      </w:pPr>
      <w:r>
        <w:rPr>
          <w:b/>
        </w:rPr>
        <w:t>Available abstract (not full text):</w:t>
      </w:r>
      <w:r>
        <w:t xml:space="preserve"> The oil and gas industry, coal mining, and coal-fired power plants, as well as geothermal energy plants, have been investigated in the past with respect to various aspects of naturally occurring radioactive materials (NORM). However, existing assessments are usually highly specific and often inconclusive due to differing perspectives, and an overview of NORM issues across these energy sectors is still missing. The European data collected within the international RadoNorm project, and presented in this paper, have made it possible to identify common denominators related to the primordial source of radiation risk in these industrial sectors. Depending on the technological processes, radionuclides of natural origin (e.g., 226,228 Ra, 228 Th, 222 Rn, 210 Pb, 210 Po, from 238 U and 232 Th decay chains) were found in a range of materials, such as scales, sludges, produced water, and liquid and gaseous discharges. Both radionuclides and materials may follow different pathways, leading to radiation exposure doses in various exposure scenarios for workers, the public, and the environment. The novelty of this paper lies in the comparative qualitative and quantitative evaluation of radiation protection aspects across the entire sequence of energy generating processes, which includes the sourcing of raw materials, NORM generating processes, their fate and potential risks to humans and the </w:t>
      </w:r>
    </w:p>
    <w:p>
      <w:pPr/>
      <w:r>
        <w:rPr>
          <w:b/>
        </w:rPr>
        <w:t>POSSIBLE 2025:</w:t>
      </w:r>
      <w:r>
        <w:t xml:space="preserve"> Legal and Regulatory Compliance Challenges for Equity Token Secondary Market Operators in the European Union — https://doi.org/10.5817/2025-40800</w:t>
      </w:r>
    </w:p>
    <w:p>
      <w:pPr/>
      <w:r>
        <w:rPr>
          <w:b/>
        </w:rPr>
        <w:t>Shared claim-specific concepts:</w:t>
      </w:r>
      <w:r>
        <w:t xml:space="preserve"> regulatory, levels, not; EU scope visible. This is a provisional connection, not an outcome finding.</w:t>
      </w:r>
    </w:p>
    <w:p>
      <w:pPr>
        <w:pStyle w:val="SourceNote"/>
      </w:pPr>
      <w:r>
        <w:rPr>
          <w:b/>
        </w:rPr>
        <w:t>Available abstract (not full text):</w:t>
      </w:r>
      <w:r>
        <w:t xml:space="preserve"> As equity tokenization using blockchain-based distributed ledgers and tokens is trying to gain traction in multiple jurisdictions, the need for compliant, reliable and scalable secondary markets has become urgent. Forming a vital component of the overall venture financing value chain exchanges and other secondary market trading facilities are necessary to provide adequate levels of liquidity, investor confidence and market access to make the tokenization value proposition viable. In contrast to cryptocurrencies and utility tokens used for Initial Coin Offering (ICO) fundraising equity tokens are classified legally in the European Union broadly as financial instruments and specifically as securities invoking extensive compliance requirements not only for the issuer of the equity token and/or primary market issuance platform, but in particular for secondary market operators. The objective of this article is to identify key legal and compliance challenges impacting operation of these secondary markets and their ability to support a viable tokenization value chain. While research questions are analyzed from a European Union-level perspective, specific examples from the jurisdictions of Luxembourg, Germany, Liechtenstein, Estonia and Poland are investigated in order to identify root causes of deficiencies and potential observations and recommendations for future European development</w:t>
      </w:r>
    </w:p>
    <w:p>
      <w:pPr/>
      <w:r>
        <w:rPr>
          <w:b/>
        </w:rPr>
        <w:t>POSSIBLE 2025:</w:t>
      </w:r>
      <w:r>
        <w:t xml:space="preserve"> Assessing radiofrequency electromagnetic field exposure in multiple microenvironments across ten European countries with a focus on 5G — https://doi.org/10.1016/j.envint.2025.109540</w:t>
      </w:r>
    </w:p>
    <w:p>
      <w:pPr/>
      <w:r>
        <w:rPr>
          <w:b/>
        </w:rPr>
        <w:t>Shared claim-specific concepts:</w:t>
      </w:r>
      <w:r>
        <w:t xml:space="preserve"> exposure, limits, levels, however; EU scope visible. This is a provisional connection, not an outcome finding.</w:t>
      </w:r>
    </w:p>
    <w:p>
      <w:pPr>
        <w:pStyle w:val="SourceNote"/>
      </w:pPr>
      <w:r>
        <w:rPr>
          <w:b/>
        </w:rPr>
        <w:t>Available abstract (not full text):</w:t>
      </w:r>
      <w:r>
        <w:t xml:space="preserve"> To evaluate the implementation of 5G in Europe, we have systematically measured environmental, auto-induced downlink (DL) and uplink (UL) radiofrequency electromagnetic field (RF-EMF) exposure in more than 800 microenvironments in ten European countries. Outdoor, indoor, and public transport microenvironments were measured in two cities and three villages in each country. Exposure was measured during three mobile-phone user scenarios: flight mode (non-user), inducing maximum DL traffic (max DL) or maximum UL traffic (max UL). The mobile phone was carried in a backpack, placed 30 cm from an ExpoM-RF 4 that continuously measured 35 frequency bands (87.5 MHz–6 GHz). For each user scenario, mean exposure levels were calculated. In the non-user scenario, mean exposure levels ranged from 0.33 to 1.72 mW/m 2 per country and were lower in Switzerland, Belgium and Italy. RF-EMF levels were, on average, 80 % lower in villages compared to cities, with DL bands contributing the most in this scenario. During max DL, exposure increased mainly due to the 5G band at 3.5 GHz (mean exposure per country 2.61–11.12 mW/m 2 ). However, the time-division nature of this band prevents distinguishing between DL and UL signals with the ExpoM-RF 4. Exposure levels were the highest during max UL, particularly in the Netherlands, Italy and Belgium, with 50 % of the mean levels per country above 16 mW/m 2 . </w:t>
      </w:r>
    </w:p>
    <w:p>
      <w:pPr/>
      <w:r>
        <w:rPr>
          <w:b/>
        </w:rPr>
        <w:t>POSSIBLE 2025:</w:t>
      </w:r>
      <w:r>
        <w:t xml:space="preserve"> Nanomaterials in food packaging: An overview of regulatory frameworks and migration assessment — https://doi.org/10.1016/j.foodcont.2025.111707</w:t>
      </w:r>
    </w:p>
    <w:p>
      <w:pPr/>
      <w:r>
        <w:rPr>
          <w:b/>
        </w:rPr>
        <w:t>Shared claim-specific concepts:</w:t>
      </w:r>
      <w:r>
        <w:t xml:space="preserve"> regulatory, not, however; EU scope not established. This is a provisional connection, not an outcome finding.</w:t>
      </w:r>
    </w:p>
    <w:p>
      <w:pPr>
        <w:pStyle w:val="SourceNote"/>
      </w:pPr>
      <w:r>
        <w:rPr>
          <w:b/>
        </w:rPr>
        <w:t>Available abstract (not full text):</w:t>
      </w:r>
      <w:r>
        <w:t xml:space="preserve"> Nanotechnologies hold significant promise for supporting the design of advanced food packaging materials with tunable properties. However, this potential is limited by an important knowledge gap about the migration of nanoparticles from the packaging material into food. So far, accurately measuring specific migration remains a major challenge. Current analytical methods mainly focus on inorganic systems such as metal and metal oxide nanomaterials. In contrast, the migration of organic nanomaterials is usually assessed through broad, non-specific overall migration measurements, which do not provide key data on the transfer of the nano-objects themselves. This review critically addresses this gap by: (1) systematically examining the migration behavior of inorganic, organic, and hybrid nanomaterials in food packaging; (2) evaluating the strengths and limitations of current analytical techniques for their detection and measurement; and (3) analyzing regulatory frameworks. The findings of this work highlight the existing analytical techniques as insufficient for tracking the specific migration of nanoscale organic materials from food contact materials (FCM). It also emphasizes the urgent need for unified analytical methods, reliable predictive models, and adaptable regulatory oversight to connect innovation with safety in nanotechnology-based food packaging materials.</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regulatory, not, any;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Noise Exposure and Mitigation on High-Speed Craft: Assessing Acoustic Environment and Regulatory Compliance — https://doi.org/10.3390/jmse12122329</w:t>
      </w:r>
    </w:p>
    <w:p>
      <w:pPr/>
      <w:r>
        <w:rPr>
          <w:b/>
        </w:rPr>
        <w:t>Shared claim-specific concepts:</w:t>
      </w:r>
      <w:r>
        <w:t xml:space="preserve"> regulatory, exposure, levels; EU scope visible. This is a provisional connection, not an outcome finding.</w:t>
      </w:r>
    </w:p>
    <w:p>
      <w:pPr>
        <w:pStyle w:val="SourceNote"/>
      </w:pPr>
      <w:r>
        <w:rPr>
          <w:b/>
        </w:rPr>
        <w:t>Available abstract (not full text):</w:t>
      </w:r>
      <w:r>
        <w:t xml:space="preserve">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pPr>
        <w:pStyle w:val="Heading2"/>
      </w:pPr>
      <w:r>
        <w:t>1029. The Purpose and Pitfalls of Constructivist Forecasting: Insights from Strategic Culture Research for the European Union’s Evolution as a Military Power1</w:t>
      </w:r>
    </w:p>
    <w:p>
      <w:pPr>
        <w:pStyle w:val="SourceNote"/>
      </w:pPr>
      <w:r>
        <w:rPr>
          <w:b/>
        </w:rPr>
        <w:t>Original source (2011):</w:t>
      </w:r>
      <w:r>
        <w:t xml:space="preserve"> https://doi.org/10.1111/j.1468-2478.2011.00648.x</w:t>
      </w:r>
    </w:p>
    <w:p>
      <w:pPr/>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POSSIBLE 2026:</w:t>
      </w:r>
      <w:r>
        <w:t xml:space="preserve"> European strategic antinomy — https://doi.org/10.1016/j.polgeo.2026.103616</w:t>
      </w:r>
    </w:p>
    <w:p>
      <w:pPr/>
      <w:r>
        <w:rPr>
          <w:b/>
        </w:rPr>
        <w:t>Shared claim-specific concepts:</w:t>
      </w:r>
      <w:r>
        <w:t xml:space="preserve"> strategic, key, uncertainties;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De-Europeanization or Strategic Recalibration? Irish Neutrality, NATO Partnership, and Contested Security Identity in a Geopolitical Europe — https://doi.org/10.5281/zenodo.18186394</w:t>
      </w:r>
    </w:p>
    <w:p>
      <w:pPr/>
      <w:r>
        <w:rPr>
          <w:b/>
        </w:rPr>
        <w:t>Shared claim-specific concepts:</w:t>
      </w:r>
      <w:r>
        <w:t xml:space="preserve"> argues, insights, strategic, culture; EU scope visible. This is a provisional connection, not an outcome finding.</w:t>
      </w:r>
    </w:p>
    <w:p>
      <w:pPr>
        <w:pStyle w:val="SourceNote"/>
      </w:pPr>
      <w:r>
        <w:rPr>
          <w:b/>
        </w:rPr>
        <w:t>Available abstract (not full text):</w:t>
      </w:r>
      <w:r>
        <w:t xml:space="preserve">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pPr/>
      <w:r>
        <w:rPr>
          <w:b/>
        </w:rPr>
        <w:t>POSSIBLE 2026:</w:t>
      </w:r>
      <w:r>
        <w:t xml:space="preserve"> European manual on strategic culture — https://openalex.org/W7163482322</w:t>
      </w:r>
    </w:p>
    <w:p>
      <w:pPr/>
      <w:r>
        <w:rPr>
          <w:b/>
        </w:rPr>
        <w:t>Shared claim-specific concepts:</w:t>
      </w:r>
      <w:r>
        <w:t xml:space="preserve"> strategic, culture, particularly; EU scope visible. This is a provisional connection, not an outcome finding.</w:t>
      </w:r>
    </w:p>
    <w:p>
      <w:pPr>
        <w:pStyle w:val="SourceNote"/>
      </w:pPr>
      <w:r>
        <w:rPr>
          <w:b/>
        </w:rPr>
        <w:t>Available abstract (not full text):</w:t>
      </w:r>
      <w:r>
        <w:t xml:space="preserve">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pPr/>
      <w:r>
        <w:rPr>
          <w:b/>
        </w:rPr>
        <w:t>POSSIBLE 2026:</w:t>
      </w:r>
      <w:r>
        <w:t xml:space="preserve"> European Strategic Culture at a Crossroads — https://doi.org/10.4324/9781032636566</w:t>
      </w:r>
    </w:p>
    <w:p>
      <w:pPr/>
      <w:r>
        <w:rPr>
          <w:b/>
        </w:rPr>
        <w:t>Shared claim-specific concepts:</w:t>
      </w:r>
      <w:r>
        <w:t xml:space="preserve"> strategic, culture, key; EU scope visible. This is a provisional connection, not an outcome finding.</w:t>
      </w:r>
    </w:p>
    <w:p>
      <w:pPr>
        <w:pStyle w:val="SourceNote"/>
      </w:pPr>
      <w:r>
        <w:rPr>
          <w:b/>
        </w:rPr>
        <w:t>Available abstract (not full text):</w:t>
      </w:r>
      <w:r>
        <w:t xml:space="preserve">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pPr/>
      <w:r>
        <w:rPr>
          <w:b/>
        </w:rPr>
        <w:t>POSSIBLE 2026:</w:t>
      </w:r>
      <w:r>
        <w:t xml:space="preserve"> Mapping the European Negotiation Landscape: Insights from the 2025 European Negotiation Conference — https://doi.org/10.70714/x3jghe28</w:t>
      </w:r>
    </w:p>
    <w:p>
      <w:pPr/>
      <w:r>
        <w:rPr>
          <w:b/>
        </w:rPr>
        <w:t>Shared claim-specific concepts:</w:t>
      </w:r>
      <w:r>
        <w:t xml:space="preserve"> insights, strategic, internal; EU scope visible. This is a provisional connection, not an outcome finding.</w:t>
      </w:r>
    </w:p>
    <w:p>
      <w:pPr>
        <w:pStyle w:val="SourceNote"/>
      </w:pPr>
      <w:r>
        <w:rPr>
          <w:b/>
        </w:rPr>
        <w:t>Available abstract (not full text):</w:t>
      </w:r>
      <w:r>
        <w:t xml:space="preserve">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pPr/>
      <w:r>
        <w:rPr>
          <w:b/>
        </w:rPr>
        <w:t>POSSIBLE 2026:</w:t>
      </w:r>
      <w:r>
        <w:t xml:space="preserve"> Barriers to Research: Insights into the Patchwork of Research Exceptions in European Copyright Laws and Practical Perspectives from European Researchers — https://doi.org/10.5281/zenodo.20492251</w:t>
      </w:r>
    </w:p>
    <w:p>
      <w:pPr/>
      <w:r>
        <w:rPr>
          <w:b/>
        </w:rPr>
        <w:t>Shared claim-specific concepts:</w:t>
      </w:r>
      <w:r>
        <w:t xml:space="preserve"> argues, insights, particularly, assessment, key; EU scope visible. This is a provisional connection, not an outcome finding.</w:t>
      </w:r>
    </w:p>
    <w:p>
      <w:pPr>
        <w:pStyle w:val="SourceNote"/>
      </w:pPr>
      <w:r>
        <w:rPr>
          <w:b/>
        </w:rPr>
        <w:t>Available abstract (not full text):</w:t>
      </w:r>
      <w:r>
        <w:t xml:space="preserve"> About the report Scientific research depends on access to knowledge, data, and cultural resources. Researchers routinely engage with copyright-protected materials when accessing literature, sharing resources, conducting collaborative projects, or applying emerging technologies such as Artificial Intelligence (AI), Machine Learning (ML), and Text and Data Mining (TDM). While copyright law recognises the importance of research through a range of exceptions and limitations, the implementation of these provisions across Europe remains fragmented and uneven. The lack of harmonisation across the European Union creates legal uncertainty for researchers and research institutions operating in increasingly international and digital environments. Differences in national copyright frameworks can affect access to research materials, the ability to process and analyse data, cross-border collaboration, and the dissemination of research outputs. As a result, researchers often face administrative burdens and uncertainty regarding the legality of everyday research activities. This report examines these challenges through a twofold approach. First, it provides a comparative legal analysis of research-related copyright exceptions across 28 European jurisdictions (the EU Member States and the UK). To facilitate this analysis, the report introduces the Index of Research Exceptions (I-REx), a quantit</w:t>
      </w:r>
    </w:p>
    <w:p>
      <w:pPr/>
      <w:r>
        <w:rPr>
          <w:b/>
        </w:rPr>
        <w:t>POSSIBLE 2026:</w:t>
      </w:r>
      <w:r>
        <w:t xml:space="preserve"> The future of the CSDP – Is the EU on a path to strategic autonomy? — https://doi.org/10.51381/adrs.v7i1-2.904</w:t>
      </w:r>
    </w:p>
    <w:p>
      <w:pPr/>
      <w:r>
        <w:rPr>
          <w:b/>
        </w:rPr>
        <w:t>Shared claim-specific concepts:</w:t>
      </w:r>
      <w:r>
        <w:t xml:space="preserve"> argues, insights, strategic; EU scope visible. This is a provisional connection, not an outcome finding.</w:t>
      </w:r>
    </w:p>
    <w:p>
      <w:pPr>
        <w:pStyle w:val="SourceNote"/>
      </w:pPr>
      <w:r>
        <w:rPr>
          <w:b/>
        </w:rPr>
        <w:t>Available abstract (not full text):</w:t>
      </w:r>
      <w:r>
        <w:t xml:space="preserve"> The return of high-intensity war to Europe and the growing contestation of the post-Cold War order have accelerated debates on European strategic autonomy. This paper examines whether the European Union (EU) is on a credible path toward strategic autonomy through its Common Security and Defence Policy (CSDP). Building on the literature on the EU’s “capability–expectations gap” and “normative power,” and drawing on neoclassical realist and institutionalist insights, the analysis employs qualitative document analysis and process tracing focused on three enabling or constraining dimensions: (1) institutions and decision-making, (2) geostrategy and the EU’s level of ambition, and (3) economic and industrial foundations. The paper argues that since 2016 the EU has moved from incremental institutional adaptation to more integrated capability and industrial initiatives (e.g., MPCC, PESCO, the European Defence Fund, the European Peace Facility, and the post-2022 joint procurement agenda), culminating in the 2025 defence readiness framework aimed at mobilising up to €800 billion in additional defence investment by 2030. However, enduring intergovernmental decision-making, persistent dependence on NATO and the United States for high-end enablers, and fragmentation of demand and supply in Europe’s defence market continue to limit the EU’s ability to act independently in major contingencie</w:t>
      </w:r>
    </w:p>
    <w:p>
      <w:pPr/>
      <w:r>
        <w:rPr>
          <w:b/>
        </w:rPr>
        <w:t>POSSIBLE 2026:</w:t>
      </w:r>
      <w:r>
        <w:t xml:space="preserve"> EXPERT'S INSIGHTS The Changing World, Europe and Geopolitics — https://doi.org/10.37075/bjiep.2026.1.09</w:t>
      </w:r>
    </w:p>
    <w:p>
      <w:pPr/>
      <w:r>
        <w:rPr>
          <w:b/>
        </w:rPr>
        <w:t>Shared claim-specific concepts:</w:t>
      </w:r>
      <w:r>
        <w:t xml:space="preserve"> argues, insights, strategic, internal; EU scope visible. This is a provisional connection, not an outcome finding.</w:t>
      </w:r>
    </w:p>
    <w:p>
      <w:pPr>
        <w:pStyle w:val="SourceNote"/>
      </w:pPr>
      <w:r>
        <w:rPr>
          <w:b/>
        </w:rPr>
        <w:t>Available abstract (not full text):</w:t>
      </w:r>
      <w:r>
        <w:t xml:space="preserve"> The text examines the accelerating transformation of the contemporary international system in the context of the recent escalation between the United States, Israel, and Iran and argues that these developments reveal deeper structural shifts in global geopolitics. The analysis identifies four major trends shaping the emerging international order: the transition from unipolarity to multipolarity, the reconfiguration of great-power competition, the erosion of the post-1945 international order and its institutional foundations, and the growing predominance of geopolitical considerations over ideological divisions. Drawing on geopolitical and international relations perspectives, the article explores the implications of these trends for global stability, the functioning of international institutions, and the evolving balance of power among major and regional actors. Particular attention is devoted to the strategic challenges facing the European Union in an increasingly fragmented and competitive international environment. The paper assesses the strengths and vulnerabilities of the EU, including its economic power, regulatory influence, strategic dependencies, and internal political divisions. It argues that Europe’s role in the emerging world order will depend on its ability to develop strategic autonomy, strengthen technological and energy resilience, and formulate a coherent geop</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particularly, suited, material;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Crescine State of European Film : an overview of key industry trends, insights, and policy recommendations for the European Film and Audiovisual industry — https://openalex.org/W7211966877</w:t>
      </w:r>
    </w:p>
    <w:p>
      <w:pPr/>
      <w:r>
        <w:rPr>
          <w:b/>
        </w:rPr>
        <w:t>Shared claim-specific concepts:</w:t>
      </w:r>
      <w:r>
        <w:t xml:space="preserve"> insights, particularly, key; EU scope visible. This is a provisional connection, not an outcome finding.</w:t>
      </w:r>
    </w:p>
    <w:p>
      <w:pPr>
        <w:pStyle w:val="SourceNote"/>
      </w:pPr>
      <w:r>
        <w:rPr>
          <w:b/>
        </w:rPr>
        <w:t>Available abstract (not full text):</w:t>
      </w:r>
      <w:r>
        <w:t xml:space="preserve"> Three years ago, when CresCine - a Horizon Europe funded academia to industry project - commenced, the notion of arming the European film industry with deep, data-backed insights emerging from the intersection of academia and business seemed an unfathomable goal. Encounters between researchers, practitioners, and creators were scarce; engagement with decision-makers and policymakers across sectors was equally sparse with a few Admittedly, the times have changed radically within these 36 months: the value chain, particularly for independent and small-country films, has disintegrated with no long-term blueprint in place. The streaming landscape has consolidated further alongside the superstreamers and global platforms. The disparity between market leaders and independents has only widened alongside the digital - physical distribution gap,, and AI and virtual production´- once theoretical novelties - are now regular companions to EU filmmakers. Paradoxically, research and data-driven insights, once accessible only to well-resourced policy, business, and ecosystem actors, are now called for and needed more than ever. So, what has CresCine managed to achieve? Our biggest gain within these 36 months was to bridge the gap between academia and industry collaboration, taking the resulting deep knowledge directly to the stakeholders. Whether through our 10+ in-depth dossiers and policy g</w:t>
      </w:r>
    </w:p>
    <w:p>
      <w:pPr/>
      <w:r>
        <w:rPr>
          <w:b/>
        </w:rPr>
        <w:t>POSSIBLE 2026:</w:t>
      </w:r>
      <w:r>
        <w:t xml:space="preserve"> Automation and growth in the European Union: sectoral insights from robot density analysis — https://doi.org/10.3846/tede.2026.25244</w:t>
      </w:r>
    </w:p>
    <w:p>
      <w:pPr/>
      <w:r>
        <w:rPr>
          <w:b/>
        </w:rPr>
        <w:t>Shared claim-specific concepts:</w:t>
      </w:r>
      <w:r>
        <w:t xml:space="preserve"> insights, particularly, key; EU scope visible. This is a provisional connection, not an outcome finding.</w:t>
      </w:r>
    </w:p>
    <w:p>
      <w:pPr>
        <w:pStyle w:val="SourceNote"/>
      </w:pPr>
      <w:r>
        <w:rPr>
          <w:b/>
        </w:rPr>
        <w:t>Available abstract (not full text):</w:t>
      </w:r>
      <w:r>
        <w:t xml:space="preserve"> This study explores the impact of robot density on economic performance across three key sectors in selected EU countries. While prior research has discussed the benefits and drawbacks of automation, few have empirically assessed its sector-specific effects on gross value added. Using panel data from Eurostat, the International Federation of Robotics (2024), and World Robotics, the paper applies the Method of Moments Quantile Regression (MMQR) to capture heterogeneous impacts across performance levels. Core variables include gross value added, real economic growth, R&amp;D expenditure, and the number of specialists in scientific and technological fields. Results indicate that increased robot density significantly enhances value added, particularly in higher-performing sectors. The influence of R&amp;D and human capital varies across sectors, highlighting the need for targeted policy design. The paper’s novelty lies in its differentiated, cross-sectoral approach, offering robust evidence on how and where robotics contributes to value creation. It advances the literature by integrating technological adoption with sectoral economic outcomes through advanced econometric techniques. Policymakers are encouraged to support automation through fiscal incentives, invest in reskilling programs, and develop innovation strategies tailored to specific sectors to foster inclusive and sustainable grow</w:t>
      </w:r>
    </w:p>
    <w:p>
      <w:pPr/>
      <w:r>
        <w:rPr>
          <w:b/>
        </w:rPr>
        <w:t>POSSIBLE 2026:</w:t>
      </w:r>
      <w:r>
        <w:t xml:space="preserve"> The UAE- European Union Strategic and Security Partnership — https://doi.org/10.47772/ijriss.2026.100800111</w:t>
      </w:r>
    </w:p>
    <w:p>
      <w:pPr/>
      <w:r>
        <w:rPr>
          <w:b/>
        </w:rPr>
        <w:t>Shared claim-specific concepts:</w:t>
      </w:r>
      <w:r>
        <w:t xml:space="preserve"> strategic, drivers, key; EU scope visible. This is a provisional connection, not an outcome finding.</w:t>
      </w:r>
    </w:p>
    <w:p>
      <w:pPr>
        <w:pStyle w:val="SourceNote"/>
      </w:pPr>
      <w:r>
        <w:rPr>
          <w:b/>
        </w:rPr>
        <w:t>Available abstract (not full text):</w:t>
      </w:r>
      <w:r>
        <w:t xml:space="preserve"> This paper examines the evolving security partnership between the United Arab Emirates (UAE) and the European Union (EU) in the context of contemporary geopolitical challenges. It aims to analyze the implications of this partnership for regional stability, security cooperation, and economic integration. The research questions guiding this study include: What are the key drivers of UAE-EU security cooperation? How do shared interests and strategic priorities shape the partnership? What challenges and opportunities arise from this collaboration? The findings indicate that the UAE-EU partnership is characterized by a multifaceted approach that encompasses military cooperation, counterterrorism efforts, and responses to non-traditional security threats. However, the partnership also faces challenges, including divergent political priorities and human rights concerns. Overall, the study highlights the importance of a structured and integrated approach to enhance the effectiveness of the UAE-EU security partnership while addressing regional complexities. 1. What are the key drivers of UAE-EU security cooperation? 2. How do shared interests and strategic priorities shape the partnership? The findings reveal that the UAE-EU partnership is driven by mutual interests in regional stability, energy security, and counterterrorism. The collaboration has led to enhanced military cooperation, </w:t>
      </w:r>
    </w:p>
    <w:p>
      <w:pPr>
        <w:pStyle w:val="Heading2"/>
      </w:pPr>
      <w:r>
        <w:t>1030. Trends and Possible Future Developments in Global Forest-Product Markets—Implications for the Swedish Forest Sector</w:t>
      </w:r>
    </w:p>
    <w:p>
      <w:pPr>
        <w:pStyle w:val="SourceNote"/>
      </w:pPr>
      <w:r>
        <w:rPr>
          <w:b/>
        </w:rPr>
        <w:t>Original source (2011):</w:t>
      </w:r>
      <w:r>
        <w:t xml:space="preserve"> https://doi.org/10.3390/f2010147</w:t>
      </w:r>
    </w:p>
    <w:p>
      <w:pPr/>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POSSIBLE 2026:</w:t>
      </w:r>
      <w:r>
        <w:t xml:space="preserve"> Risk, Uncertainty, and Politics: The Need for a Critical Risk Science — https://doi.org/10.1007/978-3-032-29336-7_3</w:t>
      </w:r>
    </w:p>
    <w:p>
      <w:pPr/>
      <w:r>
        <w:rPr>
          <w:b/>
        </w:rPr>
        <w:t>Shared claim-specific concepts:</w:t>
      </w:r>
      <w:r>
        <w:t xml:space="preserve"> critical, particularly, climate; EU scope not established. This is a provisional connection, not an outcome finding.</w:t>
      </w:r>
    </w:p>
    <w:p>
      <w:pPr>
        <w:pStyle w:val="SourceNote"/>
      </w:pPr>
      <w:r>
        <w:rPr>
          <w:b/>
        </w:rPr>
        <w:t>Available abstract (not full text):</w:t>
      </w:r>
      <w:r>
        <w:t xml:space="preserve"> Abstract The handling of societal risks takes place at the boundaries between science and politics, and between several scientific domains. We distinguish between “research in risk science” taking place at the “core” of risk science—and “research on risk science” taking place at the marginal zone of risk science, in close communication and negotiation with other fields. Facing giga-scale and transformative challenges like climate change and the proliferation of AI, a critical risk science needs to be reflexive. In addition to solving problems formulated by others, it must also actively and critically engage with problem formulations, e.g., challenges arising when risk problems transcend the boundaries of disciplines, levels of analysis and existing governance structures. Ensuring critical dimensions of risk science to meet such challenges, requires an exploration of the intersection to other sciences, particularly the humanities and social sciences, to strengthen what has been labeled research on risk science.</w:t>
      </w:r>
    </w:p>
    <w:p>
      <w:pPr/>
      <w:r>
        <w:rPr>
          <w:b/>
        </w:rPr>
        <w:t>POSSIBLE 2025:</w:t>
      </w:r>
      <w:r>
        <w:t xml:space="preserve"> Editorial: Critical perspectives in times of uncertainty — https://doi.org/10.1108/dpm-08-2025-435</w:t>
      </w:r>
    </w:p>
    <w:p>
      <w:pPr/>
      <w:r>
        <w:rPr>
          <w:b/>
        </w:rPr>
        <w:t>Shared claim-specific concepts:</w:t>
      </w:r>
      <w:r>
        <w:t xml:space="preserve"> critical, environment, climate; EU scope not established. This is a provisional connection, not an outcome finding.</w:t>
      </w:r>
    </w:p>
    <w:p>
      <w:pPr>
        <w:pStyle w:val="SourceNote"/>
      </w:pPr>
      <w:r>
        <w:rPr>
          <w:b/>
        </w:rPr>
        <w:t>Available abstract (not full text):</w:t>
      </w:r>
      <w:r>
        <w:t xml:space="preserve">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pPr/>
      <w:r>
        <w:rPr>
          <w:b/>
        </w:rPr>
        <w:t>POSSIBLE 2025:</w:t>
      </w:r>
      <w:r>
        <w:t xml:space="preserve"> A Critical Review of the 2025 RSHE Guidance and Alternative Approach Framed in Safe Uncertainty — https://doi.org/10.1111/chso.70004</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A Critical Review of the 2025 RSHE Guidance and Alternative Approach Framed in Safe Uncertainty — https://doi.org/10.1111/chso.13012</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Uncertainty quantification for overshoots of tipping thresholds — https://doi.org/10.5194/esd-16-1153-2025</w:t>
      </w:r>
    </w:p>
    <w:p>
      <w:pPr/>
      <w:r>
        <w:rPr>
          <w:b/>
        </w:rPr>
        <w:t>Shared claim-specific concepts:</w:t>
      </w:r>
      <w:r>
        <w:t xml:space="preserve"> so-called, critical, uncertainties, current, climate; EU scope not established. This is a provisional connection, not an outcome finding.</w:t>
      </w:r>
    </w:p>
    <w:p>
      <w:pPr>
        <w:pStyle w:val="SourceNote"/>
      </w:pPr>
      <w:r>
        <w:rPr>
          <w:b/>
        </w:rPr>
        <w:t>Available abstract (not full text):</w:t>
      </w:r>
      <w:r>
        <w:t xml:space="preserve"> Abstract.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 nonlinear system beyond a critical threshold that signifies self-amplifying feedbacks inducing tipping. However, previous work has shown that it is possible to briefly overshoot a critical threshold and avoid tipping. For some cases, the peak overshoot distance and the time a system can spend beyond a threshold are governed by an inverse square law relationship Ritchie et al. (2019). In the real world or complex models, critical thresholds and other system features are highly uncertain. In this work, we look at how such uncertainties affect the probability of tipping from the perspective of uncertainty quantification. We show the importance of constraining uncertainty in the location of the critical threshold and the linear restoring rate to the system’s stable state to better constrain the location of the boundary separating overshoots that avoid tipping from those that do not. We first prototypically analyse effects of an uncertain critical threshold location separately from effect</w:t>
      </w:r>
    </w:p>
    <w:p>
      <w:pPr/>
      <w:r>
        <w:rPr>
          <w:b/>
        </w:rPr>
        <w:t>POSSIBLE 2025:</w:t>
      </w:r>
      <w:r>
        <w:t xml:space="preserve"> Artificial Intelligence-Empowered Radiology—Current Status and Critical Review — https://doi.org/10.3390/diagnostics15030282</w:t>
      </w:r>
    </w:p>
    <w:p>
      <w:pPr/>
      <w:r>
        <w:rPr>
          <w:b/>
        </w:rPr>
        <w:t>Shared claim-specific concepts:</w:t>
      </w:r>
      <w:r>
        <w:t xml:space="preserve"> critical, current, particularly; EU scope not established. This is a provisional connection, not an outcome finding.</w:t>
      </w:r>
    </w:p>
    <w:p>
      <w:pPr>
        <w:pStyle w:val="SourceNote"/>
      </w:pPr>
      <w:r>
        <w:rPr>
          <w:b/>
        </w:rPr>
        <w:t>Available abstract (not full text):</w:t>
      </w:r>
      <w:r>
        <w:t xml:space="preserve"> Humanity stands at a pivotal moment of technological revolution, with artificial intelligence (AI) reshaping fields traditionally reliant on human cognitive abilities. This transition, driven by advancements in artificial neural networks, has transformed data processing and evaluation, creating opportunities for addressing complex and time-consuming tasks with AI solutions. Convolutional networks (CNNs) and the adoption of GPU technology have already revolutionized image recognition by enhancing computational efficiency and accuracy. In radiology, AI applications are particularly valuable for tasks involving pattern detection and classification; for example, AI tools have enhanced diagnostic accuracy and efficiency in detecting abnormalities across imaging modalities through automated feature extraction. Our analysis reveals that neuroimaging and chest imaging, as well as CT and MRI modalities, are the primary focus areas for AI products, reflecting their high clinical demand and complexity. AI tools are also used to target high-prevalence diseases, such as lung cancer, stroke, and breast cancer, underscoring AI's alignment with impactful diagnostic needs. The regulatory landscape is a critical factor in AI product development, with the majority of products certified under the Medical Device Directive (MDD) and Medical Device Regulation (MDR) in Class IIa or Class I categories,</w:t>
      </w:r>
    </w:p>
    <w:p>
      <w:pPr/>
      <w:r>
        <w:rPr>
          <w:b/>
        </w:rPr>
        <w:t>POSSIBLE 2025:</w:t>
      </w:r>
      <w:r>
        <w:t xml:space="preserve"> Self-excited critical wind speed and uncertainty determinations — https://doi.org/10.1016/j.renene.2025.123640</w:t>
      </w:r>
    </w:p>
    <w:p>
      <w:pPr/>
      <w:r>
        <w:rPr>
          <w:b/>
        </w:rPr>
        <w:t>Shared claim-specific concepts:</w:t>
      </w:r>
      <w:r>
        <w:t xml:space="preserve"> critical, uncertainties, current, particularly; EU scope not established. This is a provisional connection, not an outcome finding.</w:t>
      </w:r>
    </w:p>
    <w:p>
      <w:pPr>
        <w:pStyle w:val="SourceNote"/>
      </w:pPr>
      <w:r>
        <w:rPr>
          <w:b/>
        </w:rPr>
        <w:t>Available abstract (not full text):</w:t>
      </w:r>
      <w:r>
        <w:t xml:space="preserve"> Photovoltaic solar energy provides a sustainable alternative to conventional energy sources, addressing the increasing global energy demand. Among available technologies, single-axis solar trackers with horizontal mounting are the most cost-effective for energy production. However, cost-driven reductions in structural stiffness have increased vulnerabilities, leading to catastrophic failures caused by aeroelastic phenomena. This study examines damping-driven self-excited instabilities, particularly stall flutter, in two-dimensional, flat, isolated solar trackers. These instabilities arise beyond a critical wind speed, but a unified criterion to define this threshold remains absent. To address this gap, the study evaluates several methods for determining critical wind speed, including a semi-empirical mathematical formulation and experimental criteria using constant or dynamic thresholds. These thresholds are applied to various statistics ( e.g. , amplitude or root mean square) and magnitudes ( e.g. , incremental angle of attack or moment coefficient). The key contribution is the introduction of a new experimental criterion with variable thresholds, dependent on the tracker’s mechanical properties, that replicates results from the semi-empirical formulation. For high-inertia systems, the study proposes an observational approach with results consistent with the mathematical model</w:t>
      </w:r>
    </w:p>
    <w:p>
      <w:pPr/>
      <w:r>
        <w:rPr>
          <w:b/>
        </w:rPr>
        <w:t>POSSIBLE 2025:</w:t>
      </w:r>
      <w:r>
        <w:t xml:space="preserve"> Thermoluminescence, a Critical Reappraisal of Successes, Uncertainties, and a Look to the Future — https://doi.org/10.3390/photonics13010029</w:t>
      </w:r>
    </w:p>
    <w:p>
      <w:pPr/>
      <w:r>
        <w:rPr>
          <w:b/>
        </w:rPr>
        <w:t>Shared claim-specific concepts:</w:t>
      </w:r>
      <w:r>
        <w:t xml:space="preserve"> critical, uncertainties, continue, overall; EU scope not established. This is a provisional connection, not an outcome finding.</w:t>
      </w:r>
    </w:p>
    <w:p>
      <w:pPr>
        <w:pStyle w:val="SourceNote"/>
      </w:pPr>
      <w:r>
        <w:rPr>
          <w:b/>
        </w:rPr>
        <w:t>Available abstract (not full text):</w:t>
      </w:r>
      <w:r>
        <w:t xml:space="preserve"> Thermoluminescence has a long and successful history in applied radiation dosimetry, as well as in a wide range of other applications and basic research. However, there is a dichotomy that, despite the many commercial successes, there continue to be entrenched systematic errors in data collection, signal processing, and models. This overview offers suggestions to address these issues. Improving initial data collection is certainly feasible and may offer deeper insights into the potential mechanisms of thermoluminescence. There is an extremely complex challenge in suggesting and confirming models for lattice sites that generate luminescence signals. Currently, such models are highly speculative and simplistic. In reality, they should involve not only immediate lattice sites but also extremely long-range interactions. Weaknesses in data collection and models impact and generate errors in the extraction of activation energies and frequency factors that are routinely ascribed to data analysis. Overall, it is possible to suggest ways to improve data collection and slightly improve modelling of relevant lattice sites and parameters such as their activation energies, but in reality, these factors will always be speculative and imprecise. Fortunately, this does not inhibit the extension of the technique into other areas of application, but the suggested improvements will enable greater</w:t>
      </w:r>
    </w:p>
    <w:p>
      <w:pPr/>
      <w:r>
        <w:rPr>
          <w:b/>
        </w:rPr>
        <w:t>POSSIBLE 2025:</w:t>
      </w:r>
      <w:r>
        <w:t xml:space="preserve"> Can Intense Quantum Light Beat Classical Uncertainty Relations? — https://doi.org/10.48550/arxiv.2512.09558</w:t>
      </w:r>
    </w:p>
    <w:p>
      <w:pPr/>
      <w:r>
        <w:rPr>
          <w:b/>
        </w:rPr>
        <w:t>Shared claim-specific concepts:</w:t>
      </w:r>
      <w:r>
        <w:t xml:space="preserve"> so-called, critical, uncertainties; EU scope not established. This is a provisional connection, not an outcome finding.</w:t>
      </w:r>
    </w:p>
    <w:p>
      <w:pPr>
        <w:pStyle w:val="SourceNote"/>
      </w:pPr>
      <w:r>
        <w:rPr>
          <w:b/>
        </w:rPr>
        <w:t>Available abstract (not full text):</w:t>
      </w:r>
      <w:r>
        <w:t xml:space="preserve"> Uncertainty relations are fundamental to quantum mechanics, encoding limits on the simultaneous measurement of conjugate observables. Violations of joint uncertainty bounds can certify entanglement -- a resource critical for quantum information protocols and increasingly relevant in strong-field physics. Here, we investigate the pairwise time-delay and frequency-bandwidth uncertainties for arbitrary multimode quantum states of light, deriving a general lower bound for their joint product. We find that the nonclassical correction scales inversely with the average photon number, a behavior rooted in the so-called ``monogamy of entanglement''. These results clarify the intensity scaling of quantum advantages in nonclassical light states and highlight the interplay between entanglement and photon statistics.</w:t>
      </w:r>
    </w:p>
    <w:p>
      <w:pPr/>
      <w:r>
        <w:rPr>
          <w:b/>
        </w:rPr>
        <w:t>POSSIBLE 2025:</w:t>
      </w:r>
      <w:r>
        <w:t xml:space="preserve"> Critical Analysis of the Overall Uncertainties in the Radiotherapy Treatment Process — https://doi.org/10.29384/rbfm.2025.v19.19849001822</w:t>
      </w:r>
    </w:p>
    <w:p>
      <w:pPr/>
      <w:r>
        <w:rPr>
          <w:b/>
        </w:rPr>
        <w:t>Shared claim-specific concepts:</w:t>
      </w:r>
      <w:r>
        <w:t xml:space="preserve"> critical, uncertainties, overall; EU scope not established. This is a provisional connection, not an outcome finding.</w:t>
      </w:r>
    </w:p>
    <w:p>
      <w:pPr>
        <w:pStyle w:val="SourceNote"/>
      </w:pPr>
      <w:r>
        <w:rPr>
          <w:b/>
        </w:rPr>
        <w:t>Available abstract (not full text):</w:t>
      </w:r>
      <w:r>
        <w:t xml:space="preserve"> The integration of all the steps involved in the treatment process is quite complex, as it involves the correct knowledge of the dose-response curves developed in laboratory experiments, the translation of these results to the clinic, the adequate delineation of the tumor, the appropriate dose prescribed for each type of tumor and delivered daily to the patient. For example, the correct assessment of the dose administered to a patient strongly depends on an interconnected chain of steps executed harmoniously, as the demand for accuracy of a given dosimetry procedure is very high. In this case, the measurement results must be represented the best possible reported values with their typical uncertainties to allow clinical results to be achieved and comparable with those of other institutions. The robustness of the chain of events is often fragile, with uncertainties at each stage sometimes not considered or sometimes difficult to estimate, requiring different conceptual and statistical approaches at various times in the decision-making process. As a result, as the additive sequence of uncertainties is generally not fully considered, and the clinical outcome may not be as anticipated. The objective of this review is to critically and constructively highlight the weak points observed in the interrelationship of all steps that lead to better tumor control and ultimately, to provoke </w:t>
      </w:r>
    </w:p>
    <w:p>
      <w:pPr/>
      <w:r>
        <w:rPr>
          <w:b/>
        </w:rPr>
        <w:t>POSSIBLE 2025:</w:t>
      </w:r>
      <w:r>
        <w:t xml:space="preserve"> Measures and estimators of predictive uncertainty in deep learning — https://openalex.org/W7111979649</w:t>
      </w:r>
    </w:p>
    <w:p>
      <w:pPr/>
      <w:r>
        <w:rPr>
          <w:b/>
        </w:rPr>
        <w:t>Shared claim-specific concepts:</w:t>
      </w:r>
      <w:r>
        <w:t xml:space="preserve"> so-called, critical, found; EU scope not established. This is a provisional connection, not an outcome finding.</w:t>
      </w:r>
    </w:p>
    <w:p>
      <w:pPr>
        <w:pStyle w:val="SourceNote"/>
      </w:pPr>
      <w:r>
        <w:rPr>
          <w:b/>
        </w:rPr>
        <w:t>Available abstract (not full text):</w:t>
      </w:r>
      <w:r>
        <w:t xml:space="preserve"> Machine learning systems, especially those based on deep learning, have achieved remarkable performance across a wide range of tasks over the past decade. However, the integration of these powerful systems into high-stakes domains, such as autonomous driving or critical healthcare systems, presents significant risks due to the severe consequences of incorrect or uncertain predictions. To mitigate these risks, it is essential to quantify predictive uncertainty and avoid potentially unsafe automated decisions in ambiguous or unknown situations. However, deep learning models often lack the ability to provide well-calibrated uncertainty estimates, limiting their reliability in critical applications. The aim of this thesis is to advance how to measure and estimate predictive uncertainty with an emphasis on deep learning models. Regarding how to measure predictive uncertainty, we introduce a flexible framework of predictive uncertainty measures, which is suitable for modern deep learning practices, such as using pre-trained models. To better estimate many of the resulting measures, more explicitly their epistemic components, we introduce a new sampling method. Contrary to previous methods, our method explicitly searches for models that disagree with a reference model for a new test point, yet explain the training data equally well. Furthermore, we investigate how to measure predictiv</w:t>
      </w:r>
    </w:p>
    <w:p>
      <w:pPr/>
      <w:r>
        <w:rPr>
          <w:b/>
        </w:rPr>
        <w:t>POSSIBLE 2025:</w:t>
      </w:r>
      <w:r>
        <w:t xml:space="preserve"> Management decisions under radical uncertainty — https://doi.org/10.1108/md-01-2025-0079</w:t>
      </w:r>
    </w:p>
    <w:p>
      <w:pPr/>
      <w:r>
        <w:rPr>
          <w:b/>
        </w:rPr>
        <w:t>Shared claim-specific concepts:</w:t>
      </w:r>
      <w:r>
        <w:t xml:space="preserve"> so-called, critical, related; EU scope not established. This is a provisional connection, not an outcome finding.</w:t>
      </w:r>
    </w:p>
    <w:p>
      <w:pPr>
        <w:pStyle w:val="SourceNote"/>
      </w:pPr>
      <w:r>
        <w:rPr>
          <w:b/>
        </w:rPr>
        <w:t>Available abstract (not full text):</w:t>
      </w:r>
      <w:r>
        <w:t xml:space="preserve"> Purpose Uncertainty is part and parcel of managerial decision-making processes, yet it poses challenges managers often prefer to avoid. Research has suggested that managers can recognize heuristic cues in uncertain environments to support their decisions. However, there are times when even these heuristics and cues are absent, leaving managers to confront radical uncertainty; a state characterized by a complete lack of probabilistic and qualitative information. This form of uncertainty is especially challenging as it involves grappling with unknown unknowns – unforeseen situations that are not anticipated and whose outcomes cannot be calculated. The purpose of this paper is to understand how managers and companies can navigate this. Design/methodology/approach In this In Motion paper, we partner up with two executive vice presidents to practically contribute to this understanding by examining a specific case: ASML – an innovation giant in the semiconductor industry that thrives under conditions of radical uncertainty. Specifically, we combine field observations and reflections to answer the research question: how do firms not just innovate but thrive amidst radical uncertainty? Findings We identify three critical approaches of ASML; managing foresight relationships, a dynamic and deliberate uncertainty approach and parallel team development and explain how these help managers u</w:t>
      </w:r>
    </w:p>
    <w:p>
      <w:pPr>
        <w:pStyle w:val="Heading2"/>
      </w:pPr>
      <w:r>
        <w:t>1031. Research update · 26 October 2026 — independently check before citing</w:t>
      </w:r>
    </w:p>
    <w:p>
      <w:pPr/>
      <w:r>
        <w:t>12 researched cases. External LLM checks are not editorial verification; these connections are not prediction scores.</w:t>
      </w:r>
    </w:p>
    <w:p>
      <w:pPr>
        <w:pStyle w:val="Heading2"/>
      </w:pPr>
      <w:r>
        <w:t>1032. Research case lead-726d2d4ffd64aca7</w:t>
      </w:r>
    </w:p>
    <w:p>
      <w:pPr/>
      <w:r>
        <w:rPr>
          <w:b/>
        </w:rPr>
        <w:t>Record ID:</w:t>
      </w:r>
      <w:r>
        <w:t xml:space="preserve"> lead-726d2d4ffd64aca7</w:t>
      </w:r>
    </w:p>
    <w:p>
      <w:pPr>
        <w:pStyle w:val="SourceNote"/>
      </w:pPr>
      <w:r>
        <w:rPr>
          <w:b/>
        </w:rPr>
        <w:t>Original source:</w:t>
      </w:r>
      <w:r>
        <w:t xml:space="preserve"> https://publications.jrc.ec.europa.eu/repository/handle/JRC96734</w:t>
      </w:r>
    </w:p>
    <w:p>
      <w:pPr/>
      <w:r>
        <w:rPr>
          <w:b/>
        </w:rPr>
        <w:t>Study interpretation:</w:t>
      </w:r>
      <w:r>
        <w:t xml:space="preserve"> The 2030 observation is conditional techno-economic scenario output under a sustained carbon cap, not a prediction that EU electrolysis plants would reach any later political target. The JRC abstract is directly accessible; the publisher article’s complete methods and tables were not independently opened, so only abstract-level wording is verified.</w:t>
      </w:r>
    </w:p>
    <w:p>
      <w:pPr/>
      <w:r>
        <w:rPr>
          <w:b/>
        </w:rPr>
        <w:t>Connections and continuities:</w:t>
      </w:r>
      <w:r>
        <w:t xml:space="preserve"> The 2015 JRC-EU-TIMES paper treats hydrogen as a plausible decarbonisation technology where sustained carbon policy changes long-run incentives. Operational electrolysers and a developing final-investment-decision pipeline show that an industry is materialising.</w:t>
      </w:r>
    </w:p>
    <w:p>
      <w:pPr/>
      <w:r>
        <w:rPr>
          <w:b/>
        </w:rPr>
        <w:t>Departures and surprises:</w:t>
      </w:r>
      <w:r>
        <w:t xml:space="preserve"> Deployment remains small compared with announced policy visions, and the IEA reports that low-emissions hydrogen is a tiny share of actual global output. More importantly, identified offtake and infrastructure barriers show why being technically viable in a model need not produce rapid market adoption.</w:t>
      </w:r>
    </w:p>
    <w:p>
      <w:pPr/>
      <w:r>
        <w:rPr>
          <w:b/>
        </w:rPr>
        <w:t>Unresolved questions:</w:t>
      </w:r>
      <w:r>
        <w:t xml:space="preserve"> There is still no harmonised observed EU measure of hydrogen produced, delivered and consumed in the modelled transport and industrial uses under an equivalent carbon constraint. The 2030 milestone remains ahead, and financing decisions may not result in commissioned plants or utilised assets.</w:t>
      </w:r>
    </w:p>
    <w:p>
      <w:pPr/>
      <w:r>
        <w:rPr>
          <w:b/>
        </w:rPr>
        <w:t>Later source:</w:t>
      </w:r>
      <w:r>
        <w:t xml:space="preserve"> State of the clean Hydrogen Valleys sector 2026 (2026-07-06) https://op.europa.eu/en/publication-detail/-/publication/201cde95-79aa-11f1-bf5e-01aa75ed71a1/</w:t>
      </w:r>
    </w:p>
    <w:p>
      <w:pPr/>
      <w:r>
        <w:rPr>
          <w:b/>
        </w:rPr>
        <w:t>Observed or reported:</w:t>
      </w:r>
      <w:r>
        <w:t xml:space="preserve"> Publication metadata/abstract: more than 600 MW of electrolyser capacity was operational in Europe, 225 MW above 2024; projects exceeding 800 MW reached final investment decision during 2025 and 3.3 GW was past FID. Its expectation that half of 3.3 GW would operate in 2026 is explicitly a plan, not operational output.</w:t>
      </w:r>
    </w:p>
    <w:p>
      <w:pPr/>
      <w:r>
        <w:rPr>
          <w:b/>
        </w:rPr>
        <w:t>Connection (proposed):</w:t>
      </w:r>
      <w:r>
        <w:t xml:space="preserve"> Adds a newer, observed European deployment measure beyond the existing 2024 ACER EU capacity figure, while separating built plant from financing decisions.</w:t>
      </w:r>
    </w:p>
    <w:p>
      <w:pPr/>
      <w:r>
        <w:rPr>
          <w:b/>
        </w:rPr>
        <w:t>Limit of interpretation:</w:t>
      </w:r>
      <w:r>
        <w:t xml:space="preserve"> “Europe” may include non-EU jurisdictions and project scopes differ from ACER’s EU measurement. Neither installed electrolysis MW nor FID directly verifies the 2015 EU system-model threshold for viability or hydrogen use in industry and transport.</w:t>
      </w:r>
    </w:p>
    <w:p>
      <w:pPr/>
      <w:r>
        <w:rPr>
          <w:b/>
        </w:rPr>
        <w:t>Later source:</w:t>
      </w:r>
      <w:r>
        <w:t xml:space="preserve"> Global Hydrogen Review 2026: executive summary (2026-06-18) https://www.iea.org/reports/global-hydrogen-review-2026/executive-summary</w:t>
      </w:r>
    </w:p>
    <w:p>
      <w:pPr/>
      <w:r>
        <w:rPr>
          <w:b/>
        </w:rPr>
        <w:t>Observed or reported:</w:t>
      </w:r>
      <w:r>
        <w:t xml:space="preserve"> Global hydrogen demand exceeded 100 million tonnes in 2025, nearly all used in existing industrial/refining applications; low-emissions production grew 20% to almost 1 million tonnes, still under 1% globally in 2025. The IEA identifies offtake uncertainty, high costs, infrastructure gaps and project cancellations/delays, and expects the 1% share to be exceeded only in 2026.</w:t>
      </w:r>
    </w:p>
    <w:p>
      <w:pPr/>
      <w:r>
        <w:rPr>
          <w:b/>
        </w:rPr>
        <w:t>Connection (proposed):</w:t>
      </w:r>
      <w:r>
        <w:t xml:space="preserve"> Provides real end-use and cost-constraint evidence, complementing MW-of-electrolyser metrics and underscoring how early the transition remains relative to the conditional 2030 model pathway.</w:t>
      </w:r>
    </w:p>
    <w:p>
      <w:pPr/>
      <w:r>
        <w:rPr>
          <w:b/>
        </w:rPr>
        <w:t>Limit of interpretation:</w:t>
      </w:r>
      <w:r>
        <w:t xml:space="preserve"> Global hydrogen shares cannot be presented as EU shares, and 2025 market behaviour does not causally test the 2015 CAP scenario or establish 2030 outcomes.</w:t>
      </w:r>
    </w:p>
    <w:p>
      <w:pPr/>
      <w:r>
        <w:rPr>
          <w:b/>
        </w:rPr>
        <w:t>Correction for further review:</w:t>
      </w:r>
      <w:r>
        <w:t xml:space="preserve"> Label 308 MW as observed EU operational capacity and 6 GW as the separate 2024 policy ambition, noting that the audit questioned how electrolyser-capacity targets were defined. Do not use the ratio to grade the older 2015 carbon-cap model. https://www.eca.europa.eu/en/publications/SR-2024-11</w:t>
      </w:r>
    </w:p>
    <w:p>
      <w:pPr/>
      <w:r>
        <w:rPr>
          <w:b/>
        </w:rPr>
        <w:t>Correction for further review:</w:t>
      </w:r>
      <w:r>
        <w:t xml:space="preserve"> Keep its explicit projection label and show the 2026 Clean Hydrogen JU observed Europe-wide &gt;600 MW separately, noting geography and accounting differences. https://setis.ec.europa.eu/water-electrolysis-and-hydrogen-european-union-2025-status-report-technology-development-trends_en</w:t>
      </w:r>
    </w:p>
    <w:p>
      <w:pPr>
        <w:pStyle w:val="SourceNote"/>
      </w:pPr>
      <w:r>
        <w:rPr>
          <w:b/>
        </w:rPr>
        <w:t>Editorial status:</w:t>
      </w:r>
      <w:r>
        <w:t xml:space="preserve"> Further independent checks required. Not a prediction verdict or proof of causal influence.</w:t>
      </w:r>
    </w:p>
    <w:p>
      <w:pPr>
        <w:pStyle w:val="Heading2"/>
      </w:pPr>
      <w:r>
        <w:t>1033. Research case lead-9363d7d494bf528e</w:t>
      </w:r>
    </w:p>
    <w:p>
      <w:pPr/>
      <w:r>
        <w:rPr>
          <w:b/>
        </w:rPr>
        <w:t>Record ID:</w:t>
      </w:r>
      <w:r>
        <w:t xml:space="preserve"> lead-9363d7d494bf528e</w:t>
      </w:r>
    </w:p>
    <w:p>
      <w:pPr>
        <w:pStyle w:val="SourceNote"/>
      </w:pPr>
      <w:r>
        <w:rPr>
          <w:b/>
        </w:rPr>
        <w:t>Original source:</w:t>
      </w:r>
      <w:r>
        <w:t xml:space="preserve"> https://researchprofiles.ku.dk/en/publications/actual-and-potential-development-of-consumer-demand-on-the-organi/</w:t>
      </w:r>
    </w:p>
    <w:p>
      <w:pPr/>
      <w:r>
        <w:rPr>
          <w:b/>
        </w:rPr>
        <w:t>Study interpretation:</w:t>
      </w:r>
      <w:r>
        <w:t xml:space="preserve"> Original analysis sampled household panels and qualitative consumer accounts in Denmark, Italy and the UK; the scenario was probabilistic and conditional, not a Europe-wide sales-growth target. The original paper focused on scenarios up to 2015, so later 2020s market data are retrospective extensions, not direct tests of an explicit 2024–2026 forecast. The university author record provides the article abstract; the publisher full-text page returned access restrictions.</w:t>
      </w:r>
    </w:p>
    <w:p>
      <w:pPr/>
      <w:r>
        <w:rPr>
          <w:b/>
        </w:rPr>
        <w:t>Connections and continuities:</w:t>
      </w:r>
      <w:r>
        <w:t xml:space="preserve"> All three original markets show substantial continuing organic commerce, and the new Denmark and Italy series separate quantities from sales value. The original emphasis on retail access and prices continues to have explanatory relevance as the UK source notes supply dependence despite demand.</w:t>
      </w:r>
    </w:p>
    <w:p>
      <w:pPr/>
      <w:r>
        <w:rPr>
          <w:b/>
        </w:rPr>
        <w:t>Departures and surprises:</w:t>
      </w:r>
      <w:r>
        <w:t xml:space="preserve"> Demand is neither uniformly stable nor identical across countries: Denmark’s organic share slipped from 2023 to 2024 even as volumes increased, whereas Italian households recorded strong 2025 volume gains. The original forecast did not specify uninterrupted annual increases, and short-term volatility is not a binary scenario refutation.</w:t>
      </w:r>
    </w:p>
    <w:p>
      <w:pPr/>
      <w:r>
        <w:rPr>
          <w:b/>
        </w:rPr>
        <w:t>Unresolved questions:</w:t>
      </w:r>
      <w:r>
        <w:t xml:space="preserve"> Comparable inflation-adjusted, category-consistent long panels for the original three markets and modern household survey data on trust, availability and organic/conventional price premia remain incomplete. None of the new country totals identifies the causal effect of public support or retail expansion on purchases.</w:t>
      </w:r>
    </w:p>
    <w:p>
      <w:pPr/>
      <w:r>
        <w:rPr>
          <w:b/>
        </w:rPr>
        <w:t>Later source:</w:t>
      </w:r>
      <w:r>
        <w:t xml:space="preserve"> Stigning i økologisk detailsalg [Increase in organic retail sales, 2024] (2025-04-22) https://www.dst.dk/da/Statistik/udgivelser/NytHtml?cid=51107</w:t>
      </w:r>
    </w:p>
    <w:p>
      <w:pPr/>
      <w:r>
        <w:rPr>
          <w:b/>
        </w:rPr>
        <w:t>Observed or reported:</w:t>
      </w:r>
      <w:r>
        <w:t xml:space="preserve"> 2024 organic grocery retail sales reached DKK 16.0 billion (+3% nominal; +2% by quantity). Organic food’s share of total food purchases fell slightly to an estimated 11.6% from 11.8% in 2023; coverage excludes farm-gate and specialist shops.</w:t>
      </w:r>
    </w:p>
    <w:p>
      <w:pPr/>
      <w:r>
        <w:rPr>
          <w:b/>
        </w:rPr>
        <w:t>Connection (proposed):</w:t>
      </w:r>
      <w:r>
        <w:t xml:space="preserve"> Reports both monetary and volume demand in Denmark, an original study country, and demonstrates expansion can coexist with a slipping market share.</w:t>
      </w:r>
    </w:p>
    <w:p>
      <w:pPr/>
      <w:r>
        <w:rPr>
          <w:b/>
        </w:rPr>
        <w:t>Limit of interpretation:</w:t>
      </w:r>
      <w:r>
        <w:t xml:space="preserve"> Food-retail aggregates do not show the household-panel reasons for choosing or dropping organic food; prices, channels and coverage are not directly the same as the 2011 sample.</w:t>
      </w:r>
    </w:p>
    <w:p>
      <w:pPr/>
      <w:r>
        <w:rPr>
          <w:b/>
        </w:rPr>
        <w:t>Later source:</w:t>
      </w:r>
      <w:r>
        <w:t xml:space="preserve"> Biologico: nel 2025 gli acquisti delle famiglie volano a 4,4 miliardi di euro (2026-05-18) https://www.ismeamercati.it/flex/cm/pages/ServeBLOB.php/L/IT/IDPagina/13861</w:t>
      </w:r>
    </w:p>
    <w:p>
      <w:pPr/>
      <w:r>
        <w:rPr>
          <w:b/>
        </w:rPr>
        <w:t>Observed or reported:</w:t>
      </w:r>
      <w:r>
        <w:t xml:space="preserve"> Italian household purchases of organic foods for home use reached €4.4 billion in 2025, +9.2% in value and +7.2% in quantities versus 2024; organic reached 4% of home food expenditure (+0.4 percentage points). These are household retail purchases rather than food-service turnover.</w:t>
      </w:r>
    </w:p>
    <w:p>
      <w:pPr/>
      <w:r>
        <w:rPr>
          <w:b/>
        </w:rPr>
        <w:t>Connection (proposed):</w:t>
      </w:r>
      <w:r>
        <w:t xml:space="preserve"> Adds a geographically on-target volume observation in another original study country, supporting real demand improvement beyond sales-price inflation.</w:t>
      </w:r>
    </w:p>
    <w:p>
      <w:pPr/>
      <w:r>
        <w:rPr>
          <w:b/>
        </w:rPr>
        <w:t>Limit of interpretation:</w:t>
      </w:r>
      <w:r>
        <w:t xml:space="preserve"> Year-on-year changes do not establish uninterrupted growth since 2011 or identify distribution, trust and price mechanisms from the older qualitative research.</w:t>
      </w:r>
    </w:p>
    <w:p>
      <w:pPr/>
      <w:r>
        <w:rPr>
          <w:b/>
        </w:rPr>
        <w:t>Later source:</w:t>
      </w:r>
      <w:r>
        <w:t xml:space="preserve"> Organic Market Report 2026 (2026-03-04) https://www.soilassociation.org/for-business/soil-association-certification/business-support/organic-market-report/</w:t>
      </w:r>
    </w:p>
    <w:p>
      <w:pPr/>
      <w:r>
        <w:rPr>
          <w:b/>
        </w:rPr>
        <w:t>Observed or reported:</w:t>
      </w:r>
      <w:r>
        <w:t xml:space="preserve"> The 2026 UK report, launched on 4 March 2026, records £3.9 billion in organic food and drink sales in 2025 (+4.2% nominal), the fourteenth consecutive growth year by its reported UK market definition; major-retailer organic sales increased 7%. It also reports only about 3% of UK farmland is organic and domestic supply depends significantly on imports.</w:t>
      </w:r>
    </w:p>
    <w:p>
      <w:pPr/>
      <w:r>
        <w:rPr>
          <w:b/>
        </w:rPr>
        <w:t>Connection (proposed):</w:t>
      </w:r>
      <w:r>
        <w:t xml:space="preserve"> Completes a recent Denmark–Italy–UK three-country comparison, while highlighting supply-chain/distribution constraints alongside demand.</w:t>
      </w:r>
    </w:p>
    <w:p>
      <w:pPr/>
      <w:r>
        <w:rPr>
          <w:b/>
        </w:rPr>
        <w:t>Limit of interpretation:</w:t>
      </w:r>
      <w:r>
        <w:t xml:space="preserve"> The association’s market measure is not a matched, inflation-adjusted household panel and may include UK retail channels different from Statistics Denmark or ISMEA; the launch date is corroborated by the Organic Research Centre’s 4 March 2026 launch-webinar listing.</w:t>
      </w:r>
    </w:p>
    <w:p>
      <w:pPr/>
      <w:r>
        <w:rPr>
          <w:b/>
        </w:rPr>
        <w:t>Correction for further review:</w:t>
      </w:r>
      <w:r>
        <w:t xml:space="preserve"> Explicitly name the original three markets and 2015 horizon and treat post-2015 observations as an extension of the question, not a precise forecast horizon or geographic validation. https://www.tandfonline.com/doi/full/10.1016/j.njas.2011.01.005</w:t>
      </w:r>
    </w:p>
    <w:p>
      <w:pPr/>
      <w:r>
        <w:rPr>
          <w:b/>
        </w:rPr>
        <w:t>Correction for further review:</w:t>
      </w:r>
      <w:r>
        <w:t xml:space="preserve"> Keep the nominal wider-Europe comparison as context only. Use national volume changes where available and note FiBL’s data methodology, including its practice of carrying forward last available national observations for missing reporting years. https://statistics.fibl.org/europe/retail-sales-europe.html</w:t>
      </w:r>
    </w:p>
    <w:p>
      <w:pPr>
        <w:pStyle w:val="SourceNote"/>
      </w:pPr>
      <w:r>
        <w:rPr>
          <w:b/>
        </w:rPr>
        <w:t>Editorial status:</w:t>
      </w:r>
      <w:r>
        <w:t xml:space="preserve"> Further independent checks required. Not a prediction verdict or proof of causal influence.</w:t>
      </w:r>
    </w:p>
    <w:p>
      <w:pPr>
        <w:pStyle w:val="Heading2"/>
      </w:pPr>
      <w:r>
        <w:t>1034. Research case report-3eff29ec207eb208</w:t>
      </w:r>
    </w:p>
    <w:p>
      <w:pPr/>
      <w:r>
        <w:rPr>
          <w:b/>
        </w:rPr>
        <w:t>Record ID:</w:t>
      </w:r>
      <w:r>
        <w:t xml:space="preserve"> report-3eff29ec207eb208</w:t>
      </w:r>
    </w:p>
    <w:p>
      <w:pPr>
        <w:pStyle w:val="SourceNote"/>
      </w:pPr>
      <w:r>
        <w:rPr>
          <w:b/>
        </w:rPr>
        <w:t>Original source:</w:t>
      </w:r>
      <w:r>
        <w:t xml:space="preserve"> https://commission.europa.eu/strategy-and-policy/strategic-foresight/2022-strategic-foresight-report_en</w:t>
      </w:r>
    </w:p>
    <w:p>
      <w:pPr/>
      <w:r>
        <w:rPr>
          <w:b/>
        </w:rPr>
        <w:t>Study interpretation:</w:t>
      </w:r>
      <w:r>
        <w:t xml:space="preserve"> A recommendation about strategic vulnerability in a twin green/digital transition, not a probabilistic prediction of Chinese export rules, volumes or specific EU dependence ratios. Publication of CRMA legislation later establishes policy thematic continuity but cannot, without citation or decision history, establish that the 2022 foresight report caused it.</w:t>
      </w:r>
    </w:p>
    <w:p>
      <w:pPr/>
      <w:r>
        <w:rPr>
          <w:b/>
        </w:rPr>
        <w:t>Connections and continuities:</w:t>
      </w:r>
      <w:r>
        <w:t xml:space="preserve"> The 2022 report anticipated a structural tension between the EU’s green/digital aims and geographically concentrated inputs. Later EU rules, strategy designations, import records and independent IEA monitoring show that the dependency issue remains a live strategic priority.</w:t>
      </w:r>
    </w:p>
    <w:p>
      <w:pPr/>
      <w:r>
        <w:rPr>
          <w:b/>
        </w:rPr>
        <w:t>Departures and surprises:</w:t>
      </w:r>
      <w:r>
        <w:t xml:space="preserve"> A significant new development is the realised production disruption following 2025 Chinese heavy rare-earth export controls, rather than merely a theoretical dependence ratio. The IEA nevertheless observes some modest rare-earth refining diversification, so the picture is not one-way worsening in every mineral.</w:t>
      </w:r>
    </w:p>
    <w:p>
      <w:pPr/>
      <w:r>
        <w:rPr>
          <w:b/>
        </w:rPr>
        <w:t>Unresolved questions:</w:t>
      </w:r>
      <w:r>
        <w:t xml:space="preserve"> The EU’s material-by-material supply security, magnet imports, downstream component dependence, recycling yields and new mine/refinery actual outputs are not established by aggregate REE customs tonnage. Whether CRMA programmes durably lower vulnerability by 2030, and what role the 2022 foresight document had in policymaking, remain separate open questions.</w:t>
      </w:r>
    </w:p>
    <w:p>
      <w:pPr/>
      <w:r>
        <w:rPr>
          <w:b/>
        </w:rPr>
        <w:t>Later source:</w:t>
      </w:r>
      <w:r>
        <w:t xml:space="preserve"> EU trade in rare earth elements increased in 2025 (2026-06-29) https://ec.europa.eu/eurostat/en/web/products-eurostat-news/w/ddn-20260629-1</w:t>
      </w:r>
    </w:p>
    <w:p>
      <w:pPr/>
      <w:r>
        <w:rPr>
          <w:b/>
        </w:rPr>
        <w:t>Observed or reported:</w:t>
      </w:r>
      <w:r>
        <w:t xml:space="preserve"> Eurostat customs data record 15,100 tonnes of rare-earth elements and compounds imported to the EU in 2025 (+17.1% by weight); China supplied 46.8% by weight, Russia 25.9% and Malaysia 23.1% (dataset ds-045409). This is a narrow traded-product classification, not all critical raw materials or an accounting of finished rare-earth magnets.</w:t>
      </w:r>
    </w:p>
    <w:p>
      <w:pPr/>
      <w:r>
        <w:rPr>
          <w:b/>
        </w:rPr>
        <w:t>Connection (proposed):</w:t>
      </w:r>
      <w:r>
        <w:t xml:space="preserve"> Quantifies current dependence on concentrated external suppliers in one set of strategically important inputs despite the CRMA and strategic-project announcements already logged in the case.</w:t>
      </w:r>
    </w:p>
    <w:p>
      <w:pPr/>
      <w:r>
        <w:rPr>
          <w:b/>
        </w:rPr>
        <w:t>Limit of interpretation:</w:t>
      </w:r>
      <w:r>
        <w:t xml:space="preserve"> Partner shares of import tonnage cannot be assumed to equal EU total consumption, concentration by material or the CRMA single-country benchmark; they do not prove causal effects of any legislation.</w:t>
      </w:r>
    </w:p>
    <w:p>
      <w:pPr/>
      <w:r>
        <w:rPr>
          <w:b/>
        </w:rPr>
        <w:t>Later source:</w:t>
      </w:r>
      <w:r>
        <w:t xml:space="preserve"> Global Critical Minerals Outlook 2026: executive summary (2026-07-16) https://www.iea.org/reports/global-critical-minerals-outlook-2026/executive-summary</w:t>
      </w:r>
    </w:p>
    <w:p>
      <w:pPr/>
      <w:r>
        <w:rPr>
          <w:b/>
        </w:rPr>
        <w:t>Observed or reported:</w:t>
      </w:r>
      <w:r>
        <w:t xml:space="preserve"> IEA reports Chinese controls imposed on seven heavy rare-earth elements in April 2025 caused some downstream automakers to reduce production rates or temporarily halt operations. It also documents approximately fivefold European-versus-China prices for gallium and some heavy rare earths in 2026, while noting a modest decline in rare-earth refining concentration due to output in Malaysia and the US.</w:t>
      </w:r>
    </w:p>
    <w:p>
      <w:pPr/>
      <w:r>
        <w:rPr>
          <w:b/>
        </w:rPr>
        <w:t>Connection (proposed):</w:t>
      </w:r>
      <w:r>
        <w:t xml:space="preserve"> Supplies a realised supply-chain stress episode, with limited positive diversification, that sharpens the 2022 foresight warning about a new dependency trap.</w:t>
      </w:r>
    </w:p>
    <w:p>
      <w:pPr/>
      <w:r>
        <w:rPr>
          <w:b/>
        </w:rPr>
        <w:t>Limit of interpretation:</w:t>
      </w:r>
      <w:r>
        <w:t xml:space="preserve"> The IEA is describing global supply networks and price markets, not isolating EU-only throughput or the effects of the foresight publication; controls and industrial responses do not establish attribution to EU policy.</w:t>
      </w:r>
    </w:p>
    <w:p>
      <w:pPr/>
      <w:r>
        <w:rPr>
          <w:b/>
        </w:rPr>
        <w:t>Correction for further review:</w:t>
      </w:r>
      <w:r>
        <w:t xml:space="preserve"> When using the new 46.8% China import share, add “selected REE traded categories, by gross weight” and retain the separate interpretation of CRMA project designations as policy steps, not measured diversification outcomes. https://ec.europa.eu/eurostat/en/web/products-eurostat-news/w/ddn-20260629-1</w:t>
      </w:r>
    </w:p>
    <w:p>
      <w:pPr>
        <w:pStyle w:val="SourceNote"/>
      </w:pPr>
      <w:r>
        <w:rPr>
          <w:b/>
        </w:rPr>
        <w:t>Editorial status:</w:t>
      </w:r>
      <w:r>
        <w:t xml:space="preserve"> Further independent checks required. Not a prediction verdict or proof of causal influence.</w:t>
      </w:r>
    </w:p>
    <w:p>
      <w:pPr>
        <w:pStyle w:val="Heading2"/>
      </w:pPr>
      <w:r>
        <w:t>1035. Research case lead-6be39a26704bb7e6</w:t>
      </w:r>
    </w:p>
    <w:p>
      <w:pPr/>
      <w:r>
        <w:rPr>
          <w:b/>
        </w:rPr>
        <w:t>Record ID:</w:t>
      </w:r>
      <w:r>
        <w:t xml:space="preserve"> lead-6be39a26704bb7e6</w:t>
      </w:r>
    </w:p>
    <w:p>
      <w:pPr>
        <w:pStyle w:val="SourceNote"/>
      </w:pPr>
      <w:r>
        <w:rPr>
          <w:b/>
        </w:rPr>
        <w:t>Original source:</w:t>
      </w:r>
      <w:r>
        <w:t xml:space="preserve"> https://livrepository.liverpool.ac.uk/3000269/</w:t>
      </w:r>
    </w:p>
    <w:p>
      <w:pPr/>
      <w:r>
        <w:rPr>
          <w:b/>
        </w:rPr>
        <w:t>Study interpretation:</w:t>
      </w:r>
      <w:r>
        <w:t xml:space="preserve"> The study forecasts *climatic suitability/risk of potential establishment*, not mosquito counts, measured climate attribution or disease incidence; a future introduction and suitable local habitats are additional prerequisites. The university repository reproduces the original abstract and lists the full paper, but full climate-scenario figures were not rechecked here.</w:t>
      </w:r>
    </w:p>
    <w:p>
      <w:pPr/>
      <w:r>
        <w:rPr>
          <w:b/>
        </w:rPr>
        <w:t>Connections and continuities:</w:t>
      </w:r>
      <w:r>
        <w:t xml:space="preserve"> Observed establishment across central and north-western continental Europe agrees broadly with the direction of the original climate-suitability warning. New ECDC disease surveillance shows actual local transmission in France and Italy, which makes vector readiness a continuing public-health concern.</w:t>
      </w:r>
    </w:p>
    <w:p>
      <w:pPr/>
      <w:r>
        <w:rPr>
          <w:b/>
        </w:rPr>
        <w:t>Departures and surprises:</w:t>
      </w:r>
      <w:r>
        <w:t xml:space="preserve"> The UK is a useful exception: repeated egg introductions have not yet translated into recognised population establishment. Disease episodes are also a different phenomenon from the paper’s climatic thresholds, while the projected slight decline in southern suitability is not directly refuted by continued southern establishment.</w:t>
      </w:r>
    </w:p>
    <w:p>
      <w:pPr/>
      <w:r>
        <w:rPr>
          <w:b/>
        </w:rPr>
        <w:t>Unresolved questions:</w:t>
      </w:r>
      <w:r>
        <w:t xml:space="preserve"> Comparable climate-adjusted longitudinal suitability estimates, surveillance-normalised establishment histories and estimates of the impact of transport and interventions are not available from the regional counts alone. The source-level 369-to-384 versus “14 additions” discrepancy also needs a documented crosswalk.</w:t>
      </w:r>
    </w:p>
    <w:p>
      <w:pPr/>
      <w:r>
        <w:rPr>
          <w:b/>
        </w:rPr>
        <w:t>Later source:</w:t>
      </w:r>
      <w:r>
        <w:t xml:space="preserve"> Non-native mosquito species profiles: Aedes albopictus (2026-04-01) https://www.gov.uk/guidance/non-native-mosquito-species-profiles</w:t>
      </w:r>
    </w:p>
    <w:p>
      <w:pPr/>
      <w:r>
        <w:rPr>
          <w:b/>
        </w:rPr>
        <w:t>Observed or reported:</w:t>
      </w:r>
      <w:r>
        <w:t xml:space="preserve"> UKHSA states the Asian tiger mosquito has not established a self-sustaining population in the UK despite eggs having been detected in southeast England through invasive-mosquito surveillance since 2016.</w:t>
      </w:r>
    </w:p>
    <w:p>
      <w:pPr/>
      <w:r>
        <w:rPr>
          <w:b/>
        </w:rPr>
        <w:t>Connection (proposed):</w:t>
      </w:r>
      <w:r>
        <w:t xml:space="preserve"> A direct northern/western European counterpoint: possible climatic suitability and repeated introduction do not by themselves yield verified establishment.</w:t>
      </w:r>
    </w:p>
    <w:p>
      <w:pPr/>
      <w:r>
        <w:rPr>
          <w:b/>
        </w:rPr>
        <w:t>Limit of interpretation:</w:t>
      </w:r>
      <w:r>
        <w:t xml:space="preserve"> UK non-establishment cannot be explained by temperature alone; surveillance effort, introduction frequency, local habitat and vector control may all matter.</w:t>
      </w:r>
    </w:p>
    <w:p>
      <w:pPr/>
      <w:r>
        <w:rPr>
          <w:b/>
        </w:rPr>
        <w:t>Later source:</w:t>
      </w:r>
      <w:r>
        <w:t xml:space="preserve"> Seasonal surveillance of chikungunya virus disease – 2026 (weekly), 11 September update (2026-09-11) https://www.ecdc.europa.eu/en/public-health-events/2026-evd-00016/2026-09-11</w:t>
      </w:r>
    </w:p>
    <w:p>
      <w:pPr/>
      <w:r>
        <w:rPr>
          <w:b/>
        </w:rPr>
        <w:t>Observed or reported:</w:t>
      </w:r>
      <w:r>
        <w:t xml:space="preserve"> The 11 September 2026 ECDC snapshot, covering notifications as of 9 September, identifies 57 locally acquired chikungunya cases in France across 11 clusters and one case in Italy (Rome).</w:t>
      </w:r>
    </w:p>
    <w:p>
      <w:pPr/>
      <w:r>
        <w:rPr>
          <w:b/>
        </w:rPr>
        <w:t>Connection (proposed):</w:t>
      </w:r>
      <w:r>
        <w:t xml:space="preserve"> Shows that vector-borne-disease transmission occurred again in continental Europe, adding a distinct outcome dimension to distribution maps, though the original 2012 study modelled mosquito climatic suitability.</w:t>
      </w:r>
    </w:p>
    <w:p>
      <w:pPr/>
      <w:r>
        <w:rPr>
          <w:b/>
        </w:rPr>
        <w:t>Limit of interpretation:</w:t>
      </w:r>
      <w:r>
        <w:t xml:space="preserve"> Local human cases are not a direct measure of Aedes albopictus climatic suitability or unambiguous evidence that climate change drove a given outbreak; human travel, virus importation, local surveillance and vector control contribute.</w:t>
      </w:r>
    </w:p>
    <w:p>
      <w:pPr/>
      <w:r>
        <w:rPr>
          <w:b/>
        </w:rPr>
        <w:t>Correction for further review:</w:t>
      </w:r>
      <w:r>
        <w:t xml:space="preserve"> Quote the 384 total and ECDC’s independently stated “14 expansion units” separately rather than equating 14 to the total net change; flag the +15-versus-14 reconciliation for dataset-level checking (e.g., revised geography or previously counted units). https://www.ecdc.europa.eu/en/publications-data/aedes-albopictus-current-known-distribution-april-2026</w:t>
      </w:r>
    </w:p>
    <w:p>
      <w:pPr>
        <w:pStyle w:val="SourceNote"/>
      </w:pPr>
      <w:r>
        <w:rPr>
          <w:b/>
        </w:rPr>
        <w:t>Editorial status:</w:t>
      </w:r>
      <w:r>
        <w:t xml:space="preserve"> Further independent checks required. Not a prediction verdict or proof of causal influence.</w:t>
      </w:r>
    </w:p>
    <w:p>
      <w:pPr>
        <w:pStyle w:val="Heading2"/>
      </w:pPr>
      <w:r>
        <w:t>1036. Research case lead-1e5bc406a360f64e</w:t>
      </w:r>
    </w:p>
    <w:p>
      <w:pPr/>
      <w:r>
        <w:rPr>
          <w:b/>
        </w:rPr>
        <w:t>Record ID:</w:t>
      </w:r>
      <w:r>
        <w:t xml:space="preserve"> lead-1e5bc406a360f64e</w:t>
      </w:r>
    </w:p>
    <w:p>
      <w:pPr>
        <w:pStyle w:val="SourceNote"/>
      </w:pPr>
      <w:r>
        <w:rPr>
          <w:b/>
        </w:rPr>
        <w:t>Original source:</w:t>
      </w:r>
      <w:r>
        <w:t xml:space="preserve"> https://link.springer.com/article/10.1007/s12544-015-0171-7</w:t>
      </w:r>
    </w:p>
    <w:p>
      <w:pPr/>
      <w:r>
        <w:rPr>
          <w:b/>
        </w:rPr>
        <w:t>Study interpretation:</w:t>
      </w:r>
      <w:r>
        <w:t xml:space="preserve"> The “doubling” is a counterfactual 2050 rail-demand level versus the model Reference case, not a doubling of observed 2015 rail volume, and the White Paper policy shifts are long-distance road freight, not all-mode rail market shares. It assumes coordinated policy and substantial terminal/line capacity and uses an EU27 modelling frame; contemporary EU27 freight statistics are not direct forecasts of a specific scenario without matched baselines.</w:t>
      </w:r>
    </w:p>
    <w:p>
      <w:pPr/>
      <w:r>
        <w:rPr>
          <w:b/>
        </w:rPr>
        <w:t>Connections and continuities:</w:t>
      </w:r>
      <w:r>
        <w:t xml:space="preserve"> The original model emphasised the scale of institutional and infrastructure change required for major rail growth, not an inevitable doubling. Both recent activity data and an institutional audit confirm that those prerequisites remain pivotal.</w:t>
      </w:r>
    </w:p>
    <w:p>
      <w:pPr/>
      <w:r>
        <w:rPr>
          <w:b/>
        </w:rPr>
        <w:t>Departures and surprises:</w:t>
      </w:r>
      <w:r>
        <w:t xml:space="preserve"> Eurostat records 2025 road-freight activity rising while main-operator rail-freight work fell for the fourth year. ECA’s finding that targets were not robustly monitored, and that terminals and interoperability hamper competition, illustrates why policy aspirations do not automatically generate modal shift.</w:t>
      </w:r>
    </w:p>
    <w:p>
      <w:pPr/>
      <w:r>
        <w:rPr>
          <w:b/>
        </w:rPr>
        <w:t>Unresolved questions:</w:t>
      </w:r>
      <w:r>
        <w:t xml:space="preserve"> The distance-specific &gt;300 km road-freight base, measured diversion to rail or waterways, freight terminal productivity and a harmonised EU27 Reference path remain missing. The 2030 and 2050 policy horizons also remain open; no 2025 all-freight statistic is a direct test of the model’s 2050 High scenario.</w:t>
      </w:r>
    </w:p>
    <w:p>
      <w:pPr/>
      <w:r>
        <w:rPr>
          <w:b/>
        </w:rPr>
        <w:t>Later source:</w:t>
      </w:r>
      <w:r>
        <w:t xml:space="preserve"> Rail freight transport dropped by 1.8% in 2025 (2026-09-14) https://ec.europa.eu/eurostat/web/products-eurostat-news/w/ddn-20260914-2</w:t>
      </w:r>
    </w:p>
    <w:p>
      <w:pPr/>
      <w:r>
        <w:rPr>
          <w:b/>
        </w:rPr>
        <w:t>Observed or reported:</w:t>
      </w:r>
      <w:r>
        <w:t xml:space="preserve"> Eurostat’s main-railway-undertakings series (rail_go_typepas) reports 368.2 billion EU tonne-kilometres in 2025, down 1.8% from 375.1 billion in 2024; this marks a fourth consecutive yearly fall in the series. Reporting thresholds exclude smaller railway undertakings.</w:t>
      </w:r>
    </w:p>
    <w:p>
      <w:pPr/>
      <w:r>
        <w:rPr>
          <w:b/>
        </w:rPr>
        <w:t>Connection (proposed):</w:t>
      </w:r>
      <w:r>
        <w:t xml:space="preserve"> Adds the newest observed rail work figure after the existing 2023/2024 assessments, a direction not indicative of imminent implementation of an ambitious rail-growth scenario.</w:t>
      </w:r>
    </w:p>
    <w:p>
      <w:pPr/>
      <w:r>
        <w:rPr>
          <w:b/>
        </w:rPr>
        <w:t>Limit of interpretation:</w:t>
      </w:r>
      <w:r>
        <w:t xml:space="preserve"> EU27 activity from main operators cannot be compared mechanically with the EEA all-freight estimate or a model-generated 2050 EU27 difference between counterfactual scenarios.</w:t>
      </w:r>
    </w:p>
    <w:p>
      <w:pPr/>
      <w:r>
        <w:rPr>
          <w:b/>
        </w:rPr>
        <w:t>Later source:</w:t>
      </w:r>
      <w:r>
        <w:t xml:space="preserve"> EU road freight transport up by 0.9% in 2025 (2026-07-31) https://ec.europa.eu/eurostat/web/products-eurostat-news/w/ddn-20260731-2</w:t>
      </w:r>
    </w:p>
    <w:p>
      <w:pPr/>
      <w:r>
        <w:rPr>
          <w:b/>
        </w:rPr>
        <w:t>Observed or reported:</w:t>
      </w:r>
      <w:r>
        <w:t xml:space="preserve"> Road freight work performed by EU-registered vehicles reached 1,886 billion tonne-kilometres in 2025, +0.9% from 2024 (dataset road_go_ta_tott). Its road-registration data basis differs from rail national-operator data and route-specific road-to-rail modal-shift measures.</w:t>
      </w:r>
    </w:p>
    <w:p>
      <w:pPr/>
      <w:r>
        <w:rPr>
          <w:b/>
        </w:rPr>
        <w:t>Connection (proposed):</w:t>
      </w:r>
      <w:r>
        <w:t xml:space="preserve"> The concurrent road-growth / rail-decline contrast reinforces the existing broad modal-shift concern without assuming that total road and rail tonne-km form a comparable single modal-share denominator.</w:t>
      </w:r>
    </w:p>
    <w:p>
      <w:pPr/>
      <w:r>
        <w:rPr>
          <w:b/>
        </w:rPr>
        <w:t>Limit of interpretation:</w:t>
      </w:r>
      <w:r>
        <w:t xml:space="preserve"> National registration, international/cabotage activity, freight-distance classes and railway reporting thresholds differ; this is not a direct measurement of White Paper freight over 300 km.</w:t>
      </w:r>
    </w:p>
    <w:p>
      <w:pPr/>
      <w:r>
        <w:rPr>
          <w:b/>
        </w:rPr>
        <w:t>Later source:</w:t>
      </w:r>
      <w:r>
        <w:t xml:space="preserve"> Intermodal freight transport: EU still far from getting freight off the road, Special Report 08/2023 (2023-03-27) https://op.europa.eu/webpub/eca/special-reports/intermodal-freight-transport-08-2023/en/</w:t>
      </w:r>
    </w:p>
    <w:p>
      <w:pPr/>
      <w:r>
        <w:rPr>
          <w:b/>
        </w:rPr>
        <w:t>Observed or reported:</w:t>
      </w:r>
      <w:r>
        <w:t xml:space="preserve"> ECA examined EU intermodal transport support including €1.1 billion committed in 2014–2020 and 16 sampled projects across seven countries. It judged modal-shift targets unrealistic/insufficiently monitored, identified terminal, legal and interoperability barriers, and found that funded infrastructure projects were primarily monitored for outputs, not measured tonnes shifted from road (executive summary III–VI; paragraphs 83–89).</w:t>
      </w:r>
    </w:p>
    <w:p>
      <w:pPr/>
      <w:r>
        <w:rPr>
          <w:b/>
        </w:rPr>
        <w:t>Connection (proposed):</w:t>
      </w:r>
      <w:r>
        <w:t xml:space="preserve"> Independently evaluates whether prerequisites of the modelled High scenario were implemented, an explanatory layer more useful than a direct comparison between mismatched aggregate modal-share indicators.</w:t>
      </w:r>
    </w:p>
    <w:p>
      <w:pPr/>
      <w:r>
        <w:rPr>
          <w:b/>
        </w:rPr>
        <w:t>Limit of interpretation:</w:t>
      </w:r>
      <w:r>
        <w:t xml:space="preserve"> The 2023 audit covers support and sampled intermodal projects, not all EU rail traffic and not the TRANS-TOOLS model itself; it cannot directly estimate the High-versus-Reference rail-demand outcome.</w:t>
      </w:r>
    </w:p>
    <w:p>
      <w:pPr/>
      <w:r>
        <w:rPr>
          <w:b/>
        </w:rPr>
        <w:t>Correction for further review:</w:t>
      </w:r>
      <w:r>
        <w:t xml:space="preserve"> Display the two percentages with their distinct mode coverage and years, and assess change only within a harmonised single series; neither evaluates the &gt;300 km modal-shift promise. https://www.eea.europa.eu/en/analysis/publications/sustainability-of-europes-mobility-systems-2025/freight-transport-activity</w:t>
      </w:r>
    </w:p>
    <w:p>
      <w:pPr/>
      <w:r>
        <w:rPr>
          <w:b/>
        </w:rPr>
        <w:t>Correction for further review:</w:t>
      </w:r>
      <w:r>
        <w:t xml:space="preserve"> Use 19 June 2015 as verified online publication date, preserving 18 June only if a distinct traceable indexing/acceptance event is found. https://link.springer.com/article/10.1007/s12544-015-0171-7</w:t>
      </w:r>
    </w:p>
    <w:p>
      <w:pPr>
        <w:pStyle w:val="SourceNote"/>
      </w:pPr>
      <w:r>
        <w:rPr>
          <w:b/>
        </w:rPr>
        <w:t>Editorial status:</w:t>
      </w:r>
      <w:r>
        <w:t xml:space="preserve"> Further independent checks required. Not a prediction verdict or proof of causal influence.</w:t>
      </w:r>
    </w:p>
    <w:p>
      <w:pPr>
        <w:pStyle w:val="Heading2"/>
      </w:pPr>
      <w:r>
        <w:t>1037. Research case lead-c58a6b59f8f84186</w:t>
      </w:r>
    </w:p>
    <w:p>
      <w:pPr/>
      <w:r>
        <w:rPr>
          <w:b/>
        </w:rPr>
        <w:t>Record ID:</w:t>
      </w:r>
      <w:r>
        <w:t xml:space="preserve"> lead-c58a6b59f8f84186</w:t>
      </w:r>
    </w:p>
    <w:p>
      <w:pPr>
        <w:pStyle w:val="SourceNote"/>
      </w:pPr>
      <w:r>
        <w:rPr>
          <w:b/>
        </w:rPr>
        <w:t>Original source:</w:t>
      </w:r>
      <w:r>
        <w:t xml:space="preserve"> https://publications.jrc.ec.europa.eu/repository/handle/JRC95212</w:t>
      </w:r>
    </w:p>
    <w:p>
      <w:pPr/>
      <w:r>
        <w:rPr>
          <w:b/>
        </w:rPr>
        <w:t>Study interpretation:</w:t>
      </w:r>
      <w:r>
        <w:t xml:space="preserve"> The 100 GW figure is presented as an EU/sectoral long-term ambition, not observed growth or an unconditional independently modelled result. Technological maturity, cost, finance and electricity-market integration remain caveats; “installed” should not be conflated with active operational MW or energy generation. Only the publication abstract was directly verified in an accessible official repository, not each figure in the publisher full text.</w:t>
      </w:r>
    </w:p>
    <w:p>
      <w:pPr/>
      <w:r>
        <w:rPr>
          <w:b/>
        </w:rPr>
        <w:t>Connections and continuities:</w:t>
      </w:r>
      <w:r>
        <w:t xml:space="preserve"> The original 2015 assessment connected ocean-energy potential to technology maturity, market support, financing and grid conditions. EU monitoring and industry reporting continue to identify noncommercial costs and public revenue support as central to progress.</w:t>
      </w:r>
    </w:p>
    <w:p>
      <w:pPr/>
      <w:r>
        <w:rPr>
          <w:b/>
        </w:rPr>
        <w:t>Departures and surprises:</w:t>
      </w:r>
      <w:r>
        <w:t xml:space="preserve"> The dominant observed fact remains a tiny operational wave/tidal fleet in the EU, now complemented by just 12 GWh of 2024 non-tidal-range generation; the old La Rance barrage contributes most measured EU ocean electricity. Meanwhile a more substantial 196 MW European pre-commercial pipeline is emerging, but financial commitment and device plans do not equal electricity delivered.</w:t>
      </w:r>
    </w:p>
    <w:p>
      <w:pPr/>
      <w:r>
        <w:rPr>
          <w:b/>
        </w:rPr>
        <w:t>Unresolved questions:</w:t>
      </w:r>
      <w:r>
        <w:t xml:space="preserve"> Individual device operating hours, capacity factors, decommissioning/replacement cycles, delivered grid output and realised levelised costs are needed to establish actual commercial progress. Comparability across “excluding pilots”, tidal-range inclusion, EU versus Europe and the sector’s 2050 100 GW ambition is unresolved without an explicit taxonomy.</w:t>
      </w:r>
    </w:p>
    <w:p>
      <w:pPr/>
      <w:r>
        <w:rPr>
          <w:b/>
        </w:rPr>
        <w:t>Later source:</w:t>
      </w:r>
      <w:r>
        <w:t xml:space="preserve"> Marine Renewable Energy: Ocean Energy, Blue Economy Observatory (2026 update) (2026-05-21) https://blue-economy-observatory.ec.europa.eu/eu-blue-economy-sectors/marine-renewable-energy_en</w:t>
      </w:r>
    </w:p>
    <w:p>
      <w:pPr/>
      <w:r>
        <w:rPr>
          <w:b/>
        </w:rPr>
        <w:t>Observed or reported:</w:t>
      </w:r>
      <w:r>
        <w:t xml:space="preserve"> The Commission’s ocean-energy section reports 2.2 MW operational EU non-tidal-range ocean capacity at end-2025 *excluding pilot projects*: 1.5 MW tidal stream, 0.65 MW wave and 0.02 MW salinity gradient. It separately reports 2024 EU ocean-electricity production of 461 GWh, 449 GWh from La Rance tidal barrage and only 12 GWh from other technologies (Ocean Energy subsection, Figure 5; update 21 May 2026).</w:t>
      </w:r>
    </w:p>
    <w:p>
      <w:pPr/>
      <w:r>
        <w:rPr>
          <w:b/>
        </w:rPr>
        <w:t>Connection (proposed):</w:t>
      </w:r>
      <w:r>
        <w:t xml:space="preserve"> Supplies later operational and electricity-generation evidence rather than a future pipeline, reinforcing the gap between 2015 high-level ambition and modest contemporary wave/tidal contribution.</w:t>
      </w:r>
    </w:p>
    <w:p>
      <w:pPr/>
      <w:r>
        <w:rPr>
          <w:b/>
        </w:rPr>
        <w:t>Limit of interpretation:</w:t>
      </w:r>
      <w:r>
        <w:t xml:space="preserve"> Its end-2025 “excluding pilot projects” boundary may differ from the 2024 existing-record 2.82 MW category, and La Rance tidal-range production is not comparable to emerging tidal-stream/wave output. Annual GWh and installed/operational MW cannot be converted without technology-specific utilisation factors.</w:t>
      </w:r>
    </w:p>
    <w:p>
      <w:pPr/>
      <w:r>
        <w:rPr>
          <w:b/>
        </w:rPr>
        <w:t>Later source:</w:t>
      </w:r>
      <w:r>
        <w:t xml:space="preserve"> Europe’s ocean energy pipeline reaches 200 devices and 200 MW as public funding leverages private investment (2026-09-14) https://www.oceanenergy-europe.eu/europes-ocean-energy-pipeline-reaches-200-devices-and-200-mw-as-public-funding-leverages-private-investment/</w:t>
      </w:r>
    </w:p>
    <w:p>
      <w:pPr/>
      <w:r>
        <w:rPr>
          <w:b/>
        </w:rPr>
        <w:t>Observed or reported:</w:t>
      </w:r>
      <w:r>
        <w:t xml:space="preserve"> The association reports sixteen publicly supported European wave/tidal farm projects totalling 196 MW *expected* by 2030: eleven tidal farms with 172 MW and 140 devices and five wave farms with 24 MW and 66 devices. It separately reports aspirational national commitments of another 650 MW; none of these MW is verified as operational.</w:t>
      </w:r>
    </w:p>
    <w:p>
      <w:pPr/>
      <w:r>
        <w:rPr>
          <w:b/>
        </w:rPr>
        <w:t>Connection (proposed):</w:t>
      </w:r>
      <w:r>
        <w:t xml:space="preserve"> Updates the investment and near-term project pipeline beyond the existing 2025 reported 165 MW European pipeline, while showing that announced pre-commercial clusters remain orders of magnitude below the historical 100 GW ambition.</w:t>
      </w:r>
    </w:p>
    <w:p>
      <w:pPr/>
      <w:r>
        <w:rPr>
          <w:b/>
        </w:rPr>
        <w:t>Limit of interpretation:</w:t>
      </w:r>
      <w:r>
        <w:t xml:space="preserve"> The European industry pipeline includes the UK and has scope/date differences from the earlier 165 MW set. It is developer/association reporting of intentions and subsidies, not evidence of generation, completed capacity, commercially viable tariffs or EU-only deployment.</w:t>
      </w:r>
    </w:p>
    <w:p>
      <w:pPr/>
      <w:r>
        <w:rPr>
          <w:b/>
        </w:rPr>
        <w:t>Correction for further review:</w:t>
      </w:r>
      <w:r>
        <w:t xml:space="preserve"> Present the 2.82 MW (end-2024) and 2.2 MW (end-2025, excluding pilots) side by side with source-specific exclusions; avoid claiming net decommissioning or a rate of scale-up until project-level capacity classifications are reconciled. https://blue-economy-observatory.ec.europa.eu/eu-blue-economy-sectors/marine-renewable-energy_en</w:t>
      </w:r>
    </w:p>
    <w:p>
      <w:pPr/>
      <w:r>
        <w:rPr>
          <w:b/>
        </w:rPr>
        <w:t>Correction for further review:</w:t>
      </w:r>
      <w:r>
        <w:t xml:space="preserve"> Label industry forecasts as Europe-wide including the UK; do not compare the full 165 MW or newer 196 MW directly with EU-only installed/operational figures or implicitly treat UK projects as EU capacity. https://blue-economy-observatory.ec.europa.eu/eu-blue-economy-sectors/marine-renewable-energy_en</w:t>
      </w:r>
    </w:p>
    <w:p>
      <w:pPr>
        <w:pStyle w:val="SourceNote"/>
      </w:pPr>
      <w:r>
        <w:rPr>
          <w:b/>
        </w:rPr>
        <w:t>Editorial status:</w:t>
      </w:r>
      <w:r>
        <w:t xml:space="preserve"> Further independent checks required. Not a prediction verdict or proof of causal influence.</w:t>
      </w:r>
    </w:p>
    <w:p>
      <w:pPr>
        <w:pStyle w:val="Heading2"/>
      </w:pPr>
      <w:r>
        <w:t>1038. Research case doi:10.3141/2252-05</w:t>
      </w:r>
    </w:p>
    <w:p>
      <w:pPr/>
      <w:r>
        <w:rPr>
          <w:b/>
        </w:rPr>
        <w:t>Record ID:</w:t>
      </w:r>
      <w:r>
        <w:t xml:space="preserve"> doi:10.3141/2252-05</w:t>
      </w:r>
    </w:p>
    <w:p>
      <w:pPr>
        <w:pStyle w:val="SourceNote"/>
      </w:pPr>
      <w:r>
        <w:rPr>
          <w:b/>
        </w:rPr>
        <w:t>Original source:</w:t>
      </w:r>
      <w:r>
        <w:t xml:space="preserve"> https://doi.org/10.3141/2252-05</w:t>
      </w:r>
    </w:p>
    <w:p>
      <w:pPr/>
      <w:r>
        <w:rPr>
          <w:b/>
        </w:rPr>
        <w:t>Study interpretation:</w:t>
      </w:r>
      <w:r>
        <w:t xml:space="preserve"> Model-based, conditional scenario study (not a forecast) for the EU-27 of 2007-2013 (incl. UK, excl. Croatia), base year 2005, horizon 2030, from the EU-cofunded iTREN-2030 project linking POLES, TREMOVE, ASTRA and TRANS-TOOLS. Reference scenario = policies approved by mid-2008, no shocks, 2008 downturn not fully reflected (+17% transport GHG 2005-2030); integrated scenario = policies likely by 2025 (vehicle CO2 limits, EU climate-energy package via a carbon value for -20% GHG and 20% renewables by 2020, downturn included) giving -12% by 2030. The iTREN-2030 final report D6 (Schade &amp; Krail, 27 Apr 2010, Executive Summary; Table 3: 1,268 Mt CO2 in 2005 -&gt; 1,485 Mt in 2030) carries the same +17%, and a JRC-IPTS WCTRS 2010 abstract gives the integrated path as -7% by 2020 and -12% by 2030; the iTREN emission scope should be reconciled with inventory categories before any numeric comparison.</w:t>
      </w:r>
    </w:p>
    <w:p>
      <w:pPr/>
      <w:r>
        <w:rPr>
          <w:b/>
        </w:rPr>
        <w:t>Connections and continuities:</w:t>
      </w:r>
      <w:r>
        <w:t xml:space="preserve"> Observed EU transport emissions did not follow the reference path (+17%); by 2024 domestic transport emissions were about 5% below 2005, the direction of the integrated scenario. Renewable shares in transport reached about 10% around 2020, close to the integrated run's preliminary 2020 biofuel figure.</w:t>
      </w:r>
    </w:p>
    <w:p>
      <w:pPr/>
      <w:r>
        <w:rPr>
          <w:b/>
        </w:rPr>
        <w:t>Departures and surprises:</w:t>
      </w:r>
      <w:r>
        <w:t xml:space="preserve"> Progress was slower than the integrated path: emissions were only 1.8% below 2005 in 2019, and then COVID-19 (2020) and the 2022 energy shock caused swings that neither scenario represented. International aviation emissions grew about 35% (2005-2024), a part of transport outside the domestic total.</w:t>
      </w:r>
    </w:p>
    <w:p>
      <w:pPr/>
      <w:r>
        <w:rPr>
          <w:b/>
        </w:rPr>
        <w:t>Unresolved questions:</w:t>
      </w:r>
      <w:r>
        <w:t xml:space="preserve"> The 2030 horizon has not arrived; current Member State projections (EEA 2025) point to a deeper cut than -12%, but these are projections. A numeric comparison needs the iTREN emission scope and the EU-27 (with UK) geography reconciled with EU27_2020 inventory categories.</w:t>
      </w:r>
    </w:p>
    <w:p>
      <w:pPr/>
      <w:r>
        <w:rPr>
          <w:b/>
        </w:rPr>
        <w:t>Later source:</w:t>
      </w:r>
      <w:r>
        <w:t xml:space="preserve"> Greenhouse gas emissions by source sector (env_air_gge): EU27_2020, CRF 1.A.3 'Fuel combustion in transport' and memo items (2026-06-02) https://ec.europa.eu/eurostat/databrowser/view/env_air_gge/default/table?lang=en</w:t>
      </w:r>
    </w:p>
    <w:p>
      <w:pPr/>
      <w:r>
        <w:rPr>
          <w:b/>
        </w:rPr>
        <w:t>Observed or reported:</w:t>
      </w:r>
      <w:r>
        <w:t xml:space="preserve"> EU27_2020 transport GHG (CRF 1.A.3, excl. international bunkers): 849.9 Mt CO2e in 2005; 834.8 Mt in 2019 (-1.8% vs 2005); 722.5 Mt in 2020; 795.6 Mt in 2023 (-6.4%); 804.8 Mt in 2024 (-5.3%). International aviation (memo item 1.D.1.a) rose from 96.4 Mt (2005) to 130.0 Mt (2024). Values extracted via the Eurostat dissemination API on 2026-10-26 (dataset last updated 2026-06-02).</w:t>
      </w:r>
    </w:p>
    <w:p>
      <w:pPr/>
      <w:r>
        <w:rPr>
          <w:b/>
        </w:rPr>
        <w:t>Connection (proposed):</w:t>
      </w:r>
      <w:r>
        <w:t xml:space="preserve"> Interim real-world observation against a 2030 scenario horizon that has not arrived. Domestic transport emissions are about 5% below 2005, so they have not followed the reference path (+17% by 2030) and move in the direction of the integrated scenario, but more slowly than its -7%-by-2020 milestone reported in the iTREN-2030 documents (pre-COVID 2019 was only -1.8%).</w:t>
      </w:r>
    </w:p>
    <w:p>
      <w:pPr/>
      <w:r>
        <w:rPr>
          <w:b/>
        </w:rPr>
        <w:t>Limit of interpretation:</w:t>
      </w:r>
      <w:r>
        <w:t xml:space="preserve"> Geography differs (study: EU-27 incl. UK; Eurostat EU27_2020 excl. UK, incl. Croatia) and the iTREN emission scope/base (1,268 Mt CO2 in 2005) is not the same as CRF 1.A.3. COVID-19 and the 2022 energy-price shock were outside both scenarios. Resemblance to the integrated path does not show that the modelled policies caused the outcome.</w:t>
      </w:r>
    </w:p>
    <w:p>
      <w:pPr/>
      <w:r>
        <w:rPr>
          <w:b/>
        </w:rPr>
        <w:t>Later source:</w:t>
      </w:r>
      <w:r>
        <w:t xml:space="preserve"> Share of energy from renewable sources in transport (nrg_ind_ren, REN_TRA): EU27_2020 (2026-09-15) https://ec.europa.eu/eurostat/databrowser/view/nrg_ind_ren/default/table?lang=en</w:t>
      </w:r>
    </w:p>
    <w:p>
      <w:pPr/>
      <w:r>
        <w:rPr>
          <w:b/>
        </w:rPr>
        <w:t>Observed or reported:</w:t>
      </w:r>
      <w:r>
        <w:t xml:space="preserve"> Renewable energy share in transport (RES-T): 1.8% (2005), 5.5% (2010), 10.3% (2020), 9.6% (2022), 11.0% (2023), 11.2% (2024). Extracted via the Eurostat API on 2026-10-26.</w:t>
      </w:r>
    </w:p>
    <w:p>
      <w:pPr/>
      <w:r>
        <w:rPr>
          <w:b/>
        </w:rPr>
        <w:t>Connection (proposed):</w:t>
      </w:r>
      <w:r>
        <w:t xml:space="preserve"> The abstract attributes the integrated-scenario emission cut partly to higher shares of alternative fuels (biofuels, gas, electricity). The iTREN-2030 final report gives a reference-scenario biofuel share of about 6.6% in 2020 and almost 10% in 2030 (Section 3.2), and the JRC-IPTS WCTRS 2010 abstract gives about 9.8% in 2020 for the preliminary integrated run; the observed ~10% in 2020 sits nearer the integrated value, with slow growth after 2020.</w:t>
      </w:r>
    </w:p>
    <w:p>
      <w:pPr/>
      <w:r>
        <w:rPr>
          <w:b/>
        </w:rPr>
        <w:t>Limit of interpretation:</w:t>
      </w:r>
      <w:r>
        <w:t xml:space="preserve"> RES-T is a Renewable Energy Directive accounting indicator (multipliers for advanced biofuels and renewable electricity, specific denominator) and is not like-for-like with a modelled physical biofuel share. Policy targets (RED 10% in 2020) shaped the observation independently of the paper.</w:t>
      </w:r>
    </w:p>
    <w:p>
      <w:pPr/>
      <w:r>
        <w:rPr>
          <w:b/>
        </w:rPr>
        <w:t>Later source:</w:t>
      </w:r>
      <w:r>
        <w:t xml:space="preserve"> Greenhouse gas emissions from transport in Europe (EEA indicator) (2025-11-06) https://www.eea.europa.eu/en/analysis/indicators/greenhouse-gas-emissions-from-transport</w:t>
      </w:r>
    </w:p>
    <w:p>
      <w:pPr/>
      <w:r>
        <w:rPr>
          <w:b/>
        </w:rPr>
        <w:t>Observed or reported:</w:t>
      </w:r>
      <w:r>
        <w:t xml:space="preserve"> EEA states that EU transport emissions "have only declined slightly since 2005" and that preliminary 2024 emissions were 0.7% above 2023; road transport emitted 73% of EU transport GHG (incl. international bunkers) in 2023. Member State projections: with existing measures transport emissions would reach 1990 levels by 2030; with additional measures 13% below 1990 (Figure 1 and Figure 2 text).</w:t>
      </w:r>
    </w:p>
    <w:p>
      <w:pPr/>
      <w:r>
        <w:rPr>
          <w:b/>
        </w:rPr>
        <w:t>Connection (proposed):</w:t>
      </w:r>
      <w:r>
        <w:t xml:space="preserve"> An official interim assessment plus a newer projection for the same 2030 horizon. Using Eurostat domestic-transport values (674.7 Mt in 1990, 849.9 Mt in 2005; our arithmetic), a return to 1990 levels would be roughly -21% versus 2005, a deeper cut than the integrated scenario's -12%, but it remains a projection, not an outcome.</w:t>
      </w:r>
    </w:p>
    <w:p>
      <w:pPr/>
      <w:r>
        <w:rPr>
          <w:b/>
        </w:rPr>
        <w:t>Limit of interpretation:</w:t>
      </w:r>
      <w:r>
        <w:t xml:space="preserve"> Compares one projection with another; the page mixes 'domestic' wording with a methodology that sums 1.A.3 plus international aviation and maritime, so the scope of the 2030 projection is ambiguous. Member State projections may not materialise.</w:t>
      </w:r>
    </w:p>
    <w:p>
      <w:pPr/>
      <w:r>
        <w:rPr>
          <w:b/>
        </w:rPr>
        <w:t>Correction for further review:</w:t>
      </w:r>
      <w:r>
        <w:t xml:space="preserve"> Store as: "[Integrated scenario - policies likely to be implemented until 2025, incl. vehicle CO2 limits and the EU climate and energy package:] GHG emissions by transport will decline 12% by 2030 compared with 2005; in the reference scenario [policies approved by mid-2008] in the same period, emissions are expected to grow 17%." Keep the model-suite sentence separately as method context, and tag the geography as EU-27 (2007-2013 membership). https://api.crossref.org/works/10.3141/2252-05</w:t>
      </w:r>
    </w:p>
    <w:p>
      <w:pPr>
        <w:pStyle w:val="SourceNote"/>
      </w:pPr>
      <w:r>
        <w:rPr>
          <w:b/>
        </w:rPr>
        <w:t>Editorial status:</w:t>
      </w:r>
      <w:r>
        <w:t xml:space="preserve"> Further independent checks required. Not a prediction verdict or proof of causal influence.</w:t>
      </w:r>
    </w:p>
    <w:p>
      <w:pPr>
        <w:pStyle w:val="Heading2"/>
      </w:pPr>
      <w:r>
        <w:t>1039. Research case doi:10.3390/f2010147</w:t>
      </w:r>
    </w:p>
    <w:p>
      <w:pPr/>
      <w:r>
        <w:rPr>
          <w:b/>
        </w:rPr>
        <w:t>Record ID:</w:t>
      </w:r>
      <w:r>
        <w:t xml:space="preserve"> doi:10.3390/f2010147</w:t>
      </w:r>
    </w:p>
    <w:p>
      <w:pPr>
        <w:pStyle w:val="SourceNote"/>
      </w:pPr>
      <w:r>
        <w:rPr>
          <w:b/>
        </w:rPr>
        <w:t>Original source:</w:t>
      </w:r>
      <w:r>
        <w:t xml:space="preserve"> https://doi.org/10.3390/f2010147</w:t>
      </w:r>
    </w:p>
    <w:p>
      <w:pPr/>
      <w:r>
        <w:rPr>
          <w:b/>
        </w:rPr>
        <w:t>Study interpretation:</w:t>
      </w:r>
      <w:r>
        <w:t xml:space="preserve"> Qualitative scenario analysis (no quantitative market model) of global wood-product markets and implications for Sweden, horizon about forty years (around 2050). A 2x2 matrix of globalisation vs regionalism and low vs pronounced climate and environmental concern gives scenarios I-IV. Beyond the stored sentence, the paper expects ICT to drastically cut newsprint and printing paper demand, sees pulp and paper prospects as 'more ambiguous' (production shifting south; mechanical pulp squeezed by bioenergy-driven raw material and electricity prices), expects bioenergy to benefit sawmills and forest owners, and finds the highest demand for Swedish wood in a regionalised, high-climate-concern world. These are conditional futures; the 2050 horizon has not arrived.</w:t>
      </w:r>
    </w:p>
    <w:p>
      <w:pPr/>
      <w:r>
        <w:rPr>
          <w:b/>
        </w:rPr>
        <w:t>Connections and continuities:</w:t>
      </w:r>
      <w:r>
        <w:t xml:space="preserve"> The paper's most robust expectation, steep ICT-driven decline in newsprint and printing paper, is clearly observed both globally (-41% graphic papers 2010-2024) and in Sweden (-67%). Industrially prefabricated timber frames dominate Swedish wood multi-dwelling construction and reached a 17% share of started apartments in 2024.</w:t>
      </w:r>
    </w:p>
    <w:p>
      <w:pPr/>
      <w:r>
        <w:rPr>
          <w:b/>
        </w:rPr>
        <w:t>Departures and surprises:</w:t>
      </w:r>
      <w:r>
        <w:t xml:space="preserve"> Swedish sawnwood volumes have been flat rather than growing, and pellet output has not expanded, so the bioenergy-driven 'demand pressure on Swedish wood' of scenarios II-IV is not evident in production volumes. Packaging-paper growth, which the paper did not emphasise, cushioned the pulp and paper sector.</w:t>
      </w:r>
    </w:p>
    <w:p>
      <w:pPr/>
      <w:r>
        <w:rPr>
          <w:b/>
        </w:rPr>
        <w:t>Unresolved questions:</w:t>
      </w:r>
      <w:r>
        <w:t xml:space="preserve"> Which of the four scenario quadrants the world is moving toward cannot be judged from production data: globalisation and climate-policy axes have both shifted in mixed ways, and the 2050 horizon is far off. Value-added and profitability outcomes for Swedish sawmills, and forest-owner wood prices, were not examined.</w:t>
      </w:r>
    </w:p>
    <w:p>
      <w:pPr/>
      <w:r>
        <w:rPr>
          <w:b/>
        </w:rPr>
        <w:t>Later source:</w:t>
      </w:r>
      <w:r>
        <w:t xml:space="preserve"> FAOSTAT Forestry Production and Trade: world production of newsprint, graphic papers and other paper and paperboard (2026-04-01) https://www.fao.org/faostat/en/#data/FO</w:t>
      </w:r>
    </w:p>
    <w:p>
      <w:pPr/>
      <w:r>
        <w:rPr>
          <w:b/>
        </w:rPr>
        <w:t>Observed or reported:</w:t>
      </w:r>
      <w:r>
        <w:t xml:space="preserve"> World newsprint production fell from 33.1 Mt (2010) to 10.6 Mt (2024, estimate; -68%); graphic papers from 143.3 Mt to 85.1 Mt (-41%). 'Other paper and paperboard' (mainly packaging, household and sanitary grades) rose from 249.1 Mt to 337.9 Mt (+36%); total paper and paperboard rose from 392.4 Mt to 423.0 Mt (+8%). Taken from the FAOSTAT bulk file Forestry_E_All_Data_(Normalized), timestamp 2026-04-01.</w:t>
      </w:r>
    </w:p>
    <w:p>
      <w:pPr/>
      <w:r>
        <w:rPr>
          <w:b/>
        </w:rPr>
        <w:t>Connection (proposed):</w:t>
      </w:r>
      <w:r>
        <w:t xml:space="preserve"> Directly matches the paper's expectation (abstract; Section 6, p. 161) that ICT would bring 'drastic reductions in demand for newsprint and printing paper', which appears in all four scenarios. The strong growth of packaging grades, which the paper did not emphasise, partly offsets the decline at total-paper level.</w:t>
      </w:r>
    </w:p>
    <w:p>
      <w:pPr/>
      <w:r>
        <w:rPr>
          <w:b/>
        </w:rPr>
        <w:t>Limit of interpretation:</w:t>
      </w:r>
      <w:r>
        <w:t xml:space="preserve"> The decline was already under way in 2011, so this continues a trend more than it confirms a forecast. Several drivers besides ICT are involved (e-commerce, Asian demand, recycling), and FAOSTAT mixes official and estimated values (flags A/E/X).</w:t>
      </w:r>
    </w:p>
    <w:p>
      <w:pPr/>
      <w:r>
        <w:rPr>
          <w:b/>
        </w:rPr>
        <w:t>Later source:</w:t>
      </w:r>
      <w:r>
        <w:t xml:space="preserve"> FAOSTAT Forestry Production and Trade: Sweden, production of paper grades, sawnwood and wood pellets (2026-04-01) https://www.fao.org/faostat/en/#data/FO</w:t>
      </w:r>
    </w:p>
    <w:p>
      <w:pPr/>
      <w:r>
        <w:rPr>
          <w:b/>
        </w:rPr>
        <w:t>Observed or reported:</w:t>
      </w:r>
      <w:r>
        <w:t xml:space="preserve"> Sweden: graphic papers 5.51 Mt (2010) -&gt; 1.81 Mt (2024, estimate; -67%); newsprint 2.26 Mt -&gt; 0.22 Mt (-90%); total paper and paperboard 11.41 Mt -&gt; 8.07 Mt (-29%); other paper and paperboard 5.90 Mt -&gt; 6.26 Mt (+6%). Sawnwood 16.8 million m3 (2010) -&gt; 17.9 million m3 (2024), within 17.6-19.0 million m3 since 2015. Wood pellets 1.66 Mt (2015) -&gt; 1.58 Mt (2024).</w:t>
      </w:r>
    </w:p>
    <w:p>
      <w:pPr/>
      <w:r>
        <w:rPr>
          <w:b/>
        </w:rPr>
        <w:t>Connection (proposed):</w:t>
      </w:r>
      <w:r>
        <w:t xml:space="preserve"> The collapse in Swedish graphic paper fits the 'more ambiguous' pulp and paper outlook and the expected ICT effect, while packaging grades held up. Sawnwood output stayed broadly flat rather than growing, so the 'bright' solid-wood outlook is not visible as volume growth; the paper framed it as a value-added shift, which volumes cannot show. Pellet output did not expand, giving no sign yet of the strong bioenergy-driven wood demand in scenarios II-IV.</w:t>
      </w:r>
    </w:p>
    <w:p>
      <w:pPr/>
      <w:r>
        <w:rPr>
          <w:b/>
        </w:rPr>
        <w:t>Limit of interpretation:</w:t>
      </w:r>
      <w:r>
        <w:t xml:space="preserve"> Volumes do not measure profitability or value added. Swedish graphic-paper values for recent years are FAO estimates (flag E), and individual mill closures, energy prices and market cycles are not separated out. No scenario can be identified as 'occurring' from production data.</w:t>
      </w:r>
    </w:p>
    <w:p>
      <w:pPr/>
      <w:r>
        <w:rPr>
          <w:b/>
        </w:rPr>
        <w:t>Later source:</w:t>
      </w:r>
      <w:r>
        <w:t xml:space="preserve"> TMF i siffror - Statistik om den svenska trä- och möbelindustrin, nr 1, April 2026 (2026-04 (day not stated; PDF created 2026-04-29)) https://via.tt.se/files/3236590/4357795/325348/sv</w:t>
      </w:r>
    </w:p>
    <w:p>
      <w:pPr/>
      <w:r>
        <w:rPr>
          <w:b/>
        </w:rPr>
        <w:t>Observed or reported:</w:t>
      </w:r>
      <w:r>
        <w:t xml:space="preserve"> p. 3: according to SCB, 1,393 ordinary apartments with wooden frames were started in 2024 (-6.8% vs 2023), and the wood-frame share of all started apartments in multi-dwelling buildings rose to 17% in 2024; 95.4% of wood-frame apartments were fully or partly prefabricated ('helt eller delvis förtillverkade'). TMF's industrial wood-frame producers delivered 2,339 apartments in 2025 (-1.1% vs 2024).</w:t>
      </w:r>
    </w:p>
    <w:p>
      <w:pPr/>
      <w:r>
        <w:rPr>
          <w:b/>
        </w:rPr>
        <w:t>Connection (proposed):</w:t>
      </w:r>
      <w:r>
        <w:t xml:space="preserve"> This is the closest available indicator for the paper's stated condition, that the solid-wood industry accommodate demand for 'factory-made, energy-efficient construction components'. Industrial prefabrication is now the norm in Swedish wood-frame multi-dwelling construction and its market share is rising, but absolute volumes remain small.</w:t>
      </w:r>
    </w:p>
    <w:p>
      <w:pPr/>
      <w:r>
        <w:rPr>
          <w:b/>
        </w:rPr>
        <w:t>Limit of interpretation:</w:t>
      </w:r>
      <w:r>
        <w:t xml:space="preserve"> Industry-association digest relaying SCB data (not independently checked against SCB tables). Covers started ordinary apartments only, excluding student and special housing, and is a single year of share data. Energy efficiency and value added for sawmills are not measured, and no causal link to the paper.</w:t>
      </w:r>
    </w:p>
    <w:p>
      <w:pPr>
        <w:pStyle w:val="SourceNote"/>
      </w:pPr>
      <w:r>
        <w:rPr>
          <w:b/>
        </w:rPr>
        <w:t>Editorial status:</w:t>
      </w:r>
      <w:r>
        <w:t xml:space="preserve"> Further independent checks required. Not a prediction verdict or proof of causal influence.</w:t>
      </w:r>
    </w:p>
    <w:p>
      <w:pPr>
        <w:pStyle w:val="Heading2"/>
      </w:pPr>
      <w:r>
        <w:t>1040. Research case doi:10.2166/wst.2011.120</w:t>
      </w:r>
    </w:p>
    <w:p>
      <w:pPr/>
      <w:r>
        <w:rPr>
          <w:b/>
        </w:rPr>
        <w:t>Record ID:</w:t>
      </w:r>
      <w:r>
        <w:t xml:space="preserve"> doi:10.2166/wst.2011.120</w:t>
      </w:r>
    </w:p>
    <w:p>
      <w:pPr>
        <w:pStyle w:val="SourceNote"/>
      </w:pPr>
      <w:r>
        <w:rPr>
          <w:b/>
        </w:rPr>
        <w:t>Original source:</w:t>
      </w:r>
      <w:r>
        <w:t xml:space="preserve"> https://doi.org/10.2166/wst.2011.120</w:t>
      </w:r>
    </w:p>
    <w:p>
      <w:pPr/>
      <w:r>
        <w:rPr>
          <w:b/>
        </w:rPr>
        <w:t>Study interpretation:</w:t>
      </w:r>
      <w:r>
        <w:t xml:space="preserve"> Netherlands-only, demographic-only projection: age-specific 2007 consumption rates for 354 prescribed pharmaceuticals in 40 therapeutic groups (1,251 tonnes, 98% of Dutch prescribed consumption in 2007) applied to population projections, to anticipate emissions of pharmaceuticals and residues to surface water. Largest increases in groups linked to old age; decreases only for antivirals, addiction-treatment drugs and ethinylestradiol. It is a 'what if consumption rates stay at 2007 levels' scenario, not a forecast of actual use. The 2020 milestone has passed; 2050 has not.</w:t>
      </w:r>
    </w:p>
    <w:p>
      <w:pPr/>
      <w:r>
        <w:rPr>
          <w:b/>
        </w:rPr>
        <w:t>Connections and continuities:</w:t>
      </w:r>
      <w:r>
        <w:t xml:space="preserve"> The demographic premise materialised: Eurostat (demo_pjanind) shows the Dutch 65+ share rising from 14.5% (2007) to 20.8% (2025). SFK data confirm a steep age gradient in medicine use (75+ use about three times the average). Pharmaceutical residues in water remained a policy concern, culminating in the EU's 2024 quaternary-treatment and producer-pays rules.</w:t>
      </w:r>
    </w:p>
    <w:p>
      <w:pPr/>
      <w:r>
        <w:rPr>
          <w:b/>
        </w:rPr>
        <w:t>Departures and surprises:</w:t>
      </w:r>
      <w:r>
        <w:t xml:space="preserve"> Soon after publication, actual DDD growth fell below the purely demographic expectation (2013: +1.1% vs +1.9%). More recent growth is partly driven by non-demographic trends such as ADHD medication in young adults, which a fixed-rate projection omits.</w:t>
      </w:r>
    </w:p>
    <w:p>
      <w:pPr/>
      <w:r>
        <w:rPr>
          <w:b/>
        </w:rPr>
        <w:t>Unresolved questions:</w:t>
      </w:r>
      <w:r>
        <w:t xml:space="preserve"> Whether 2020 consumption in tonnes of active substance reached the projected level has not been established: available statistics use DDD, not mass. The abstract's internal numeric inconsistency needs full-text resolution. The 2050 horizon has not arrived.</w:t>
      </w:r>
    </w:p>
    <w:p>
      <w:pPr/>
      <w:r>
        <w:rPr>
          <w:b/>
        </w:rPr>
        <w:t>Later source:</w:t>
      </w:r>
      <w:r>
        <w:t xml:space="preserve"> Data en feiten 2014 - Het jaar 2013 in cijfers (2014 (exact date unknown; PDF created 2014-08-13)) https://sfk.nl/sites/sfk-nl/files/2025-01/Data_en_feiten_2014.pdf</w:t>
      </w:r>
    </w:p>
    <w:p>
      <w:pPr/>
      <w:r>
        <w:rPr>
          <w:b/>
        </w:rPr>
        <w:t>Observed or reported:</w:t>
      </w:r>
      <w:r>
        <w:t xml:space="preserve"> Section 1.2 'Gebruik van geneesmiddelen' (PDF p. 14) and summary: medicine use from community pharmacies, measured in DDD, grew 1.1% in 2013, whereas population growth and ageing alone implied +1.9%; annual growth over the preceding decade had been about 4-8% (summary) or 4-5% (Section 1.2). People aged 65+ (17.4% of the population on 1 Jan 2014) received more than three times the average volume. SFK offers healthier new 65+ cohorts and the rise in the insurance deductible (EUR 155 -&gt; 350, 2009-2013) as possible explanations.</w:t>
      </w:r>
    </w:p>
    <w:p>
      <w:pPr/>
      <w:r>
        <w:rPr>
          <w:b/>
        </w:rPr>
        <w:t>Connection (proposed):</w:t>
      </w:r>
      <w:r>
        <w:t xml:space="preserve"> A direct real-world test of the study's mechanism (fixed age-specific rates times demographic change). Within two to three years of publication, observed growth fell below the purely demographic expectation, showing that cohort health and insurance design move age-specific consumption rates.</w:t>
      </w:r>
    </w:p>
    <w:p>
      <w:pPr/>
      <w:r>
        <w:rPr>
          <w:b/>
        </w:rPr>
        <w:t>Limit of interpretation:</w:t>
      </w:r>
      <w:r>
        <w:t xml:space="preserve"> Single-year comparison. Measured in DDD of reimbursed medicines, not tonnes of active substance; the +1.9% expectation is SFK's own calculation, not the paper's. SFK's explanations are offered as possibilities, not tested.</w:t>
      </w:r>
    </w:p>
    <w:p>
      <w:pPr/>
      <w:r>
        <w:rPr>
          <w:b/>
        </w:rPr>
        <w:t>Later source:</w:t>
      </w:r>
      <w:r>
        <w:t xml:space="preserve"> Data en feiten 2025 - Het jaar 2024 in cijfers (2025-09 (month from file path; exact day unknown)) https://sfk.nl/sites/sfk-nl/files/2025-09/Data%20en%20feiten%202025%20%281MB%29.pdf</w:t>
      </w:r>
    </w:p>
    <w:p>
      <w:pPr/>
      <w:r>
        <w:rPr>
          <w:b/>
        </w:rPr>
        <w:t>Observed or reported:</w:t>
      </w:r>
      <w:r>
        <w:t xml:space="preserve"> Section 1.2, p. 21 and Figure 1.2: community pharmacies dispensed almost 8.9 billion DDD of reimbursed medicines in 2024 (+2.7% vs 2023, against estimated population growth of ~0.7%), i.e. 532 DDD per head (+2.0%). People aged 75+ used 1,574 DDD per head versus the 532 average. The largest per-head increase (+2.7%) was among 21-40-year-olds, driven by ADHD medicines (methylphenidate +10%, lisdexamfetamine +38%) and sertraline (+10%).</w:t>
      </w:r>
    </w:p>
    <w:p>
      <w:pPr/>
      <w:r>
        <w:rPr>
          <w:b/>
        </w:rPr>
        <w:t>Connection (proposed):</w:t>
      </w:r>
      <w:r>
        <w:t xml:space="preserve"> Confirms the steep age gradient underlying the projection: 75+ use about three times the average. It also shows that recent growth comes partly from non-demographic prescribing trends in younger adults, which a fixed-rate demographic projection cannot capture.</w:t>
      </w:r>
    </w:p>
    <w:p>
      <w:pPr/>
      <w:r>
        <w:rPr>
          <w:b/>
        </w:rPr>
        <w:t>Limit of interpretation:</w:t>
      </w:r>
      <w:r>
        <w:t xml:space="preserve"> DDD volume, not mass of active substance (the paper's unit), and reimbursed community-pharmacy medicines only. A single year, so it cannot be compared with the paper's 2020 tonnage projection without conversion.</w:t>
      </w:r>
    </w:p>
    <w:p>
      <w:pPr/>
      <w:r>
        <w:rPr>
          <w:b/>
        </w:rPr>
        <w:t>Later source:</w:t>
      </w:r>
      <w:r>
        <w:t xml:space="preserve"> Directive (EU) 2024/3019 of the European Parliament and of the Council of 27 November 2024 concerning urban wastewater treatment (recast) (2024-11-27) https://eur-lex.europa.eu/eli/dir/2024/3019/oj</w:t>
      </w:r>
    </w:p>
    <w:p>
      <w:pPr/>
      <w:r>
        <w:rPr>
          <w:b/>
        </w:rPr>
        <w:t>Observed or reported:</w:t>
      </w:r>
      <w:r>
        <w:t xml:space="preserve"> Entered into force 1 Jan 2025 (transposition by 31 Jul 2027). It requires quaternary treatment (micropollutant removal) at plants of 150,000 p.e. and above: 20% of such plants by 31 Dec 2033, 60% by 31 Dec 2039 and all by 31 Dec 2045. Producers of medicinal products for human use and cosmetics must cover at least 80% of the additional treatment costs (extended producer responsibility). EurEau reported on 2026-02-20 that the EU General Court dismissed industry challenges to the EPR provisions as inadmissible.</w:t>
      </w:r>
    </w:p>
    <w:p>
      <w:pPr/>
      <w:r>
        <w:rPr>
          <w:b/>
        </w:rPr>
        <w:t>Connection (proposed):</w:t>
      </w:r>
      <w:r>
        <w:t xml:space="preserve"> The study aimed to anticipate rising pharmaceutical emissions to surface waters driven by population ageing. EU policy has since moved to mandatory end-of-pipe micropollutant removal financed mainly by pharmaceutical producers, a policy response to the problem the study framed.</w:t>
      </w:r>
    </w:p>
    <w:p>
      <w:pPr/>
      <w:r>
        <w:rPr>
          <w:b/>
        </w:rPr>
        <w:t>Limit of interpretation:</w:t>
      </w:r>
      <w:r>
        <w:t xml:space="preserve"> No documented influence of this paper on the Directive. It is EU-wide, not Dutch-specific, implementation lies in the future, and cost-sharing remains politically contested.</w:t>
      </w:r>
    </w:p>
    <w:p>
      <w:pPr/>
      <w:r>
        <w:rPr>
          <w:b/>
        </w:rPr>
        <w:t>Correction for further review:</w:t>
      </w:r>
      <w:r>
        <w:t xml:space="preserve"> Add the projection sentence as the core passage: "Calculations based on a fixed consumption rate (2007) predict that demographic developments can be expected to push consumption up to 1.504 metric tonnes in 2020 (+17%) and 1.851 metric tonnes by 2050 (+37%)." Label it a demographic-only scenario for 354 prescribed pharmaceuticals in the Netherlands. https://api.crossref.org/works/10.2166/wst.2011.120</w:t>
      </w:r>
    </w:p>
    <w:p>
      <w:pPr/>
      <w:r>
        <w:rPr>
          <w:b/>
        </w:rPr>
        <w:t>Correction for further review:</w:t>
      </w:r>
      <w:r>
        <w:t xml:space="preserve"> Do not reuse the percentages or tonnages until a maintainer checks the full text (tables). Flag the record for human review. https://api.crossref.org/works/10.2166/wst.2011.120</w:t>
      </w:r>
    </w:p>
    <w:p>
      <w:pPr>
        <w:pStyle w:val="SourceNote"/>
      </w:pPr>
      <w:r>
        <w:rPr>
          <w:b/>
        </w:rPr>
        <w:t>Editorial status:</w:t>
      </w:r>
      <w:r>
        <w:t xml:space="preserve"> Further independent checks required. Not a prediction verdict or proof of causal influence.</w:t>
      </w:r>
    </w:p>
    <w:p>
      <w:pPr>
        <w:pStyle w:val="Heading2"/>
      </w:pPr>
      <w:r>
        <w:t>1041. Research case doi:10.1108/14636681111109660</w:t>
      </w:r>
    </w:p>
    <w:p>
      <w:pPr/>
      <w:r>
        <w:rPr>
          <w:b/>
        </w:rPr>
        <w:t>Record ID:</w:t>
      </w:r>
      <w:r>
        <w:t xml:space="preserve"> doi:10.1108/14636681111109660</w:t>
      </w:r>
    </w:p>
    <w:p>
      <w:pPr>
        <w:pStyle w:val="SourceNote"/>
      </w:pPr>
      <w:r>
        <w:rPr>
          <w:b/>
        </w:rPr>
        <w:t>Original source:</w:t>
      </w:r>
      <w:r>
        <w:t xml:space="preserve"> https://doi.org/10.1108/14636681111109660</w:t>
      </w:r>
    </w:p>
    <w:p>
      <w:pPr/>
      <w:r>
        <w:rPr>
          <w:b/>
        </w:rPr>
        <w:t>Study interpretation:</w:t>
      </w:r>
      <w:r>
        <w:t xml:space="preserve"> A methodological evaluation of a five-step foresight and scenario-workshop process for European public metrology research institutes, within a larger European Commission (DG Research) study of public research institutes. The other sectors in that study included civil space, plant science, geosurveys and marine; the underlying report is Cox, Barker &amp; Sveinsdottir, 'Analysis of public research institutes in Europe in selected S&amp;T fields - Metrology', Nov 2009, contract FORESIGHT-200702 Lot 2. The abstract gives no scenario names, time horizon or quantitative projections, so there is no forecast to compare; only the normative finding (European-level strategic coordination needed) and the networking aim can be traced.</w:t>
      </w:r>
    </w:p>
    <w:p>
      <w:pPr/>
      <w:r>
        <w:rPr>
          <w:b/>
        </w:rPr>
        <w:t>Connections and continuities:</w:t>
      </w:r>
      <w:r>
        <w:t xml:space="preserve"> European-level coordination of public metrology research deepened after 2011: EMPIR (2014-2024, EU up to EUR 300M), then the European Partnership on Metrology (2021-2027, EU up to EUR 300M, ~EUR 690M total), with EURAMET as the single implementing structure. Stakeholder-facing European Metrology Networks were formalised from 2019.</w:t>
      </w:r>
    </w:p>
    <w:p>
      <w:pPr/>
      <w:r>
        <w:rPr>
          <w:b/>
        </w:rPr>
        <w:t>Departures and surprises:</w:t>
      </w:r>
      <w:r>
        <w:t xml:space="preserve"> Networks were formalised as thematic EMNs tied to EU regulation and Horizon Europe clusters rather than through broader institute reform. EURAMET itself reports uneven maturity across the networks.</w:t>
      </w:r>
    </w:p>
    <w:p>
      <w:pPr/>
      <w:r>
        <w:rPr>
          <w:b/>
        </w:rPr>
        <w:t>Unresolved questions:</w:t>
      </w:r>
      <w:r>
        <w:t xml:space="preserve"> The paper's actual scenarios and their horizon are in paywalled full text and the 2009 EC report, which were not accessed, so no scenario-by-scenario comparison is possible. No independent evaluation (e.g., the 2017 EMPIR interim evaluation) was retrieved.</w:t>
      </w:r>
    </w:p>
    <w:p>
      <w:pPr/>
      <w:r>
        <w:rPr>
          <w:b/>
        </w:rPr>
        <w:t>Later source:</w:t>
      </w:r>
      <w:r>
        <w:t xml:space="preserve"> Decision No 555/2014/EU on the participation of the Union in a European Metrology Programme for Innovation and Research (EMPIR) jointly undertaken by several Member States (2014-05-15) https://www.legislation.gov.uk/eudn/2014/555/introduction</w:t>
      </w:r>
    </w:p>
    <w:p>
      <w:pPr/>
      <w:r>
        <w:rPr>
          <w:b/>
        </w:rPr>
        <w:t>Observed or reported:</w:t>
      </w:r>
      <w:r>
        <w:t xml:space="preserve"> EMPIR is an Article 185 TFEU joint programme running 2014-2024 (recital 7) and implemented by EURAMET e.V. (recital 13). Recital 10 aims at 'a stronger integration of Participating States' programmes', and recital 26 at an integrated European Metrology Research system. The predecessor EMRP received an EU contribution of up to EUR 200 million (recital 4). The EP Legislative Observatory summary gives the EMPIR EU contribution as up to EUR 300 million, with an independent-expert interim evaluation due by 30 June 2017.</w:t>
      </w:r>
    </w:p>
    <w:p>
      <w:pPr/>
      <w:r>
        <w:rPr>
          <w:b/>
        </w:rPr>
        <w:t>Connection (proposed):</w:t>
      </w:r>
      <w:r>
        <w:t xml:space="preserve"> The paper's finding called for proactive strategic management reaching 'into national policy and European decision making'. EMPIR institutionalised European-level joint programming and integration of national metrology research, the kind of follow-up the paper said was needed.</w:t>
      </w:r>
    </w:p>
    <w:p>
      <w:pPr/>
      <w:r>
        <w:rPr>
          <w:b/>
        </w:rPr>
        <w:t>Limit of interpretation:</w:t>
      </w:r>
      <w:r>
        <w:t xml:space="preserve"> No documented influence of the paper or its workshops. The trend predates it (EURAMET founded 2007; EMRP from 2009), so this is a continuation as much as a new development.</w:t>
      </w:r>
    </w:p>
    <w:p>
      <w:pPr/>
      <w:r>
        <w:rPr>
          <w:b/>
        </w:rPr>
        <w:t>Later source:</w:t>
      </w:r>
      <w:r>
        <w:t xml:space="preserve"> Decision (EU) 2021/2084 on the participation of the Union in the European Partnership on Metrology jointly undertaken by several Member States (CELEX 32021D2084) (2021-11-24) https://lawplayer.com/eu/act/32021D2084</w:t>
      </w:r>
    </w:p>
    <w:p>
      <w:pPr/>
      <w:r>
        <w:rPr>
          <w:b/>
        </w:rPr>
        <w:t>Observed or reported:</w:t>
      </w:r>
      <w:r>
        <w:t xml:space="preserve"> Art. 3(1): EU contribution up to EUR 300 million. Art. 1(1): 25 Participating States, including Norway. Art. 4(1)(b): EURAMET is the implementing structure. Art. 2(3)(a): research capabilities to be 'built within the framework of new European metrology networks'. EURAMET's Metrology Partnership page states an expected total budget of 'around 690 million euro' for 2021-2027.</w:t>
      </w:r>
    </w:p>
    <w:p>
      <w:pPr/>
      <w:r>
        <w:rPr>
          <w:b/>
        </w:rPr>
        <w:t>Connection (proposed):</w:t>
      </w:r>
      <w:r>
        <w:t xml:space="preserve"> Shows the European-level coordination trajectory continuing and deepening under Horizon Europe, with networks of national institutes written into law. This parallels the paper's emphasis on stakeholder networking and a shared European vision for public metrology institutes.</w:t>
      </w:r>
    </w:p>
    <w:p>
      <w:pPr/>
      <w:r>
        <w:rPr>
          <w:b/>
        </w:rPr>
        <w:t>Limit of interpretation:</w:t>
      </w:r>
      <w:r>
        <w:t xml:space="preserve"> No documented link to the paper. Text read from a third-party reproduction of the Decision (LawPlayer, stated current to 4 July 2026) and the EP Legislative Observatory proposal summary, not the EUR-Lex rendering.</w:t>
      </w:r>
    </w:p>
    <w:p>
      <w:pPr/>
      <w:r>
        <w:rPr>
          <w:b/>
        </w:rPr>
        <w:t>Later source:</w:t>
      </w:r>
      <w:r>
        <w:t xml:space="preserve"> European Metrology Networks Report 2019 - 2024 (2024-07-18) https://www.euramet.org/securedl/sdl-eyJ0eXAiOiJKV1QiLCJhbGciOiJIUzI1NiJ9.eyJpYXQiOjE3NzUzODgxMTgsImV4cCI6MTgwNzAxMDUxOCwidXNlciI6MCwiZ3JvdXBzIjpbMCwtMV0sImZpbGUiOiJNZWRpYS9kb2NzL0VNUlAvRG9jdW1lbnRzX1BhcnRuZXJzaGlwL0VNTl9SZXBvcnRfMjAxOV8tXzIwMjQucGRmIiwicGFnZSI6MjgyMn0.tBteRHTiqEnfRoqsKJf5-kH4j0R9-mFbUVlFWZ9SQO8/EMN_Report_2019_-_2024.pdf</w:t>
      </w:r>
    </w:p>
    <w:p>
      <w:pPr/>
      <w:r>
        <w:rPr>
          <w:b/>
        </w:rPr>
        <w:t>Observed or reported:</w:t>
      </w:r>
      <w:r>
        <w:t xml:space="preserve"> EURAMET covers 39 national metrology institutes and 77 designated institutes. The first six European Metrology Networks were approved in 2019 (p. 8) and twelve were approved between 2018 and 2024 (p. 9). EMNs channel stakeholder needs into EMPIR and the Metrology Partnership. The report concedes that 'The networks are at different levels of maturity' and calls their development 'a challenging venture' (p. 2).</w:t>
      </w:r>
    </w:p>
    <w:p>
      <w:pPr/>
      <w:r>
        <w:rPr>
          <w:b/>
        </w:rPr>
        <w:t>Connection (proposed):</w:t>
      </w:r>
      <w:r>
        <w:t xml:space="preserve"> The paper valued scenario workshops for helping experts and stakeholders network and build a shared vision, and said follow-up was needed. EMNs are a permanent, stakeholder-facing networking structure with strategic research agendas, a later institutional form of that aim.</w:t>
      </w:r>
    </w:p>
    <w:p>
      <w:pPr/>
      <w:r>
        <w:rPr>
          <w:b/>
        </w:rPr>
        <w:t>Limit of interpretation:</w:t>
      </w:r>
      <w:r>
        <w:t xml:space="preserve"> Self-assessment by the implementing body, not an independent evaluation, with no connection to the 2009-2011 foresight workshops documented. The signed download URL may expire (token expiry around 2027); the PDF is dated by its file metadata.</w:t>
      </w:r>
    </w:p>
    <w:p>
      <w:pPr/>
      <w:r>
        <w:rPr>
          <w:b/>
        </w:rPr>
        <w:t>Correction for further review:</w:t>
      </w:r>
      <w:r>
        <w:t xml:space="preserve"> Classify as a methodological foresight record. If a substantive passage is needed, use the Findings sentence ("This case demonstrates the need for proactive strategic management which goes well beyond the institutional boundary, into national policy and European decision making."), and point to the 2009 EC report for the actual scenarios. https://api.crossref.org/works/10.1108/14636681111109660</w:t>
      </w:r>
    </w:p>
    <w:p>
      <w:pPr>
        <w:pStyle w:val="SourceNote"/>
      </w:pPr>
      <w:r>
        <w:rPr>
          <w:b/>
        </w:rPr>
        <w:t>Editorial status:</w:t>
      </w:r>
      <w:r>
        <w:t xml:space="preserve"> Further independent checks required. Not a prediction verdict or proof of causal influence.</w:t>
      </w:r>
    </w:p>
    <w:p>
      <w:pPr>
        <w:pStyle w:val="Heading2"/>
      </w:pPr>
      <w:r>
        <w:t>1042. Research case doi:10.1111/j.1466-8238.2011.00669.x</w:t>
      </w:r>
    </w:p>
    <w:p>
      <w:pPr/>
      <w:r>
        <w:rPr>
          <w:b/>
        </w:rPr>
        <w:t>Record ID:</w:t>
      </w:r>
      <w:r>
        <w:t xml:space="preserve"> doi:10.1111/j.1466-8238.2011.00669.x</w:t>
      </w:r>
    </w:p>
    <w:p>
      <w:pPr>
        <w:pStyle w:val="SourceNote"/>
      </w:pPr>
      <w:r>
        <w:rPr>
          <w:b/>
        </w:rPr>
        <w:t>Original source:</w:t>
      </w:r>
      <w:r>
        <w:t xml:space="preserve"> https://doi.org/10.1111/j.1466-8238.2011.00669.x</w:t>
      </w:r>
    </w:p>
    <w:p>
      <w:pPr/>
      <w:r>
        <w:rPr>
          <w:b/>
        </w:rPr>
        <w:t>Study interpretation:</w:t>
      </w:r>
      <w:r>
        <w:t xml:space="preserve"> Model-based projection for Europe of 14 tree species. SDMs were calibrated on abundance from 5,768 ICP Forests Level I plots (climate, topography, soil, land use); realistic migration rates came from TreeMig process-model experiments as functions of macroclimate, inter-specific competition and habitat connectivity, applied as a migration-cost surface. Results are compared with no-migration and unlimited-migration assumptions under the A1fi/GRAS and B1/SEDG climate and land-use scenarios for the 21st century. Main conclusions: competition slows range shifts more than adverse macroclimate, fragmentation causes lags, and early-successional species track climate almost instantly while mid- to late-successional species migrate very slowly. The end-of-century horizon has not arrived; only interim observations exist.</w:t>
      </w:r>
    </w:p>
    <w:p>
      <w:pPr/>
      <w:r>
        <w:rPr>
          <w:b/>
        </w:rPr>
        <w:t>Connections and continuities:</w:t>
      </w:r>
      <w:r>
        <w:t xml:space="preserve"> Observational syntheses since 2011 support the core premise that terrestrial species, especially under human land-use constraints, lag behind shifting climate. European field data show several mid- to late-successional trees not shifting upslope, consistent in direction with the projected very slow migration.</w:t>
      </w:r>
    </w:p>
    <w:p>
      <w:pPr/>
      <w:r>
        <w:rPr>
          <w:b/>
        </w:rPr>
        <w:t>Departures and surprises:</w:t>
      </w:r>
      <w:r>
        <w:t xml:space="preserve"> Some species show juveniles at lower, not higher, elevations than adults, implying demographic or ontogenetic controls not represented in the migration model. Drought-driven mortality emerged as a major, abrupt driver of forest change, outside the model's colonisation-focused framing.</w:t>
      </w:r>
    </w:p>
    <w:p>
      <w:pPr/>
      <w:r>
        <w:rPr>
          <w:b/>
        </w:rPr>
        <w:t>Unresolved questions:</w:t>
      </w:r>
      <w:r>
        <w:t xml:space="preserve"> The projection horizon (21st century) is far off, and no study was found that directly evaluates the predicted migration rates for the same 14 species. Distinguishing slow migration from non-climatic causes in observed distributions remains methodologically hard.</w:t>
      </w:r>
    </w:p>
    <w:p>
      <w:pPr/>
      <w:r>
        <w:rPr>
          <w:b/>
        </w:rPr>
        <w:t>Later source:</w:t>
      </w:r>
      <w:r>
        <w:t xml:space="preserve"> Disparity in elevational shifts of European trees in response to recent climate warming (2013-05-14) https://doi.org/10.1111/gcb.12220</w:t>
      </w:r>
    </w:p>
    <w:p>
      <w:pPr/>
      <w:r>
        <w:rPr>
          <w:b/>
        </w:rPr>
        <w:t>Observed or reported:</w:t>
      </w:r>
      <w:r>
        <w:t xml:space="preserve"> Juvenile vs adult altitudinal distributions of seven major European tree species on transects from southern Spain (37°N) to northern Sweden (67°N), where mean temperature over the last decade was 0.86 °C above the previous 30-year period. Only Abies alba showed juveniles peaking higher than adults. Fagus sylvatica, Picea abies and Pinus sylvestris showed the opposite pattern, and no change was detected for Quercus ilex, Acer pseudoplatanus and Q. petraea. The authors state that the findings are 'in contrast with theoretical predictions'.</w:t>
      </w:r>
    </w:p>
    <w:p>
      <w:pPr/>
      <w:r>
        <w:rPr>
          <w:b/>
        </w:rPr>
        <w:t>Connection (proposed):</w:t>
      </w:r>
      <w:r>
        <w:t xml:space="preserve"> Field evidence that several mid- to late-successional European trees are not (yet) tracking warming upslope, consistent in direction with Meier et al.'s projection of very slow migration for such species. The opposite-direction pattern points to demographic and ontogenetic processes beyond the competition and connectivity mechanisms that were modelled.</w:t>
      </w:r>
    </w:p>
    <w:p>
      <w:pPr/>
      <w:r>
        <w:rPr>
          <w:b/>
        </w:rPr>
        <w:t>Limit of interpretation:</w:t>
      </w:r>
      <w:r>
        <w:t xml:space="preserve"> Elevational juvenile-adult comparison, not latitudinal range-front migration. Limited transects and species, whose overlap with Meier et al.'s 14 species was not verified. Abstract-level check.</w:t>
      </w:r>
    </w:p>
    <w:p>
      <w:pPr/>
      <w:r>
        <w:rPr>
          <w:b/>
        </w:rPr>
        <w:t>Later source:</w:t>
      </w:r>
      <w:r>
        <w:t xml:space="preserve"> Species better track climate warming in the oceans than on land (2020-05-25) https://archimer.ifremer.fr/doc/00632/74377/</w:t>
      </w:r>
    </w:p>
    <w:p>
      <w:pPr/>
      <w:r>
        <w:rPr>
          <w:b/>
        </w:rPr>
        <w:t>Observed or reported:</w:t>
      </w:r>
      <w:r>
        <w:t xml:space="preserve"> BioShifts geodatabase of 30,534 range shifts (over 12,000 species): marine species shift poleward about six times faster than terrestrial ones, and terrestrial species lag behind shifting isotherms more than marine species. 'On land, human activities impede the capacity of terrestrial species to track isotherm shifts in latitude'; elevational shifts follow isotherms but more slowly than expected. The data are biased toward developed Northern Hemisphere regions.</w:t>
      </w:r>
    </w:p>
    <w:p>
      <w:pPr/>
      <w:r>
        <w:rPr>
          <w:b/>
        </w:rPr>
        <w:t>Connection (proposed):</w:t>
      </w:r>
      <w:r>
        <w:t xml:space="preserve"> Broad empirical support for the paper's premise that species may not keep pace with climate change, and for the importance of landscape and human constraints (cf. its habitat-connectivity and land-use variables) in slowing range shifts on land.</w:t>
      </w:r>
    </w:p>
    <w:p>
      <w:pPr/>
      <w:r>
        <w:rPr>
          <w:b/>
        </w:rPr>
        <w:t>Limit of interpretation:</w:t>
      </w:r>
      <w:r>
        <w:t xml:space="preserve"> Global, multi-taxa synthesis; no tree- or Europe-specific estimate was checked. Heterogeneous underlying studies, and it does not test the TreeMig-derived rates.</w:t>
      </w:r>
    </w:p>
    <w:p>
      <w:pPr/>
      <w:r>
        <w:rPr>
          <w:b/>
        </w:rPr>
        <w:t>Later source:</w:t>
      </w:r>
      <w:r>
        <w:t xml:space="preserve"> Excess forest mortality is consistently linked to drought across Europe (2020-12-03) https://doi.org/10.1038/s41467-020-19924-1</w:t>
      </w:r>
    </w:p>
    <w:p>
      <w:pPr/>
      <w:r>
        <w:rPr>
          <w:b/>
        </w:rPr>
        <w:t>Observed or reported:</w:t>
      </w:r>
      <w:r>
        <w:t xml:space="preserve"> Satellite canopy-mortality maps for 1987-2016 show excess forest mortality significantly related to drought across continental Europe, with threshold behaviour: steep increases when the March-July climatic water balance falls below -1.6 SD. Drought caused about 500,000 ha of excess mortality, and the authors suggest that more drought could trigger widespread tree mortality.</w:t>
      </w:r>
    </w:p>
    <w:p>
      <w:pPr/>
      <w:r>
        <w:rPr>
          <w:b/>
        </w:rPr>
        <w:t>Connection (proposed):</w:t>
      </w:r>
      <w:r>
        <w:t xml:space="preserve"> Points to a pathway of climate-driven distribution change, drought-induced mortality within ranges and at trailing edges, that lies outside a migration-focused SDM framework centred on colonisation constraints. Realised range dynamics may be dominated by rapid losses rather than slow gains.</w:t>
      </w:r>
    </w:p>
    <w:p>
      <w:pPr/>
      <w:r>
        <w:rPr>
          <w:b/>
        </w:rPr>
        <w:t>Limit of interpretation:</w:t>
      </w:r>
      <w:r>
        <w:t xml:space="preserve"> Mortality is not resolved by species in this analysis and does not test Meier et al.'s projections. The study period ends in 2016, before the 2018-2020 central European drought years.</w:t>
      </w:r>
    </w:p>
    <w:p>
      <w:pPr/>
      <w:r>
        <w:rPr>
          <w:b/>
        </w:rPr>
        <w:t>Correction for further review:</w:t>
      </w:r>
      <w:r>
        <w:t xml:space="preserve"> Append the Main conclusions: "Early-successional species track climate change almost instantaneously while mid- to late-successional species were predicted to migrate very slowly", with the Results' migration rates (~157-164 vs ~15-16 m/yr) and scenario labels A1fi/GRAS and B1/SEDG. https://api.crossref.org/works/10.1111/j.1466-8238.2011.00669.x</w:t>
      </w:r>
    </w:p>
    <w:p>
      <w:pPr/>
      <w:r>
        <w:rPr>
          <w:b/>
        </w:rPr>
        <w:t>Correction for further review:</w:t>
      </w:r>
      <w:r>
        <w:t xml:space="preserve"> Keep 2011-05-05 as the first-publication date and add the citation: Global Ecology and Biogeography 21(2):164-178 (Feb 2012); authors Meier, Lischke, Schmatz, Zimmermann. https://api.crossref.org/works/10.1111/j.1466-8238.2011.00669.x</w:t>
      </w:r>
    </w:p>
    <w:p>
      <w:pPr>
        <w:pStyle w:val="SourceNote"/>
      </w:pPr>
      <w:r>
        <w:rPr>
          <w:b/>
        </w:rPr>
        <w:t>Editorial status:</w:t>
      </w:r>
      <w:r>
        <w:t xml:space="preserve"> Further independent checks required. Not a prediction verdict or proof of causal influence.</w:t>
      </w:r>
    </w:p>
    <w:p>
      <w:pPr>
        <w:pStyle w:val="Heading2"/>
      </w:pPr>
      <w:r>
        <w:t>1043. Research case doi:10.5771/1435-2869-2011-4-521</w:t>
      </w:r>
    </w:p>
    <w:p>
      <w:pPr/>
      <w:r>
        <w:rPr>
          <w:b/>
        </w:rPr>
        <w:t>Record ID:</w:t>
      </w:r>
      <w:r>
        <w:t xml:space="preserve"> doi:10.5771/1435-2869-2011-4-521</w:t>
      </w:r>
    </w:p>
    <w:p>
      <w:pPr>
        <w:pStyle w:val="SourceNote"/>
      </w:pPr>
      <w:r>
        <w:rPr>
          <w:b/>
        </w:rPr>
        <w:t>Original source:</w:t>
      </w:r>
      <w:r>
        <w:t xml:space="preserve"> https://doi.org/10.5771/1435-2869-2011-4-521</w:t>
      </w:r>
    </w:p>
    <w:p>
      <w:pPr/>
      <w:r>
        <w:rPr>
          <w:b/>
        </w:rPr>
        <w:t>Study interpretation:</w:t>
      </w:r>
      <w:r>
        <w:t xml:space="preserve"> Bulgaria-only study: a literature review plus ILO-model sensitivity tests of labour productivity to 2050, driven by population size and age structure under three life-expectancy improvement variants (fast, medium, slow). It concludes that ageing has a negative effect on labour productivity while flagging the long timeframe. This is a sensitivity analysis comparing demographic variants (a relative effect), not a forecast that productivity levels will fall. The 2050 horizon has not arrived.</w:t>
      </w:r>
    </w:p>
    <w:p>
      <w:pPr/>
      <w:r>
        <w:rPr>
          <w:b/>
        </w:rPr>
        <w:t>Connections and continuities:</w:t>
      </w:r>
      <w:r>
        <w:t xml:space="preserve"> Bulgaria's demographic decline and ageing proceeded strongly (population -12.6% and 65+ share 18.5% to 24.0%, 2011-2025). Later work, including the same author (2019) and a Bulgarian National Bank model study (DP/124/2025, Ivanov, Cvetkova &amp; Vassilev), still treats shrinking labour input as a lasting drag on potential growth.</w:t>
      </w:r>
    </w:p>
    <w:p>
      <w:pPr/>
      <w:r>
        <w:rPr>
          <w:b/>
        </w:rPr>
        <w:t>Departures and surprises:</w:t>
      </w:r>
      <w:r>
        <w:t xml:space="preserve"> Observed real labour productivity rose about 32% (2011-2024), more than four times the EU average, despite ageing. The lead author later described the modelled negative ageing effect on productivity as small and 'unconvincing'.</w:t>
      </w:r>
    </w:p>
    <w:p>
      <w:pPr/>
      <w:r>
        <w:rPr>
          <w:b/>
        </w:rPr>
        <w:t>Unresolved questions:</w:t>
      </w:r>
      <w:r>
        <w:t xml:space="preserve"> No counterfactual analysis isolating the effect of workforce ageing on Bulgarian productivity since 2011 was found. The 2050 horizon has not arrived, and the ILO model's projected productivity path could not be compared numerically because the full text was not accessible.</w:t>
      </w:r>
    </w:p>
    <w:p>
      <w:pPr/>
      <w:r>
        <w:rPr>
          <w:b/>
        </w:rPr>
        <w:t>Later source:</w:t>
      </w:r>
      <w:r>
        <w:t xml:space="preserve"> Population on 1 January (demo_pjan) and population structure indicators (demo_pjanind): Bulgaria (2026-09-25) https://ec.europa.eu/eurostat/databrowser/view/demo_pjanind/default/table?lang=en</w:t>
      </w:r>
    </w:p>
    <w:p>
      <w:pPr/>
      <w:r>
        <w:rPr>
          <w:b/>
        </w:rPr>
        <w:t>Observed or reported:</w:t>
      </w:r>
      <w:r>
        <w:t xml:space="preserve"> Bulgaria's population was 7,369,431 (2011), 6,532,117 (2021) and 6,437,360 (2025), -12.6% over 2011-2025. The 65+ share rose from 18.5% to 23.0% to 24.0%, the old-age dependency ratio from 27.0 to 36.7 to 38.7, and the median age from 42.5 (2011) to 47.3 (2025). Extracted via the Eurostat API on 2026-10-26.</w:t>
      </w:r>
    </w:p>
    <w:p>
      <w:pPr/>
      <w:r>
        <w:rPr>
          <w:b/>
        </w:rPr>
        <w:t>Connection (proposed):</w:t>
      </w:r>
      <w:r>
        <w:t xml:space="preserve"> Confirms that the study's demographic premise, a shrinking and rapidly ageing population, materialised strongly in the interim period.</w:t>
      </w:r>
    </w:p>
    <w:p>
      <w:pPr/>
      <w:r>
        <w:rPr>
          <w:b/>
        </w:rPr>
        <w:t>Limit of interpretation:</w:t>
      </w:r>
      <w:r>
        <w:t xml:space="preserve"> Demographic outcomes do not validate the productivity link. The series may be affected by census-based revisions (2021 census), and the paper's life-expectancy variants were not compared with outturns.</w:t>
      </w:r>
    </w:p>
    <w:p>
      <w:pPr/>
      <w:r>
        <w:rPr>
          <w:b/>
        </w:rPr>
        <w:t>Later source:</w:t>
      </w:r>
      <w:r>
        <w:t xml:space="preserve"> Labour productivity and unit labour costs (nama_10_lp_ulc): real labour productivity, Bulgaria and EU27_2020 (2026-10-22) https://ec.europa.eu/eurostat/databrowser/view/nama_10_lp_ulc/default/table?lang=en</w:t>
      </w:r>
    </w:p>
    <w:p>
      <w:pPr/>
      <w:r>
        <w:rPr>
          <w:b/>
        </w:rPr>
        <w:t>Observed or reported:</w:t>
      </w:r>
      <w:r>
        <w:t xml:space="preserve"> Real labour productivity per person (index 2015=100): Bulgaria 93.5 (2011), 111.4 (2019), 123.7 (2024), i.e. +32% over 2011-2024; EU27 98.0 to 104.7 (+7%). Per hour worked: Bulgaria 93.5 to 125.1 (+34%); EU27 96.4 to 106.0 (+10%). Extracted via the Eurostat API on 2026-10-26.</w:t>
      </w:r>
    </w:p>
    <w:p>
      <w:pPr/>
      <w:r>
        <w:rPr>
          <w:b/>
        </w:rPr>
        <w:t>Connection (proposed):</w:t>
      </w:r>
      <w:r>
        <w:t xml:space="preserve"> Despite rapid ageing and population decline, Bulgaria recorded productivity growth far above the EU average in the interim. This does not refute the study's relative (counterfactual) ageing effect, but other drivers not modelled there, likely including economic catch-up, dominated observed productivity outcomes so far.</w:t>
      </w:r>
    </w:p>
    <w:p>
      <w:pPr/>
      <w:r>
        <w:rPr>
          <w:b/>
        </w:rPr>
        <w:t>Limit of interpretation:</w:t>
      </w:r>
      <w:r>
        <w:t xml:space="preserve"> Per-person productivity can rise through composition effects (exit or emigration of lower-productivity workers, sectoral shifts). With no counterfactual this neither tests nor contradicts the ILO-model sensitivity result.</w:t>
      </w:r>
    </w:p>
    <w:p>
      <w:pPr/>
      <w:r>
        <w:rPr>
          <w:b/>
        </w:rPr>
        <w:t>Later source:</w:t>
      </w:r>
      <w:r>
        <w:t xml:space="preserve"> Economic Aspects of Demographic Changes in the European Union and in Bulgaria (2019 (issue 5; exact date unknown)) https://www.iki.bas.bg/Journals/EconomicStudies/2019/2019-5/3_Rangelova-1_f-f.pdf</w:t>
      </w:r>
    </w:p>
    <w:p>
      <w:pPr/>
      <w:r>
        <w:rPr>
          <w:b/>
        </w:rPr>
        <w:t>Observed or reported:</w:t>
      </w:r>
      <w:r>
        <w:t xml:space="preserve"> pp. 45-46 restate ILO-model results to 2050 under three life-expectancy variants, citing Rangelova &amp; Sariiski (2013), 'Ageing in Bulgaria', pp. 124-139. Differences in GDP per employed person across variants are '(albeit very small)', and faster life-expectancy improvement goes with lower productivity. The authors call the negative ageing effect '(though unconvincing)' yet 'confirmed', and urge caution because the model is 'a simple extrapolation of current trends'.</w:t>
      </w:r>
    </w:p>
    <w:p>
      <w:pPr/>
      <w:r>
        <w:rPr>
          <w:b/>
        </w:rPr>
        <w:t>Connection (proposed):</w:t>
      </w:r>
      <w:r>
        <w:t xml:space="preserve"> The same lead author's later characterisation of the same type of ILO-model exercise substantially qualifies the 2011 abstract's 'the overall direction of the trend is clear': the scenario differences are very small and the effect is described as unconvincing.</w:t>
      </w:r>
    </w:p>
    <w:p>
      <w:pPr/>
      <w:r>
        <w:rPr>
          <w:b/>
        </w:rPr>
        <w:t>Limit of interpretation:</w:t>
      </w:r>
      <w:r>
        <w:t xml:space="preserve"> Author self-assessment, not independent. It cites a 2013 publication; whether that is identical to or an update of the 2011 SEER analysis was not verified.</w:t>
      </w:r>
    </w:p>
    <w:p>
      <w:pPr/>
      <w:r>
        <w:rPr>
          <w:b/>
        </w:rPr>
        <w:t>Correction for further review:</w:t>
      </w:r>
      <w:r>
        <w:t xml:space="preserve"> Restore a single space after each sentence-ending full stop; the wording is otherwise consistent with the abstract. https://www.labourline.org/KENTIKA-19129293124919474759-24-Ageing-population-and-labour-p.htm</w:t>
      </w:r>
    </w:p>
    <w:p>
      <w:pPr/>
      <w:r>
        <w:rPr>
          <w:b/>
        </w:rPr>
        <w:t>Correction for further review:</w:t>
      </w:r>
      <w:r>
        <w:t xml:space="preserve"> Store year-level precision (2011, SEER 14(4):521-544) and do not infer 1 January; optionally note the publisher's online issue date 2012-06-21. https://api.crossref.org/works/10.5771/1435-2869-2011-4-521</w:t>
      </w:r>
    </w:p>
    <w:p>
      <w:pPr>
        <w:pStyle w:val="SourceNote"/>
      </w:pPr>
      <w:r>
        <w:rPr>
          <w:b/>
        </w:rPr>
        <w:t>Editorial status:</w:t>
      </w:r>
      <w:r>
        <w:t xml:space="preserve"> Further independent checks required. Not a prediction verdict or proof of causal influence.</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